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191135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208280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3060700</wp:posOffset>
            </wp:positionH>
            <wp:positionV relativeFrom="paragraph">
              <wp:posOffset>63500</wp:posOffset>
            </wp:positionV>
            <wp:extent cx="1021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171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3060700</wp:posOffset>
            </wp:positionH>
            <wp:positionV relativeFrom="paragraph">
              <wp:posOffset>85090</wp:posOffset>
            </wp:positionV>
            <wp:extent cx="1021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1715" cy="8255"/>
                    </a:xfrm>
                    <a:prstGeom prst="rect">
                      <a:avLst/>
                    </a:prstGeom>
                    <a:noFill/>
                  </pic:spPr>
                </pic:pic>
              </a:graphicData>
            </a:graphic>
          </wp:anchor>
        </w:drawing>
      </w:r>
    </w:p>
    <w:p>
      <w:pPr>
        <w:spacing w:after="0" w:line="169"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QUARTERLY REPORT</w:t>
      </w:r>
    </w:p>
    <w:p>
      <w:pPr>
        <w:spacing w:after="0" w:line="61" w:lineRule="exact"/>
        <w:rPr>
          <w:sz w:val="24"/>
          <w:szCs w:val="24"/>
          <w:color w:val="auto"/>
        </w:rPr>
      </w:pPr>
    </w:p>
    <w:p>
      <w:pPr>
        <w:ind w:left="26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3034665</wp:posOffset>
            </wp:positionH>
            <wp:positionV relativeFrom="paragraph">
              <wp:posOffset>71755</wp:posOffset>
            </wp:positionV>
            <wp:extent cx="1072515" cy="527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72515" cy="5276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EAGLE MATERIALS INC.</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3060700</wp:posOffset>
            </wp:positionH>
            <wp:positionV relativeFrom="paragraph">
              <wp:posOffset>56515</wp:posOffset>
            </wp:positionV>
            <wp:extent cx="1021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1715"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16"/>
          <w:szCs w:val="16"/>
          <w:color w:val="auto"/>
        </w:rPr>
        <w:t>(State of Incorporation)</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75-2520779 </w:t>
      </w:r>
      <w:r>
        <w:rPr>
          <w:rFonts w:ascii="Arial" w:cs="Arial" w:eastAsia="Arial" w:hAnsi="Arial"/>
          <w:sz w:val="16"/>
          <w:szCs w:val="16"/>
          <w:color w:val="auto"/>
        </w:rPr>
        <w:t>(I.R.S. Employer Identification No.)</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5960 Berkshire Lane, Suite 900, Dallas, Texas 75225 </w:t>
      </w:r>
      <w:r>
        <w:rPr>
          <w:rFonts w:ascii="Arial" w:cs="Arial" w:eastAsia="Arial" w:hAnsi="Arial"/>
          <w:sz w:val="16"/>
          <w:szCs w:val="16"/>
          <w:color w:val="auto"/>
        </w:rPr>
        <w:t>(Address of principal executive offices)</w:t>
      </w:r>
    </w:p>
    <w:p>
      <w:pPr>
        <w:spacing w:after="0" w:line="48" w:lineRule="exact"/>
        <w:rPr>
          <w:sz w:val="24"/>
          <w:szCs w:val="24"/>
          <w:color w:val="auto"/>
        </w:rPr>
      </w:pPr>
    </w:p>
    <w:p>
      <w:pPr>
        <w:ind w:left="3560" w:hanging="457"/>
        <w:spacing w:after="0"/>
        <w:tabs>
          <w:tab w:leader="none" w:pos="35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432-2000 </w:t>
      </w: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3060700</wp:posOffset>
            </wp:positionH>
            <wp:positionV relativeFrom="paragraph">
              <wp:posOffset>105410</wp:posOffset>
            </wp:positionV>
            <wp:extent cx="1021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1715" cy="8255"/>
                    </a:xfrm>
                    <a:prstGeom prst="rect">
                      <a:avLst/>
                    </a:prstGeom>
                    <a:noFill/>
                  </pic:spPr>
                </pic:pic>
              </a:graphicData>
            </a:graphic>
          </wp:anchor>
        </w:drawing>
      </w:r>
    </w:p>
    <w:p>
      <w:pPr>
        <w:spacing w:after="0" w:line="185"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Title of each class</w:t>
            </w:r>
          </w:p>
        </w:tc>
        <w:tc>
          <w:tcPr>
            <w:tcW w:w="2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Trading</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6"/>
        </w:trPr>
        <w:tc>
          <w:tcPr>
            <w:tcW w:w="4640" w:type="dxa"/>
            <w:vAlign w:val="bottom"/>
            <w:gridSpan w:val="2"/>
            <w:vMerge w:val="continue"/>
          </w:tcPr>
          <w:p>
            <w:pPr>
              <w:spacing w:after="0"/>
              <w:rPr>
                <w:sz w:val="15"/>
                <w:szCs w:val="15"/>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Symbol(s)</w:t>
            </w:r>
          </w:p>
        </w:tc>
        <w:tc>
          <w:tcPr>
            <w:tcW w:w="4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5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Common Stock (par value $.01 per share)</w:t>
            </w:r>
          </w:p>
        </w:tc>
        <w:tc>
          <w:tcPr>
            <w:tcW w:w="120" w:type="dxa"/>
            <w:vAlign w:val="bottom"/>
          </w:tcPr>
          <w:p>
            <w:pPr>
              <w:spacing w:after="0"/>
              <w:rPr>
                <w:sz w:val="17"/>
                <w:szCs w:val="17"/>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9"/>
              </w:rPr>
              <w:t>EXP</w:t>
            </w:r>
          </w:p>
        </w:tc>
        <w:tc>
          <w:tcPr>
            <w:tcW w:w="120" w:type="dxa"/>
            <w:vAlign w:val="bottom"/>
          </w:tcPr>
          <w:p>
            <w:pPr>
              <w:spacing w:after="0"/>
              <w:rPr>
                <w:sz w:val="17"/>
                <w:szCs w:val="17"/>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New York Stock Exchange</w:t>
            </w:r>
          </w:p>
        </w:tc>
        <w:tc>
          <w:tcPr>
            <w:tcW w:w="0" w:type="dxa"/>
            <w:vAlign w:val="bottom"/>
          </w:tcPr>
          <w:p>
            <w:pPr>
              <w:spacing w:after="0"/>
              <w:rPr>
                <w:sz w:val="1"/>
                <w:szCs w:val="1"/>
                <w:color w:val="auto"/>
              </w:rPr>
            </w:pPr>
          </w:p>
        </w:tc>
      </w:tr>
    </w:tbl>
    <w:p>
      <w:pPr>
        <w:spacing w:after="0" w:line="48"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1" w:lineRule="exact"/>
        <w:rPr>
          <w:sz w:val="24"/>
          <w:szCs w:val="24"/>
          <w:color w:val="auto"/>
        </w:rPr>
      </w:pPr>
    </w:p>
    <w:p>
      <w:pPr>
        <w:jc w:val="both"/>
        <w:spacing w:after="0" w:line="224"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jc w:val="both"/>
        <w:ind w:right="220"/>
        <w:spacing w:after="0" w:line="25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7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740" w:type="dxa"/>
            <w:vAlign w:val="bottom"/>
          </w:tcPr>
          <w:p>
            <w:pPr>
              <w:ind w:left="740"/>
              <w:spacing w:after="0" w:line="171" w:lineRule="exact"/>
              <w:rPr>
                <w:sz w:val="20"/>
                <w:szCs w:val="20"/>
                <w:color w:val="auto"/>
              </w:rPr>
            </w:pPr>
            <w:r>
              <w:rPr>
                <w:rFonts w:ascii="MS PGothic" w:cs="MS PGothic" w:eastAsia="MS PGothic" w:hAnsi="MS PGothic"/>
                <w:sz w:val="17"/>
                <w:szCs w:val="17"/>
                <w:color w:val="auto"/>
              </w:rPr>
              <w:t>☒</w:t>
            </w:r>
          </w:p>
        </w:tc>
        <w:tc>
          <w:tcPr>
            <w:tcW w:w="4580" w:type="dxa"/>
            <w:vAlign w:val="bottom"/>
          </w:tcPr>
          <w:p>
            <w:pPr>
              <w:ind w:left="1820"/>
              <w:spacing w:after="0"/>
              <w:rPr>
                <w:sz w:val="20"/>
                <w:szCs w:val="20"/>
                <w:color w:val="auto"/>
              </w:rPr>
            </w:pPr>
            <w:r>
              <w:rPr>
                <w:rFonts w:ascii="Arial" w:cs="Arial" w:eastAsia="Arial" w:hAnsi="Arial"/>
                <w:sz w:val="17"/>
                <w:szCs w:val="17"/>
                <w:color w:val="auto"/>
              </w:rPr>
              <w:t>Accelerated filer</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4"/>
        </w:trPr>
        <w:tc>
          <w:tcPr>
            <w:tcW w:w="2760" w:type="dxa"/>
            <w:vAlign w:val="bottom"/>
          </w:tcPr>
          <w:p>
            <w:pPr>
              <w:spacing w:after="0"/>
              <w:rPr>
                <w:sz w:val="20"/>
                <w:szCs w:val="20"/>
                <w:color w:val="auto"/>
              </w:rPr>
            </w:pPr>
            <w:r>
              <w:rPr>
                <w:rFonts w:ascii="Arial" w:cs="Arial" w:eastAsia="Arial" w:hAnsi="Arial"/>
                <w:sz w:val="17"/>
                <w:szCs w:val="17"/>
                <w:color w:val="auto"/>
              </w:rPr>
              <w:t>Non-accelerated filer</w:t>
            </w:r>
          </w:p>
        </w:tc>
        <w:tc>
          <w:tcPr>
            <w:tcW w:w="2740" w:type="dxa"/>
            <w:vAlign w:val="bottom"/>
          </w:tcPr>
          <w:p>
            <w:pPr>
              <w:ind w:left="740"/>
              <w:spacing w:after="0" w:line="171" w:lineRule="exact"/>
              <w:rPr>
                <w:sz w:val="20"/>
                <w:szCs w:val="20"/>
                <w:color w:val="auto"/>
              </w:rPr>
            </w:pPr>
            <w:r>
              <w:rPr>
                <w:rFonts w:ascii="MS PGothic" w:cs="MS PGothic" w:eastAsia="MS PGothic" w:hAnsi="MS PGothic"/>
                <w:sz w:val="17"/>
                <w:szCs w:val="17"/>
                <w:color w:val="auto"/>
              </w:rPr>
              <w:t>☐</w:t>
            </w:r>
          </w:p>
        </w:tc>
        <w:tc>
          <w:tcPr>
            <w:tcW w:w="4580" w:type="dxa"/>
            <w:vAlign w:val="bottom"/>
          </w:tcPr>
          <w:p>
            <w:pPr>
              <w:ind w:left="1820"/>
              <w:spacing w:after="0"/>
              <w:rPr>
                <w:sz w:val="20"/>
                <w:szCs w:val="20"/>
                <w:color w:val="auto"/>
              </w:rPr>
            </w:pPr>
            <w:r>
              <w:rPr>
                <w:rFonts w:ascii="Arial" w:cs="Arial" w:eastAsia="Arial" w:hAnsi="Arial"/>
                <w:sz w:val="17"/>
                <w:szCs w:val="17"/>
                <w:color w:val="auto"/>
              </w:rPr>
              <w:t>Smaller reporting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7"/>
        </w:trPr>
        <w:tc>
          <w:tcPr>
            <w:tcW w:w="276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2740" w:type="dxa"/>
            <w:vAlign w:val="bottom"/>
          </w:tcPr>
          <w:p>
            <w:pPr>
              <w:ind w:left="740"/>
              <w:spacing w:after="0" w:line="171" w:lineRule="exact"/>
              <w:rPr>
                <w:sz w:val="20"/>
                <w:szCs w:val="20"/>
                <w:color w:val="auto"/>
              </w:rPr>
            </w:pPr>
            <w:r>
              <w:rPr>
                <w:rFonts w:ascii="MS PGothic" w:cs="MS PGothic" w:eastAsia="MS PGothic" w:hAnsi="MS PGothic"/>
                <w:sz w:val="17"/>
                <w:szCs w:val="17"/>
                <w:color w:val="auto"/>
              </w:rPr>
              <w:t>☐</w:t>
            </w:r>
          </w:p>
        </w:tc>
        <w:tc>
          <w:tcPr>
            <w:tcW w:w="4580" w:type="dxa"/>
            <w:vAlign w:val="bottom"/>
          </w:tcPr>
          <w:p>
            <w:pPr>
              <w:spacing w:after="0"/>
              <w:rPr>
                <w:sz w:val="23"/>
                <w:szCs w:val="23"/>
                <w:color w:val="auto"/>
              </w:rPr>
            </w:pPr>
          </w:p>
        </w:tc>
        <w:tc>
          <w:tcPr>
            <w:tcW w:w="880" w:type="dxa"/>
            <w:vAlign w:val="bottom"/>
          </w:tcPr>
          <w:p>
            <w:pPr>
              <w:spacing w:after="0"/>
              <w:rPr>
                <w:sz w:val="23"/>
                <w:szCs w:val="23"/>
                <w:color w:val="auto"/>
              </w:rPr>
            </w:pPr>
          </w:p>
        </w:tc>
      </w:tr>
    </w:tbl>
    <w:p>
      <w:pPr>
        <w:spacing w:after="0" w:line="23" w:lineRule="exact"/>
        <w:rPr>
          <w:sz w:val="24"/>
          <w:szCs w:val="24"/>
          <w:color w:val="auto"/>
        </w:rPr>
      </w:pPr>
    </w:p>
    <w:p>
      <w:pPr>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720" w:type="dxa"/>
            <w:vAlign w:val="bottom"/>
            <w:gridSpan w:val="2"/>
          </w:tcPr>
          <w:p>
            <w:pPr>
              <w:ind w:left="500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p>
        </w:tc>
        <w:tc>
          <w:tcPr>
            <w:tcW w:w="5500" w:type="dxa"/>
            <w:vAlign w:val="bottom"/>
          </w:tcPr>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r>
      <w:tr>
        <w:trPr>
          <w:trHeight w:val="230"/>
        </w:trPr>
        <w:tc>
          <w:tcPr>
            <w:tcW w:w="11240" w:type="dxa"/>
            <w:vAlign w:val="bottom"/>
            <w:gridSpan w:val="4"/>
          </w:tcPr>
          <w:p>
            <w:pPr>
              <w:spacing w:after="0"/>
              <w:rPr>
                <w:sz w:val="20"/>
                <w:szCs w:val="20"/>
                <w:color w:val="auto"/>
              </w:rPr>
            </w:pPr>
            <w:r>
              <w:rPr>
                <w:rFonts w:ascii="Arial" w:cs="Arial" w:eastAsia="Arial" w:hAnsi="Arial"/>
                <w:sz w:val="17"/>
                <w:szCs w:val="17"/>
                <w:color w:val="auto"/>
              </w:rPr>
              <w:t>As of January 25, 2021, the number of outstanding shares of common stock was:</w:t>
            </w:r>
          </w:p>
        </w:tc>
      </w:tr>
      <w:tr>
        <w:trPr>
          <w:trHeight w:val="241"/>
        </w:trPr>
        <w:tc>
          <w:tcPr>
            <w:tcW w:w="20" w:type="dxa"/>
            <w:vAlign w:val="bottom"/>
          </w:tcPr>
          <w:p>
            <w:pPr>
              <w:spacing w:after="0"/>
              <w:rPr>
                <w:sz w:val="20"/>
                <w:szCs w:val="20"/>
                <w:color w:val="auto"/>
              </w:rPr>
            </w:pPr>
          </w:p>
        </w:tc>
        <w:tc>
          <w:tcPr>
            <w:tcW w:w="57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6"/>
              </w:rPr>
              <w:t>Class</w:t>
            </w:r>
          </w:p>
        </w:tc>
        <w:tc>
          <w:tcPr>
            <w:tcW w:w="5500" w:type="dxa"/>
            <w:vAlign w:val="bottom"/>
          </w:tcPr>
          <w:p>
            <w:pPr>
              <w:jc w:val="center"/>
              <w:spacing w:after="0"/>
              <w:rPr>
                <w:sz w:val="20"/>
                <w:szCs w:val="20"/>
                <w:color w:val="auto"/>
              </w:rPr>
            </w:pPr>
            <w:r>
              <w:rPr>
                <w:rFonts w:ascii="Arial" w:cs="Arial" w:eastAsia="Arial" w:hAnsi="Arial"/>
                <w:sz w:val="17"/>
                <w:szCs w:val="17"/>
                <w:b w:val="1"/>
                <w:bCs w:val="1"/>
                <w:color w:val="auto"/>
              </w:rPr>
              <w:t>Outstanding Shares</w:t>
            </w:r>
          </w:p>
        </w:tc>
      </w:tr>
      <w:tr>
        <w:trPr>
          <w:trHeight w:val="223"/>
        </w:trPr>
        <w:tc>
          <w:tcPr>
            <w:tcW w:w="20" w:type="dxa"/>
            <w:vAlign w:val="bottom"/>
          </w:tcPr>
          <w:p>
            <w:pPr>
              <w:spacing w:after="0"/>
              <w:rPr>
                <w:sz w:val="19"/>
                <w:szCs w:val="19"/>
                <w:color w:val="auto"/>
              </w:rPr>
            </w:pPr>
          </w:p>
        </w:tc>
        <w:tc>
          <w:tcPr>
            <w:tcW w:w="56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Common Stock, $.01 Par Value</w:t>
            </w:r>
          </w:p>
        </w:tc>
        <w:tc>
          <w:tcPr>
            <w:tcW w:w="100" w:type="dxa"/>
            <w:vAlign w:val="bottom"/>
          </w:tcPr>
          <w:p>
            <w:pPr>
              <w:spacing w:after="0"/>
              <w:rPr>
                <w:sz w:val="19"/>
                <w:szCs w:val="19"/>
                <w:color w:val="auto"/>
              </w:rPr>
            </w:pPr>
          </w:p>
        </w:tc>
        <w:tc>
          <w:tcPr>
            <w:tcW w:w="5500" w:type="dxa"/>
            <w:vAlign w:val="bottom"/>
            <w:tcBorders>
              <w:top w:val="single" w:sz="8" w:color="auto"/>
            </w:tcBorders>
          </w:tcPr>
          <w:p>
            <w:pPr>
              <w:jc w:val="right"/>
              <w:ind w:right="2235"/>
              <w:spacing w:after="0"/>
              <w:rPr>
                <w:sz w:val="20"/>
                <w:szCs w:val="20"/>
                <w:color w:val="auto"/>
              </w:rPr>
            </w:pPr>
            <w:r>
              <w:rPr>
                <w:rFonts w:ascii="Arial" w:cs="Arial" w:eastAsia="Arial" w:hAnsi="Arial"/>
                <w:sz w:val="17"/>
                <w:szCs w:val="17"/>
                <w:color w:val="auto"/>
              </w:rPr>
              <w:t>42,001,634</w:t>
            </w:r>
          </w:p>
        </w:tc>
      </w:tr>
      <w:tr>
        <w:trPr>
          <w:trHeight w:val="39"/>
        </w:trPr>
        <w:tc>
          <w:tcPr>
            <w:tcW w:w="20" w:type="dxa"/>
            <w:vAlign w:val="bottom"/>
          </w:tcPr>
          <w:p>
            <w:pPr>
              <w:spacing w:after="0"/>
              <w:rPr>
                <w:sz w:val="3"/>
                <w:szCs w:val="3"/>
                <w:color w:val="auto"/>
              </w:rPr>
            </w:pPr>
          </w:p>
        </w:tc>
        <w:tc>
          <w:tcPr>
            <w:tcW w:w="5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500" w:type="dxa"/>
            <w:vAlign w:val="bottom"/>
            <w:tcBorders>
              <w:bottom w:val="single" w:sz="8" w:color="auto"/>
            </w:tcBorders>
          </w:tcPr>
          <w:p>
            <w:pPr>
              <w:spacing w:after="0"/>
              <w:rPr>
                <w:sz w:val="3"/>
                <w:szCs w:val="3"/>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563"/>
        </w:trPr>
        <w:tc>
          <w:tcPr>
            <w:tcW w:w="20" w:type="dxa"/>
            <w:vAlign w:val="bottom"/>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I. FINANCIAL INFORMATION (unaudited)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04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9580" w:type="dxa"/>
            <w:vAlign w:val="bottom"/>
            <w:gridSpan w:val="3"/>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62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4"/>
        </w:trPr>
        <w:tc>
          <w:tcPr>
            <w:tcW w:w="1040" w:type="dxa"/>
            <w:vAlign w:val="bottom"/>
            <w:vMerge w:val="continue"/>
          </w:tcPr>
          <w:p>
            <w:pPr>
              <w:spacing w:after="0"/>
              <w:rPr>
                <w:sz w:val="18"/>
                <w:szCs w:val="18"/>
                <w:color w:val="auto"/>
              </w:rPr>
            </w:pPr>
          </w:p>
        </w:tc>
        <w:tc>
          <w:tcPr>
            <w:tcW w:w="958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6"/>
        </w:trPr>
        <w:tc>
          <w:tcPr>
            <w:tcW w:w="1040" w:type="dxa"/>
            <w:vAlign w:val="bottom"/>
          </w:tcPr>
          <w:p>
            <w:pPr>
              <w:spacing w:after="0"/>
              <w:rPr>
                <w:sz w:val="24"/>
                <w:szCs w:val="24"/>
                <w:color w:val="auto"/>
              </w:rPr>
            </w:pPr>
          </w:p>
        </w:tc>
        <w:tc>
          <w:tcPr>
            <w:tcW w:w="958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Earnings (Loss) for the Three and Nine Months Ended December 31, 2020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00"/>
        </w:trPr>
        <w:tc>
          <w:tcPr>
            <w:tcW w:w="1040" w:type="dxa"/>
            <w:vAlign w:val="bottom"/>
          </w:tcPr>
          <w:p>
            <w:pPr>
              <w:spacing w:after="0"/>
              <w:rPr>
                <w:sz w:val="24"/>
                <w:szCs w:val="24"/>
                <w:color w:val="auto"/>
              </w:rPr>
            </w:pPr>
          </w:p>
        </w:tc>
        <w:tc>
          <w:tcPr>
            <w:tcW w:w="95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Earnings (Loss) for the Three and Nine Months Ended December 31, 2020</w:t>
              </w:r>
            </w:hyperlink>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1"/>
        </w:trPr>
        <w:tc>
          <w:tcPr>
            <w:tcW w:w="1040" w:type="dxa"/>
            <w:vAlign w:val="bottom"/>
          </w:tcPr>
          <w:p>
            <w:pPr>
              <w:spacing w:after="0"/>
              <w:rPr>
                <w:sz w:val="15"/>
                <w:szCs w:val="15"/>
                <w:color w:val="auto"/>
              </w:rPr>
            </w:pPr>
          </w:p>
        </w:tc>
        <w:tc>
          <w:tcPr>
            <w:tcW w:w="9460" w:type="dxa"/>
            <w:vAlign w:val="bottom"/>
            <w:tcBorders>
              <w:top w:val="single" w:sz="8" w:color="0000EE"/>
            </w:tcBorders>
            <w:gridSpan w:val="2"/>
          </w:tcPr>
          <w:p>
            <w:pPr>
              <w:spacing w:after="0" w:line="181" w:lineRule="exact"/>
              <w:rPr>
                <w:rFonts w:ascii="Arial" w:cs="Arial" w:eastAsia="Arial" w:hAnsi="Arial"/>
                <w:sz w:val="18"/>
                <w:szCs w:val="18"/>
                <w:color w:val="0000EE"/>
              </w:rPr>
            </w:pPr>
            <w:hyperlink w:anchor="page4">
              <w:r>
                <w:rPr>
                  <w:rFonts w:ascii="Arial" w:cs="Arial" w:eastAsia="Arial" w:hAnsi="Arial"/>
                  <w:sz w:val="18"/>
                  <w:szCs w:val="18"/>
                  <w:color w:val="0000EE"/>
                </w:rPr>
                <w:t>and 2019</w:t>
              </w:r>
            </w:hyperlink>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1040" w:type="dxa"/>
            <w:vAlign w:val="bottom"/>
          </w:tcPr>
          <w:p>
            <w:pPr>
              <w:spacing w:after="0"/>
              <w:rPr>
                <w:sz w:val="24"/>
                <w:szCs w:val="24"/>
                <w:color w:val="auto"/>
              </w:rPr>
            </w:pPr>
          </w:p>
        </w:tc>
        <w:tc>
          <w:tcPr>
            <w:tcW w:w="958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 as of December 31, 2020, and March 31, 2020</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56"/>
        </w:trPr>
        <w:tc>
          <w:tcPr>
            <w:tcW w:w="1040" w:type="dxa"/>
            <w:vAlign w:val="bottom"/>
          </w:tcPr>
          <w:p>
            <w:pPr>
              <w:spacing w:after="0"/>
              <w:rPr>
                <w:sz w:val="24"/>
                <w:szCs w:val="24"/>
                <w:color w:val="auto"/>
              </w:rPr>
            </w:pPr>
          </w:p>
        </w:tc>
        <w:tc>
          <w:tcPr>
            <w:tcW w:w="9580" w:type="dxa"/>
            <w:vAlign w:val="bottom"/>
            <w:gridSpan w:val="3"/>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 for the Nine Months Ended December 31, 2020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56"/>
        </w:trPr>
        <w:tc>
          <w:tcPr>
            <w:tcW w:w="1040" w:type="dxa"/>
            <w:vAlign w:val="bottom"/>
          </w:tcPr>
          <w:p>
            <w:pPr>
              <w:spacing w:after="0"/>
              <w:rPr>
                <w:sz w:val="24"/>
                <w:szCs w:val="24"/>
                <w:color w:val="auto"/>
              </w:rPr>
            </w:pPr>
          </w:p>
        </w:tc>
        <w:tc>
          <w:tcPr>
            <w:tcW w:w="958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Stockholders' Equity for the Three and Nine Months Ended December 31, 2020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56"/>
        </w:trPr>
        <w:tc>
          <w:tcPr>
            <w:tcW w:w="1040" w:type="dxa"/>
            <w:vAlign w:val="bottom"/>
          </w:tcPr>
          <w:p>
            <w:pPr>
              <w:spacing w:after="0"/>
              <w:rPr>
                <w:sz w:val="24"/>
                <w:szCs w:val="24"/>
                <w:color w:val="auto"/>
              </w:rPr>
            </w:pPr>
          </w:p>
        </w:tc>
        <w:tc>
          <w:tcPr>
            <w:tcW w:w="9580" w:type="dxa"/>
            <w:vAlign w:val="bottom"/>
            <w:gridSpan w:val="3"/>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Consolidated 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66"/>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580" w:type="dxa"/>
            <w:vAlign w:val="bottom"/>
            <w:gridSpan w:val="3"/>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56"/>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3"/>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Quantitative and Qualitative Disclosures About Market Risk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56"/>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580" w:type="dxa"/>
            <w:vAlign w:val="bottom"/>
            <w:gridSpan w:val="3"/>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Controls and Procedures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542"/>
        </w:trPr>
        <w:tc>
          <w:tcPr>
            <w:tcW w:w="10620" w:type="dxa"/>
            <w:vAlign w:val="bottom"/>
            <w:gridSpan w:val="4"/>
          </w:tcPr>
          <w:p>
            <w:pPr>
              <w:spacing w:after="0"/>
              <w:rPr>
                <w:rFonts w:ascii="Arial" w:cs="Arial" w:eastAsia="Arial" w:hAnsi="Arial"/>
                <w:sz w:val="20"/>
                <w:szCs w:val="20"/>
                <w:b w:val="1"/>
                <w:bCs w:val="1"/>
                <w:u w:val="single" w:color="auto"/>
                <w:color w:val="0000EE"/>
              </w:rPr>
            </w:pPr>
            <w:hyperlink w:anchor="page42">
              <w:r>
                <w:rPr>
                  <w:rFonts w:ascii="Arial" w:cs="Arial" w:eastAsia="Arial" w:hAnsi="Arial"/>
                  <w:sz w:val="20"/>
                  <w:szCs w:val="20"/>
                  <w:b w:val="1"/>
                  <w:bCs w:val="1"/>
                  <w:u w:val="single" w:color="auto"/>
                  <w:color w:val="0000EE"/>
                </w:rPr>
                <w:t>PART II. OTHER INFORMATION</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7"/>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580" w:type="dxa"/>
            <w:vAlign w:val="bottom"/>
            <w:gridSpan w:val="3"/>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Legal Proceedings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56"/>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580" w:type="dxa"/>
            <w:vAlign w:val="bottom"/>
            <w:gridSpan w:val="3"/>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56"/>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580" w:type="dxa"/>
            <w:vAlign w:val="bottom"/>
            <w:gridSpan w:val="3"/>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Unregistered Sales of Equity Securities and 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56"/>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580" w:type="dxa"/>
            <w:vAlign w:val="bottom"/>
            <w:gridSpan w:val="3"/>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Mine Safety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56"/>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580" w:type="dxa"/>
            <w:vAlign w:val="bottom"/>
            <w:gridSpan w:val="3"/>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Exhibits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29"/>
        </w:trPr>
        <w:tc>
          <w:tcPr>
            <w:tcW w:w="10620" w:type="dxa"/>
            <w:vAlign w:val="bottom"/>
            <w:gridSpan w:val="4"/>
          </w:tcPr>
          <w:p>
            <w:pPr>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SIGNATURES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402"/>
        </w:trPr>
        <w:tc>
          <w:tcPr>
            <w:tcW w:w="10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EAGLE MATERIALS INC. AND SUBSIDIARIES CONSOLIDATED STATEMENTS OF EARNINGS (LOSS) (unaudited)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shd w:val="clear" w:color="auto" w:fill="004483"/>
          </w:tcPr>
          <w:p>
            <w:pPr>
              <w:spacing w:after="0"/>
              <w:rPr>
                <w:sz w:val="19"/>
                <w:szCs w:val="19"/>
                <w:color w:val="auto"/>
              </w:rPr>
            </w:pPr>
          </w:p>
        </w:tc>
        <w:tc>
          <w:tcPr>
            <w:tcW w:w="2680" w:type="dxa"/>
            <w:vAlign w:val="bottom"/>
            <w:gridSpan w:val="6"/>
            <w:shd w:val="clear" w:color="auto" w:fill="004483"/>
          </w:tcPr>
          <w:p>
            <w:pPr>
              <w:jc w:val="right"/>
              <w:ind w:right="300"/>
              <w:spacing w:after="0"/>
              <w:rPr>
                <w:sz w:val="20"/>
                <w:szCs w:val="20"/>
                <w:color w:val="auto"/>
              </w:rPr>
            </w:pPr>
            <w:r>
              <w:rPr>
                <w:rFonts w:ascii="Times New Roman" w:cs="Times New Roman" w:eastAsia="Times New Roman" w:hAnsi="Times New Roman"/>
                <w:sz w:val="13"/>
                <w:szCs w:val="13"/>
                <w:b w:val="1"/>
                <w:bCs w:val="1"/>
                <w:color w:val="FFFFFF"/>
                <w:w w:val="97"/>
              </w:rPr>
              <w:t>For the Three Months Ended December 31,</w:t>
            </w:r>
          </w:p>
        </w:tc>
        <w:tc>
          <w:tcPr>
            <w:tcW w:w="140" w:type="dxa"/>
            <w:vAlign w:val="bottom"/>
          </w:tcPr>
          <w:p>
            <w:pPr>
              <w:spacing w:after="0"/>
              <w:rPr>
                <w:sz w:val="19"/>
                <w:szCs w:val="19"/>
                <w:color w:val="auto"/>
              </w:rPr>
            </w:pPr>
          </w:p>
        </w:tc>
        <w:tc>
          <w:tcPr>
            <w:tcW w:w="120" w:type="dxa"/>
            <w:vAlign w:val="bottom"/>
            <w:shd w:val="clear" w:color="auto" w:fill="004483"/>
          </w:tcPr>
          <w:p>
            <w:pPr>
              <w:spacing w:after="0"/>
              <w:rPr>
                <w:sz w:val="19"/>
                <w:szCs w:val="19"/>
                <w:color w:val="auto"/>
              </w:rPr>
            </w:pPr>
          </w:p>
        </w:tc>
        <w:tc>
          <w:tcPr>
            <w:tcW w:w="2440" w:type="dxa"/>
            <w:vAlign w:val="bottom"/>
            <w:gridSpan w:val="6"/>
            <w:shd w:val="clear" w:color="auto" w:fill="004483"/>
          </w:tcPr>
          <w:p>
            <w:pPr>
              <w:jc w:val="right"/>
              <w:ind w:right="160"/>
              <w:spacing w:after="0"/>
              <w:rPr>
                <w:sz w:val="20"/>
                <w:szCs w:val="20"/>
                <w:color w:val="auto"/>
              </w:rPr>
            </w:pPr>
            <w:r>
              <w:rPr>
                <w:rFonts w:ascii="Times New Roman" w:cs="Times New Roman" w:eastAsia="Times New Roman" w:hAnsi="Times New Roman"/>
                <w:sz w:val="13"/>
                <w:szCs w:val="13"/>
                <w:b w:val="1"/>
                <w:bCs w:val="1"/>
                <w:color w:val="FFFFFF"/>
                <w:w w:val="96"/>
              </w:rPr>
              <w:t>For the Nine Months Ended December 31,</w:t>
            </w:r>
          </w:p>
        </w:tc>
      </w:tr>
      <w:tr>
        <w:trPr>
          <w:trHeight w:val="156"/>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2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220" w:type="dxa"/>
            <w:vAlign w:val="bottom"/>
            <w:tcBorders>
              <w:bottom w:val="single" w:sz="8" w:color="004483"/>
            </w:tcBorders>
          </w:tcPr>
          <w:p>
            <w:pPr>
              <w:spacing w:after="0"/>
              <w:rPr>
                <w:sz w:val="13"/>
                <w:szCs w:val="13"/>
                <w:color w:val="auto"/>
              </w:rPr>
            </w:pPr>
          </w:p>
        </w:tc>
        <w:tc>
          <w:tcPr>
            <w:tcW w:w="60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104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3040" w:type="dxa"/>
            <w:vAlign w:val="bottom"/>
            <w:tcBorders>
              <w:bottom w:val="single" w:sz="8" w:color="004483"/>
            </w:tcBorders>
            <w:gridSpan w:val="9"/>
          </w:tcPr>
          <w:p>
            <w:pPr>
              <w:ind w:left="100"/>
              <w:spacing w:after="0"/>
              <w:rPr>
                <w:sz w:val="20"/>
                <w:szCs w:val="20"/>
                <w:color w:val="auto"/>
              </w:rPr>
            </w:pPr>
            <w:r>
              <w:rPr>
                <w:rFonts w:ascii="Times New Roman" w:cs="Times New Roman" w:eastAsia="Times New Roman" w:hAnsi="Times New Roman"/>
                <w:sz w:val="13"/>
                <w:szCs w:val="13"/>
                <w:color w:val="auto"/>
              </w:rPr>
              <w:t>(dollars in thousands, except share and per share data)</w:t>
            </w:r>
          </w:p>
        </w:tc>
        <w:tc>
          <w:tcPr>
            <w:tcW w:w="260" w:type="dxa"/>
            <w:vAlign w:val="bottom"/>
            <w:tcBorders>
              <w:bottom w:val="single" w:sz="8" w:color="004483"/>
            </w:tcBorders>
          </w:tcPr>
          <w:p>
            <w:pPr>
              <w:spacing w:after="0"/>
              <w:rPr>
                <w:sz w:val="13"/>
                <w:szCs w:val="13"/>
                <w:color w:val="auto"/>
              </w:rPr>
            </w:pPr>
          </w:p>
        </w:tc>
        <w:tc>
          <w:tcPr>
            <w:tcW w:w="900" w:type="dxa"/>
            <w:vAlign w:val="bottom"/>
            <w:tcBorders>
              <w:bottom w:val="single" w:sz="8" w:color="004483"/>
            </w:tcBorders>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20" w:type="dxa"/>
            <w:vAlign w:val="bottom"/>
          </w:tcPr>
          <w:p>
            <w:pPr>
              <w:spacing w:after="0"/>
              <w:rPr>
                <w:sz w:val="18"/>
                <w:szCs w:val="18"/>
                <w:color w:val="auto"/>
              </w:rPr>
            </w:pPr>
          </w:p>
        </w:tc>
        <w:tc>
          <w:tcPr>
            <w:tcW w:w="522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Revenue</w:t>
            </w:r>
          </w:p>
        </w:tc>
        <w:tc>
          <w:tcPr>
            <w:tcW w:w="72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404,667</w:t>
            </w:r>
          </w:p>
        </w:tc>
        <w:tc>
          <w:tcPr>
            <w:tcW w:w="120" w:type="dxa"/>
            <w:vAlign w:val="bottom"/>
          </w:tcPr>
          <w:p>
            <w:pPr>
              <w:spacing w:after="0"/>
              <w:rPr>
                <w:sz w:val="18"/>
                <w:szCs w:val="18"/>
                <w:color w:val="auto"/>
              </w:rPr>
            </w:pPr>
          </w:p>
        </w:tc>
        <w:tc>
          <w:tcPr>
            <w:tcW w:w="440" w:type="dxa"/>
            <w:vAlign w:val="bottom"/>
            <w:tcBorders>
              <w:bottom w:val="single" w:sz="8" w:color="A6A6A6"/>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342,904</w:t>
            </w:r>
          </w:p>
        </w:tc>
        <w:tc>
          <w:tcPr>
            <w:tcW w:w="120" w:type="dxa"/>
            <w:vAlign w:val="bottom"/>
          </w:tcPr>
          <w:p>
            <w:pPr>
              <w:spacing w:after="0"/>
              <w:rPr>
                <w:sz w:val="18"/>
                <w:szCs w:val="18"/>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1,279,340</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1,098,838</w:t>
            </w:r>
          </w:p>
        </w:tc>
        <w:tc>
          <w:tcPr>
            <w:tcW w:w="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22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Cost of Goods Sold</w:t>
            </w:r>
          </w:p>
        </w:tc>
        <w:tc>
          <w:tcPr>
            <w:tcW w:w="600" w:type="dxa"/>
            <w:vAlign w:val="bottom"/>
            <w:tcBorders>
              <w:bottom w:val="single" w:sz="8" w:color="A6A6A6"/>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10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291,288</w:t>
            </w:r>
          </w:p>
        </w:tc>
        <w:tc>
          <w:tcPr>
            <w:tcW w:w="120" w:type="dxa"/>
            <w:vAlign w:val="bottom"/>
          </w:tcPr>
          <w:p>
            <w:pPr>
              <w:spacing w:after="0"/>
              <w:rPr>
                <w:sz w:val="19"/>
                <w:szCs w:val="19"/>
                <w:color w:val="auto"/>
              </w:rPr>
            </w:pPr>
          </w:p>
        </w:tc>
        <w:tc>
          <w:tcPr>
            <w:tcW w:w="160" w:type="dxa"/>
            <w:vAlign w:val="bottom"/>
            <w:tcBorders>
              <w:bottom w:val="single" w:sz="8" w:color="A6A6A6"/>
            </w:tcBorders>
          </w:tcPr>
          <w:p>
            <w:pPr>
              <w:spacing w:after="0"/>
              <w:rPr>
                <w:sz w:val="19"/>
                <w:szCs w:val="19"/>
                <w:color w:val="auto"/>
              </w:rPr>
            </w:pPr>
          </w:p>
        </w:tc>
        <w:tc>
          <w:tcPr>
            <w:tcW w:w="280" w:type="dxa"/>
            <w:vAlign w:val="bottom"/>
            <w:tcBorders>
              <w:bottom w:val="single" w:sz="8" w:color="004483"/>
            </w:tcBorders>
          </w:tcPr>
          <w:p>
            <w:pPr>
              <w:spacing w:after="0"/>
              <w:rPr>
                <w:sz w:val="19"/>
                <w:szCs w:val="19"/>
                <w:color w:val="auto"/>
              </w:rPr>
            </w:pPr>
          </w:p>
        </w:tc>
        <w:tc>
          <w:tcPr>
            <w:tcW w:w="9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249,701</w:t>
            </w:r>
          </w:p>
        </w:tc>
        <w:tc>
          <w:tcPr>
            <w:tcW w:w="12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10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940,815</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60" w:type="dxa"/>
            <w:vAlign w:val="bottom"/>
            <w:tcBorders>
              <w:bottom w:val="single" w:sz="8" w:color="004483"/>
            </w:tcBorders>
          </w:tcPr>
          <w:p>
            <w:pPr>
              <w:spacing w:after="0"/>
              <w:rPr>
                <w:sz w:val="19"/>
                <w:szCs w:val="19"/>
                <w:color w:val="auto"/>
              </w:rPr>
            </w:pPr>
          </w:p>
        </w:tc>
        <w:tc>
          <w:tcPr>
            <w:tcW w:w="9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818,521</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5220" w:type="dxa"/>
            <w:vAlign w:val="bottom"/>
            <w:tcBorders>
              <w:bottom w:val="single" w:sz="8" w:color="A6A6A6"/>
            </w:tcBorders>
          </w:tcPr>
          <w:p>
            <w:pPr>
              <w:ind w:left="480"/>
              <w:spacing w:after="0"/>
              <w:rPr>
                <w:sz w:val="20"/>
                <w:szCs w:val="20"/>
                <w:color w:val="auto"/>
              </w:rPr>
            </w:pPr>
            <w:r>
              <w:rPr>
                <w:rFonts w:ascii="Times New Roman" w:cs="Times New Roman" w:eastAsia="Times New Roman" w:hAnsi="Times New Roman"/>
                <w:sz w:val="16"/>
                <w:szCs w:val="16"/>
                <w:color w:val="004483"/>
              </w:rPr>
              <w:t>Gross Profit</w:t>
            </w:r>
          </w:p>
        </w:tc>
        <w:tc>
          <w:tcPr>
            <w:tcW w:w="60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0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113,379</w:t>
            </w:r>
          </w:p>
        </w:tc>
        <w:tc>
          <w:tcPr>
            <w:tcW w:w="120" w:type="dxa"/>
            <w:vAlign w:val="bottom"/>
          </w:tcPr>
          <w:p>
            <w:pPr>
              <w:spacing w:after="0"/>
              <w:rPr>
                <w:sz w:val="19"/>
                <w:szCs w:val="19"/>
                <w:color w:val="auto"/>
              </w:rPr>
            </w:pPr>
          </w:p>
        </w:tc>
        <w:tc>
          <w:tcPr>
            <w:tcW w:w="160" w:type="dxa"/>
            <w:vAlign w:val="bottom"/>
            <w:tcBorders>
              <w:bottom w:val="single" w:sz="8" w:color="A6A6A6"/>
            </w:tcBorders>
          </w:tcPr>
          <w:p>
            <w:pPr>
              <w:spacing w:after="0"/>
              <w:rPr>
                <w:sz w:val="19"/>
                <w:szCs w:val="19"/>
                <w:color w:val="auto"/>
              </w:rPr>
            </w:pPr>
          </w:p>
        </w:tc>
        <w:tc>
          <w:tcPr>
            <w:tcW w:w="280" w:type="dxa"/>
            <w:vAlign w:val="bottom"/>
            <w:tcBorders>
              <w:bottom w:val="single" w:sz="8" w:color="A6A6A6"/>
            </w:tcBorders>
          </w:tcPr>
          <w:p>
            <w:pPr>
              <w:spacing w:after="0"/>
              <w:rPr>
                <w:sz w:val="19"/>
                <w:szCs w:val="19"/>
                <w:color w:val="auto"/>
              </w:rPr>
            </w:pPr>
          </w:p>
        </w:tc>
        <w:tc>
          <w:tcPr>
            <w:tcW w:w="9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93,203</w:t>
            </w:r>
          </w:p>
        </w:tc>
        <w:tc>
          <w:tcPr>
            <w:tcW w:w="12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0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338,525</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60" w:type="dxa"/>
            <w:vAlign w:val="bottom"/>
            <w:tcBorders>
              <w:bottom w:val="single" w:sz="8" w:color="A6A6A6"/>
            </w:tcBorders>
          </w:tcPr>
          <w:p>
            <w:pPr>
              <w:spacing w:after="0"/>
              <w:rPr>
                <w:sz w:val="19"/>
                <w:szCs w:val="19"/>
                <w:color w:val="auto"/>
              </w:rPr>
            </w:pPr>
          </w:p>
        </w:tc>
        <w:tc>
          <w:tcPr>
            <w:tcW w:w="9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280,317</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522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Equity in Earnings of Unconsolidated Joint Venture</w:t>
            </w:r>
          </w:p>
        </w:tc>
        <w:tc>
          <w:tcPr>
            <w:tcW w:w="60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0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10,083</w:t>
            </w:r>
          </w:p>
        </w:tc>
        <w:tc>
          <w:tcPr>
            <w:tcW w:w="120" w:type="dxa"/>
            <w:vAlign w:val="bottom"/>
          </w:tcPr>
          <w:p>
            <w:pPr>
              <w:spacing w:after="0"/>
              <w:rPr>
                <w:sz w:val="19"/>
                <w:szCs w:val="19"/>
                <w:color w:val="auto"/>
              </w:rPr>
            </w:pPr>
          </w:p>
        </w:tc>
        <w:tc>
          <w:tcPr>
            <w:tcW w:w="160" w:type="dxa"/>
            <w:vAlign w:val="bottom"/>
            <w:tcBorders>
              <w:bottom w:val="single" w:sz="8" w:color="A6A6A6"/>
            </w:tcBorders>
          </w:tcPr>
          <w:p>
            <w:pPr>
              <w:spacing w:after="0"/>
              <w:rPr>
                <w:sz w:val="19"/>
                <w:szCs w:val="19"/>
                <w:color w:val="auto"/>
              </w:rPr>
            </w:pPr>
          </w:p>
        </w:tc>
        <w:tc>
          <w:tcPr>
            <w:tcW w:w="280" w:type="dxa"/>
            <w:vAlign w:val="bottom"/>
            <w:tcBorders>
              <w:bottom w:val="single" w:sz="8" w:color="A6A6A6"/>
            </w:tcBorders>
          </w:tcPr>
          <w:p>
            <w:pPr>
              <w:spacing w:after="0"/>
              <w:rPr>
                <w:sz w:val="19"/>
                <w:szCs w:val="19"/>
                <w:color w:val="auto"/>
              </w:rPr>
            </w:pPr>
          </w:p>
        </w:tc>
        <w:tc>
          <w:tcPr>
            <w:tcW w:w="9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10,700</w:t>
            </w:r>
          </w:p>
        </w:tc>
        <w:tc>
          <w:tcPr>
            <w:tcW w:w="12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0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28,456</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60" w:type="dxa"/>
            <w:vAlign w:val="bottom"/>
            <w:tcBorders>
              <w:bottom w:val="single" w:sz="8" w:color="A6A6A6"/>
            </w:tcBorders>
          </w:tcPr>
          <w:p>
            <w:pPr>
              <w:spacing w:after="0"/>
              <w:rPr>
                <w:sz w:val="19"/>
                <w:szCs w:val="19"/>
                <w:color w:val="auto"/>
              </w:rPr>
            </w:pPr>
          </w:p>
        </w:tc>
        <w:tc>
          <w:tcPr>
            <w:tcW w:w="9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32,489</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Times New Roman" w:cs="Times New Roman" w:eastAsia="Times New Roman" w:hAnsi="Times New Roman"/>
                <w:sz w:val="16"/>
                <w:szCs w:val="16"/>
                <w:color w:val="004483"/>
              </w:rPr>
              <w:t>Corporate General and Administrative Expense</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(11,327)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(13,794)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(40,225)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(48,506)</w:t>
            </w:r>
          </w:p>
        </w:tc>
      </w:tr>
      <w:tr>
        <w:trPr>
          <w:trHeight w:val="221"/>
        </w:trPr>
        <w:tc>
          <w:tcPr>
            <w:tcW w:w="20" w:type="dxa"/>
            <w:vAlign w:val="bottom"/>
          </w:tcPr>
          <w:p>
            <w:pPr>
              <w:spacing w:after="0"/>
              <w:rPr>
                <w:sz w:val="19"/>
                <w:szCs w:val="19"/>
                <w:color w:val="auto"/>
              </w:rPr>
            </w:pPr>
          </w:p>
        </w:tc>
        <w:tc>
          <w:tcPr>
            <w:tcW w:w="5220" w:type="dxa"/>
            <w:vAlign w:val="bottom"/>
            <w:tcBorders>
              <w:top w:val="single" w:sz="8" w:color="A6A6A6"/>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Gain on Sale of Businesses</w:t>
            </w:r>
          </w:p>
        </w:tc>
        <w:tc>
          <w:tcPr>
            <w:tcW w:w="60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104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Borders>
              <w:top w:val="single" w:sz="8" w:color="A6A6A6"/>
              <w:bottom w:val="single" w:sz="8" w:color="A6A6A6"/>
            </w:tcBorders>
          </w:tcPr>
          <w:p>
            <w:pPr>
              <w:spacing w:after="0"/>
              <w:rPr>
                <w:sz w:val="19"/>
                <w:szCs w:val="19"/>
                <w:color w:val="auto"/>
              </w:rPr>
            </w:pPr>
          </w:p>
        </w:tc>
        <w:tc>
          <w:tcPr>
            <w:tcW w:w="280" w:type="dxa"/>
            <w:vAlign w:val="bottom"/>
            <w:tcBorders>
              <w:top w:val="single" w:sz="8" w:color="A6A6A6"/>
              <w:bottom w:val="single" w:sz="8" w:color="A6A6A6"/>
            </w:tcBorders>
          </w:tcPr>
          <w:p>
            <w:pPr>
              <w:spacing w:after="0"/>
              <w:rPr>
                <w:sz w:val="19"/>
                <w:szCs w:val="19"/>
                <w:color w:val="auto"/>
              </w:rPr>
            </w:pPr>
          </w:p>
        </w:tc>
        <w:tc>
          <w:tcPr>
            <w:tcW w:w="96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102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51,973</w:t>
            </w:r>
          </w:p>
        </w:tc>
        <w:tc>
          <w:tcPr>
            <w:tcW w:w="12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260" w:type="dxa"/>
            <w:vAlign w:val="bottom"/>
            <w:tcBorders>
              <w:top w:val="single" w:sz="8" w:color="A6A6A6"/>
              <w:bottom w:val="single" w:sz="8" w:color="A6A6A6"/>
            </w:tcBorders>
          </w:tcPr>
          <w:p>
            <w:pPr>
              <w:spacing w:after="0"/>
              <w:rPr>
                <w:sz w:val="19"/>
                <w:szCs w:val="19"/>
                <w:color w:val="auto"/>
              </w:rPr>
            </w:pPr>
          </w:p>
        </w:tc>
        <w:tc>
          <w:tcPr>
            <w:tcW w:w="90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Times New Roman" w:cs="Times New Roman" w:eastAsia="Times New Roman" w:hAnsi="Times New Roman"/>
                <w:sz w:val="16"/>
                <w:szCs w:val="16"/>
                <w:color w:val="004483"/>
              </w:rPr>
              <w:t>Impairment Losses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(25,131)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(25,131)</w:t>
            </w:r>
          </w:p>
        </w:tc>
      </w:tr>
      <w:tr>
        <w:trPr>
          <w:trHeight w:val="221"/>
        </w:trPr>
        <w:tc>
          <w:tcPr>
            <w:tcW w:w="20" w:type="dxa"/>
            <w:vAlign w:val="bottom"/>
          </w:tcPr>
          <w:p>
            <w:pPr>
              <w:spacing w:after="0"/>
              <w:rPr>
                <w:sz w:val="19"/>
                <w:szCs w:val="19"/>
                <w:color w:val="auto"/>
              </w:rPr>
            </w:pPr>
          </w:p>
        </w:tc>
        <w:tc>
          <w:tcPr>
            <w:tcW w:w="5220" w:type="dxa"/>
            <w:vAlign w:val="bottom"/>
            <w:tcBorders>
              <w:top w:val="single" w:sz="8" w:color="A6A6A6"/>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Other Non-Operating Income</w:t>
            </w:r>
          </w:p>
        </w:tc>
        <w:tc>
          <w:tcPr>
            <w:tcW w:w="60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104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20" w:type="dxa"/>
            <w:vAlign w:val="bottom"/>
          </w:tcPr>
          <w:p>
            <w:pPr>
              <w:spacing w:after="0"/>
              <w:rPr>
                <w:sz w:val="19"/>
                <w:szCs w:val="19"/>
                <w:color w:val="auto"/>
              </w:rPr>
            </w:pPr>
          </w:p>
        </w:tc>
        <w:tc>
          <w:tcPr>
            <w:tcW w:w="160" w:type="dxa"/>
            <w:vAlign w:val="bottom"/>
            <w:tcBorders>
              <w:top w:val="single" w:sz="8" w:color="A6A6A6"/>
              <w:bottom w:val="single" w:sz="8" w:color="A6A6A6"/>
            </w:tcBorders>
          </w:tcPr>
          <w:p>
            <w:pPr>
              <w:spacing w:after="0"/>
              <w:rPr>
                <w:sz w:val="19"/>
                <w:szCs w:val="19"/>
                <w:color w:val="auto"/>
              </w:rPr>
            </w:pPr>
          </w:p>
        </w:tc>
        <w:tc>
          <w:tcPr>
            <w:tcW w:w="280" w:type="dxa"/>
            <w:vAlign w:val="bottom"/>
            <w:tcBorders>
              <w:top w:val="single" w:sz="8" w:color="A6A6A6"/>
              <w:bottom w:val="single" w:sz="8" w:color="A6A6A6"/>
            </w:tcBorders>
          </w:tcPr>
          <w:p>
            <w:pPr>
              <w:spacing w:after="0"/>
              <w:rPr>
                <w:sz w:val="19"/>
                <w:szCs w:val="19"/>
                <w:color w:val="auto"/>
              </w:rPr>
            </w:pPr>
          </w:p>
        </w:tc>
        <w:tc>
          <w:tcPr>
            <w:tcW w:w="96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2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102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12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260" w:type="dxa"/>
            <w:vAlign w:val="bottom"/>
            <w:tcBorders>
              <w:top w:val="single" w:sz="8" w:color="A6A6A6"/>
              <w:bottom w:val="single" w:sz="8" w:color="A6A6A6"/>
            </w:tcBorders>
          </w:tcPr>
          <w:p>
            <w:pPr>
              <w:spacing w:after="0"/>
              <w:rPr>
                <w:sz w:val="19"/>
                <w:szCs w:val="19"/>
                <w:color w:val="auto"/>
              </w:rPr>
            </w:pPr>
          </w:p>
        </w:tc>
        <w:tc>
          <w:tcPr>
            <w:tcW w:w="90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Times New Roman" w:cs="Times New Roman" w:eastAsia="Times New Roman" w:hAnsi="Times New Roman"/>
                <w:sz w:val="16"/>
                <w:szCs w:val="16"/>
                <w:color w:val="004483"/>
              </w:rPr>
              <w:t>Interest Expense, Net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(9,360)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(9,543)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(35,957)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(28,526)</w:t>
            </w:r>
          </w:p>
        </w:tc>
      </w:tr>
      <w:tr>
        <w:trPr>
          <w:trHeight w:val="221"/>
        </w:trPr>
        <w:tc>
          <w:tcPr>
            <w:tcW w:w="20" w:type="dxa"/>
            <w:vAlign w:val="bottom"/>
          </w:tcPr>
          <w:p>
            <w:pPr>
              <w:spacing w:after="0"/>
              <w:rPr>
                <w:sz w:val="19"/>
                <w:szCs w:val="19"/>
                <w:color w:val="auto"/>
              </w:rPr>
            </w:pPr>
          </w:p>
        </w:tc>
        <w:tc>
          <w:tcPr>
            <w:tcW w:w="5220" w:type="dxa"/>
            <w:vAlign w:val="bottom"/>
            <w:tcBorders>
              <w:top w:val="single" w:sz="8" w:color="A6A6A6"/>
              <w:bottom w:val="single" w:sz="8" w:color="A6A6A6"/>
            </w:tcBorders>
          </w:tcPr>
          <w:p>
            <w:pPr>
              <w:ind w:left="480"/>
              <w:spacing w:after="0"/>
              <w:rPr>
                <w:sz w:val="20"/>
                <w:szCs w:val="20"/>
                <w:color w:val="auto"/>
              </w:rPr>
            </w:pPr>
            <w:r>
              <w:rPr>
                <w:rFonts w:ascii="Times New Roman" w:cs="Times New Roman" w:eastAsia="Times New Roman" w:hAnsi="Times New Roman"/>
                <w:sz w:val="16"/>
                <w:szCs w:val="16"/>
                <w:color w:val="004483"/>
              </w:rPr>
              <w:t>Earnings from Continuing Operations before Income Taxes</w:t>
            </w:r>
          </w:p>
        </w:tc>
        <w:tc>
          <w:tcPr>
            <w:tcW w:w="60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004483"/>
              <w:bottom w:val="single" w:sz="8" w:color="A6A6A6"/>
            </w:tcBorders>
          </w:tcPr>
          <w:p>
            <w:pPr>
              <w:spacing w:after="0"/>
              <w:rPr>
                <w:sz w:val="19"/>
                <w:szCs w:val="19"/>
                <w:color w:val="auto"/>
              </w:rPr>
            </w:pPr>
          </w:p>
        </w:tc>
        <w:tc>
          <w:tcPr>
            <w:tcW w:w="104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105,072</w:t>
            </w:r>
          </w:p>
        </w:tc>
        <w:tc>
          <w:tcPr>
            <w:tcW w:w="120" w:type="dxa"/>
            <w:vAlign w:val="bottom"/>
          </w:tcPr>
          <w:p>
            <w:pPr>
              <w:spacing w:after="0"/>
              <w:rPr>
                <w:sz w:val="19"/>
                <w:szCs w:val="19"/>
                <w:color w:val="auto"/>
              </w:rPr>
            </w:pPr>
          </w:p>
        </w:tc>
        <w:tc>
          <w:tcPr>
            <w:tcW w:w="160" w:type="dxa"/>
            <w:vAlign w:val="bottom"/>
            <w:tcBorders>
              <w:top w:val="single" w:sz="8" w:color="A6A6A6"/>
              <w:bottom w:val="single" w:sz="8" w:color="A6A6A6"/>
            </w:tcBorders>
          </w:tcPr>
          <w:p>
            <w:pPr>
              <w:spacing w:after="0"/>
              <w:rPr>
                <w:sz w:val="19"/>
                <w:szCs w:val="19"/>
                <w:color w:val="auto"/>
              </w:rPr>
            </w:pPr>
          </w:p>
        </w:tc>
        <w:tc>
          <w:tcPr>
            <w:tcW w:w="280" w:type="dxa"/>
            <w:vAlign w:val="bottom"/>
            <w:tcBorders>
              <w:top w:val="single" w:sz="8" w:color="004483"/>
              <w:bottom w:val="single" w:sz="8" w:color="A6A6A6"/>
            </w:tcBorders>
          </w:tcPr>
          <w:p>
            <w:pPr>
              <w:spacing w:after="0"/>
              <w:rPr>
                <w:sz w:val="19"/>
                <w:szCs w:val="19"/>
                <w:color w:val="auto"/>
              </w:rPr>
            </w:pPr>
          </w:p>
        </w:tc>
        <w:tc>
          <w:tcPr>
            <w:tcW w:w="96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56,157</w:t>
            </w:r>
          </w:p>
        </w:tc>
        <w:tc>
          <w:tcPr>
            <w:tcW w:w="12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004483"/>
              <w:bottom w:val="single" w:sz="8" w:color="A6A6A6"/>
            </w:tcBorders>
          </w:tcPr>
          <w:p>
            <w:pPr>
              <w:spacing w:after="0"/>
              <w:rPr>
                <w:sz w:val="19"/>
                <w:szCs w:val="19"/>
                <w:color w:val="auto"/>
              </w:rPr>
            </w:pPr>
          </w:p>
        </w:tc>
        <w:tc>
          <w:tcPr>
            <w:tcW w:w="102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344,670</w:t>
            </w:r>
          </w:p>
        </w:tc>
        <w:tc>
          <w:tcPr>
            <w:tcW w:w="12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260" w:type="dxa"/>
            <w:vAlign w:val="bottom"/>
            <w:tcBorders>
              <w:top w:val="single" w:sz="8" w:color="004483"/>
              <w:bottom w:val="single" w:sz="8" w:color="A6A6A6"/>
            </w:tcBorders>
          </w:tcPr>
          <w:p>
            <w:pPr>
              <w:spacing w:after="0"/>
              <w:rPr>
                <w:sz w:val="19"/>
                <w:szCs w:val="19"/>
                <w:color w:val="auto"/>
              </w:rPr>
            </w:pPr>
          </w:p>
        </w:tc>
        <w:tc>
          <w:tcPr>
            <w:tcW w:w="90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212,088</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Times New Roman" w:cs="Times New Roman" w:eastAsia="Times New Roman" w:hAnsi="Times New Roman"/>
                <w:sz w:val="16"/>
                <w:szCs w:val="16"/>
                <w:color w:val="004483"/>
              </w:rPr>
              <w:t>Income Taxes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(23,879)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(12,683)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(76,515)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(50,217)</w:t>
            </w:r>
          </w:p>
        </w:tc>
      </w:tr>
      <w:tr>
        <w:trPr>
          <w:trHeight w:val="221"/>
        </w:trPr>
        <w:tc>
          <w:tcPr>
            <w:tcW w:w="20" w:type="dxa"/>
            <w:vAlign w:val="bottom"/>
          </w:tcPr>
          <w:p>
            <w:pPr>
              <w:spacing w:after="0"/>
              <w:rPr>
                <w:sz w:val="19"/>
                <w:szCs w:val="19"/>
                <w:color w:val="auto"/>
              </w:rPr>
            </w:pPr>
          </w:p>
        </w:tc>
        <w:tc>
          <w:tcPr>
            <w:tcW w:w="5220" w:type="dxa"/>
            <w:vAlign w:val="bottom"/>
            <w:tcBorders>
              <w:top w:val="single" w:sz="8" w:color="A6A6A6"/>
              <w:bottom w:val="single" w:sz="8" w:color="A6A6A6"/>
            </w:tcBorders>
          </w:tcPr>
          <w:p>
            <w:pPr>
              <w:ind w:left="480"/>
              <w:spacing w:after="0"/>
              <w:rPr>
                <w:sz w:val="20"/>
                <w:szCs w:val="20"/>
                <w:color w:val="auto"/>
              </w:rPr>
            </w:pPr>
            <w:r>
              <w:rPr>
                <w:rFonts w:ascii="Times New Roman" w:cs="Times New Roman" w:eastAsia="Times New Roman" w:hAnsi="Times New Roman"/>
                <w:sz w:val="16"/>
                <w:szCs w:val="16"/>
                <w:color w:val="004483"/>
              </w:rPr>
              <w:t>Earnings from Continuing Operations</w:t>
            </w:r>
          </w:p>
        </w:tc>
        <w:tc>
          <w:tcPr>
            <w:tcW w:w="60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004483"/>
              <w:bottom w:val="single" w:sz="8" w:color="A6A6A6"/>
            </w:tcBorders>
          </w:tcPr>
          <w:p>
            <w:pPr>
              <w:spacing w:after="0"/>
              <w:rPr>
                <w:sz w:val="19"/>
                <w:szCs w:val="19"/>
                <w:color w:val="auto"/>
              </w:rPr>
            </w:pPr>
          </w:p>
        </w:tc>
        <w:tc>
          <w:tcPr>
            <w:tcW w:w="104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81,193</w:t>
            </w:r>
          </w:p>
        </w:tc>
        <w:tc>
          <w:tcPr>
            <w:tcW w:w="120" w:type="dxa"/>
            <w:vAlign w:val="bottom"/>
          </w:tcPr>
          <w:p>
            <w:pPr>
              <w:spacing w:after="0"/>
              <w:rPr>
                <w:sz w:val="19"/>
                <w:szCs w:val="19"/>
                <w:color w:val="auto"/>
              </w:rPr>
            </w:pPr>
          </w:p>
        </w:tc>
        <w:tc>
          <w:tcPr>
            <w:tcW w:w="160" w:type="dxa"/>
            <w:vAlign w:val="bottom"/>
            <w:tcBorders>
              <w:top w:val="single" w:sz="8" w:color="A6A6A6"/>
              <w:bottom w:val="single" w:sz="8" w:color="A6A6A6"/>
            </w:tcBorders>
          </w:tcPr>
          <w:p>
            <w:pPr>
              <w:spacing w:after="0"/>
              <w:rPr>
                <w:sz w:val="19"/>
                <w:szCs w:val="19"/>
                <w:color w:val="auto"/>
              </w:rPr>
            </w:pPr>
          </w:p>
        </w:tc>
        <w:tc>
          <w:tcPr>
            <w:tcW w:w="280" w:type="dxa"/>
            <w:vAlign w:val="bottom"/>
            <w:tcBorders>
              <w:top w:val="single" w:sz="8" w:color="004483"/>
              <w:bottom w:val="single" w:sz="8" w:color="A6A6A6"/>
            </w:tcBorders>
          </w:tcPr>
          <w:p>
            <w:pPr>
              <w:spacing w:after="0"/>
              <w:rPr>
                <w:sz w:val="19"/>
                <w:szCs w:val="19"/>
                <w:color w:val="auto"/>
              </w:rPr>
            </w:pPr>
          </w:p>
        </w:tc>
        <w:tc>
          <w:tcPr>
            <w:tcW w:w="96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43,474</w:t>
            </w:r>
          </w:p>
        </w:tc>
        <w:tc>
          <w:tcPr>
            <w:tcW w:w="12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004483"/>
              <w:bottom w:val="single" w:sz="8" w:color="A6A6A6"/>
            </w:tcBorders>
          </w:tcPr>
          <w:p>
            <w:pPr>
              <w:spacing w:after="0"/>
              <w:rPr>
                <w:sz w:val="19"/>
                <w:szCs w:val="19"/>
                <w:color w:val="auto"/>
              </w:rPr>
            </w:pPr>
          </w:p>
        </w:tc>
        <w:tc>
          <w:tcPr>
            <w:tcW w:w="102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268,155</w:t>
            </w:r>
          </w:p>
        </w:tc>
        <w:tc>
          <w:tcPr>
            <w:tcW w:w="12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260" w:type="dxa"/>
            <w:vAlign w:val="bottom"/>
            <w:tcBorders>
              <w:top w:val="single" w:sz="8" w:color="004483"/>
              <w:bottom w:val="single" w:sz="8" w:color="A6A6A6"/>
            </w:tcBorders>
          </w:tcPr>
          <w:p>
            <w:pPr>
              <w:spacing w:after="0"/>
              <w:rPr>
                <w:sz w:val="19"/>
                <w:szCs w:val="19"/>
                <w:color w:val="auto"/>
              </w:rPr>
            </w:pPr>
          </w:p>
        </w:tc>
        <w:tc>
          <w:tcPr>
            <w:tcW w:w="90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161,871</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Times New Roman" w:cs="Times New Roman" w:eastAsia="Times New Roman" w:hAnsi="Times New Roman"/>
                <w:sz w:val="16"/>
                <w:szCs w:val="16"/>
                <w:color w:val="004483"/>
              </w:rPr>
              <w:t>Earnings (Loss) from Discontinued Operations, net of Income Taxes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(158,106)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(163,406)</w:t>
            </w:r>
          </w:p>
        </w:tc>
      </w:tr>
      <w:tr>
        <w:trPr>
          <w:trHeight w:val="249"/>
        </w:trPr>
        <w:tc>
          <w:tcPr>
            <w:tcW w:w="20" w:type="dxa"/>
            <w:vAlign w:val="bottom"/>
          </w:tcPr>
          <w:p>
            <w:pPr>
              <w:spacing w:after="0"/>
              <w:rPr>
                <w:sz w:val="21"/>
                <w:szCs w:val="21"/>
                <w:color w:val="auto"/>
              </w:rPr>
            </w:pPr>
          </w:p>
        </w:tc>
        <w:tc>
          <w:tcPr>
            <w:tcW w:w="5220" w:type="dxa"/>
            <w:vAlign w:val="bottom"/>
            <w:tcBorders>
              <w:top w:val="single" w:sz="8" w:color="A6A6A6"/>
            </w:tcBorders>
          </w:tcPr>
          <w:p>
            <w:pPr>
              <w:ind w:left="480"/>
              <w:spacing w:after="0"/>
              <w:rPr>
                <w:sz w:val="20"/>
                <w:szCs w:val="20"/>
                <w:color w:val="auto"/>
              </w:rPr>
            </w:pPr>
            <w:r>
              <w:rPr>
                <w:rFonts w:ascii="Times New Roman" w:cs="Times New Roman" w:eastAsia="Times New Roman" w:hAnsi="Times New Roman"/>
                <w:sz w:val="16"/>
                <w:szCs w:val="16"/>
                <w:b w:val="1"/>
                <w:bCs w:val="1"/>
                <w:color w:val="17385E"/>
              </w:rPr>
              <w:t>Net Earnings (Loss)</w:t>
            </w:r>
          </w:p>
        </w:tc>
        <w:tc>
          <w:tcPr>
            <w:tcW w:w="600" w:type="dxa"/>
            <w:vAlign w:val="bottom"/>
            <w:tcBorders>
              <w:top w:val="single" w:sz="8" w:color="A6A6A6"/>
            </w:tcBorders>
          </w:tcPr>
          <w:p>
            <w:pPr>
              <w:spacing w:after="0"/>
              <w:rPr>
                <w:sz w:val="21"/>
                <w:szCs w:val="21"/>
                <w:color w:val="auto"/>
              </w:rPr>
            </w:pPr>
          </w:p>
        </w:tc>
        <w:tc>
          <w:tcPr>
            <w:tcW w:w="120" w:type="dxa"/>
            <w:vAlign w:val="bottom"/>
            <w:tcBorders>
              <w:top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81,193</w:t>
            </w:r>
          </w:p>
        </w:tc>
        <w:tc>
          <w:tcPr>
            <w:tcW w:w="120" w:type="dxa"/>
            <w:vAlign w:val="bottom"/>
          </w:tcPr>
          <w:p>
            <w:pPr>
              <w:spacing w:after="0"/>
              <w:rPr>
                <w:sz w:val="21"/>
                <w:szCs w:val="21"/>
                <w:color w:val="auto"/>
              </w:rPr>
            </w:pPr>
          </w:p>
        </w:tc>
        <w:tc>
          <w:tcPr>
            <w:tcW w:w="160" w:type="dxa"/>
            <w:vAlign w:val="bottom"/>
            <w:tcBorders>
              <w:top w:val="single" w:sz="8" w:color="A6A6A6"/>
            </w:tcBorders>
          </w:tcPr>
          <w:p>
            <w:pPr>
              <w:spacing w:after="0"/>
              <w:rPr>
                <w:sz w:val="21"/>
                <w:szCs w:val="21"/>
                <w:color w:val="auto"/>
              </w:rPr>
            </w:pPr>
          </w:p>
        </w:tc>
        <w:tc>
          <w:tcPr>
            <w:tcW w:w="280" w:type="dxa"/>
            <w:vAlign w:val="bottom"/>
            <w:tcBorders>
              <w:top w:val="single" w:sz="8" w:color="004483"/>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(114,632)</w:t>
            </w:r>
          </w:p>
        </w:tc>
        <w:tc>
          <w:tcPr>
            <w:tcW w:w="120" w:type="dxa"/>
            <w:vAlign w:val="bottom"/>
          </w:tcPr>
          <w:p>
            <w:pPr>
              <w:spacing w:after="0"/>
              <w:rPr>
                <w:sz w:val="21"/>
                <w:szCs w:val="21"/>
                <w:color w:val="auto"/>
              </w:rPr>
            </w:pPr>
          </w:p>
        </w:tc>
        <w:tc>
          <w:tcPr>
            <w:tcW w:w="140" w:type="dxa"/>
            <w:vAlign w:val="bottom"/>
            <w:tcBorders>
              <w:top w:val="single" w:sz="8" w:color="A6A6A6"/>
            </w:tcBorders>
          </w:tcPr>
          <w:p>
            <w:pPr>
              <w:spacing w:after="0"/>
              <w:rPr>
                <w:sz w:val="21"/>
                <w:szCs w:val="21"/>
                <w:color w:val="auto"/>
              </w:rPr>
            </w:pPr>
          </w:p>
        </w:tc>
        <w:tc>
          <w:tcPr>
            <w:tcW w:w="120" w:type="dxa"/>
            <w:vAlign w:val="bottom"/>
            <w:tcBorders>
              <w:top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273,433</w:t>
            </w:r>
          </w:p>
        </w:tc>
        <w:tc>
          <w:tcPr>
            <w:tcW w:w="120" w:type="dxa"/>
            <w:vAlign w:val="bottom"/>
          </w:tcPr>
          <w:p>
            <w:pPr>
              <w:spacing w:after="0"/>
              <w:rPr>
                <w:sz w:val="21"/>
                <w:szCs w:val="21"/>
                <w:color w:val="auto"/>
              </w:rPr>
            </w:pPr>
          </w:p>
        </w:tc>
        <w:tc>
          <w:tcPr>
            <w:tcW w:w="120" w:type="dxa"/>
            <w:vAlign w:val="bottom"/>
            <w:tcBorders>
              <w:top w:val="single" w:sz="8" w:color="A6A6A6"/>
            </w:tcBorders>
          </w:tcPr>
          <w:p>
            <w:pPr>
              <w:spacing w:after="0"/>
              <w:rPr>
                <w:sz w:val="21"/>
                <w:szCs w:val="21"/>
                <w:color w:val="auto"/>
              </w:rPr>
            </w:pPr>
          </w:p>
        </w:tc>
        <w:tc>
          <w:tcPr>
            <w:tcW w:w="260" w:type="dxa"/>
            <w:vAlign w:val="bottom"/>
            <w:tcBorders>
              <w:top w:val="single" w:sz="8" w:color="004483"/>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004483"/>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(1,535)</w:t>
            </w:r>
          </w:p>
        </w:tc>
      </w:tr>
      <w:tr>
        <w:trPr>
          <w:trHeight w:val="196"/>
        </w:trPr>
        <w:tc>
          <w:tcPr>
            <w:tcW w:w="20" w:type="dxa"/>
            <w:vAlign w:val="bottom"/>
          </w:tcPr>
          <w:p>
            <w:pPr>
              <w:spacing w:after="0"/>
              <w:rPr>
                <w:sz w:val="17"/>
                <w:szCs w:val="17"/>
                <w:color w:val="auto"/>
              </w:rPr>
            </w:pPr>
          </w:p>
        </w:tc>
        <w:tc>
          <w:tcPr>
            <w:tcW w:w="5220" w:type="dxa"/>
            <w:vAlign w:val="bottom"/>
            <w:tcBorders>
              <w:top w:val="single" w:sz="8" w:color="A6A6A6"/>
              <w:bottom w:val="single" w:sz="8" w:color="A6A6A6"/>
            </w:tcBorders>
          </w:tcPr>
          <w:p>
            <w:pPr>
              <w:spacing w:after="0"/>
              <w:rPr>
                <w:sz w:val="17"/>
                <w:szCs w:val="17"/>
                <w:color w:val="auto"/>
              </w:rPr>
            </w:pPr>
          </w:p>
        </w:tc>
        <w:tc>
          <w:tcPr>
            <w:tcW w:w="600" w:type="dxa"/>
            <w:vAlign w:val="bottom"/>
            <w:tcBorders>
              <w:top w:val="single" w:sz="8" w:color="A6A6A6"/>
              <w:bottom w:val="single" w:sz="8" w:color="A6A6A6"/>
            </w:tcBorders>
          </w:tcPr>
          <w:p>
            <w:pPr>
              <w:spacing w:after="0"/>
              <w:rPr>
                <w:sz w:val="17"/>
                <w:szCs w:val="17"/>
                <w:color w:val="auto"/>
              </w:rPr>
            </w:pPr>
          </w:p>
        </w:tc>
        <w:tc>
          <w:tcPr>
            <w:tcW w:w="120" w:type="dxa"/>
            <w:vAlign w:val="bottom"/>
            <w:tcBorders>
              <w:top w:val="single" w:sz="8" w:color="004483"/>
              <w:bottom w:val="single" w:sz="8" w:color="A6A6A6"/>
            </w:tcBorders>
          </w:tcPr>
          <w:p>
            <w:pPr>
              <w:spacing w:after="0"/>
              <w:rPr>
                <w:sz w:val="17"/>
                <w:szCs w:val="17"/>
                <w:color w:val="auto"/>
              </w:rPr>
            </w:pPr>
          </w:p>
        </w:tc>
        <w:tc>
          <w:tcPr>
            <w:tcW w:w="1040" w:type="dxa"/>
            <w:vAlign w:val="bottom"/>
            <w:tcBorders>
              <w:top w:val="single" w:sz="8" w:color="004483"/>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6A6A6"/>
              <w:bottom w:val="single" w:sz="8" w:color="A6A6A6"/>
            </w:tcBorders>
          </w:tcPr>
          <w:p>
            <w:pPr>
              <w:spacing w:after="0"/>
              <w:rPr>
                <w:sz w:val="17"/>
                <w:szCs w:val="17"/>
                <w:color w:val="auto"/>
              </w:rPr>
            </w:pPr>
          </w:p>
        </w:tc>
        <w:tc>
          <w:tcPr>
            <w:tcW w:w="280" w:type="dxa"/>
            <w:vAlign w:val="bottom"/>
            <w:tcBorders>
              <w:top w:val="single" w:sz="8" w:color="004483"/>
              <w:bottom w:val="single" w:sz="8" w:color="A6A6A6"/>
            </w:tcBorders>
          </w:tcPr>
          <w:p>
            <w:pPr>
              <w:spacing w:after="0"/>
              <w:rPr>
                <w:sz w:val="17"/>
                <w:szCs w:val="17"/>
                <w:color w:val="auto"/>
              </w:rPr>
            </w:pPr>
          </w:p>
        </w:tc>
        <w:tc>
          <w:tcPr>
            <w:tcW w:w="960" w:type="dxa"/>
            <w:vAlign w:val="bottom"/>
            <w:tcBorders>
              <w:top w:val="single" w:sz="8" w:color="004483"/>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120" w:type="dxa"/>
            <w:vAlign w:val="bottom"/>
            <w:tcBorders>
              <w:top w:val="single" w:sz="8" w:color="004483"/>
              <w:bottom w:val="single" w:sz="8" w:color="A6A6A6"/>
            </w:tcBorders>
          </w:tcPr>
          <w:p>
            <w:pPr>
              <w:spacing w:after="0"/>
              <w:rPr>
                <w:sz w:val="17"/>
                <w:szCs w:val="17"/>
                <w:color w:val="auto"/>
              </w:rPr>
            </w:pPr>
          </w:p>
        </w:tc>
        <w:tc>
          <w:tcPr>
            <w:tcW w:w="1020" w:type="dxa"/>
            <w:vAlign w:val="bottom"/>
            <w:tcBorders>
              <w:top w:val="single" w:sz="8" w:color="004483"/>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260" w:type="dxa"/>
            <w:vAlign w:val="bottom"/>
            <w:tcBorders>
              <w:top w:val="single" w:sz="8" w:color="004483"/>
              <w:bottom w:val="single" w:sz="8" w:color="A6A6A6"/>
            </w:tcBorders>
          </w:tcPr>
          <w:p>
            <w:pPr>
              <w:spacing w:after="0"/>
              <w:rPr>
                <w:sz w:val="17"/>
                <w:szCs w:val="17"/>
                <w:color w:val="auto"/>
              </w:rPr>
            </w:pPr>
          </w:p>
        </w:tc>
        <w:tc>
          <w:tcPr>
            <w:tcW w:w="900" w:type="dxa"/>
            <w:vAlign w:val="bottom"/>
            <w:tcBorders>
              <w:top w:val="single" w:sz="8" w:color="004483"/>
              <w:bottom w:val="single" w:sz="8" w:color="A6A6A6"/>
            </w:tcBorders>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522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BASIC EARNINGS PER SHARE</w:t>
            </w:r>
          </w:p>
        </w:tc>
        <w:tc>
          <w:tcPr>
            <w:tcW w:w="6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522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Continuing Operations</w:t>
            </w:r>
          </w:p>
        </w:tc>
        <w:tc>
          <w:tcPr>
            <w:tcW w:w="72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19"/>
                <w:szCs w:val="19"/>
                <w:color w:val="auto"/>
              </w:rPr>
            </w:pPr>
          </w:p>
        </w:tc>
        <w:tc>
          <w:tcPr>
            <w:tcW w:w="440" w:type="dxa"/>
            <w:vAlign w:val="bottom"/>
            <w:tcBorders>
              <w:bottom w:val="single" w:sz="8" w:color="A6A6A6"/>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9"/>
                <w:szCs w:val="19"/>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60" w:type="dxa"/>
            <w:vAlign w:val="bottom"/>
            <w:tcBorders>
              <w:bottom w:val="single" w:sz="8" w:color="A6A6A6"/>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Times New Roman" w:cs="Times New Roman" w:eastAsia="Times New Roman" w:hAnsi="Times New Roman"/>
                <w:sz w:val="16"/>
                <w:szCs w:val="16"/>
                <w:color w:val="004483"/>
              </w:rPr>
              <w:t>Discontinued Operations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(3.87)</w:t>
            </w:r>
          </w:p>
        </w:tc>
      </w:tr>
      <w:tr>
        <w:trPr>
          <w:trHeight w:val="248"/>
        </w:trPr>
        <w:tc>
          <w:tcPr>
            <w:tcW w:w="20" w:type="dxa"/>
            <w:vAlign w:val="bottom"/>
          </w:tcPr>
          <w:p>
            <w:pPr>
              <w:spacing w:after="0"/>
              <w:rPr>
                <w:sz w:val="21"/>
                <w:szCs w:val="21"/>
                <w:color w:val="auto"/>
              </w:rPr>
            </w:pPr>
          </w:p>
        </w:tc>
        <w:tc>
          <w:tcPr>
            <w:tcW w:w="5220" w:type="dxa"/>
            <w:vAlign w:val="bottom"/>
            <w:tcBorders>
              <w:top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Net Earnings</w:t>
            </w:r>
          </w:p>
        </w:tc>
        <w:tc>
          <w:tcPr>
            <w:tcW w:w="600" w:type="dxa"/>
            <w:vAlign w:val="bottom"/>
            <w:tcBorders>
              <w:top w:val="single" w:sz="8" w:color="A6A6A6"/>
            </w:tcBorders>
          </w:tcPr>
          <w:p>
            <w:pPr>
              <w:spacing w:after="0"/>
              <w:rPr>
                <w:sz w:val="21"/>
                <w:szCs w:val="21"/>
                <w:color w:val="auto"/>
              </w:rPr>
            </w:pPr>
          </w:p>
        </w:tc>
        <w:tc>
          <w:tcPr>
            <w:tcW w:w="120" w:type="dxa"/>
            <w:vAlign w:val="bottom"/>
            <w:tcBorders>
              <w:top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21"/>
                <w:szCs w:val="21"/>
                <w:color w:val="auto"/>
              </w:rPr>
            </w:pPr>
          </w:p>
        </w:tc>
        <w:tc>
          <w:tcPr>
            <w:tcW w:w="160" w:type="dxa"/>
            <w:vAlign w:val="bottom"/>
            <w:tcBorders>
              <w:top w:val="single" w:sz="8" w:color="A6A6A6"/>
            </w:tcBorders>
          </w:tcPr>
          <w:p>
            <w:pPr>
              <w:spacing w:after="0"/>
              <w:rPr>
                <w:sz w:val="21"/>
                <w:szCs w:val="21"/>
                <w:color w:val="auto"/>
              </w:rPr>
            </w:pPr>
          </w:p>
        </w:tc>
        <w:tc>
          <w:tcPr>
            <w:tcW w:w="280" w:type="dxa"/>
            <w:vAlign w:val="bottom"/>
            <w:tcBorders>
              <w:top w:val="single" w:sz="8" w:color="004483"/>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Pr>
          <w:p>
            <w:pPr>
              <w:spacing w:after="0"/>
              <w:rPr>
                <w:sz w:val="21"/>
                <w:szCs w:val="21"/>
                <w:color w:val="auto"/>
              </w:rPr>
            </w:pPr>
          </w:p>
        </w:tc>
        <w:tc>
          <w:tcPr>
            <w:tcW w:w="140" w:type="dxa"/>
            <w:vAlign w:val="bottom"/>
            <w:tcBorders>
              <w:top w:val="single" w:sz="8" w:color="A6A6A6"/>
            </w:tcBorders>
          </w:tcPr>
          <w:p>
            <w:pPr>
              <w:spacing w:after="0"/>
              <w:rPr>
                <w:sz w:val="21"/>
                <w:szCs w:val="21"/>
                <w:color w:val="auto"/>
              </w:rPr>
            </w:pPr>
          </w:p>
        </w:tc>
        <w:tc>
          <w:tcPr>
            <w:tcW w:w="120" w:type="dxa"/>
            <w:vAlign w:val="bottom"/>
            <w:tcBorders>
              <w:top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20" w:type="dxa"/>
            <w:vAlign w:val="bottom"/>
          </w:tcPr>
          <w:p>
            <w:pPr>
              <w:spacing w:after="0"/>
              <w:rPr>
                <w:sz w:val="21"/>
                <w:szCs w:val="21"/>
                <w:color w:val="auto"/>
              </w:rPr>
            </w:pPr>
          </w:p>
        </w:tc>
        <w:tc>
          <w:tcPr>
            <w:tcW w:w="120" w:type="dxa"/>
            <w:vAlign w:val="bottom"/>
            <w:tcBorders>
              <w:top w:val="single" w:sz="8" w:color="A6A6A6"/>
            </w:tcBorders>
          </w:tcPr>
          <w:p>
            <w:pPr>
              <w:spacing w:after="0"/>
              <w:rPr>
                <w:sz w:val="21"/>
                <w:szCs w:val="21"/>
                <w:color w:val="auto"/>
              </w:rPr>
            </w:pPr>
          </w:p>
        </w:tc>
        <w:tc>
          <w:tcPr>
            <w:tcW w:w="260" w:type="dxa"/>
            <w:vAlign w:val="bottom"/>
            <w:tcBorders>
              <w:top w:val="single" w:sz="8" w:color="004483"/>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004483"/>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191"/>
        </w:trPr>
        <w:tc>
          <w:tcPr>
            <w:tcW w:w="20" w:type="dxa"/>
            <w:vAlign w:val="bottom"/>
          </w:tcPr>
          <w:p>
            <w:pPr>
              <w:spacing w:after="0"/>
              <w:rPr>
                <w:sz w:val="16"/>
                <w:szCs w:val="16"/>
                <w:color w:val="auto"/>
              </w:rPr>
            </w:pPr>
          </w:p>
        </w:tc>
        <w:tc>
          <w:tcPr>
            <w:tcW w:w="5220" w:type="dxa"/>
            <w:vAlign w:val="bottom"/>
            <w:tcBorders>
              <w:top w:val="single" w:sz="8" w:color="A6A6A6"/>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DILUTED EARNINGS PER SHARE</w:t>
            </w:r>
          </w:p>
        </w:tc>
        <w:tc>
          <w:tcPr>
            <w:tcW w:w="600" w:type="dxa"/>
            <w:vAlign w:val="bottom"/>
            <w:tcBorders>
              <w:top w:val="single" w:sz="8" w:color="A6A6A6"/>
              <w:bottom w:val="single" w:sz="8" w:color="A6A6A6"/>
            </w:tcBorders>
          </w:tcPr>
          <w:p>
            <w:pPr>
              <w:spacing w:after="0"/>
              <w:rPr>
                <w:sz w:val="16"/>
                <w:szCs w:val="16"/>
                <w:color w:val="auto"/>
              </w:rPr>
            </w:pPr>
          </w:p>
        </w:tc>
        <w:tc>
          <w:tcPr>
            <w:tcW w:w="120" w:type="dxa"/>
            <w:vAlign w:val="bottom"/>
            <w:tcBorders>
              <w:top w:val="single" w:sz="8" w:color="004483"/>
              <w:bottom w:val="single" w:sz="8" w:color="A6A6A6"/>
            </w:tcBorders>
          </w:tcPr>
          <w:p>
            <w:pPr>
              <w:spacing w:after="0"/>
              <w:rPr>
                <w:sz w:val="16"/>
                <w:szCs w:val="16"/>
                <w:color w:val="auto"/>
              </w:rPr>
            </w:pPr>
          </w:p>
        </w:tc>
        <w:tc>
          <w:tcPr>
            <w:tcW w:w="1040" w:type="dxa"/>
            <w:vAlign w:val="bottom"/>
            <w:tcBorders>
              <w:top w:val="single" w:sz="8" w:color="004483"/>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6A6A6"/>
              <w:bottom w:val="single" w:sz="8" w:color="A6A6A6"/>
            </w:tcBorders>
          </w:tcPr>
          <w:p>
            <w:pPr>
              <w:spacing w:after="0"/>
              <w:rPr>
                <w:sz w:val="16"/>
                <w:szCs w:val="16"/>
                <w:color w:val="auto"/>
              </w:rPr>
            </w:pPr>
          </w:p>
        </w:tc>
        <w:tc>
          <w:tcPr>
            <w:tcW w:w="280" w:type="dxa"/>
            <w:vAlign w:val="bottom"/>
            <w:tcBorders>
              <w:top w:val="single" w:sz="8" w:color="004483"/>
              <w:bottom w:val="single" w:sz="8" w:color="A6A6A6"/>
            </w:tcBorders>
          </w:tcPr>
          <w:p>
            <w:pPr>
              <w:spacing w:after="0"/>
              <w:rPr>
                <w:sz w:val="16"/>
                <w:szCs w:val="16"/>
                <w:color w:val="auto"/>
              </w:rPr>
            </w:pPr>
          </w:p>
        </w:tc>
        <w:tc>
          <w:tcPr>
            <w:tcW w:w="960" w:type="dxa"/>
            <w:vAlign w:val="bottom"/>
            <w:tcBorders>
              <w:top w:val="single" w:sz="8" w:color="004483"/>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6A6A6"/>
              <w:bottom w:val="single" w:sz="8" w:color="A6A6A6"/>
            </w:tcBorders>
          </w:tcPr>
          <w:p>
            <w:pPr>
              <w:spacing w:after="0"/>
              <w:rPr>
                <w:sz w:val="16"/>
                <w:szCs w:val="16"/>
                <w:color w:val="auto"/>
              </w:rPr>
            </w:pPr>
          </w:p>
        </w:tc>
        <w:tc>
          <w:tcPr>
            <w:tcW w:w="120" w:type="dxa"/>
            <w:vAlign w:val="bottom"/>
            <w:tcBorders>
              <w:top w:val="single" w:sz="8" w:color="004483"/>
              <w:bottom w:val="single" w:sz="8" w:color="A6A6A6"/>
            </w:tcBorders>
          </w:tcPr>
          <w:p>
            <w:pPr>
              <w:spacing w:after="0"/>
              <w:rPr>
                <w:sz w:val="16"/>
                <w:szCs w:val="16"/>
                <w:color w:val="auto"/>
              </w:rPr>
            </w:pPr>
          </w:p>
        </w:tc>
        <w:tc>
          <w:tcPr>
            <w:tcW w:w="1020" w:type="dxa"/>
            <w:vAlign w:val="bottom"/>
            <w:tcBorders>
              <w:top w:val="single" w:sz="8" w:color="004483"/>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6A6A6"/>
              <w:bottom w:val="single" w:sz="8" w:color="A6A6A6"/>
            </w:tcBorders>
          </w:tcPr>
          <w:p>
            <w:pPr>
              <w:spacing w:after="0"/>
              <w:rPr>
                <w:sz w:val="16"/>
                <w:szCs w:val="16"/>
                <w:color w:val="auto"/>
              </w:rPr>
            </w:pPr>
          </w:p>
        </w:tc>
        <w:tc>
          <w:tcPr>
            <w:tcW w:w="260" w:type="dxa"/>
            <w:vAlign w:val="bottom"/>
            <w:tcBorders>
              <w:top w:val="single" w:sz="8" w:color="004483"/>
              <w:bottom w:val="single" w:sz="8" w:color="A6A6A6"/>
            </w:tcBorders>
          </w:tcPr>
          <w:p>
            <w:pPr>
              <w:spacing w:after="0"/>
              <w:rPr>
                <w:sz w:val="16"/>
                <w:szCs w:val="16"/>
                <w:color w:val="auto"/>
              </w:rPr>
            </w:pPr>
          </w:p>
        </w:tc>
        <w:tc>
          <w:tcPr>
            <w:tcW w:w="900" w:type="dxa"/>
            <w:vAlign w:val="bottom"/>
            <w:tcBorders>
              <w:top w:val="single" w:sz="8" w:color="004483"/>
              <w:bottom w:val="single" w:sz="8" w:color="A6A6A6"/>
            </w:tcBorders>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522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Continuing Operations</w:t>
            </w:r>
          </w:p>
        </w:tc>
        <w:tc>
          <w:tcPr>
            <w:tcW w:w="72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9"/>
                <w:szCs w:val="19"/>
                <w:color w:val="auto"/>
              </w:rPr>
            </w:pPr>
          </w:p>
        </w:tc>
        <w:tc>
          <w:tcPr>
            <w:tcW w:w="440" w:type="dxa"/>
            <w:vAlign w:val="bottom"/>
            <w:tcBorders>
              <w:bottom w:val="single" w:sz="8" w:color="A6A6A6"/>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9"/>
                <w:szCs w:val="19"/>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60" w:type="dxa"/>
            <w:vAlign w:val="bottom"/>
            <w:tcBorders>
              <w:bottom w:val="single" w:sz="8" w:color="A6A6A6"/>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Times New Roman" w:cs="Times New Roman" w:eastAsia="Times New Roman" w:hAnsi="Times New Roman"/>
                <w:sz w:val="16"/>
                <w:szCs w:val="16"/>
                <w:color w:val="004483"/>
              </w:rPr>
              <w:t>Discontinued Operations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248"/>
        </w:trPr>
        <w:tc>
          <w:tcPr>
            <w:tcW w:w="20" w:type="dxa"/>
            <w:vAlign w:val="bottom"/>
          </w:tcPr>
          <w:p>
            <w:pPr>
              <w:spacing w:after="0"/>
              <w:rPr>
                <w:sz w:val="21"/>
                <w:szCs w:val="21"/>
                <w:color w:val="auto"/>
              </w:rPr>
            </w:pPr>
          </w:p>
        </w:tc>
        <w:tc>
          <w:tcPr>
            <w:tcW w:w="5220" w:type="dxa"/>
            <w:vAlign w:val="bottom"/>
            <w:tcBorders>
              <w:top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Net Earnings</w:t>
            </w:r>
          </w:p>
        </w:tc>
        <w:tc>
          <w:tcPr>
            <w:tcW w:w="600" w:type="dxa"/>
            <w:vAlign w:val="bottom"/>
            <w:tcBorders>
              <w:top w:val="single" w:sz="8" w:color="A6A6A6"/>
            </w:tcBorders>
          </w:tcPr>
          <w:p>
            <w:pPr>
              <w:spacing w:after="0"/>
              <w:rPr>
                <w:sz w:val="21"/>
                <w:szCs w:val="21"/>
                <w:color w:val="auto"/>
              </w:rPr>
            </w:pPr>
          </w:p>
        </w:tc>
        <w:tc>
          <w:tcPr>
            <w:tcW w:w="120" w:type="dxa"/>
            <w:vAlign w:val="bottom"/>
            <w:tcBorders>
              <w:top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21"/>
                <w:szCs w:val="21"/>
                <w:color w:val="auto"/>
              </w:rPr>
            </w:pPr>
          </w:p>
        </w:tc>
        <w:tc>
          <w:tcPr>
            <w:tcW w:w="160" w:type="dxa"/>
            <w:vAlign w:val="bottom"/>
            <w:tcBorders>
              <w:top w:val="single" w:sz="8" w:color="A6A6A6"/>
            </w:tcBorders>
          </w:tcPr>
          <w:p>
            <w:pPr>
              <w:spacing w:after="0"/>
              <w:rPr>
                <w:sz w:val="21"/>
                <w:szCs w:val="21"/>
                <w:color w:val="auto"/>
              </w:rPr>
            </w:pPr>
          </w:p>
        </w:tc>
        <w:tc>
          <w:tcPr>
            <w:tcW w:w="280" w:type="dxa"/>
            <w:vAlign w:val="bottom"/>
            <w:tcBorders>
              <w:top w:val="single" w:sz="8" w:color="004483"/>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Pr>
          <w:p>
            <w:pPr>
              <w:spacing w:after="0"/>
              <w:rPr>
                <w:sz w:val="21"/>
                <w:szCs w:val="21"/>
                <w:color w:val="auto"/>
              </w:rPr>
            </w:pPr>
          </w:p>
        </w:tc>
        <w:tc>
          <w:tcPr>
            <w:tcW w:w="140" w:type="dxa"/>
            <w:vAlign w:val="bottom"/>
            <w:tcBorders>
              <w:top w:val="single" w:sz="8" w:color="A6A6A6"/>
            </w:tcBorders>
          </w:tcPr>
          <w:p>
            <w:pPr>
              <w:spacing w:after="0"/>
              <w:rPr>
                <w:sz w:val="21"/>
                <w:szCs w:val="21"/>
                <w:color w:val="auto"/>
              </w:rPr>
            </w:pPr>
          </w:p>
        </w:tc>
        <w:tc>
          <w:tcPr>
            <w:tcW w:w="120" w:type="dxa"/>
            <w:vAlign w:val="bottom"/>
            <w:tcBorders>
              <w:top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tcPr>
          <w:p>
            <w:pPr>
              <w:spacing w:after="0"/>
              <w:rPr>
                <w:sz w:val="21"/>
                <w:szCs w:val="21"/>
                <w:color w:val="auto"/>
              </w:rPr>
            </w:pPr>
          </w:p>
        </w:tc>
        <w:tc>
          <w:tcPr>
            <w:tcW w:w="120" w:type="dxa"/>
            <w:vAlign w:val="bottom"/>
            <w:tcBorders>
              <w:top w:val="single" w:sz="8" w:color="A6A6A6"/>
            </w:tcBorders>
          </w:tcPr>
          <w:p>
            <w:pPr>
              <w:spacing w:after="0"/>
              <w:rPr>
                <w:sz w:val="21"/>
                <w:szCs w:val="21"/>
                <w:color w:val="auto"/>
              </w:rPr>
            </w:pPr>
          </w:p>
        </w:tc>
        <w:tc>
          <w:tcPr>
            <w:tcW w:w="260" w:type="dxa"/>
            <w:vAlign w:val="bottom"/>
            <w:tcBorders>
              <w:top w:val="single" w:sz="8" w:color="004483"/>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004483"/>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191"/>
        </w:trPr>
        <w:tc>
          <w:tcPr>
            <w:tcW w:w="20" w:type="dxa"/>
            <w:vAlign w:val="bottom"/>
          </w:tcPr>
          <w:p>
            <w:pPr>
              <w:spacing w:after="0"/>
              <w:rPr>
                <w:sz w:val="16"/>
                <w:szCs w:val="16"/>
                <w:color w:val="auto"/>
              </w:rPr>
            </w:pPr>
          </w:p>
        </w:tc>
        <w:tc>
          <w:tcPr>
            <w:tcW w:w="5220" w:type="dxa"/>
            <w:vAlign w:val="bottom"/>
            <w:tcBorders>
              <w:top w:val="single" w:sz="8" w:color="A6A6A6"/>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AVERAGE SHARES OUTSTANDING</w:t>
            </w:r>
          </w:p>
        </w:tc>
        <w:tc>
          <w:tcPr>
            <w:tcW w:w="600" w:type="dxa"/>
            <w:vAlign w:val="bottom"/>
            <w:tcBorders>
              <w:top w:val="single" w:sz="8" w:color="A6A6A6"/>
              <w:bottom w:val="single" w:sz="8" w:color="A6A6A6"/>
            </w:tcBorders>
          </w:tcPr>
          <w:p>
            <w:pPr>
              <w:spacing w:after="0"/>
              <w:rPr>
                <w:sz w:val="16"/>
                <w:szCs w:val="16"/>
                <w:color w:val="auto"/>
              </w:rPr>
            </w:pPr>
          </w:p>
        </w:tc>
        <w:tc>
          <w:tcPr>
            <w:tcW w:w="120" w:type="dxa"/>
            <w:vAlign w:val="bottom"/>
            <w:tcBorders>
              <w:top w:val="single" w:sz="8" w:color="004483"/>
              <w:bottom w:val="single" w:sz="8" w:color="A6A6A6"/>
            </w:tcBorders>
          </w:tcPr>
          <w:p>
            <w:pPr>
              <w:spacing w:after="0"/>
              <w:rPr>
                <w:sz w:val="16"/>
                <w:szCs w:val="16"/>
                <w:color w:val="auto"/>
              </w:rPr>
            </w:pPr>
          </w:p>
        </w:tc>
        <w:tc>
          <w:tcPr>
            <w:tcW w:w="1040" w:type="dxa"/>
            <w:vAlign w:val="bottom"/>
            <w:tcBorders>
              <w:top w:val="single" w:sz="8" w:color="004483"/>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6A6A6"/>
              <w:bottom w:val="single" w:sz="8" w:color="A6A6A6"/>
            </w:tcBorders>
          </w:tcPr>
          <w:p>
            <w:pPr>
              <w:spacing w:after="0"/>
              <w:rPr>
                <w:sz w:val="16"/>
                <w:szCs w:val="16"/>
                <w:color w:val="auto"/>
              </w:rPr>
            </w:pPr>
          </w:p>
        </w:tc>
        <w:tc>
          <w:tcPr>
            <w:tcW w:w="280" w:type="dxa"/>
            <w:vAlign w:val="bottom"/>
            <w:tcBorders>
              <w:top w:val="single" w:sz="8" w:color="004483"/>
              <w:bottom w:val="single" w:sz="8" w:color="A6A6A6"/>
            </w:tcBorders>
          </w:tcPr>
          <w:p>
            <w:pPr>
              <w:spacing w:after="0"/>
              <w:rPr>
                <w:sz w:val="16"/>
                <w:szCs w:val="16"/>
                <w:color w:val="auto"/>
              </w:rPr>
            </w:pPr>
          </w:p>
        </w:tc>
        <w:tc>
          <w:tcPr>
            <w:tcW w:w="960" w:type="dxa"/>
            <w:vAlign w:val="bottom"/>
            <w:tcBorders>
              <w:top w:val="single" w:sz="8" w:color="004483"/>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6A6A6"/>
              <w:bottom w:val="single" w:sz="8" w:color="A6A6A6"/>
            </w:tcBorders>
          </w:tcPr>
          <w:p>
            <w:pPr>
              <w:spacing w:after="0"/>
              <w:rPr>
                <w:sz w:val="16"/>
                <w:szCs w:val="16"/>
                <w:color w:val="auto"/>
              </w:rPr>
            </w:pPr>
          </w:p>
        </w:tc>
        <w:tc>
          <w:tcPr>
            <w:tcW w:w="120" w:type="dxa"/>
            <w:vAlign w:val="bottom"/>
            <w:tcBorders>
              <w:top w:val="single" w:sz="8" w:color="004483"/>
              <w:bottom w:val="single" w:sz="8" w:color="A6A6A6"/>
            </w:tcBorders>
          </w:tcPr>
          <w:p>
            <w:pPr>
              <w:spacing w:after="0"/>
              <w:rPr>
                <w:sz w:val="16"/>
                <w:szCs w:val="16"/>
                <w:color w:val="auto"/>
              </w:rPr>
            </w:pPr>
          </w:p>
        </w:tc>
        <w:tc>
          <w:tcPr>
            <w:tcW w:w="1020" w:type="dxa"/>
            <w:vAlign w:val="bottom"/>
            <w:tcBorders>
              <w:top w:val="single" w:sz="8" w:color="004483"/>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6A6A6"/>
              <w:bottom w:val="single" w:sz="8" w:color="A6A6A6"/>
            </w:tcBorders>
          </w:tcPr>
          <w:p>
            <w:pPr>
              <w:spacing w:after="0"/>
              <w:rPr>
                <w:sz w:val="16"/>
                <w:szCs w:val="16"/>
                <w:color w:val="auto"/>
              </w:rPr>
            </w:pPr>
          </w:p>
        </w:tc>
        <w:tc>
          <w:tcPr>
            <w:tcW w:w="260" w:type="dxa"/>
            <w:vAlign w:val="bottom"/>
            <w:tcBorders>
              <w:top w:val="single" w:sz="8" w:color="004483"/>
              <w:bottom w:val="single" w:sz="8" w:color="A6A6A6"/>
            </w:tcBorders>
          </w:tcPr>
          <w:p>
            <w:pPr>
              <w:spacing w:after="0"/>
              <w:rPr>
                <w:sz w:val="16"/>
                <w:szCs w:val="16"/>
                <w:color w:val="auto"/>
              </w:rPr>
            </w:pPr>
          </w:p>
        </w:tc>
        <w:tc>
          <w:tcPr>
            <w:tcW w:w="900" w:type="dxa"/>
            <w:vAlign w:val="bottom"/>
            <w:tcBorders>
              <w:top w:val="single" w:sz="8" w:color="004483"/>
              <w:bottom w:val="single" w:sz="8" w:color="A6A6A6"/>
            </w:tcBorders>
          </w:tcPr>
          <w:p>
            <w:pPr>
              <w:spacing w:after="0"/>
              <w:rPr>
                <w:sz w:val="16"/>
                <w:szCs w:val="16"/>
                <w:color w:val="auto"/>
              </w:rPr>
            </w:pPr>
          </w:p>
        </w:tc>
        <w:tc>
          <w:tcPr>
            <w:tcW w:w="20" w:type="dxa"/>
            <w:vAlign w:val="bottom"/>
          </w:tcPr>
          <w:p>
            <w:pPr>
              <w:spacing w:after="0"/>
              <w:rPr>
                <w:sz w:val="16"/>
                <w:szCs w:val="16"/>
                <w:color w:val="auto"/>
              </w:rPr>
            </w:pPr>
          </w:p>
        </w:tc>
      </w:tr>
      <w:tr>
        <w:trPr>
          <w:trHeight w:val="252"/>
        </w:trPr>
        <w:tc>
          <w:tcPr>
            <w:tcW w:w="20" w:type="dxa"/>
            <w:vAlign w:val="bottom"/>
          </w:tcPr>
          <w:p>
            <w:pPr>
              <w:spacing w:after="0"/>
              <w:rPr>
                <w:sz w:val="21"/>
                <w:szCs w:val="21"/>
                <w:color w:val="auto"/>
              </w:rPr>
            </w:pPr>
          </w:p>
        </w:tc>
        <w:tc>
          <w:tcPr>
            <w:tcW w:w="522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Basic</w:t>
            </w:r>
          </w:p>
        </w:tc>
        <w:tc>
          <w:tcPr>
            <w:tcW w:w="600" w:type="dxa"/>
            <w:vAlign w:val="bottom"/>
            <w:tcBorders>
              <w:bottom w:val="single" w:sz="8" w:color="A6A6A6"/>
            </w:tcBorders>
          </w:tcPr>
          <w:p>
            <w:pPr>
              <w:spacing w:after="0"/>
              <w:rPr>
                <w:sz w:val="21"/>
                <w:szCs w:val="21"/>
                <w:color w:val="auto"/>
              </w:rPr>
            </w:pPr>
          </w:p>
        </w:tc>
        <w:tc>
          <w:tcPr>
            <w:tcW w:w="120" w:type="dxa"/>
            <w:vAlign w:val="bottom"/>
            <w:tcBorders>
              <w:bottom w:val="single" w:sz="8" w:color="004483"/>
            </w:tcBorders>
          </w:tcPr>
          <w:p>
            <w:pPr>
              <w:spacing w:after="0"/>
              <w:rPr>
                <w:sz w:val="21"/>
                <w:szCs w:val="21"/>
                <w:color w:val="auto"/>
              </w:rPr>
            </w:pPr>
          </w:p>
        </w:tc>
        <w:tc>
          <w:tcPr>
            <w:tcW w:w="10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41,494,149</w:t>
            </w:r>
          </w:p>
        </w:tc>
        <w:tc>
          <w:tcPr>
            <w:tcW w:w="120" w:type="dxa"/>
            <w:vAlign w:val="bottom"/>
          </w:tcPr>
          <w:p>
            <w:pPr>
              <w:spacing w:after="0"/>
              <w:rPr>
                <w:sz w:val="21"/>
                <w:szCs w:val="21"/>
                <w:color w:val="auto"/>
              </w:rPr>
            </w:pPr>
          </w:p>
        </w:tc>
        <w:tc>
          <w:tcPr>
            <w:tcW w:w="160" w:type="dxa"/>
            <w:vAlign w:val="bottom"/>
            <w:tcBorders>
              <w:bottom w:val="single" w:sz="8" w:color="A6A6A6"/>
            </w:tcBorders>
          </w:tcPr>
          <w:p>
            <w:pPr>
              <w:spacing w:after="0"/>
              <w:rPr>
                <w:sz w:val="21"/>
                <w:szCs w:val="21"/>
                <w:color w:val="auto"/>
              </w:rPr>
            </w:pPr>
          </w:p>
        </w:tc>
        <w:tc>
          <w:tcPr>
            <w:tcW w:w="280" w:type="dxa"/>
            <w:vAlign w:val="bottom"/>
            <w:tcBorders>
              <w:bottom w:val="single" w:sz="8" w:color="004483"/>
            </w:tcBorders>
          </w:tcPr>
          <w:p>
            <w:pPr>
              <w:spacing w:after="0"/>
              <w:rPr>
                <w:sz w:val="21"/>
                <w:szCs w:val="21"/>
                <w:color w:val="auto"/>
              </w:rPr>
            </w:pPr>
          </w:p>
        </w:tc>
        <w:tc>
          <w:tcPr>
            <w:tcW w:w="9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41,314,289</w:t>
            </w:r>
          </w:p>
        </w:tc>
        <w:tc>
          <w:tcPr>
            <w:tcW w:w="120" w:type="dxa"/>
            <w:vAlign w:val="bottom"/>
          </w:tcPr>
          <w:p>
            <w:pPr>
              <w:spacing w:after="0"/>
              <w:rPr>
                <w:sz w:val="21"/>
                <w:szCs w:val="21"/>
                <w:color w:val="auto"/>
              </w:rPr>
            </w:pPr>
          </w:p>
        </w:tc>
        <w:tc>
          <w:tcPr>
            <w:tcW w:w="140" w:type="dxa"/>
            <w:vAlign w:val="bottom"/>
            <w:tcBorders>
              <w:bottom w:val="single" w:sz="8" w:color="A6A6A6"/>
            </w:tcBorders>
          </w:tcPr>
          <w:p>
            <w:pPr>
              <w:spacing w:after="0"/>
              <w:rPr>
                <w:sz w:val="21"/>
                <w:szCs w:val="21"/>
                <w:color w:val="auto"/>
              </w:rPr>
            </w:pPr>
          </w:p>
        </w:tc>
        <w:tc>
          <w:tcPr>
            <w:tcW w:w="120" w:type="dxa"/>
            <w:vAlign w:val="bottom"/>
            <w:tcBorders>
              <w:bottom w:val="single" w:sz="8" w:color="004483"/>
            </w:tcBorders>
          </w:tcPr>
          <w:p>
            <w:pPr>
              <w:spacing w:after="0"/>
              <w:rPr>
                <w:sz w:val="21"/>
                <w:szCs w:val="21"/>
                <w:color w:val="auto"/>
              </w:rPr>
            </w:pPr>
          </w:p>
        </w:tc>
        <w:tc>
          <w:tcPr>
            <w:tcW w:w="10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41,451,801</w:t>
            </w:r>
          </w:p>
        </w:tc>
        <w:tc>
          <w:tcPr>
            <w:tcW w:w="12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260" w:type="dxa"/>
            <w:vAlign w:val="bottom"/>
            <w:tcBorders>
              <w:bottom w:val="single" w:sz="8" w:color="004483"/>
            </w:tcBorders>
          </w:tcPr>
          <w:p>
            <w:pPr>
              <w:spacing w:after="0"/>
              <w:rPr>
                <w:sz w:val="21"/>
                <w:szCs w:val="21"/>
                <w:color w:val="auto"/>
              </w:rPr>
            </w:pPr>
          </w:p>
        </w:tc>
        <w:tc>
          <w:tcPr>
            <w:tcW w:w="9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42,246,329</w:t>
            </w:r>
          </w:p>
        </w:tc>
        <w:tc>
          <w:tcPr>
            <w:tcW w:w="20" w:type="dxa"/>
            <w:vAlign w:val="bottom"/>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22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Diluted</w:t>
            </w:r>
          </w:p>
        </w:tc>
        <w:tc>
          <w:tcPr>
            <w:tcW w:w="60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41,834,590</w:t>
            </w:r>
          </w:p>
        </w:tc>
        <w:tc>
          <w:tcPr>
            <w:tcW w:w="120" w:type="dxa"/>
            <w:vAlign w:val="bottom"/>
          </w:tcPr>
          <w:p>
            <w:pPr>
              <w:spacing w:after="0"/>
              <w:rPr>
                <w:sz w:val="20"/>
                <w:szCs w:val="20"/>
                <w:color w:val="auto"/>
              </w:rPr>
            </w:pPr>
          </w:p>
        </w:tc>
        <w:tc>
          <w:tcPr>
            <w:tcW w:w="160" w:type="dxa"/>
            <w:vAlign w:val="bottom"/>
            <w:tcBorders>
              <w:bottom w:val="single" w:sz="8" w:color="A6A6A6"/>
            </w:tcBorders>
          </w:tcPr>
          <w:p>
            <w:pPr>
              <w:spacing w:after="0"/>
              <w:rPr>
                <w:sz w:val="20"/>
                <w:szCs w:val="20"/>
                <w:color w:val="auto"/>
              </w:rPr>
            </w:pPr>
          </w:p>
        </w:tc>
        <w:tc>
          <w:tcPr>
            <w:tcW w:w="280" w:type="dxa"/>
            <w:vAlign w:val="bottom"/>
            <w:tcBorders>
              <w:bottom w:val="single" w:sz="8" w:color="004483"/>
            </w:tcBorders>
          </w:tcPr>
          <w:p>
            <w:pPr>
              <w:spacing w:after="0"/>
              <w:rPr>
                <w:sz w:val="20"/>
                <w:szCs w:val="20"/>
                <w:color w:val="auto"/>
              </w:rPr>
            </w:pPr>
          </w:p>
        </w:tc>
        <w:tc>
          <w:tcPr>
            <w:tcW w:w="9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41,615,495</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41,682,541</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260" w:type="dxa"/>
            <w:vAlign w:val="bottom"/>
            <w:tcBorders>
              <w:bottom w:val="single" w:sz="8" w:color="004483"/>
            </w:tcBorders>
          </w:tcPr>
          <w:p>
            <w:pPr>
              <w:spacing w:after="0"/>
              <w:rPr>
                <w:sz w:val="20"/>
                <w:szCs w:val="20"/>
                <w:color w:val="auto"/>
              </w:rPr>
            </w:pPr>
          </w:p>
        </w:tc>
        <w:tc>
          <w:tcPr>
            <w:tcW w:w="9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42,527,360</w:t>
            </w: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522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CASH DIVIDENDS PER SHARE</w:t>
            </w:r>
          </w:p>
        </w:tc>
        <w:tc>
          <w:tcPr>
            <w:tcW w:w="60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0"/>
                <w:szCs w:val="20"/>
                <w:color w:val="auto"/>
              </w:rPr>
            </w:pPr>
          </w:p>
        </w:tc>
        <w:tc>
          <w:tcPr>
            <w:tcW w:w="160" w:type="dxa"/>
            <w:vAlign w:val="bottom"/>
            <w:tcBorders>
              <w:bottom w:val="single" w:sz="8" w:color="A6A6A6"/>
            </w:tcBorders>
          </w:tcPr>
          <w:p>
            <w:pPr>
              <w:spacing w:after="0"/>
              <w:rPr>
                <w:sz w:val="20"/>
                <w:szCs w:val="20"/>
                <w:color w:val="auto"/>
              </w:rPr>
            </w:pPr>
          </w:p>
        </w:tc>
        <w:tc>
          <w:tcPr>
            <w:tcW w:w="280" w:type="dxa"/>
            <w:vAlign w:val="bottom"/>
            <w:tcBorders>
              <w:bottom w:val="single" w:sz="8" w:color="004483"/>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0.10</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0.10</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260" w:type="dxa"/>
            <w:vAlign w:val="bottom"/>
            <w:tcBorders>
              <w:bottom w:val="single" w:sz="8" w:color="004483"/>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0.30</w:t>
            </w:r>
          </w:p>
        </w:tc>
        <w:tc>
          <w:tcPr>
            <w:tcW w:w="2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340"/>
          </w:cols>
          <w:pgMar w:left="320" w:top="35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EAGLE MATERIALS INC. AND SUBSIDIARIES CONSOLIDATED STATEMENTS OF COMPREHENSIVE EARNINGS (LOSS) (unaudited)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shd w:val="clear" w:color="auto" w:fill="004483"/>
          </w:tcPr>
          <w:p>
            <w:pPr>
              <w:spacing w:after="0"/>
              <w:rPr>
                <w:sz w:val="19"/>
                <w:szCs w:val="19"/>
                <w:color w:val="auto"/>
              </w:rPr>
            </w:pPr>
          </w:p>
        </w:tc>
        <w:tc>
          <w:tcPr>
            <w:tcW w:w="2640" w:type="dxa"/>
            <w:vAlign w:val="bottom"/>
            <w:gridSpan w:val="6"/>
            <w:shd w:val="clear" w:color="auto" w:fill="004483"/>
          </w:tcPr>
          <w:p>
            <w:pPr>
              <w:jc w:val="right"/>
              <w:ind w:right="280"/>
              <w:spacing w:after="0"/>
              <w:rPr>
                <w:sz w:val="20"/>
                <w:szCs w:val="20"/>
                <w:color w:val="auto"/>
              </w:rPr>
            </w:pPr>
            <w:r>
              <w:rPr>
                <w:rFonts w:ascii="Times New Roman" w:cs="Times New Roman" w:eastAsia="Times New Roman" w:hAnsi="Times New Roman"/>
                <w:sz w:val="13"/>
                <w:szCs w:val="13"/>
                <w:b w:val="1"/>
                <w:bCs w:val="1"/>
                <w:color w:val="FFFFFF"/>
                <w:w w:val="96"/>
              </w:rPr>
              <w:t>For the Three Months Ended December 31,</w:t>
            </w:r>
          </w:p>
        </w:tc>
        <w:tc>
          <w:tcPr>
            <w:tcW w:w="120" w:type="dxa"/>
            <w:vAlign w:val="bottom"/>
          </w:tcPr>
          <w:p>
            <w:pPr>
              <w:spacing w:after="0"/>
              <w:rPr>
                <w:sz w:val="19"/>
                <w:szCs w:val="19"/>
                <w:color w:val="auto"/>
              </w:rPr>
            </w:pPr>
          </w:p>
        </w:tc>
        <w:tc>
          <w:tcPr>
            <w:tcW w:w="120" w:type="dxa"/>
            <w:vAlign w:val="bottom"/>
            <w:shd w:val="clear" w:color="auto" w:fill="004483"/>
          </w:tcPr>
          <w:p>
            <w:pPr>
              <w:spacing w:after="0"/>
              <w:rPr>
                <w:sz w:val="19"/>
                <w:szCs w:val="19"/>
                <w:color w:val="auto"/>
              </w:rPr>
            </w:pPr>
          </w:p>
        </w:tc>
        <w:tc>
          <w:tcPr>
            <w:tcW w:w="2520" w:type="dxa"/>
            <w:vAlign w:val="bottom"/>
            <w:gridSpan w:val="6"/>
            <w:shd w:val="clear" w:color="auto" w:fill="004483"/>
          </w:tcPr>
          <w:p>
            <w:pPr>
              <w:ind w:left="20"/>
              <w:spacing w:after="0"/>
              <w:rPr>
                <w:sz w:val="20"/>
                <w:szCs w:val="20"/>
                <w:color w:val="auto"/>
              </w:rPr>
            </w:pPr>
            <w:r>
              <w:rPr>
                <w:rFonts w:ascii="Times New Roman" w:cs="Times New Roman" w:eastAsia="Times New Roman" w:hAnsi="Times New Roman"/>
                <w:sz w:val="13"/>
                <w:szCs w:val="13"/>
                <w:b w:val="1"/>
                <w:bCs w:val="1"/>
                <w:color w:val="FFFFFF"/>
              </w:rPr>
              <w:t>For the Nine Months Ended December 31,</w:t>
            </w:r>
          </w:p>
        </w:tc>
      </w:tr>
      <w:tr>
        <w:trPr>
          <w:trHeight w:val="143"/>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8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4440" w:type="dxa"/>
            <w:vAlign w:val="bottom"/>
            <w:tcBorders>
              <w:bottom w:val="single" w:sz="8" w:color="004483"/>
            </w:tcBorders>
          </w:tcPr>
          <w:p>
            <w:pPr>
              <w:spacing w:after="0"/>
              <w:rPr>
                <w:sz w:val="13"/>
                <w:szCs w:val="13"/>
                <w:color w:val="auto"/>
              </w:rPr>
            </w:pPr>
          </w:p>
        </w:tc>
        <w:tc>
          <w:tcPr>
            <w:tcW w:w="136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1020" w:type="dxa"/>
            <w:vAlign w:val="bottom"/>
            <w:tcBorders>
              <w:bottom w:val="single" w:sz="8" w:color="004483"/>
            </w:tcBorders>
          </w:tcPr>
          <w:p>
            <w:pPr>
              <w:spacing w:after="0"/>
              <w:rPr>
                <w:sz w:val="13"/>
                <w:szCs w:val="13"/>
                <w:color w:val="auto"/>
              </w:rPr>
            </w:pPr>
          </w:p>
        </w:tc>
        <w:tc>
          <w:tcPr>
            <w:tcW w:w="100" w:type="dxa"/>
            <w:vAlign w:val="bottom"/>
            <w:tcBorders>
              <w:bottom w:val="single" w:sz="8" w:color="004483"/>
            </w:tcBorders>
          </w:tcPr>
          <w:p>
            <w:pPr>
              <w:spacing w:after="0"/>
              <w:rPr>
                <w:sz w:val="13"/>
                <w:szCs w:val="13"/>
                <w:color w:val="auto"/>
              </w:rPr>
            </w:pPr>
          </w:p>
        </w:tc>
        <w:tc>
          <w:tcPr>
            <w:tcW w:w="140" w:type="dxa"/>
            <w:vAlign w:val="bottom"/>
            <w:tcBorders>
              <w:bottom w:val="single" w:sz="8" w:color="004483"/>
            </w:tcBorders>
          </w:tcPr>
          <w:p>
            <w:pPr>
              <w:spacing w:after="0"/>
              <w:rPr>
                <w:sz w:val="13"/>
                <w:szCs w:val="13"/>
                <w:color w:val="auto"/>
              </w:rPr>
            </w:pPr>
          </w:p>
        </w:tc>
        <w:tc>
          <w:tcPr>
            <w:tcW w:w="380" w:type="dxa"/>
            <w:vAlign w:val="bottom"/>
            <w:tcBorders>
              <w:bottom w:val="single" w:sz="8" w:color="004483"/>
            </w:tcBorders>
          </w:tcPr>
          <w:p>
            <w:pPr>
              <w:spacing w:after="0"/>
              <w:rPr>
                <w:sz w:val="13"/>
                <w:szCs w:val="13"/>
                <w:color w:val="auto"/>
              </w:rPr>
            </w:pPr>
          </w:p>
        </w:tc>
        <w:tc>
          <w:tcPr>
            <w:tcW w:w="2500" w:type="dxa"/>
            <w:vAlign w:val="bottom"/>
            <w:tcBorders>
              <w:bottom w:val="single" w:sz="8" w:color="004483"/>
            </w:tcBorders>
            <w:gridSpan w:val="7"/>
          </w:tcPr>
          <w:p>
            <w:pPr>
              <w:ind w:left="420"/>
              <w:spacing w:after="0"/>
              <w:rPr>
                <w:sz w:val="20"/>
                <w:szCs w:val="20"/>
                <w:color w:val="auto"/>
              </w:rPr>
            </w:pPr>
            <w:r>
              <w:rPr>
                <w:rFonts w:ascii="Times New Roman" w:cs="Times New Roman" w:eastAsia="Times New Roman" w:hAnsi="Times New Roman"/>
                <w:sz w:val="13"/>
                <w:szCs w:val="13"/>
                <w:color w:val="auto"/>
              </w:rPr>
              <w:t>(dollars in thousands)</w:t>
            </w:r>
          </w:p>
        </w:tc>
        <w:tc>
          <w:tcPr>
            <w:tcW w:w="420" w:type="dxa"/>
            <w:vAlign w:val="bottom"/>
            <w:tcBorders>
              <w:bottom w:val="single" w:sz="8" w:color="004483"/>
            </w:tcBorders>
          </w:tcPr>
          <w:p>
            <w:pPr>
              <w:spacing w:after="0"/>
              <w:rPr>
                <w:sz w:val="13"/>
                <w:szCs w:val="13"/>
                <w:color w:val="auto"/>
              </w:rPr>
            </w:pPr>
          </w:p>
        </w:tc>
        <w:tc>
          <w:tcPr>
            <w:tcW w:w="760" w:type="dxa"/>
            <w:vAlign w:val="bottom"/>
            <w:tcBorders>
              <w:bottom w:val="single" w:sz="8" w:color="004483"/>
            </w:tcBorders>
          </w:tcPr>
          <w:p>
            <w:pPr>
              <w:spacing w:after="0"/>
              <w:rPr>
                <w:sz w:val="13"/>
                <w:szCs w:val="13"/>
                <w:color w:val="auto"/>
              </w:rPr>
            </w:pPr>
          </w:p>
        </w:tc>
        <w:tc>
          <w:tcPr>
            <w:tcW w:w="80" w:type="dxa"/>
            <w:vAlign w:val="bottom"/>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004483"/>
              </w:rPr>
              <w:t>Net Earnings (Loss)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81,193</w:t>
            </w:r>
          </w:p>
        </w:tc>
        <w:tc>
          <w:tcPr>
            <w:tcW w:w="1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(114,632)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8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4440" w:type="dxa"/>
            <w:vAlign w:val="bottom"/>
            <w:tcBorders>
              <w:top w:val="single" w:sz="8" w:color="A6A6A6"/>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Net Actuarial Change in Defined Benefit Plans:</w:t>
            </w:r>
          </w:p>
        </w:tc>
        <w:tc>
          <w:tcPr>
            <w:tcW w:w="136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02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380" w:type="dxa"/>
            <w:vAlign w:val="bottom"/>
            <w:tcBorders>
              <w:top w:val="single" w:sz="8" w:color="A6A6A6"/>
              <w:bottom w:val="single" w:sz="8" w:color="A6A6A6"/>
            </w:tcBorders>
          </w:tcPr>
          <w:p>
            <w:pPr>
              <w:spacing w:after="0"/>
              <w:rPr>
                <w:sz w:val="18"/>
                <w:szCs w:val="18"/>
                <w:color w:val="auto"/>
              </w:rPr>
            </w:pPr>
          </w:p>
        </w:tc>
        <w:tc>
          <w:tcPr>
            <w:tcW w:w="88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02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42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44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Amortization of net actuarial loss</w:t>
            </w:r>
          </w:p>
        </w:tc>
        <w:tc>
          <w:tcPr>
            <w:tcW w:w="136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Times New Roman" w:cs="Times New Roman" w:eastAsia="Times New Roman" w:hAnsi="Times New Roman"/>
                <w:sz w:val="16"/>
                <w:szCs w:val="16"/>
                <w:color w:val="004483"/>
              </w:rPr>
              <w:t>Tax expense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440" w:type="dxa"/>
            <w:vAlign w:val="bottom"/>
            <w:tcBorders>
              <w:top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Comprehensive Earnings (Loss)</w:t>
            </w:r>
          </w:p>
        </w:tc>
        <w:tc>
          <w:tcPr>
            <w:tcW w:w="1360" w:type="dxa"/>
            <w:vAlign w:val="bottom"/>
            <w:tcBorders>
              <w:top w:val="single" w:sz="8" w:color="A6A6A6"/>
            </w:tcBorders>
          </w:tcPr>
          <w:p>
            <w:pPr>
              <w:spacing w:after="0"/>
              <w:rPr>
                <w:sz w:val="18"/>
                <w:szCs w:val="18"/>
                <w:color w:val="auto"/>
              </w:rPr>
            </w:pPr>
          </w:p>
        </w:tc>
        <w:tc>
          <w:tcPr>
            <w:tcW w:w="12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81,218</w:t>
            </w:r>
          </w:p>
        </w:tc>
        <w:tc>
          <w:tcPr>
            <w:tcW w:w="10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380" w:type="dxa"/>
            <w:vAlign w:val="bottom"/>
            <w:tcBorders>
              <w:top w:val="single" w:sz="8" w:color="004483"/>
              <w:bottom w:val="single" w:sz="8" w:color="004483"/>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(114,599)</w:t>
            </w:r>
          </w:p>
        </w:tc>
        <w:tc>
          <w:tcPr>
            <w:tcW w:w="12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12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273,509</w:t>
            </w:r>
          </w:p>
        </w:tc>
        <w:tc>
          <w:tcPr>
            <w:tcW w:w="12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420" w:type="dxa"/>
            <w:vAlign w:val="bottom"/>
            <w:tcBorders>
              <w:top w:val="single" w:sz="8" w:color="004483"/>
              <w:bottom w:val="single" w:sz="8" w:color="004483"/>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(1,434)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340"/>
          </w:cols>
          <w:pgMar w:left="320" w:top="35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EAGLE MATERIALS INC. AND SUBSIDIARIES CONSOLIDATED BALANCE SHEETS (unaudited)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80" w:type="dxa"/>
            <w:vAlign w:val="bottom"/>
          </w:tcPr>
          <w:p>
            <w:pPr>
              <w:spacing w:after="0"/>
              <w:rPr>
                <w:sz w:val="19"/>
                <w:szCs w:val="19"/>
                <w:color w:val="auto"/>
              </w:rPr>
            </w:pPr>
          </w:p>
        </w:tc>
        <w:tc>
          <w:tcPr>
            <w:tcW w:w="2540" w:type="dxa"/>
            <w:vAlign w:val="bottom"/>
            <w:shd w:val="clear" w:color="auto" w:fill="004483"/>
          </w:tcPr>
          <w:p>
            <w:pPr>
              <w:jc w:val="right"/>
              <w:ind w:right="937"/>
              <w:spacing w:after="0"/>
              <w:rPr>
                <w:sz w:val="20"/>
                <w:szCs w:val="20"/>
                <w:color w:val="auto"/>
              </w:rPr>
            </w:pPr>
            <w:r>
              <w:rPr>
                <w:rFonts w:ascii="Times New Roman" w:cs="Times New Roman" w:eastAsia="Times New Roman" w:hAnsi="Times New Roman"/>
                <w:sz w:val="13"/>
                <w:szCs w:val="13"/>
                <w:b w:val="1"/>
                <w:bCs w:val="1"/>
                <w:color w:val="FFFFFF"/>
              </w:rPr>
              <w:t>December 31,</w:t>
            </w:r>
          </w:p>
        </w:tc>
        <w:tc>
          <w:tcPr>
            <w:tcW w:w="960" w:type="dxa"/>
            <w:vAlign w:val="bottom"/>
            <w:gridSpan w:val="2"/>
            <w:shd w:val="clear" w:color="auto" w:fill="004483"/>
          </w:tcPr>
          <w:p>
            <w:pPr>
              <w:jc w:val="right"/>
              <w:ind w:right="120"/>
              <w:spacing w:after="0"/>
              <w:rPr>
                <w:sz w:val="20"/>
                <w:szCs w:val="20"/>
                <w:color w:val="auto"/>
              </w:rPr>
            </w:pPr>
            <w:r>
              <w:rPr>
                <w:rFonts w:ascii="Times New Roman" w:cs="Times New Roman" w:eastAsia="Times New Roman" w:hAnsi="Times New Roman"/>
                <w:sz w:val="13"/>
                <w:szCs w:val="13"/>
                <w:b w:val="1"/>
                <w:bCs w:val="1"/>
                <w:color w:val="FFFFFF"/>
              </w:rPr>
              <w:t>March 31,</w:t>
            </w:r>
          </w:p>
        </w:tc>
      </w:tr>
      <w:tr>
        <w:trPr>
          <w:trHeight w:val="143"/>
        </w:trPr>
        <w:tc>
          <w:tcPr>
            <w:tcW w:w="7680" w:type="dxa"/>
            <w:vAlign w:val="bottom"/>
          </w:tcPr>
          <w:p>
            <w:pPr>
              <w:spacing w:after="0"/>
              <w:rPr>
                <w:sz w:val="12"/>
                <w:szCs w:val="12"/>
                <w:color w:val="auto"/>
              </w:rPr>
            </w:pPr>
          </w:p>
        </w:tc>
        <w:tc>
          <w:tcPr>
            <w:tcW w:w="2540" w:type="dxa"/>
            <w:vAlign w:val="bottom"/>
          </w:tcPr>
          <w:p>
            <w:pPr>
              <w:jc w:val="right"/>
              <w:ind w:right="937"/>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8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r>
      <w:tr>
        <w:trPr>
          <w:trHeight w:val="152"/>
        </w:trPr>
        <w:tc>
          <w:tcPr>
            <w:tcW w:w="7680" w:type="dxa"/>
            <w:vAlign w:val="bottom"/>
            <w:tcBorders>
              <w:bottom w:val="single" w:sz="8" w:color="004483"/>
            </w:tcBorders>
          </w:tcPr>
          <w:p>
            <w:pPr>
              <w:spacing w:after="0"/>
              <w:rPr>
                <w:sz w:val="13"/>
                <w:szCs w:val="13"/>
                <w:color w:val="auto"/>
              </w:rPr>
            </w:pPr>
          </w:p>
        </w:tc>
        <w:tc>
          <w:tcPr>
            <w:tcW w:w="2540" w:type="dxa"/>
            <w:vAlign w:val="bottom"/>
            <w:tcBorders>
              <w:bottom w:val="single" w:sz="8" w:color="004483"/>
            </w:tcBorders>
          </w:tcPr>
          <w:p>
            <w:pPr>
              <w:jc w:val="right"/>
              <w:ind w:right="237"/>
              <w:spacing w:after="0"/>
              <w:rPr>
                <w:sz w:val="20"/>
                <w:szCs w:val="20"/>
                <w:color w:val="auto"/>
              </w:rPr>
            </w:pPr>
            <w:r>
              <w:rPr>
                <w:rFonts w:ascii="Times New Roman" w:cs="Times New Roman" w:eastAsia="Times New Roman" w:hAnsi="Times New Roman"/>
                <w:sz w:val="13"/>
                <w:szCs w:val="13"/>
                <w:color w:val="auto"/>
              </w:rPr>
              <w:t>(dollars in thousands)</w:t>
            </w:r>
          </w:p>
        </w:tc>
        <w:tc>
          <w:tcPr>
            <w:tcW w:w="86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r>
    </w:tbl>
    <w:p>
      <w:pPr>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0313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1355" cy="8255"/>
                    </a:xfrm>
                    <a:prstGeom prst="rect">
                      <a:avLst/>
                    </a:prstGeom>
                    <a:noFill/>
                  </pic:spPr>
                </pic:pic>
              </a:graphicData>
            </a:graphic>
          </wp:anchor>
        </w:drawing>
      </w:r>
    </w:p>
    <w:p>
      <w:pPr>
        <w:sectPr>
          <w:pgSz w:w="11900" w:h="16838" w:orient="portrait"/>
          <w:cols w:equalWidth="0" w:num="1">
            <w:col w:w="11180"/>
          </w:cols>
          <w:pgMar w:left="320" w:top="369" w:right="399" w:bottom="1440" w:gutter="0" w:footer="0" w:header="0"/>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4483"/>
        </w:rPr>
        <w:t>Current Assets -</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660" w:type="dxa"/>
            <w:vAlign w:val="bottom"/>
            <w:tcBorders>
              <w:top w:val="single" w:sz="8" w:color="A6A6A6"/>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Cash and Cash Equivalents</w:t>
            </w:r>
          </w:p>
        </w:tc>
        <w:tc>
          <w:tcPr>
            <w:tcW w:w="480" w:type="dxa"/>
            <w:vAlign w:val="bottom"/>
            <w:tcBorders>
              <w:top w:val="single" w:sz="8" w:color="A6A6A6"/>
              <w:bottom w:val="single" w:sz="8" w:color="A6A6A6"/>
            </w:tcBorders>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142,784</w:t>
            </w:r>
          </w:p>
        </w:tc>
      </w:tr>
      <w:tr>
        <w:trPr>
          <w:trHeight w:val="207"/>
        </w:trPr>
        <w:tc>
          <w:tcPr>
            <w:tcW w:w="20" w:type="dxa"/>
            <w:vAlign w:val="bottom"/>
          </w:tcPr>
          <w:p>
            <w:pPr>
              <w:spacing w:after="0"/>
              <w:rPr>
                <w:sz w:val="18"/>
                <w:szCs w:val="18"/>
                <w:color w:val="auto"/>
              </w:rPr>
            </w:pPr>
          </w:p>
        </w:tc>
        <w:tc>
          <w:tcPr>
            <w:tcW w:w="766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Restricted Cash</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08"/>
        </w:trPr>
        <w:tc>
          <w:tcPr>
            <w:tcW w:w="20" w:type="dxa"/>
            <w:vAlign w:val="bottom"/>
          </w:tcPr>
          <w:p>
            <w:pPr>
              <w:spacing w:after="0"/>
              <w:rPr>
                <w:sz w:val="18"/>
                <w:szCs w:val="18"/>
                <w:color w:val="auto"/>
              </w:rPr>
            </w:pPr>
          </w:p>
        </w:tc>
        <w:tc>
          <w:tcPr>
            <w:tcW w:w="766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Accounts and Notes Receivable, net</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142,467</w:t>
            </w:r>
          </w:p>
        </w:tc>
      </w:tr>
      <w:tr>
        <w:trPr>
          <w:trHeight w:val="208"/>
        </w:trPr>
        <w:tc>
          <w:tcPr>
            <w:tcW w:w="20" w:type="dxa"/>
            <w:vAlign w:val="bottom"/>
          </w:tcPr>
          <w:p>
            <w:pPr>
              <w:spacing w:after="0"/>
              <w:rPr>
                <w:sz w:val="18"/>
                <w:szCs w:val="18"/>
                <w:color w:val="auto"/>
              </w:rPr>
            </w:pPr>
          </w:p>
        </w:tc>
        <w:tc>
          <w:tcPr>
            <w:tcW w:w="766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Inventories</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228,667</w:t>
            </w:r>
          </w:p>
        </w:tc>
      </w:tr>
      <w:tr>
        <w:trPr>
          <w:trHeight w:val="208"/>
        </w:trPr>
        <w:tc>
          <w:tcPr>
            <w:tcW w:w="20" w:type="dxa"/>
            <w:vAlign w:val="bottom"/>
          </w:tcPr>
          <w:p>
            <w:pPr>
              <w:spacing w:after="0"/>
              <w:rPr>
                <w:sz w:val="18"/>
                <w:szCs w:val="18"/>
                <w:color w:val="auto"/>
              </w:rPr>
            </w:pPr>
          </w:p>
        </w:tc>
        <w:tc>
          <w:tcPr>
            <w:tcW w:w="766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Income Tax Receivable</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1,900</w:t>
            </w:r>
          </w:p>
        </w:tc>
      </w:tr>
      <w:tr>
        <w:trPr>
          <w:trHeight w:val="208"/>
        </w:trPr>
        <w:tc>
          <w:tcPr>
            <w:tcW w:w="20" w:type="dxa"/>
            <w:vAlign w:val="bottom"/>
          </w:tcPr>
          <w:p>
            <w:pPr>
              <w:spacing w:after="0"/>
              <w:rPr>
                <w:sz w:val="18"/>
                <w:szCs w:val="18"/>
                <w:color w:val="auto"/>
              </w:rPr>
            </w:pPr>
          </w:p>
        </w:tc>
        <w:tc>
          <w:tcPr>
            <w:tcW w:w="766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Prepaid and Other Assets</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7,740</w:t>
            </w:r>
          </w:p>
        </w:tc>
      </w:tr>
      <w:tr>
        <w:trPr>
          <w:trHeight w:val="208"/>
        </w:trPr>
        <w:tc>
          <w:tcPr>
            <w:tcW w:w="20" w:type="dxa"/>
            <w:vAlign w:val="bottom"/>
          </w:tcPr>
          <w:p>
            <w:pPr>
              <w:spacing w:after="0"/>
              <w:rPr>
                <w:sz w:val="18"/>
                <w:szCs w:val="18"/>
                <w:color w:val="auto"/>
              </w:rPr>
            </w:pPr>
          </w:p>
        </w:tc>
        <w:tc>
          <w:tcPr>
            <w:tcW w:w="766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Current Assets of Discontinued Operations</w:t>
            </w:r>
          </w:p>
        </w:tc>
        <w:tc>
          <w:tcPr>
            <w:tcW w:w="48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20" w:type="dxa"/>
            <w:vAlign w:val="bottom"/>
          </w:tcPr>
          <w:p>
            <w:pPr>
              <w:spacing w:after="0"/>
              <w:rPr>
                <w:sz w:val="18"/>
                <w:szCs w:val="18"/>
                <w:color w:val="auto"/>
              </w:rPr>
            </w:pPr>
          </w:p>
        </w:tc>
        <w:tc>
          <w:tcPr>
            <w:tcW w:w="7660" w:type="dxa"/>
            <w:vAlign w:val="bottom"/>
            <w:tcBorders>
              <w:bottom w:val="single" w:sz="8" w:color="A6A6A6"/>
            </w:tcBorders>
          </w:tcPr>
          <w:p>
            <w:pPr>
              <w:ind w:left="480"/>
              <w:spacing w:after="0"/>
              <w:rPr>
                <w:sz w:val="20"/>
                <w:szCs w:val="20"/>
                <w:color w:val="auto"/>
              </w:rPr>
            </w:pPr>
            <w:r>
              <w:rPr>
                <w:rFonts w:ascii="Times New Roman" w:cs="Times New Roman" w:eastAsia="Times New Roman" w:hAnsi="Times New Roman"/>
                <w:sz w:val="16"/>
                <w:szCs w:val="16"/>
                <w:color w:val="004483"/>
              </w:rPr>
              <w:t>Total Current Assets</w:t>
            </w:r>
          </w:p>
        </w:tc>
        <w:tc>
          <w:tcPr>
            <w:tcW w:w="48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528,558</w:t>
            </w:r>
          </w:p>
        </w:tc>
      </w:tr>
      <w:tr>
        <w:trPr>
          <w:trHeight w:val="208"/>
        </w:trPr>
        <w:tc>
          <w:tcPr>
            <w:tcW w:w="20" w:type="dxa"/>
            <w:vAlign w:val="bottom"/>
            <w:tcBorders>
              <w:bottom w:val="single" w:sz="8" w:color="A6A6A6"/>
            </w:tcBorders>
          </w:tcPr>
          <w:p>
            <w:pPr>
              <w:spacing w:after="0"/>
              <w:rPr>
                <w:sz w:val="18"/>
                <w:szCs w:val="18"/>
                <w:color w:val="auto"/>
              </w:rPr>
            </w:pPr>
          </w:p>
        </w:tc>
        <w:tc>
          <w:tcPr>
            <w:tcW w:w="76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Property, Plant, and Equipment, net</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1,680,646</w:t>
            </w:r>
          </w:p>
        </w:tc>
      </w:tr>
      <w:tr>
        <w:trPr>
          <w:trHeight w:val="208"/>
        </w:trPr>
        <w:tc>
          <w:tcPr>
            <w:tcW w:w="768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Notes Receivable</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8,353</w:t>
            </w:r>
          </w:p>
        </w:tc>
      </w:tr>
      <w:tr>
        <w:trPr>
          <w:trHeight w:val="208"/>
        </w:trPr>
        <w:tc>
          <w:tcPr>
            <w:tcW w:w="768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Investment in Joint Venture</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74,914</w:t>
            </w:r>
          </w:p>
        </w:tc>
      </w:tr>
      <w:tr>
        <w:trPr>
          <w:trHeight w:val="208"/>
        </w:trPr>
        <w:tc>
          <w:tcPr>
            <w:tcW w:w="768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Operating Lease Right-of-Use Assets</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26,927</w:t>
            </w:r>
          </w:p>
        </w:tc>
      </w:tr>
      <w:tr>
        <w:trPr>
          <w:trHeight w:val="208"/>
        </w:trPr>
        <w:tc>
          <w:tcPr>
            <w:tcW w:w="768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Goodwill and Intangible Assets, net</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393,454</w:t>
            </w:r>
          </w:p>
        </w:tc>
      </w:tr>
      <w:tr>
        <w:trPr>
          <w:trHeight w:val="208"/>
        </w:trPr>
        <w:tc>
          <w:tcPr>
            <w:tcW w:w="768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Other Assets</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12,186</w:t>
            </w:r>
          </w:p>
        </w:tc>
      </w:tr>
      <w:tr>
        <w:trPr>
          <w:trHeight w:val="208"/>
        </w:trPr>
        <w:tc>
          <w:tcPr>
            <w:tcW w:w="7680" w:type="dxa"/>
            <w:vAlign w:val="bottom"/>
            <w:gridSpan w:val="2"/>
          </w:tcPr>
          <w:p>
            <w:pPr>
              <w:spacing w:after="0"/>
              <w:rPr>
                <w:sz w:val="20"/>
                <w:szCs w:val="20"/>
                <w:color w:val="auto"/>
              </w:rPr>
            </w:pPr>
            <w:r>
              <w:rPr>
                <w:rFonts w:ascii="Times New Roman" w:cs="Times New Roman" w:eastAsia="Times New Roman" w:hAnsi="Times New Roman"/>
                <w:sz w:val="16"/>
                <w:szCs w:val="16"/>
                <w:color w:val="004483"/>
              </w:rPr>
              <w:t>Assets of Discontinued Operations</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9"/>
        </w:trPr>
        <w:tc>
          <w:tcPr>
            <w:tcW w:w="20" w:type="dxa"/>
            <w:vAlign w:val="bottom"/>
          </w:tcPr>
          <w:p>
            <w:pPr>
              <w:spacing w:after="0"/>
              <w:rPr>
                <w:sz w:val="21"/>
                <w:szCs w:val="21"/>
                <w:color w:val="auto"/>
              </w:rPr>
            </w:pPr>
          </w:p>
        </w:tc>
        <w:tc>
          <w:tcPr>
            <w:tcW w:w="7660" w:type="dxa"/>
            <w:vAlign w:val="bottom"/>
            <w:tcBorders>
              <w:top w:val="single" w:sz="8" w:color="A6A6A6"/>
              <w:bottom w:val="single" w:sz="8" w:color="A6A6A6"/>
            </w:tcBorders>
          </w:tcPr>
          <w:p>
            <w:pPr>
              <w:spacing w:after="0"/>
              <w:rPr>
                <w:sz w:val="21"/>
                <w:szCs w:val="21"/>
                <w:color w:val="auto"/>
              </w:rPr>
            </w:pPr>
          </w:p>
        </w:tc>
        <w:tc>
          <w:tcPr>
            <w:tcW w:w="480" w:type="dxa"/>
            <w:vAlign w:val="bottom"/>
            <w:tcBorders>
              <w:top w:val="single" w:sz="8" w:color="004483"/>
              <w:bottom w:val="single" w:sz="8" w:color="004483"/>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2,725,038</w:t>
            </w:r>
          </w:p>
        </w:tc>
      </w:tr>
      <w:tr>
        <w:trPr>
          <w:trHeight w:val="180"/>
        </w:trPr>
        <w:tc>
          <w:tcPr>
            <w:tcW w:w="20" w:type="dxa"/>
            <w:vAlign w:val="bottom"/>
          </w:tcPr>
          <w:p>
            <w:pPr>
              <w:spacing w:after="0"/>
              <w:rPr>
                <w:sz w:val="15"/>
                <w:szCs w:val="15"/>
                <w:color w:val="auto"/>
              </w:rPr>
            </w:pPr>
          </w:p>
        </w:tc>
        <w:tc>
          <w:tcPr>
            <w:tcW w:w="76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1020" w:hanging="1015"/>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118,648</w:t>
      </w:r>
    </w:p>
    <w:p>
      <w:pPr>
        <w:spacing w:after="0" w:line="43" w:lineRule="exact"/>
        <w:rPr>
          <w:rFonts w:ascii="Times New Roman" w:cs="Times New Roman" w:eastAsia="Times New Roman" w:hAnsi="Times New Roman"/>
          <w:sz w:val="16"/>
          <w:szCs w:val="16"/>
          <w:color w:val="auto"/>
        </w:rPr>
      </w:pPr>
    </w:p>
    <w:p>
      <w:pPr>
        <w:ind w:left="1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19685</wp:posOffset>
            </wp:positionV>
            <wp:extent cx="11068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06805" cy="8255"/>
                    </a:xfrm>
                    <a:prstGeom prst="rect">
                      <a:avLst/>
                    </a:prstGeom>
                    <a:noFill/>
                  </pic:spPr>
                </pic:pic>
              </a:graphicData>
            </a:graphic>
          </wp:anchor>
        </w:drawing>
        <w:drawing>
          <wp:anchor simplePos="0" relativeHeight="251657728" behindDoc="1" locked="0" layoutInCell="0" allowOverlap="1">
            <wp:simplePos x="0" y="0"/>
            <wp:positionH relativeFrom="column">
              <wp:posOffset>-115570</wp:posOffset>
            </wp:positionH>
            <wp:positionV relativeFrom="paragraph">
              <wp:posOffset>-124460</wp:posOffset>
            </wp:positionV>
            <wp:extent cx="11068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6805" cy="8255"/>
                    </a:xfrm>
                    <a:prstGeom prst="rect">
                      <a:avLst/>
                    </a:prstGeom>
                    <a:noFill/>
                  </pic:spPr>
                </pic:pic>
              </a:graphicData>
            </a:graphic>
          </wp:anchor>
        </w:drawing>
        <w:drawing>
          <wp:anchor simplePos="0" relativeHeight="251657728" behindDoc="1" locked="0" layoutInCell="0" allowOverlap="1">
            <wp:simplePos x="0" y="0"/>
            <wp:positionH relativeFrom="column">
              <wp:posOffset>-115570</wp:posOffset>
            </wp:positionH>
            <wp:positionV relativeFrom="paragraph">
              <wp:posOffset>-269240</wp:posOffset>
            </wp:positionV>
            <wp:extent cx="1106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145,808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19685</wp:posOffset>
            </wp:positionV>
            <wp:extent cx="11068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272,121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19685</wp:posOffset>
            </wp:positionV>
            <wp:extent cx="11068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128,413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19685</wp:posOffset>
            </wp:positionV>
            <wp:extent cx="11068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6,135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19685</wp:posOffset>
            </wp:positionV>
            <wp:extent cx="11068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7,092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19685</wp:posOffset>
            </wp:positionV>
            <wp:extent cx="11068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678,217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19685</wp:posOffset>
            </wp:positionV>
            <wp:extent cx="11068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1,756,417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19685</wp:posOffset>
            </wp:positionV>
            <wp:extent cx="11068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9,139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19685</wp:posOffset>
            </wp:positionV>
            <wp:extent cx="11068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73,958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19685</wp:posOffset>
            </wp:positionV>
            <wp:extent cx="11068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29,483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19685</wp:posOffset>
            </wp:positionV>
            <wp:extent cx="11068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396,463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19685</wp:posOffset>
            </wp:positionV>
            <wp:extent cx="11068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10,604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19685</wp:posOffset>
            </wp:positionV>
            <wp:extent cx="11068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6,739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19685</wp:posOffset>
            </wp:positionV>
            <wp:extent cx="11068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2" w:lineRule="exact"/>
        <w:rPr>
          <w:sz w:val="20"/>
          <w:szCs w:val="20"/>
          <w:color w:val="auto"/>
        </w:rPr>
      </w:pPr>
    </w:p>
    <w:p>
      <w:pPr>
        <w:ind w:left="900" w:hanging="895"/>
        <w:spacing w:after="0"/>
        <w:tabs>
          <w:tab w:leader="none" w:pos="90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2,961,020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20955</wp:posOffset>
            </wp:positionV>
            <wp:extent cx="110680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06805" cy="25400"/>
                    </a:xfrm>
                    <a:prstGeom prst="rect">
                      <a:avLst/>
                    </a:prstGeom>
                    <a:noFill/>
                  </pic:spPr>
                </pic:pic>
              </a:graphicData>
            </a:graphic>
          </wp:anchor>
        </w:drawing>
      </w:r>
    </w:p>
    <w:p>
      <w:pPr>
        <w:spacing w:after="0" w:line="291" w:lineRule="exact"/>
        <w:rPr>
          <w:sz w:val="20"/>
          <w:szCs w:val="20"/>
          <w:color w:val="auto"/>
        </w:rPr>
      </w:pPr>
    </w:p>
    <w:p>
      <w:pPr>
        <w:sectPr>
          <w:pgSz w:w="11900" w:h="16838" w:orient="portrait"/>
          <w:cols w:equalWidth="0" w:num="2">
            <w:col w:w="9220" w:space="300"/>
            <w:col w:w="1660"/>
          </w:cols>
          <w:pgMar w:left="320" w:top="369" w:right="39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7660" w:type="dxa"/>
            <w:vAlign w:val="bottom"/>
            <w:shd w:val="clear" w:color="auto" w:fill="A6A6A6"/>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20" w:type="dxa"/>
            <w:vAlign w:val="bottom"/>
            <w:shd w:val="clear" w:color="auto" w:fill="A6A6A6"/>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2"/>
        </w:trPr>
        <w:tc>
          <w:tcPr>
            <w:tcW w:w="7680" w:type="dxa"/>
            <w:vAlign w:val="bottom"/>
            <w:gridSpan w:val="2"/>
          </w:tcPr>
          <w:p>
            <w:pPr>
              <w:spacing w:after="0"/>
              <w:rPr>
                <w:sz w:val="20"/>
                <w:szCs w:val="20"/>
                <w:color w:val="auto"/>
              </w:rPr>
            </w:pPr>
            <w:r>
              <w:rPr>
                <w:rFonts w:ascii="Times New Roman" w:cs="Times New Roman" w:eastAsia="Times New Roman" w:hAnsi="Times New Roman"/>
                <w:sz w:val="16"/>
                <w:szCs w:val="16"/>
                <w:color w:val="004483"/>
              </w:rPr>
              <w:t>Current Liabilities -</w:t>
            </w: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7660" w:type="dxa"/>
            <w:vAlign w:val="bottom"/>
            <w:tcBorders>
              <w:top w:val="single" w:sz="8" w:color="A6A6A6"/>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Accounts Payable</w:t>
            </w:r>
          </w:p>
        </w:tc>
        <w:tc>
          <w:tcPr>
            <w:tcW w:w="480" w:type="dxa"/>
            <w:vAlign w:val="bottom"/>
            <w:tcBorders>
              <w:top w:val="single" w:sz="8" w:color="A6A6A6"/>
              <w:bottom w:val="single" w:sz="8" w:color="A6A6A6"/>
            </w:tcBorders>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71,596</w:t>
            </w:r>
          </w:p>
        </w:tc>
        <w:tc>
          <w:tcPr>
            <w:tcW w:w="12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500" w:type="dxa"/>
            <w:vAlign w:val="bottom"/>
            <w:tcBorders>
              <w:top w:val="single" w:sz="8" w:color="A6A6A6"/>
              <w:bottom w:val="single" w:sz="8" w:color="A6A6A6"/>
            </w:tcBorders>
            <w:gridSpan w:val="2"/>
          </w:tcPr>
          <w:p>
            <w:pPr>
              <w:jc w:val="right"/>
              <w:ind w:right="365"/>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84,183</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66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Accrued Liabilities</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84,914</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70,442</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66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Operating Lease Liabilities</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6,551</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6,585</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66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Current Liabilities of Discontinued Operations</w:t>
            </w:r>
          </w:p>
        </w:tc>
        <w:tc>
          <w:tcPr>
            <w:tcW w:w="48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48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8,487</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660" w:type="dxa"/>
            <w:vAlign w:val="bottom"/>
            <w:tcBorders>
              <w:bottom w:val="single" w:sz="8" w:color="A6A6A6"/>
            </w:tcBorders>
          </w:tcPr>
          <w:p>
            <w:pPr>
              <w:ind w:left="480"/>
              <w:spacing w:after="0"/>
              <w:rPr>
                <w:sz w:val="20"/>
                <w:szCs w:val="20"/>
                <w:color w:val="auto"/>
              </w:rPr>
            </w:pPr>
            <w:r>
              <w:rPr>
                <w:rFonts w:ascii="Times New Roman" w:cs="Times New Roman" w:eastAsia="Times New Roman" w:hAnsi="Times New Roman"/>
                <w:sz w:val="16"/>
                <w:szCs w:val="16"/>
                <w:color w:val="004483"/>
              </w:rPr>
              <w:t>Total Current Liabilities</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163,061</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169,697</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6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Long-term Debt</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1,008,345</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1,567,315</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6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Noncurrent Operating Lease Liabilities</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35,896</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40,239</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6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Other Long-term Liabilities</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41,495</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33,832</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6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Deferred Income Taxes</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215,059</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166,667</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6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Liabilities of Discontinued Operations</w:t>
            </w:r>
          </w:p>
        </w:tc>
        <w:tc>
          <w:tcPr>
            <w:tcW w:w="48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48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15,427</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660" w:type="dxa"/>
            <w:vAlign w:val="bottom"/>
            <w:tcBorders>
              <w:bottom w:val="single" w:sz="8" w:color="A6A6A6"/>
            </w:tcBorders>
          </w:tcPr>
          <w:p>
            <w:pPr>
              <w:ind w:left="480"/>
              <w:spacing w:after="0"/>
              <w:rPr>
                <w:sz w:val="20"/>
                <w:szCs w:val="20"/>
                <w:color w:val="auto"/>
              </w:rPr>
            </w:pPr>
            <w:r>
              <w:rPr>
                <w:rFonts w:ascii="Times New Roman" w:cs="Times New Roman" w:eastAsia="Times New Roman" w:hAnsi="Times New Roman"/>
                <w:sz w:val="16"/>
                <w:szCs w:val="16"/>
                <w:color w:val="004483"/>
              </w:rPr>
              <w:t>Total Liabilities</w:t>
            </w:r>
          </w:p>
        </w:tc>
        <w:tc>
          <w:tcPr>
            <w:tcW w:w="48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1,463,856</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48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1,993,177</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6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Stockholders’ Equity –</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66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Preferred Stock, Par Value $0.01; Authorized 5,000,000 Shares; None Issued</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7660" w:type="dxa"/>
            <w:vAlign w:val="bottom"/>
          </w:tcPr>
          <w:p>
            <w:pPr>
              <w:ind w:left="240"/>
              <w:spacing w:after="0"/>
              <w:rPr>
                <w:sz w:val="20"/>
                <w:szCs w:val="20"/>
                <w:color w:val="auto"/>
              </w:rPr>
            </w:pPr>
            <w:r>
              <w:rPr>
                <w:rFonts w:ascii="Times New Roman" w:cs="Times New Roman" w:eastAsia="Times New Roman" w:hAnsi="Times New Roman"/>
                <w:sz w:val="16"/>
                <w:szCs w:val="16"/>
                <w:color w:val="004483"/>
              </w:rPr>
              <w:t>Common Stock, Par Value $0.01; Authorized 100,000,000 Shares;</w:t>
            </w: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7660" w:type="dxa"/>
            <w:vAlign w:val="bottom"/>
            <w:tcBorders>
              <w:bottom w:val="single" w:sz="8" w:color="A6A6A6"/>
            </w:tcBorders>
          </w:tcPr>
          <w:p>
            <w:pPr>
              <w:ind w:left="360"/>
              <w:spacing w:after="0"/>
              <w:rPr>
                <w:sz w:val="20"/>
                <w:szCs w:val="20"/>
                <w:color w:val="auto"/>
              </w:rPr>
            </w:pPr>
            <w:r>
              <w:rPr>
                <w:rFonts w:ascii="Times New Roman" w:cs="Times New Roman" w:eastAsia="Times New Roman" w:hAnsi="Times New Roman"/>
                <w:sz w:val="16"/>
                <w:szCs w:val="16"/>
                <w:color w:val="004483"/>
              </w:rPr>
              <w:t>Issued and Outstanding 41,939,310 and 41,649,041 Shares, respectively</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6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Capital in Excess of Par Value</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30,516</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10,943</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6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Accumulated Other Comprehensive Losses</w:t>
            </w: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(3,581)</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6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Retained Earnings</w:t>
            </w:r>
          </w:p>
        </w:tc>
        <w:tc>
          <w:tcPr>
            <w:tcW w:w="48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1,233,498</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48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960,065</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660" w:type="dxa"/>
            <w:vAlign w:val="bottom"/>
          </w:tcPr>
          <w:p>
            <w:pPr>
              <w:ind w:left="480"/>
              <w:spacing w:after="0"/>
              <w:rPr>
                <w:sz w:val="20"/>
                <w:szCs w:val="20"/>
                <w:color w:val="auto"/>
              </w:rPr>
            </w:pPr>
            <w:r>
              <w:rPr>
                <w:rFonts w:ascii="Times New Roman" w:cs="Times New Roman" w:eastAsia="Times New Roman" w:hAnsi="Times New Roman"/>
                <w:sz w:val="16"/>
                <w:szCs w:val="16"/>
                <w:color w:val="004483"/>
              </w:rPr>
              <w:t>Total Stockholders’ Equity</w:t>
            </w:r>
          </w:p>
        </w:tc>
        <w:tc>
          <w:tcPr>
            <w:tcW w:w="48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1,261,182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967,843</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480" w:type="dxa"/>
            <w:vAlign w:val="bottom"/>
            <w:tcBorders>
              <w:bottom w:val="single" w:sz="8" w:color="004483"/>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2,725,038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004483"/>
            </w:tcBorders>
          </w:tcPr>
          <w:p>
            <w:pPr>
              <w:spacing w:after="0"/>
              <w:rPr>
                <w:sz w:val="18"/>
                <w:szCs w:val="18"/>
                <w:color w:val="auto"/>
              </w:rPr>
            </w:pPr>
          </w:p>
        </w:tc>
        <w:tc>
          <w:tcPr>
            <w:tcW w:w="480" w:type="dxa"/>
            <w:vAlign w:val="bottom"/>
            <w:tcBorders>
              <w:bottom w:val="single" w:sz="8" w:color="004483"/>
            </w:tcBorders>
          </w:tcPr>
          <w:p>
            <w:pPr>
              <w:jc w:val="right"/>
              <w:ind w:right="3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2,961,020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unaudited consolidated financial statements.</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80"/>
          </w:cols>
          <w:pgMar w:left="320" w:top="369" w:right="3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EAGLE MATERIALS INC. AND SUBSIDIARIES CONSOLIDATED STATEMENTS OF CASH FLOWS (unaudited)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shd w:val="clear" w:color="auto" w:fill="004483"/>
          </w:tcPr>
          <w:p>
            <w:pPr>
              <w:spacing w:after="0"/>
              <w:rPr>
                <w:sz w:val="19"/>
                <w:szCs w:val="19"/>
                <w:color w:val="auto"/>
              </w:rPr>
            </w:pPr>
          </w:p>
        </w:tc>
        <w:tc>
          <w:tcPr>
            <w:tcW w:w="2500" w:type="dxa"/>
            <w:vAlign w:val="bottom"/>
            <w:gridSpan w:val="4"/>
            <w:shd w:val="clear" w:color="auto" w:fill="004483"/>
          </w:tcPr>
          <w:p>
            <w:pPr>
              <w:jc w:val="right"/>
              <w:spacing w:after="0"/>
              <w:rPr>
                <w:sz w:val="20"/>
                <w:szCs w:val="20"/>
                <w:color w:val="auto"/>
              </w:rPr>
            </w:pPr>
            <w:r>
              <w:rPr>
                <w:rFonts w:ascii="Times New Roman" w:cs="Times New Roman" w:eastAsia="Times New Roman" w:hAnsi="Times New Roman"/>
                <w:sz w:val="13"/>
                <w:szCs w:val="13"/>
                <w:b w:val="1"/>
                <w:bCs w:val="1"/>
                <w:color w:val="FFFFFF"/>
              </w:rPr>
              <w:t>For the Nine Months Ended December 31,</w:t>
            </w:r>
          </w:p>
        </w:tc>
        <w:tc>
          <w:tcPr>
            <w:tcW w:w="600" w:type="dxa"/>
            <w:vAlign w:val="bottom"/>
            <w:shd w:val="clear" w:color="auto" w:fill="004483"/>
          </w:tcPr>
          <w:p>
            <w:pPr>
              <w:spacing w:after="0"/>
              <w:rPr>
                <w:sz w:val="19"/>
                <w:szCs w:val="19"/>
                <w:color w:val="auto"/>
              </w:rPr>
            </w:pPr>
          </w:p>
        </w:tc>
        <w:tc>
          <w:tcPr>
            <w:tcW w:w="100" w:type="dxa"/>
            <w:vAlign w:val="bottom"/>
            <w:shd w:val="clear" w:color="auto" w:fill="004483"/>
          </w:tcPr>
          <w:p>
            <w:pPr>
              <w:spacing w:after="0"/>
              <w:rPr>
                <w:sz w:val="19"/>
                <w:szCs w:val="19"/>
                <w:color w:val="auto"/>
              </w:rPr>
            </w:pPr>
          </w:p>
        </w:tc>
      </w:tr>
      <w:tr>
        <w:trPr>
          <w:trHeight w:val="143"/>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7000" w:type="dxa"/>
            <w:vAlign w:val="bottom"/>
            <w:tcBorders>
              <w:bottom w:val="single" w:sz="8" w:color="004483"/>
            </w:tcBorders>
          </w:tcPr>
          <w:p>
            <w:pPr>
              <w:spacing w:after="0"/>
              <w:rPr>
                <w:sz w:val="13"/>
                <w:szCs w:val="13"/>
                <w:color w:val="auto"/>
              </w:rPr>
            </w:pPr>
          </w:p>
        </w:tc>
        <w:tc>
          <w:tcPr>
            <w:tcW w:w="700" w:type="dxa"/>
            <w:vAlign w:val="bottom"/>
            <w:tcBorders>
              <w:bottom w:val="single" w:sz="8" w:color="004483"/>
            </w:tcBorders>
          </w:tcPr>
          <w:p>
            <w:pPr>
              <w:spacing w:after="0"/>
              <w:rPr>
                <w:sz w:val="13"/>
                <w:szCs w:val="13"/>
                <w:color w:val="auto"/>
              </w:rPr>
            </w:pPr>
          </w:p>
        </w:tc>
        <w:tc>
          <w:tcPr>
            <w:tcW w:w="320" w:type="dxa"/>
            <w:vAlign w:val="bottom"/>
            <w:tcBorders>
              <w:bottom w:val="single" w:sz="8" w:color="004483"/>
            </w:tcBorders>
          </w:tcPr>
          <w:p>
            <w:pPr>
              <w:spacing w:after="0"/>
              <w:rPr>
                <w:sz w:val="13"/>
                <w:szCs w:val="13"/>
                <w:color w:val="auto"/>
              </w:rPr>
            </w:pPr>
          </w:p>
        </w:tc>
        <w:tc>
          <w:tcPr>
            <w:tcW w:w="2500" w:type="dxa"/>
            <w:vAlign w:val="bottom"/>
            <w:tcBorders>
              <w:bottom w:val="single" w:sz="8" w:color="004483"/>
            </w:tcBorders>
            <w:gridSpan w:val="4"/>
          </w:tcPr>
          <w:p>
            <w:pPr>
              <w:jc w:val="right"/>
              <w:ind w:right="500"/>
              <w:spacing w:after="0"/>
              <w:rPr>
                <w:sz w:val="20"/>
                <w:szCs w:val="20"/>
                <w:color w:val="auto"/>
              </w:rPr>
            </w:pPr>
            <w:r>
              <w:rPr>
                <w:rFonts w:ascii="Times New Roman" w:cs="Times New Roman" w:eastAsia="Times New Roman" w:hAnsi="Times New Roman"/>
                <w:sz w:val="13"/>
                <w:szCs w:val="13"/>
                <w:color w:val="auto"/>
              </w:rPr>
              <w:t>(dollars in thousands)</w:t>
            </w:r>
          </w:p>
        </w:tc>
        <w:tc>
          <w:tcPr>
            <w:tcW w:w="60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r>
      <w:tr>
        <w:trPr>
          <w:trHeight w:val="206"/>
        </w:trPr>
        <w:tc>
          <w:tcPr>
            <w:tcW w:w="20" w:type="dxa"/>
            <w:vAlign w:val="bottom"/>
          </w:tcPr>
          <w:p>
            <w:pPr>
              <w:spacing w:after="0"/>
              <w:rPr>
                <w:sz w:val="17"/>
                <w:szCs w:val="17"/>
                <w:color w:val="auto"/>
              </w:rPr>
            </w:pPr>
          </w:p>
        </w:tc>
        <w:tc>
          <w:tcPr>
            <w:tcW w:w="700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70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124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c>
          <w:tcPr>
            <w:tcW w:w="60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700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Net Earnings (Loss)</w:t>
            </w:r>
          </w:p>
        </w:tc>
        <w:tc>
          <w:tcPr>
            <w:tcW w:w="1020" w:type="dxa"/>
            <w:vAlign w:val="bottom"/>
            <w:tcBorders>
              <w:bottom w:val="single" w:sz="8" w:color="A6A6A6"/>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273,433</w:t>
            </w: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ind w:right="8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004483"/>
              </w:rPr>
              <w:t>Adjustments to Reconcile Net Earnings (Loss) to Net Cash Provided</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7020" w:type="dxa"/>
            <w:vAlign w:val="bottom"/>
            <w:gridSpan w:val="2"/>
          </w:tcPr>
          <w:p>
            <w:pPr>
              <w:spacing w:after="0"/>
              <w:rPr>
                <w:sz w:val="20"/>
                <w:szCs w:val="20"/>
                <w:color w:val="auto"/>
              </w:rPr>
            </w:pPr>
            <w:r>
              <w:rPr>
                <w:rFonts w:ascii="Times New Roman" w:cs="Times New Roman" w:eastAsia="Times New Roman" w:hAnsi="Times New Roman"/>
                <w:sz w:val="16"/>
                <w:szCs w:val="16"/>
                <w:color w:val="004483"/>
              </w:rPr>
              <w:t>by Operating Activities, Net of Effect of Non-Cash Activity -</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top w:val="single" w:sz="8" w:color="A6A6A6"/>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Depreciation, Depletion and Amortization</w:t>
            </w:r>
          </w:p>
        </w:tc>
        <w:tc>
          <w:tcPr>
            <w:tcW w:w="700" w:type="dxa"/>
            <w:vAlign w:val="bottom"/>
            <w:tcBorders>
              <w:top w:val="single" w:sz="8" w:color="A6A6A6"/>
              <w:bottom w:val="single" w:sz="8" w:color="A6A6A6"/>
            </w:tcBorders>
          </w:tcPr>
          <w:p>
            <w:pPr>
              <w:spacing w:after="0"/>
              <w:rPr>
                <w:sz w:val="18"/>
                <w:szCs w:val="18"/>
                <w:color w:val="auto"/>
              </w:rPr>
            </w:pPr>
          </w:p>
        </w:tc>
        <w:tc>
          <w:tcPr>
            <w:tcW w:w="320" w:type="dxa"/>
            <w:vAlign w:val="bottom"/>
            <w:tcBorders>
              <w:top w:val="single" w:sz="8" w:color="A6A6A6"/>
              <w:bottom w:val="single" w:sz="8" w:color="A6A6A6"/>
            </w:tcBorders>
          </w:tcPr>
          <w:p>
            <w:pPr>
              <w:spacing w:after="0"/>
              <w:rPr>
                <w:sz w:val="18"/>
                <w:szCs w:val="18"/>
                <w:color w:val="auto"/>
              </w:rPr>
            </w:pPr>
          </w:p>
        </w:tc>
        <w:tc>
          <w:tcPr>
            <w:tcW w:w="124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96,279</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980" w:type="dxa"/>
            <w:vAlign w:val="bottom"/>
            <w:tcBorders>
              <w:top w:val="single" w:sz="8" w:color="A6A6A6"/>
              <w:bottom w:val="single" w:sz="8" w:color="A6A6A6"/>
            </w:tcBorders>
          </w:tcPr>
          <w:p>
            <w:pPr>
              <w:spacing w:after="0"/>
              <w:rPr>
                <w:sz w:val="18"/>
                <w:szCs w:val="18"/>
                <w:color w:val="auto"/>
              </w:rPr>
            </w:pPr>
          </w:p>
        </w:tc>
        <w:tc>
          <w:tcPr>
            <w:tcW w:w="60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84,944</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Impairment Losses</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224,267</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Deferred Income Tax Provision</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48,392</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(40,396)</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Stock Compensation Expense</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12,057</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16,407</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Gain on Sale of Subsidiaries</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(61,203)</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Equity in Earnings of Unconsolidated Joint Venture</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(28,456)</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(32,489)</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Distributions from Joint Venture</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27,500</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25,500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Changes in Operating Assets and Liabilities:</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Accounts and Notes Receivable</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6,859</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(12,171)</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Inventories</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37,084</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36,595</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Accounts Payable and Accrued Liabilities</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5,572</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(10,006)</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Other Assets</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4,003</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Income Taxes Payable (Receivable)</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12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126,513</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004483"/>
            </w:tcBorders>
          </w:tcPr>
          <w:p>
            <w:pPr>
              <w:spacing w:after="0"/>
              <w:rPr>
                <w:sz w:val="18"/>
                <w:szCs w:val="18"/>
                <w:color w:val="auto"/>
              </w:rPr>
            </w:pPr>
          </w:p>
        </w:tc>
        <w:tc>
          <w:tcPr>
            <w:tcW w:w="6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25,500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ind w:left="480"/>
              <w:spacing w:after="0"/>
              <w:rPr>
                <w:sz w:val="20"/>
                <w:szCs w:val="20"/>
                <w:color w:val="auto"/>
              </w:rPr>
            </w:pPr>
            <w:r>
              <w:rPr>
                <w:rFonts w:ascii="Times New Roman" w:cs="Times New Roman" w:eastAsia="Times New Roman" w:hAnsi="Times New Roman"/>
                <w:sz w:val="16"/>
                <w:szCs w:val="16"/>
                <w:color w:val="004483"/>
              </w:rPr>
              <w:t>Net Cash Provided by Operating Activities</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12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542,017</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004483"/>
            </w:tcBorders>
          </w:tcPr>
          <w:p>
            <w:pPr>
              <w:spacing w:after="0"/>
              <w:rPr>
                <w:sz w:val="18"/>
                <w:szCs w:val="18"/>
                <w:color w:val="auto"/>
              </w:rPr>
            </w:pPr>
          </w:p>
        </w:tc>
        <w:tc>
          <w:tcPr>
            <w:tcW w:w="6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320,619</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00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700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Additions to Property, Plant, and Equipment</w:t>
            </w:r>
          </w:p>
        </w:tc>
        <w:tc>
          <w:tcPr>
            <w:tcW w:w="70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12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(45,541)</w:t>
            </w: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(84,056)</w:t>
            </w: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Acquisition Spending</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(30,424)</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Proceeds from Sale of Businesses</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12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91,022</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004483"/>
            </w:tcBorders>
          </w:tcPr>
          <w:p>
            <w:pPr>
              <w:spacing w:after="0"/>
              <w:rPr>
                <w:sz w:val="18"/>
                <w:szCs w:val="18"/>
                <w:color w:val="auto"/>
              </w:rPr>
            </w:pPr>
          </w:p>
        </w:tc>
        <w:tc>
          <w:tcPr>
            <w:tcW w:w="6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ind w:left="480"/>
              <w:spacing w:after="0"/>
              <w:rPr>
                <w:sz w:val="20"/>
                <w:szCs w:val="20"/>
                <w:color w:val="auto"/>
              </w:rPr>
            </w:pPr>
            <w:r>
              <w:rPr>
                <w:rFonts w:ascii="Times New Roman" w:cs="Times New Roman" w:eastAsia="Times New Roman" w:hAnsi="Times New Roman"/>
                <w:sz w:val="16"/>
                <w:szCs w:val="16"/>
                <w:color w:val="004483"/>
              </w:rPr>
              <w:t>Net Cash Provided by (Used in) Investing Activities</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12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45,481</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004483"/>
            </w:tcBorders>
          </w:tcPr>
          <w:p>
            <w:pPr>
              <w:spacing w:after="0"/>
              <w:rPr>
                <w:sz w:val="18"/>
                <w:szCs w:val="18"/>
                <w:color w:val="auto"/>
              </w:rPr>
            </w:pPr>
          </w:p>
        </w:tc>
        <w:tc>
          <w:tcPr>
            <w:tcW w:w="6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w w:val="92"/>
              </w:rPr>
              <w:t>(114,480)</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00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700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Increase (Decrease) in Credit Facility</w:t>
            </w:r>
          </w:p>
        </w:tc>
        <w:tc>
          <w:tcPr>
            <w:tcW w:w="70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12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(560,000)</w:t>
            </w: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Repayment of Private Placement Unsecured Notes</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(36,500)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Dividends Paid to Stockholders</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(13,131)</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Purchase and Retirement of Common Stock</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92"/>
              </w:rPr>
              <w:t>(313,887)</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Proceeds from Stock Option Exercises</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8,649</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Payment of Debt Issuance Costs</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Shares Redeemed to Settle Employee Taxes on Stock Compensation</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12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004483"/>
            </w:tcBorders>
          </w:tcPr>
          <w:p>
            <w:pPr>
              <w:spacing w:after="0"/>
              <w:rPr>
                <w:sz w:val="18"/>
                <w:szCs w:val="18"/>
                <w:color w:val="auto"/>
              </w:rPr>
            </w:pPr>
          </w:p>
        </w:tc>
        <w:tc>
          <w:tcPr>
            <w:tcW w:w="6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ind w:left="480"/>
              <w:spacing w:after="0"/>
              <w:rPr>
                <w:sz w:val="20"/>
                <w:szCs w:val="20"/>
                <w:color w:val="auto"/>
              </w:rPr>
            </w:pPr>
            <w:r>
              <w:rPr>
                <w:rFonts w:ascii="Times New Roman" w:cs="Times New Roman" w:eastAsia="Times New Roman" w:hAnsi="Times New Roman"/>
                <w:sz w:val="16"/>
                <w:szCs w:val="16"/>
                <w:color w:val="004483"/>
              </w:rPr>
              <w:t>Net Cash Used in Financing Activities</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12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(558,362)</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004483"/>
            </w:tcBorders>
          </w:tcPr>
          <w:p>
            <w:pPr>
              <w:spacing w:after="0"/>
              <w:rPr>
                <w:sz w:val="18"/>
                <w:szCs w:val="18"/>
                <w:color w:val="auto"/>
              </w:rPr>
            </w:pPr>
          </w:p>
        </w:tc>
        <w:tc>
          <w:tcPr>
            <w:tcW w:w="6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(88,485)</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00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12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29,136</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117,654</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700" w:type="dxa"/>
            <w:vAlign w:val="bottom"/>
            <w:tcBorders>
              <w:bottom w:val="single" w:sz="8" w:color="A6A6A6"/>
            </w:tcBorders>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12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118,648</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980" w:type="dxa"/>
            <w:vAlign w:val="bottom"/>
            <w:tcBorders>
              <w:bottom w:val="single" w:sz="8" w:color="004483"/>
            </w:tcBorders>
          </w:tcPr>
          <w:p>
            <w:pPr>
              <w:spacing w:after="0"/>
              <w:rPr>
                <w:sz w:val="18"/>
                <w:szCs w:val="18"/>
                <w:color w:val="auto"/>
              </w:rPr>
            </w:pPr>
          </w:p>
        </w:tc>
        <w:tc>
          <w:tcPr>
            <w:tcW w:w="6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8,601</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700" w:type="dxa"/>
            <w:vAlign w:val="bottom"/>
          </w:tcPr>
          <w:p>
            <w:pPr>
              <w:spacing w:after="0"/>
              <w:rPr>
                <w:sz w:val="18"/>
                <w:szCs w:val="18"/>
                <w:color w:val="auto"/>
              </w:rPr>
            </w:pPr>
          </w:p>
        </w:tc>
        <w:tc>
          <w:tcPr>
            <w:tcW w:w="320" w:type="dxa"/>
            <w:vAlign w:val="bottom"/>
            <w:tcBorders>
              <w:bottom w:val="single" w:sz="8" w:color="004483"/>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147,784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004483"/>
            </w:tcBorders>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126,255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unaudited consolidated financial statements.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EAGLE MATERIALS INC. AND SUBSIDIARIES CONSOLIDATED STATEMENTS OF STOCKHOLDERS’ EQUITY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right"/>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right"/>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340" w:type="dxa"/>
            <w:vAlign w:val="bottom"/>
            <w:tcBorders>
              <w:bottom w:val="single" w:sz="8" w:color="004483"/>
            </w:tcBorders>
          </w:tcPr>
          <w:p>
            <w:pPr>
              <w:spacing w:after="0"/>
              <w:rPr>
                <w:sz w:val="13"/>
                <w:szCs w:val="13"/>
                <w:color w:val="auto"/>
              </w:rPr>
            </w:pPr>
          </w:p>
        </w:tc>
        <w:tc>
          <w:tcPr>
            <w:tcW w:w="820" w:type="dxa"/>
            <w:vAlign w:val="bottom"/>
            <w:tcBorders>
              <w:bottom w:val="single" w:sz="8" w:color="004483"/>
            </w:tcBorders>
          </w:tcPr>
          <w:p>
            <w:pPr>
              <w:spacing w:after="0"/>
              <w:rPr>
                <w:sz w:val="13"/>
                <w:szCs w:val="13"/>
                <w:color w:val="auto"/>
              </w:rPr>
            </w:pPr>
          </w:p>
        </w:tc>
        <w:tc>
          <w:tcPr>
            <w:tcW w:w="260" w:type="dxa"/>
            <w:vAlign w:val="bottom"/>
            <w:tcBorders>
              <w:bottom w:val="single" w:sz="8" w:color="004483"/>
            </w:tcBorders>
          </w:tcPr>
          <w:p>
            <w:pPr>
              <w:spacing w:after="0"/>
              <w:rPr>
                <w:sz w:val="13"/>
                <w:szCs w:val="13"/>
                <w:color w:val="auto"/>
              </w:rPr>
            </w:pPr>
          </w:p>
        </w:tc>
        <w:tc>
          <w:tcPr>
            <w:tcW w:w="74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220" w:type="dxa"/>
            <w:vAlign w:val="bottom"/>
            <w:tcBorders>
              <w:bottom w:val="single" w:sz="8" w:color="004483"/>
            </w:tcBorders>
          </w:tcPr>
          <w:p>
            <w:pPr>
              <w:spacing w:after="0"/>
              <w:rPr>
                <w:sz w:val="13"/>
                <w:szCs w:val="13"/>
                <w:color w:val="auto"/>
              </w:rPr>
            </w:pPr>
          </w:p>
        </w:tc>
        <w:tc>
          <w:tcPr>
            <w:tcW w:w="780" w:type="dxa"/>
            <w:vAlign w:val="bottom"/>
            <w:tcBorders>
              <w:bottom w:val="single" w:sz="8" w:color="004483"/>
            </w:tcBorders>
          </w:tcPr>
          <w:p>
            <w:pPr>
              <w:spacing w:after="0"/>
              <w:rPr>
                <w:sz w:val="13"/>
                <w:szCs w:val="13"/>
                <w:color w:val="auto"/>
              </w:rPr>
            </w:pPr>
          </w:p>
        </w:tc>
        <w:tc>
          <w:tcPr>
            <w:tcW w:w="100" w:type="dxa"/>
            <w:vAlign w:val="bottom"/>
            <w:tcBorders>
              <w:bottom w:val="single" w:sz="8" w:color="004483"/>
            </w:tcBorders>
          </w:tcPr>
          <w:p>
            <w:pPr>
              <w:spacing w:after="0"/>
              <w:rPr>
                <w:sz w:val="13"/>
                <w:szCs w:val="13"/>
                <w:color w:val="auto"/>
              </w:rPr>
            </w:pPr>
          </w:p>
        </w:tc>
        <w:tc>
          <w:tcPr>
            <w:tcW w:w="1240" w:type="dxa"/>
            <w:vAlign w:val="bottom"/>
            <w:tcBorders>
              <w:bottom w:val="single" w:sz="8" w:color="004483"/>
            </w:tcBorders>
            <w:gridSpan w:val="4"/>
          </w:tcPr>
          <w:p>
            <w:pPr>
              <w:ind w:left="80"/>
              <w:spacing w:after="0"/>
              <w:rPr>
                <w:sz w:val="20"/>
                <w:szCs w:val="20"/>
                <w:color w:val="auto"/>
              </w:rPr>
            </w:pPr>
            <w:r>
              <w:rPr>
                <w:rFonts w:ascii="Times New Roman" w:cs="Times New Roman" w:eastAsia="Times New Roman" w:hAnsi="Times New Roman"/>
                <w:sz w:val="13"/>
                <w:szCs w:val="13"/>
                <w:color w:val="auto"/>
              </w:rPr>
              <w:t>(dollars in thousands)</w:t>
            </w:r>
          </w:p>
        </w:tc>
        <w:tc>
          <w:tcPr>
            <w:tcW w:w="120" w:type="dxa"/>
            <w:vAlign w:val="bottom"/>
            <w:tcBorders>
              <w:bottom w:val="single" w:sz="8" w:color="004483"/>
            </w:tcBorders>
          </w:tcPr>
          <w:p>
            <w:pPr>
              <w:spacing w:after="0"/>
              <w:rPr>
                <w:sz w:val="13"/>
                <w:szCs w:val="13"/>
                <w:color w:val="auto"/>
              </w:rPr>
            </w:pPr>
          </w:p>
        </w:tc>
        <w:tc>
          <w:tcPr>
            <w:tcW w:w="140" w:type="dxa"/>
            <w:vAlign w:val="bottom"/>
            <w:tcBorders>
              <w:bottom w:val="single" w:sz="8" w:color="004483"/>
            </w:tcBorders>
          </w:tcPr>
          <w:p>
            <w:pPr>
              <w:spacing w:after="0"/>
              <w:rPr>
                <w:sz w:val="13"/>
                <w:szCs w:val="13"/>
                <w:color w:val="auto"/>
              </w:rPr>
            </w:pPr>
          </w:p>
        </w:tc>
        <w:tc>
          <w:tcPr>
            <w:tcW w:w="86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220" w:type="dxa"/>
            <w:vAlign w:val="bottom"/>
            <w:tcBorders>
              <w:bottom w:val="single" w:sz="8" w:color="004483"/>
            </w:tcBorders>
          </w:tcPr>
          <w:p>
            <w:pPr>
              <w:spacing w:after="0"/>
              <w:rPr>
                <w:sz w:val="13"/>
                <w:szCs w:val="13"/>
                <w:color w:val="auto"/>
              </w:rPr>
            </w:pPr>
          </w:p>
        </w:tc>
        <w:tc>
          <w:tcPr>
            <w:tcW w:w="800" w:type="dxa"/>
            <w:vAlign w:val="bottom"/>
            <w:tcBorders>
              <w:bottom w:val="single" w:sz="8" w:color="004483"/>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2019</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1,212,352</w:t>
            </w:r>
          </w:p>
        </w:tc>
        <w:tc>
          <w:tcPr>
            <w:tcW w:w="1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(3,316)</w:t>
            </w:r>
          </w:p>
        </w:tc>
        <w:tc>
          <w:tcPr>
            <w:tcW w:w="120" w:type="dxa"/>
            <w:vAlign w:val="bottom"/>
          </w:tcPr>
          <w:p>
            <w:pPr>
              <w:spacing w:after="0"/>
              <w:rPr>
                <w:sz w:val="17"/>
                <w:szCs w:val="17"/>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1,209,487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40" w:type="dxa"/>
            <w:vAlign w:val="bottom"/>
            <w:tcBorders>
              <w:top w:val="single" w:sz="8" w:color="A6A6A6"/>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Net Earnings</w:t>
            </w:r>
          </w:p>
        </w:tc>
        <w:tc>
          <w:tcPr>
            <w:tcW w:w="820" w:type="dxa"/>
            <w:vAlign w:val="bottom"/>
            <w:tcBorders>
              <w:top w:val="single" w:sz="8" w:color="A6A6A6"/>
              <w:bottom w:val="single" w:sz="8" w:color="A6A6A6"/>
            </w:tcBorders>
          </w:tcPr>
          <w:p>
            <w:pPr>
              <w:spacing w:after="0"/>
              <w:rPr>
                <w:sz w:val="17"/>
                <w:szCs w:val="17"/>
                <w:color w:val="auto"/>
              </w:rPr>
            </w:pPr>
          </w:p>
        </w:tc>
        <w:tc>
          <w:tcPr>
            <w:tcW w:w="260" w:type="dxa"/>
            <w:vAlign w:val="bottom"/>
            <w:tcBorders>
              <w:top w:val="single" w:sz="8" w:color="A6A6A6"/>
              <w:bottom w:val="single" w:sz="8" w:color="A6A6A6"/>
            </w:tcBorders>
          </w:tcPr>
          <w:p>
            <w:pPr>
              <w:spacing w:after="0"/>
              <w:rPr>
                <w:sz w:val="17"/>
                <w:szCs w:val="17"/>
                <w:color w:val="auto"/>
              </w:rPr>
            </w:pPr>
          </w:p>
        </w:tc>
        <w:tc>
          <w:tcPr>
            <w:tcW w:w="74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220" w:type="dxa"/>
            <w:vAlign w:val="bottom"/>
            <w:tcBorders>
              <w:top w:val="single" w:sz="8" w:color="A6A6A6"/>
              <w:bottom w:val="single" w:sz="8" w:color="A6A6A6"/>
            </w:tcBorders>
          </w:tcPr>
          <w:p>
            <w:pPr>
              <w:spacing w:after="0"/>
              <w:rPr>
                <w:sz w:val="17"/>
                <w:szCs w:val="17"/>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220" w:type="dxa"/>
            <w:vAlign w:val="bottom"/>
            <w:tcBorders>
              <w:top w:val="single" w:sz="8" w:color="A6A6A6"/>
              <w:bottom w:val="single" w:sz="8" w:color="A6A6A6"/>
            </w:tcBorders>
          </w:tcPr>
          <w:p>
            <w:pPr>
              <w:spacing w:after="0"/>
              <w:rPr>
                <w:sz w:val="17"/>
                <w:szCs w:val="17"/>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41,304</w:t>
            </w:r>
          </w:p>
        </w:tc>
        <w:tc>
          <w:tcPr>
            <w:tcW w:w="10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86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220" w:type="dxa"/>
            <w:vAlign w:val="bottom"/>
            <w:tcBorders>
              <w:top w:val="single" w:sz="8" w:color="A6A6A6"/>
              <w:bottom w:val="single" w:sz="8" w:color="A6A6A6"/>
            </w:tcBorders>
          </w:tcPr>
          <w:p>
            <w:pPr>
              <w:spacing w:after="0"/>
              <w:rPr>
                <w:sz w:val="17"/>
                <w:szCs w:val="17"/>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41,304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Stock Option Exercises and Restricted Share Vesting</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Purchase and Retirement of Common Stock</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(7,748)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(190,584)</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(198,355)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Dividends to Stockholders</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(4,316)</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Stock Compensation Expense</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8,218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Shares Redeemed to Settle Employee Taxes</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Cumulative Effect of Change in Accounting for Leases</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Unfunded Pension Liability, net of tax</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004483"/>
            </w:tcBorders>
          </w:tcPr>
          <w:p>
            <w:pPr>
              <w:spacing w:after="0"/>
              <w:rPr>
                <w:sz w:val="18"/>
                <w:szCs w:val="18"/>
                <w:color w:val="auto"/>
              </w:rPr>
            </w:pPr>
          </w:p>
        </w:tc>
        <w:tc>
          <w:tcPr>
            <w:tcW w:w="7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004483"/>
            </w:tcBorders>
          </w:tcPr>
          <w:p>
            <w:pPr>
              <w:spacing w:after="0"/>
              <w:rPr>
                <w:sz w:val="18"/>
                <w:szCs w:val="18"/>
                <w:color w:val="auto"/>
              </w:rPr>
            </w:pPr>
          </w:p>
        </w:tc>
        <w:tc>
          <w:tcPr>
            <w:tcW w:w="78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004483"/>
            </w:tcBorders>
          </w:tcPr>
          <w:p>
            <w:pPr>
              <w:spacing w:after="0"/>
              <w:rPr>
                <w:sz w:val="18"/>
                <w:szCs w:val="18"/>
                <w:color w:val="auto"/>
              </w:rPr>
            </w:pPr>
          </w:p>
        </w:tc>
        <w:tc>
          <w:tcPr>
            <w:tcW w:w="8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004483"/>
            </w:tcBorders>
          </w:tcPr>
          <w:p>
            <w:pPr>
              <w:spacing w:after="0"/>
              <w:rPr>
                <w:sz w:val="18"/>
                <w:szCs w:val="18"/>
                <w:color w:val="auto"/>
              </w:rPr>
            </w:pPr>
          </w:p>
        </w:tc>
        <w:tc>
          <w:tcPr>
            <w:tcW w:w="8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004483"/>
            </w:tcBorders>
          </w:tcPr>
          <w:p>
            <w:pPr>
              <w:spacing w:after="0"/>
              <w:rPr>
                <w:sz w:val="18"/>
                <w:szCs w:val="18"/>
                <w:color w:val="auto"/>
              </w:rPr>
            </w:pPr>
          </w:p>
        </w:tc>
        <w:tc>
          <w:tcPr>
            <w:tcW w:w="8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June 30, 2019</w:t>
            </w:r>
          </w:p>
        </w:tc>
        <w:tc>
          <w:tcPr>
            <w:tcW w:w="820" w:type="dxa"/>
            <w:vAlign w:val="bottom"/>
            <w:tcBorders>
              <w:bottom w:val="single" w:sz="8" w:color="A6A6A6"/>
            </w:tcBorders>
          </w:tcPr>
          <w:p>
            <w:pPr>
              <w:spacing w:after="0"/>
              <w:rPr>
                <w:sz w:val="21"/>
                <w:szCs w:val="21"/>
                <w:color w:val="auto"/>
              </w:rPr>
            </w:pPr>
          </w:p>
        </w:tc>
        <w:tc>
          <w:tcPr>
            <w:tcW w:w="260" w:type="dxa"/>
            <w:vAlign w:val="bottom"/>
            <w:tcBorders>
              <w:bottom w:val="single" w:sz="8" w:color="004483"/>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004483"/>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004483"/>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1,058,120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004483"/>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1,055,266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004483"/>
              </w:rPr>
              <w:t>Net Earnings</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top w:val="single" w:sz="8" w:color="A6A6A6"/>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Stock Option Exercises and Restricted Share Vesting</w:t>
            </w:r>
          </w:p>
        </w:tc>
        <w:tc>
          <w:tcPr>
            <w:tcW w:w="82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A6A6A6"/>
            </w:tcBorders>
          </w:tcPr>
          <w:p>
            <w:pPr>
              <w:spacing w:after="0"/>
              <w:rPr>
                <w:sz w:val="18"/>
                <w:szCs w:val="18"/>
                <w:color w:val="auto"/>
              </w:rPr>
            </w:pPr>
          </w:p>
        </w:tc>
        <w:tc>
          <w:tcPr>
            <w:tcW w:w="74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86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Purchase and Retirement of Common Stock</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(115,153)</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(115,532)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Dividends to Stockholders</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Stock Compensation Expense</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3,918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3,918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Shares Redeemed to Settle Employee Taxes</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Unfunded Pension Liability, net of tax</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004483"/>
            </w:tcBorders>
          </w:tcPr>
          <w:p>
            <w:pPr>
              <w:spacing w:after="0"/>
              <w:rPr>
                <w:sz w:val="18"/>
                <w:szCs w:val="18"/>
                <w:color w:val="auto"/>
              </w:rPr>
            </w:pPr>
          </w:p>
        </w:tc>
        <w:tc>
          <w:tcPr>
            <w:tcW w:w="7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004483"/>
            </w:tcBorders>
          </w:tcPr>
          <w:p>
            <w:pPr>
              <w:spacing w:after="0"/>
              <w:rPr>
                <w:sz w:val="18"/>
                <w:szCs w:val="18"/>
                <w:color w:val="auto"/>
              </w:rPr>
            </w:pPr>
          </w:p>
        </w:tc>
        <w:tc>
          <w:tcPr>
            <w:tcW w:w="78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004483"/>
            </w:tcBorders>
          </w:tcPr>
          <w:p>
            <w:pPr>
              <w:spacing w:after="0"/>
              <w:rPr>
                <w:sz w:val="18"/>
                <w:szCs w:val="18"/>
                <w:color w:val="auto"/>
              </w:rPr>
            </w:pPr>
          </w:p>
        </w:tc>
        <w:tc>
          <w:tcPr>
            <w:tcW w:w="8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004483"/>
            </w:tcBorders>
          </w:tcPr>
          <w:p>
            <w:pPr>
              <w:spacing w:after="0"/>
              <w:rPr>
                <w:sz w:val="18"/>
                <w:szCs w:val="18"/>
                <w:color w:val="auto"/>
              </w:rPr>
            </w:pPr>
          </w:p>
        </w:tc>
        <w:tc>
          <w:tcPr>
            <w:tcW w:w="8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004483"/>
            </w:tcBorders>
          </w:tcPr>
          <w:p>
            <w:pPr>
              <w:spacing w:after="0"/>
              <w:rPr>
                <w:sz w:val="18"/>
                <w:szCs w:val="18"/>
                <w:color w:val="auto"/>
              </w:rPr>
            </w:pPr>
          </w:p>
        </w:tc>
        <w:tc>
          <w:tcPr>
            <w:tcW w:w="8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2019</w:t>
            </w:r>
          </w:p>
        </w:tc>
        <w:tc>
          <w:tcPr>
            <w:tcW w:w="820" w:type="dxa"/>
            <w:vAlign w:val="bottom"/>
            <w:tcBorders>
              <w:bottom w:val="single" w:sz="8" w:color="A6A6A6"/>
            </w:tcBorders>
          </w:tcPr>
          <w:p>
            <w:pPr>
              <w:spacing w:after="0"/>
              <w:rPr>
                <w:sz w:val="21"/>
                <w:szCs w:val="21"/>
                <w:color w:val="auto"/>
              </w:rPr>
            </w:pPr>
          </w:p>
        </w:tc>
        <w:tc>
          <w:tcPr>
            <w:tcW w:w="260" w:type="dxa"/>
            <w:vAlign w:val="bottom"/>
            <w:tcBorders>
              <w:bottom w:val="single" w:sz="8" w:color="004483"/>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004483"/>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004483"/>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1,010,597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004483"/>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1,010,755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004483"/>
              </w:rPr>
              <w:t>Net Loss</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top w:val="single" w:sz="8" w:color="A6A6A6"/>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Stock Option Exercises and Restricted Share Vesting</w:t>
            </w:r>
          </w:p>
        </w:tc>
        <w:tc>
          <w:tcPr>
            <w:tcW w:w="82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A6A6A6"/>
            </w:tcBorders>
          </w:tcPr>
          <w:p>
            <w:pPr>
              <w:spacing w:after="0"/>
              <w:rPr>
                <w:sz w:val="18"/>
                <w:szCs w:val="18"/>
                <w:color w:val="auto"/>
              </w:rPr>
            </w:pPr>
          </w:p>
        </w:tc>
        <w:tc>
          <w:tcPr>
            <w:tcW w:w="74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86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Dividends to Stockholders</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Stock Compensation Expense</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4,270</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4,270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Shares Redeemed to Settle Employee Taxes</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Unfunded Pension Liability, net of tax</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17385E"/>
            </w:tcBorders>
          </w:tcPr>
          <w:p>
            <w:pPr>
              <w:spacing w:after="0"/>
              <w:rPr>
                <w:sz w:val="18"/>
                <w:szCs w:val="18"/>
                <w:color w:val="auto"/>
              </w:rPr>
            </w:pPr>
          </w:p>
        </w:tc>
        <w:tc>
          <w:tcPr>
            <w:tcW w:w="74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17385E"/>
            </w:tcBorders>
          </w:tcPr>
          <w:p>
            <w:pPr>
              <w:spacing w:after="0"/>
              <w:rPr>
                <w:sz w:val="18"/>
                <w:szCs w:val="18"/>
                <w:color w:val="auto"/>
              </w:rPr>
            </w:pPr>
          </w:p>
        </w:tc>
        <w:tc>
          <w:tcPr>
            <w:tcW w:w="78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17385E"/>
            </w:tcBorders>
          </w:tcPr>
          <w:p>
            <w:pPr>
              <w:spacing w:after="0"/>
              <w:rPr>
                <w:sz w:val="18"/>
                <w:szCs w:val="18"/>
                <w:color w:val="auto"/>
              </w:rPr>
            </w:pPr>
          </w:p>
        </w:tc>
        <w:tc>
          <w:tcPr>
            <w:tcW w:w="80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17385E"/>
            </w:tcBorders>
          </w:tcPr>
          <w:p>
            <w:pPr>
              <w:spacing w:after="0"/>
              <w:rPr>
                <w:sz w:val="18"/>
                <w:szCs w:val="18"/>
                <w:color w:val="auto"/>
              </w:rPr>
            </w:pPr>
          </w:p>
        </w:tc>
        <w:tc>
          <w:tcPr>
            <w:tcW w:w="86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17385E"/>
            </w:tcBorders>
          </w:tcPr>
          <w:p>
            <w:pPr>
              <w:spacing w:after="0"/>
              <w:rPr>
                <w:sz w:val="18"/>
                <w:szCs w:val="18"/>
                <w:color w:val="auto"/>
              </w:rPr>
            </w:pPr>
          </w:p>
        </w:tc>
        <w:tc>
          <w:tcPr>
            <w:tcW w:w="80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2019</w:t>
            </w:r>
          </w:p>
        </w:tc>
        <w:tc>
          <w:tcPr>
            <w:tcW w:w="820" w:type="dxa"/>
            <w:vAlign w:val="bottom"/>
            <w:tcBorders>
              <w:bottom w:val="single" w:sz="8" w:color="A6A6A6"/>
            </w:tcBorders>
          </w:tcPr>
          <w:p>
            <w:pPr>
              <w:spacing w:after="0"/>
              <w:rPr>
                <w:sz w:val="21"/>
                <w:szCs w:val="21"/>
                <w:color w:val="auto"/>
              </w:rPr>
            </w:pPr>
          </w:p>
        </w:tc>
        <w:tc>
          <w:tcPr>
            <w:tcW w:w="260" w:type="dxa"/>
            <w:vAlign w:val="bottom"/>
            <w:tcBorders>
              <w:bottom w:val="single" w:sz="8" w:color="17385E"/>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416</w:t>
            </w:r>
          </w:p>
        </w:tc>
        <w:tc>
          <w:tcPr>
            <w:tcW w:w="12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220" w:type="dxa"/>
            <w:vAlign w:val="bottom"/>
            <w:tcBorders>
              <w:bottom w:val="single" w:sz="8" w:color="17385E"/>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8,325</w:t>
            </w:r>
          </w:p>
        </w:tc>
        <w:tc>
          <w:tcPr>
            <w:tcW w:w="10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220" w:type="dxa"/>
            <w:vAlign w:val="bottom"/>
            <w:tcBorders>
              <w:bottom w:val="single" w:sz="8" w:color="17385E"/>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891,801</w:t>
            </w:r>
          </w:p>
        </w:tc>
        <w:tc>
          <w:tcPr>
            <w:tcW w:w="10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14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(3,215)</w:t>
            </w:r>
          </w:p>
        </w:tc>
        <w:tc>
          <w:tcPr>
            <w:tcW w:w="12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220" w:type="dxa"/>
            <w:vAlign w:val="bottom"/>
            <w:tcBorders>
              <w:bottom w:val="single" w:sz="8" w:color="17385E"/>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897,327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right"/>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right"/>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340" w:type="dxa"/>
            <w:vAlign w:val="bottom"/>
            <w:tcBorders>
              <w:bottom w:val="single" w:sz="8" w:color="004483"/>
            </w:tcBorders>
          </w:tcPr>
          <w:p>
            <w:pPr>
              <w:spacing w:after="0"/>
              <w:rPr>
                <w:sz w:val="13"/>
                <w:szCs w:val="13"/>
                <w:color w:val="auto"/>
              </w:rPr>
            </w:pPr>
          </w:p>
        </w:tc>
        <w:tc>
          <w:tcPr>
            <w:tcW w:w="820" w:type="dxa"/>
            <w:vAlign w:val="bottom"/>
            <w:tcBorders>
              <w:bottom w:val="single" w:sz="8" w:color="004483"/>
            </w:tcBorders>
          </w:tcPr>
          <w:p>
            <w:pPr>
              <w:spacing w:after="0"/>
              <w:rPr>
                <w:sz w:val="13"/>
                <w:szCs w:val="13"/>
                <w:color w:val="auto"/>
              </w:rPr>
            </w:pPr>
          </w:p>
        </w:tc>
        <w:tc>
          <w:tcPr>
            <w:tcW w:w="260" w:type="dxa"/>
            <w:vAlign w:val="bottom"/>
            <w:tcBorders>
              <w:bottom w:val="single" w:sz="8" w:color="004483"/>
            </w:tcBorders>
          </w:tcPr>
          <w:p>
            <w:pPr>
              <w:spacing w:after="0"/>
              <w:rPr>
                <w:sz w:val="13"/>
                <w:szCs w:val="13"/>
                <w:color w:val="auto"/>
              </w:rPr>
            </w:pPr>
          </w:p>
        </w:tc>
        <w:tc>
          <w:tcPr>
            <w:tcW w:w="74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220" w:type="dxa"/>
            <w:vAlign w:val="bottom"/>
            <w:tcBorders>
              <w:bottom w:val="single" w:sz="8" w:color="004483"/>
            </w:tcBorders>
          </w:tcPr>
          <w:p>
            <w:pPr>
              <w:spacing w:after="0"/>
              <w:rPr>
                <w:sz w:val="13"/>
                <w:szCs w:val="13"/>
                <w:color w:val="auto"/>
              </w:rPr>
            </w:pPr>
          </w:p>
        </w:tc>
        <w:tc>
          <w:tcPr>
            <w:tcW w:w="780" w:type="dxa"/>
            <w:vAlign w:val="bottom"/>
            <w:tcBorders>
              <w:bottom w:val="single" w:sz="8" w:color="004483"/>
            </w:tcBorders>
          </w:tcPr>
          <w:p>
            <w:pPr>
              <w:spacing w:after="0"/>
              <w:rPr>
                <w:sz w:val="13"/>
                <w:szCs w:val="13"/>
                <w:color w:val="auto"/>
              </w:rPr>
            </w:pPr>
          </w:p>
        </w:tc>
        <w:tc>
          <w:tcPr>
            <w:tcW w:w="100" w:type="dxa"/>
            <w:vAlign w:val="bottom"/>
            <w:tcBorders>
              <w:bottom w:val="single" w:sz="8" w:color="004483"/>
            </w:tcBorders>
          </w:tcPr>
          <w:p>
            <w:pPr>
              <w:spacing w:after="0"/>
              <w:rPr>
                <w:sz w:val="13"/>
                <w:szCs w:val="13"/>
                <w:color w:val="auto"/>
              </w:rPr>
            </w:pPr>
          </w:p>
        </w:tc>
        <w:tc>
          <w:tcPr>
            <w:tcW w:w="1240" w:type="dxa"/>
            <w:vAlign w:val="bottom"/>
            <w:tcBorders>
              <w:bottom w:val="single" w:sz="8" w:color="004483"/>
            </w:tcBorders>
            <w:gridSpan w:val="4"/>
          </w:tcPr>
          <w:p>
            <w:pPr>
              <w:ind w:left="80"/>
              <w:spacing w:after="0"/>
              <w:rPr>
                <w:sz w:val="20"/>
                <w:szCs w:val="20"/>
                <w:color w:val="auto"/>
              </w:rPr>
            </w:pPr>
            <w:r>
              <w:rPr>
                <w:rFonts w:ascii="Times New Roman" w:cs="Times New Roman" w:eastAsia="Times New Roman" w:hAnsi="Times New Roman"/>
                <w:sz w:val="13"/>
                <w:szCs w:val="13"/>
                <w:color w:val="auto"/>
              </w:rPr>
              <w:t>(dollars in thousands)</w:t>
            </w:r>
          </w:p>
        </w:tc>
        <w:tc>
          <w:tcPr>
            <w:tcW w:w="120" w:type="dxa"/>
            <w:vAlign w:val="bottom"/>
            <w:tcBorders>
              <w:bottom w:val="single" w:sz="8" w:color="004483"/>
            </w:tcBorders>
          </w:tcPr>
          <w:p>
            <w:pPr>
              <w:spacing w:after="0"/>
              <w:rPr>
                <w:sz w:val="13"/>
                <w:szCs w:val="13"/>
                <w:color w:val="auto"/>
              </w:rPr>
            </w:pPr>
          </w:p>
        </w:tc>
        <w:tc>
          <w:tcPr>
            <w:tcW w:w="140" w:type="dxa"/>
            <w:vAlign w:val="bottom"/>
            <w:tcBorders>
              <w:bottom w:val="single" w:sz="8" w:color="004483"/>
            </w:tcBorders>
          </w:tcPr>
          <w:p>
            <w:pPr>
              <w:spacing w:after="0"/>
              <w:rPr>
                <w:sz w:val="13"/>
                <w:szCs w:val="13"/>
                <w:color w:val="auto"/>
              </w:rPr>
            </w:pPr>
          </w:p>
        </w:tc>
        <w:tc>
          <w:tcPr>
            <w:tcW w:w="86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220" w:type="dxa"/>
            <w:vAlign w:val="bottom"/>
            <w:tcBorders>
              <w:bottom w:val="single" w:sz="8" w:color="004483"/>
            </w:tcBorders>
          </w:tcPr>
          <w:p>
            <w:pPr>
              <w:spacing w:after="0"/>
              <w:rPr>
                <w:sz w:val="13"/>
                <w:szCs w:val="13"/>
                <w:color w:val="auto"/>
              </w:rPr>
            </w:pPr>
          </w:p>
        </w:tc>
        <w:tc>
          <w:tcPr>
            <w:tcW w:w="800" w:type="dxa"/>
            <w:vAlign w:val="bottom"/>
            <w:tcBorders>
              <w:bottom w:val="single" w:sz="8" w:color="004483"/>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2020</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10,943</w:t>
            </w:r>
          </w:p>
        </w:tc>
        <w:tc>
          <w:tcPr>
            <w:tcW w:w="10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960,065</w:t>
            </w:r>
          </w:p>
        </w:tc>
        <w:tc>
          <w:tcPr>
            <w:tcW w:w="1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(3,581)</w:t>
            </w:r>
          </w:p>
        </w:tc>
        <w:tc>
          <w:tcPr>
            <w:tcW w:w="120" w:type="dxa"/>
            <w:vAlign w:val="bottom"/>
          </w:tcPr>
          <w:p>
            <w:pPr>
              <w:spacing w:after="0"/>
              <w:rPr>
                <w:sz w:val="17"/>
                <w:szCs w:val="17"/>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967,843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40" w:type="dxa"/>
            <w:vAlign w:val="bottom"/>
            <w:tcBorders>
              <w:top w:val="single" w:sz="8" w:color="A6A6A6"/>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Net Earnings</w:t>
            </w:r>
          </w:p>
        </w:tc>
        <w:tc>
          <w:tcPr>
            <w:tcW w:w="820" w:type="dxa"/>
            <w:vAlign w:val="bottom"/>
            <w:tcBorders>
              <w:top w:val="single" w:sz="8" w:color="A6A6A6"/>
              <w:bottom w:val="single" w:sz="8" w:color="A6A6A6"/>
            </w:tcBorders>
          </w:tcPr>
          <w:p>
            <w:pPr>
              <w:spacing w:after="0"/>
              <w:rPr>
                <w:sz w:val="17"/>
                <w:szCs w:val="17"/>
                <w:color w:val="auto"/>
              </w:rPr>
            </w:pPr>
          </w:p>
        </w:tc>
        <w:tc>
          <w:tcPr>
            <w:tcW w:w="260" w:type="dxa"/>
            <w:vAlign w:val="bottom"/>
            <w:tcBorders>
              <w:top w:val="single" w:sz="8" w:color="A6A6A6"/>
              <w:bottom w:val="single" w:sz="8" w:color="A6A6A6"/>
            </w:tcBorders>
          </w:tcPr>
          <w:p>
            <w:pPr>
              <w:spacing w:after="0"/>
              <w:rPr>
                <w:sz w:val="17"/>
                <w:szCs w:val="17"/>
                <w:color w:val="auto"/>
              </w:rPr>
            </w:pPr>
          </w:p>
        </w:tc>
        <w:tc>
          <w:tcPr>
            <w:tcW w:w="74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220" w:type="dxa"/>
            <w:vAlign w:val="bottom"/>
            <w:tcBorders>
              <w:top w:val="single" w:sz="8" w:color="A6A6A6"/>
              <w:bottom w:val="single" w:sz="8" w:color="A6A6A6"/>
            </w:tcBorders>
          </w:tcPr>
          <w:p>
            <w:pPr>
              <w:spacing w:after="0"/>
              <w:rPr>
                <w:sz w:val="17"/>
                <w:szCs w:val="17"/>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220" w:type="dxa"/>
            <w:vAlign w:val="bottom"/>
            <w:tcBorders>
              <w:top w:val="single" w:sz="8" w:color="A6A6A6"/>
              <w:bottom w:val="single" w:sz="8" w:color="A6A6A6"/>
            </w:tcBorders>
          </w:tcPr>
          <w:p>
            <w:pPr>
              <w:spacing w:after="0"/>
              <w:rPr>
                <w:sz w:val="17"/>
                <w:szCs w:val="17"/>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96,206</w:t>
            </w:r>
          </w:p>
        </w:tc>
        <w:tc>
          <w:tcPr>
            <w:tcW w:w="10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86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220" w:type="dxa"/>
            <w:vAlign w:val="bottom"/>
            <w:tcBorders>
              <w:top w:val="single" w:sz="8" w:color="A6A6A6"/>
              <w:bottom w:val="single" w:sz="8" w:color="A6A6A6"/>
            </w:tcBorders>
          </w:tcPr>
          <w:p>
            <w:pPr>
              <w:spacing w:after="0"/>
              <w:rPr>
                <w:sz w:val="17"/>
                <w:szCs w:val="17"/>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96,206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Stock Compensation Expense</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4,758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4,760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Shares Redeemed to Settle Employee Taxes</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Sale of Business with Unfunded Pension Liability</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Unfunded Pension Liability, net of tax</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004483"/>
            </w:tcBorders>
          </w:tcPr>
          <w:p>
            <w:pPr>
              <w:spacing w:after="0"/>
              <w:rPr>
                <w:sz w:val="18"/>
                <w:szCs w:val="18"/>
                <w:color w:val="auto"/>
              </w:rPr>
            </w:pPr>
          </w:p>
        </w:tc>
        <w:tc>
          <w:tcPr>
            <w:tcW w:w="7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004483"/>
            </w:tcBorders>
          </w:tcPr>
          <w:p>
            <w:pPr>
              <w:spacing w:after="0"/>
              <w:rPr>
                <w:sz w:val="18"/>
                <w:szCs w:val="18"/>
                <w:color w:val="auto"/>
              </w:rPr>
            </w:pPr>
          </w:p>
        </w:tc>
        <w:tc>
          <w:tcPr>
            <w:tcW w:w="78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004483"/>
            </w:tcBorders>
          </w:tcPr>
          <w:p>
            <w:pPr>
              <w:spacing w:after="0"/>
              <w:rPr>
                <w:sz w:val="18"/>
                <w:szCs w:val="18"/>
                <w:color w:val="auto"/>
              </w:rPr>
            </w:pPr>
          </w:p>
        </w:tc>
        <w:tc>
          <w:tcPr>
            <w:tcW w:w="8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004483"/>
            </w:tcBorders>
          </w:tcPr>
          <w:p>
            <w:pPr>
              <w:spacing w:after="0"/>
              <w:rPr>
                <w:sz w:val="18"/>
                <w:szCs w:val="18"/>
                <w:color w:val="auto"/>
              </w:rPr>
            </w:pPr>
          </w:p>
        </w:tc>
        <w:tc>
          <w:tcPr>
            <w:tcW w:w="8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004483"/>
            </w:tcBorders>
          </w:tcPr>
          <w:p>
            <w:pPr>
              <w:spacing w:after="0"/>
              <w:rPr>
                <w:sz w:val="18"/>
                <w:szCs w:val="18"/>
                <w:color w:val="auto"/>
              </w:rPr>
            </w:pPr>
          </w:p>
        </w:tc>
        <w:tc>
          <w:tcPr>
            <w:tcW w:w="8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2020</w:t>
            </w:r>
          </w:p>
        </w:tc>
        <w:tc>
          <w:tcPr>
            <w:tcW w:w="820" w:type="dxa"/>
            <w:vAlign w:val="bottom"/>
            <w:tcBorders>
              <w:bottom w:val="single" w:sz="8" w:color="A6A6A6"/>
            </w:tcBorders>
          </w:tcPr>
          <w:p>
            <w:pPr>
              <w:spacing w:after="0"/>
              <w:rPr>
                <w:sz w:val="21"/>
                <w:szCs w:val="21"/>
                <w:color w:val="auto"/>
              </w:rPr>
            </w:pPr>
          </w:p>
        </w:tc>
        <w:tc>
          <w:tcPr>
            <w:tcW w:w="260" w:type="dxa"/>
            <w:vAlign w:val="bottom"/>
            <w:tcBorders>
              <w:bottom w:val="single" w:sz="8" w:color="004483"/>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004483"/>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14,571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004483"/>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1,056,271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004483"/>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1,067,958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004483"/>
              </w:rPr>
              <w:t>Net Earnings</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top w:val="single" w:sz="8" w:color="A6A6A6"/>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Stock Compensation Expense</w:t>
            </w:r>
          </w:p>
        </w:tc>
        <w:tc>
          <w:tcPr>
            <w:tcW w:w="82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A6A6A6"/>
            </w:tcBorders>
          </w:tcPr>
          <w:p>
            <w:pPr>
              <w:spacing w:after="0"/>
              <w:rPr>
                <w:sz w:val="18"/>
                <w:szCs w:val="18"/>
                <w:color w:val="auto"/>
              </w:rPr>
            </w:pPr>
          </w:p>
        </w:tc>
        <w:tc>
          <w:tcPr>
            <w:tcW w:w="74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3,515</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86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3,515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Stock Option Exercises and Restricted Share Vesting</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Unfunded Pension Liability, net of tax</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004483"/>
            </w:tcBorders>
          </w:tcPr>
          <w:p>
            <w:pPr>
              <w:spacing w:after="0"/>
              <w:rPr>
                <w:sz w:val="18"/>
                <w:szCs w:val="18"/>
                <w:color w:val="auto"/>
              </w:rPr>
            </w:pPr>
          </w:p>
        </w:tc>
        <w:tc>
          <w:tcPr>
            <w:tcW w:w="7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004483"/>
            </w:tcBorders>
          </w:tcPr>
          <w:p>
            <w:pPr>
              <w:spacing w:after="0"/>
              <w:rPr>
                <w:sz w:val="18"/>
                <w:szCs w:val="18"/>
                <w:color w:val="auto"/>
              </w:rPr>
            </w:pPr>
          </w:p>
        </w:tc>
        <w:tc>
          <w:tcPr>
            <w:tcW w:w="78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004483"/>
            </w:tcBorders>
          </w:tcPr>
          <w:p>
            <w:pPr>
              <w:spacing w:after="0"/>
              <w:rPr>
                <w:sz w:val="18"/>
                <w:szCs w:val="18"/>
                <w:color w:val="auto"/>
              </w:rPr>
            </w:pPr>
          </w:p>
        </w:tc>
        <w:tc>
          <w:tcPr>
            <w:tcW w:w="8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004483"/>
            </w:tcBorders>
          </w:tcPr>
          <w:p>
            <w:pPr>
              <w:spacing w:after="0"/>
              <w:rPr>
                <w:sz w:val="18"/>
                <w:szCs w:val="18"/>
                <w:color w:val="auto"/>
              </w:rPr>
            </w:pPr>
          </w:p>
        </w:tc>
        <w:tc>
          <w:tcPr>
            <w:tcW w:w="8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004483"/>
            </w:tcBorders>
          </w:tcPr>
          <w:p>
            <w:pPr>
              <w:spacing w:after="0"/>
              <w:rPr>
                <w:sz w:val="18"/>
                <w:szCs w:val="18"/>
                <w:color w:val="auto"/>
              </w:rPr>
            </w:pPr>
          </w:p>
        </w:tc>
        <w:tc>
          <w:tcPr>
            <w:tcW w:w="8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2020</w:t>
            </w:r>
          </w:p>
        </w:tc>
        <w:tc>
          <w:tcPr>
            <w:tcW w:w="820" w:type="dxa"/>
            <w:vAlign w:val="bottom"/>
            <w:tcBorders>
              <w:bottom w:val="single" w:sz="8" w:color="A6A6A6"/>
            </w:tcBorders>
          </w:tcPr>
          <w:p>
            <w:pPr>
              <w:spacing w:after="0"/>
              <w:rPr>
                <w:sz w:val="21"/>
                <w:szCs w:val="21"/>
                <w:color w:val="auto"/>
              </w:rPr>
            </w:pPr>
          </w:p>
        </w:tc>
        <w:tc>
          <w:tcPr>
            <w:tcW w:w="260" w:type="dxa"/>
            <w:vAlign w:val="bottom"/>
            <w:tcBorders>
              <w:bottom w:val="single" w:sz="8" w:color="004483"/>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004483"/>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18,584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004483"/>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1,152,305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004483"/>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1,168,031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004483"/>
              </w:rPr>
              <w:t>Net Earnings</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top w:val="single" w:sz="8" w:color="A6A6A6"/>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Stock Compensation Expense</w:t>
            </w:r>
          </w:p>
        </w:tc>
        <w:tc>
          <w:tcPr>
            <w:tcW w:w="82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A6A6A6"/>
            </w:tcBorders>
          </w:tcPr>
          <w:p>
            <w:pPr>
              <w:spacing w:after="0"/>
              <w:rPr>
                <w:sz w:val="18"/>
                <w:szCs w:val="18"/>
                <w:color w:val="auto"/>
              </w:rPr>
            </w:pPr>
          </w:p>
        </w:tc>
        <w:tc>
          <w:tcPr>
            <w:tcW w:w="74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3,782</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86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Stock Option Exercises and Restricted Share Vesting</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8,150</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Unfunded Pension Liability, net of tax</w:t>
            </w:r>
          </w:p>
        </w:tc>
        <w:tc>
          <w:tcPr>
            <w:tcW w:w="820" w:type="dxa"/>
            <w:vAlign w:val="bottom"/>
            <w:tcBorders>
              <w:bottom w:val="single" w:sz="8" w:color="A6A6A6"/>
            </w:tcBorders>
          </w:tcPr>
          <w:p>
            <w:pPr>
              <w:spacing w:after="0"/>
              <w:rPr>
                <w:sz w:val="18"/>
                <w:szCs w:val="18"/>
                <w:color w:val="auto"/>
              </w:rPr>
            </w:pPr>
          </w:p>
        </w:tc>
        <w:tc>
          <w:tcPr>
            <w:tcW w:w="260" w:type="dxa"/>
            <w:vAlign w:val="bottom"/>
            <w:tcBorders>
              <w:bottom w:val="single" w:sz="8" w:color="17385E"/>
            </w:tcBorders>
          </w:tcPr>
          <w:p>
            <w:pPr>
              <w:spacing w:after="0"/>
              <w:rPr>
                <w:sz w:val="18"/>
                <w:szCs w:val="18"/>
                <w:color w:val="auto"/>
              </w:rPr>
            </w:pPr>
          </w:p>
        </w:tc>
        <w:tc>
          <w:tcPr>
            <w:tcW w:w="74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17385E"/>
            </w:tcBorders>
          </w:tcPr>
          <w:p>
            <w:pPr>
              <w:spacing w:after="0"/>
              <w:rPr>
                <w:sz w:val="18"/>
                <w:szCs w:val="18"/>
                <w:color w:val="auto"/>
              </w:rPr>
            </w:pPr>
          </w:p>
        </w:tc>
        <w:tc>
          <w:tcPr>
            <w:tcW w:w="78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17385E"/>
            </w:tcBorders>
          </w:tcPr>
          <w:p>
            <w:pPr>
              <w:spacing w:after="0"/>
              <w:rPr>
                <w:sz w:val="18"/>
                <w:szCs w:val="18"/>
                <w:color w:val="auto"/>
              </w:rPr>
            </w:pPr>
          </w:p>
        </w:tc>
        <w:tc>
          <w:tcPr>
            <w:tcW w:w="80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17385E"/>
            </w:tcBorders>
          </w:tcPr>
          <w:p>
            <w:pPr>
              <w:spacing w:after="0"/>
              <w:rPr>
                <w:sz w:val="18"/>
                <w:szCs w:val="18"/>
                <w:color w:val="auto"/>
              </w:rPr>
            </w:pPr>
          </w:p>
        </w:tc>
        <w:tc>
          <w:tcPr>
            <w:tcW w:w="86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20" w:type="dxa"/>
            <w:vAlign w:val="bottom"/>
            <w:tcBorders>
              <w:bottom w:val="single" w:sz="8" w:color="17385E"/>
            </w:tcBorders>
          </w:tcPr>
          <w:p>
            <w:pPr>
              <w:spacing w:after="0"/>
              <w:rPr>
                <w:sz w:val="18"/>
                <w:szCs w:val="18"/>
                <w:color w:val="auto"/>
              </w:rPr>
            </w:pPr>
          </w:p>
        </w:tc>
        <w:tc>
          <w:tcPr>
            <w:tcW w:w="80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820" w:type="dxa"/>
            <w:vAlign w:val="bottom"/>
          </w:tcPr>
          <w:p>
            <w:pPr>
              <w:spacing w:after="0"/>
              <w:rPr>
                <w:sz w:val="21"/>
                <w:szCs w:val="21"/>
                <w:color w:val="auto"/>
              </w:rPr>
            </w:pPr>
          </w:p>
        </w:tc>
        <w:tc>
          <w:tcPr>
            <w:tcW w:w="260" w:type="dxa"/>
            <w:vAlign w:val="bottom"/>
            <w:tcBorders>
              <w:bottom w:val="single" w:sz="8" w:color="17385E"/>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419</w:t>
            </w:r>
          </w:p>
        </w:tc>
        <w:tc>
          <w:tcPr>
            <w:tcW w:w="12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220" w:type="dxa"/>
            <w:vAlign w:val="bottom"/>
            <w:tcBorders>
              <w:bottom w:val="single" w:sz="8" w:color="17385E"/>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30,516</w:t>
            </w:r>
          </w:p>
        </w:tc>
        <w:tc>
          <w:tcPr>
            <w:tcW w:w="10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220" w:type="dxa"/>
            <w:vAlign w:val="bottom"/>
            <w:tcBorders>
              <w:bottom w:val="single" w:sz="8" w:color="17385E"/>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1,233,498</w:t>
            </w:r>
          </w:p>
        </w:tc>
        <w:tc>
          <w:tcPr>
            <w:tcW w:w="10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14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(3,251)</w:t>
            </w:r>
          </w:p>
        </w:tc>
        <w:tc>
          <w:tcPr>
            <w:tcW w:w="12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220" w:type="dxa"/>
            <w:vAlign w:val="bottom"/>
            <w:tcBorders>
              <w:bottom w:val="single" w:sz="8" w:color="17385E"/>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1,261,182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unaudited consolidated financial statements.</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80"/>
          </w:cols>
          <w:pgMar w:left="320" w:top="356" w:right="399" w:bottom="1440" w:gutter="0" w:footer="0" w:header="0"/>
        </w:sectPr>
      </w:pPr>
    </w:p>
    <w:bookmarkStart w:id="7" w:name="page8"/>
    <w:bookmarkEnd w:id="7"/>
    <w:p>
      <w:pPr>
        <w:spacing w:after="0"/>
        <w:rPr>
          <w:sz w:val="20"/>
          <w:szCs w:val="20"/>
          <w:color w:val="auto"/>
        </w:rPr>
      </w:pPr>
      <w:r>
        <w:rPr>
          <w:rFonts w:ascii="Arial" w:cs="Arial" w:eastAsia="Arial" w:hAnsi="Arial"/>
          <w:sz w:val="23"/>
          <w:szCs w:val="23"/>
          <w:b w:val="1"/>
          <w:bCs w:val="1"/>
          <w:color w:val="auto"/>
        </w:rPr>
        <w:t>Eagle Materials Inc. and Subsidiaries</w:t>
      </w:r>
    </w:p>
    <w:p>
      <w:pPr>
        <w:spacing w:after="0"/>
        <w:rPr>
          <w:sz w:val="20"/>
          <w:szCs w:val="20"/>
          <w:color w:val="auto"/>
        </w:rPr>
      </w:pPr>
      <w:r>
        <w:rPr>
          <w:rFonts w:ascii="Arial" w:cs="Arial" w:eastAsia="Arial" w:hAnsi="Arial"/>
          <w:sz w:val="23"/>
          <w:szCs w:val="2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1335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BASIS OF PRESENTATION</w:t>
      </w:r>
    </w:p>
    <w:p>
      <w:pPr>
        <w:spacing w:after="0" w:line="114"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The accompanying unaudited consolidated financial statements as of and for the three- and nine-month periods ended December 31, 2020 include the accounts of Eagle Materials Inc. and its majority-owned subsidiaries (collectively, the Company, us, or we) and have been prepared by the Company, without audit, pursuant to the rules and regulations of the Securities and Exchange Commission. These unaudited consolidated financial statements should be read in conjunction with the audited consolidated financial statements and the notes thereto included in our Annual Report on Form 10-K filed with the Securities and Exchange Commission on May 22, 2020.</w:t>
      </w:r>
    </w:p>
    <w:p>
      <w:pPr>
        <w:spacing w:after="0" w:line="69"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generally accepted accounting principles have been condensed or omitted pursuant to such rules and regulations, although we believe that the disclosures are adequate to make the information presented not misleading. In our opinion, all adjustments (consisting solely of normal recurring adjustments) necessary to present fairly the information in the following unaudited consolidated financial statements of the Company have been included. The results of operations for interim periods are not necessarily indicative of the results for the full year.</w:t>
      </w:r>
    </w:p>
    <w:p>
      <w:pPr>
        <w:spacing w:after="0" w:line="69"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Actual results could differ from those estimates.</w:t>
      </w:r>
    </w:p>
    <w:p>
      <w:pPr>
        <w:spacing w:after="0" w:line="67" w:lineRule="exact"/>
        <w:rPr>
          <w:sz w:val="20"/>
          <w:szCs w:val="20"/>
          <w:color w:val="auto"/>
        </w:rPr>
      </w:pPr>
    </w:p>
    <w:p>
      <w:pPr>
        <w:ind w:right="100"/>
        <w:spacing w:after="0" w:line="306" w:lineRule="auto"/>
        <w:rPr>
          <w:sz w:val="20"/>
          <w:szCs w:val="20"/>
          <w:color w:val="auto"/>
        </w:rPr>
      </w:pPr>
      <w:r>
        <w:rPr>
          <w:rFonts w:ascii="Arial" w:cs="Arial" w:eastAsia="Arial" w:hAnsi="Arial"/>
          <w:sz w:val="17"/>
          <w:szCs w:val="17"/>
          <w:color w:val="auto"/>
        </w:rPr>
        <w:t>We have been deemed an essential business with respect to the COVID-19 pandemic. While we have not yet experienced a material impact on our operations or financial position from this pandemic, there may be future effects on our business, both directly and indirectly, including with respect to customers, manufacturing operations, employees, suppliers, and the building materials and construction markets in general.</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Accounting Pronouncements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In June 2016, the FASB issued ASU 2016-13, which is an update on the measurement of credit losses on financial instruments, which requires entities to use a forward-looking approach based on expected losses, rather than the incurred losses model to estimate credit losses on certain types of financial instruments, including Accounts and Notes Receivable. The application of the forward-looking model may result in earlier recognition of allowances for losses than the incurred losses model. The adoption of this standard on April 1, 2020 did not have a material effect on our consolidated financial statements and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ADOPTION</w:t>
      </w:r>
    </w:p>
    <w:p>
      <w:pPr>
        <w:spacing w:after="0" w:line="130"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In December 2019, the FASB issued ASU 2019-12, which simplifies the accounting for income taxes, eliminates certain exceptions within existing income tax guidance, and clarifies certain aspects of the current guidance to promote consistency among reporting entities. The updated standard is effective for public companies for fiscal years, and interim periods within those fiscal years, beginning after December 15, 2020, with early adoption permitted. We do not expect the adoption of this standard will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818" w:right="379" w:bottom="1440" w:gutter="0" w:footer="0" w:header="0"/>
        </w:sectPr>
      </w:pPr>
    </w:p>
    <w:bookmarkStart w:id="8" w:name="page9"/>
    <w:bookmarkEnd w:id="8"/>
    <w:p>
      <w:pPr>
        <w:ind w:left="340" w:hanging="333"/>
        <w:spacing w:after="0"/>
        <w:tabs>
          <w:tab w:leader="none" w:pos="3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SUPPLEMENTAL CASH FLOW INFORMATION</w:t>
      </w:r>
    </w:p>
    <w:p>
      <w:pPr>
        <w:spacing w:after="0" w:line="113"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18"/>
          <w:szCs w:val="18"/>
          <w:color w:val="auto"/>
        </w:rPr>
        <w:t>Supplemental cash flow information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400" w:type="dxa"/>
            <w:vAlign w:val="bottom"/>
            <w:shd w:val="clear" w:color="auto" w:fill="004483"/>
          </w:tcPr>
          <w:p>
            <w:pPr>
              <w:spacing w:after="0"/>
              <w:rPr>
                <w:sz w:val="19"/>
                <w:szCs w:val="19"/>
                <w:color w:val="auto"/>
              </w:rPr>
            </w:pPr>
          </w:p>
        </w:tc>
        <w:tc>
          <w:tcPr>
            <w:tcW w:w="2700" w:type="dxa"/>
            <w:vAlign w:val="bottom"/>
            <w:gridSpan w:val="3"/>
            <w:shd w:val="clear" w:color="auto" w:fill="004483"/>
          </w:tcPr>
          <w:p>
            <w:pPr>
              <w:jc w:val="right"/>
              <w:ind w:right="40"/>
              <w:spacing w:after="0"/>
              <w:rPr>
                <w:sz w:val="20"/>
                <w:szCs w:val="20"/>
                <w:color w:val="auto"/>
              </w:rPr>
            </w:pPr>
            <w:r>
              <w:rPr>
                <w:rFonts w:ascii="Times New Roman" w:cs="Times New Roman" w:eastAsia="Times New Roman" w:hAnsi="Times New Roman"/>
                <w:sz w:val="13"/>
                <w:szCs w:val="13"/>
                <w:b w:val="1"/>
                <w:bCs w:val="1"/>
                <w:color w:val="FFFFFF"/>
              </w:rPr>
              <w:t>For the Nine Months Ended December 31,</w:t>
            </w:r>
          </w:p>
        </w:tc>
        <w:tc>
          <w:tcPr>
            <w:tcW w:w="600" w:type="dxa"/>
            <w:vAlign w:val="bottom"/>
            <w:shd w:val="clear" w:color="auto" w:fill="004483"/>
          </w:tcPr>
          <w:p>
            <w:pPr>
              <w:spacing w:after="0"/>
              <w:rPr>
                <w:sz w:val="19"/>
                <w:szCs w:val="19"/>
                <w:color w:val="auto"/>
              </w:rPr>
            </w:pPr>
          </w:p>
        </w:tc>
        <w:tc>
          <w:tcPr>
            <w:tcW w:w="100" w:type="dxa"/>
            <w:vAlign w:val="bottom"/>
            <w:shd w:val="clear" w:color="auto" w:fill="004483"/>
          </w:tcPr>
          <w:p>
            <w:pPr>
              <w:spacing w:after="0"/>
              <w:rPr>
                <w:sz w:val="19"/>
                <w:szCs w:val="19"/>
                <w:color w:val="auto"/>
              </w:rPr>
            </w:pPr>
          </w:p>
        </w:tc>
      </w:tr>
      <w:tr>
        <w:trPr>
          <w:trHeight w:val="143"/>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7420" w:type="dxa"/>
            <w:vAlign w:val="bottom"/>
            <w:tcBorders>
              <w:bottom w:val="single" w:sz="8" w:color="004483"/>
            </w:tcBorders>
          </w:tcPr>
          <w:p>
            <w:pPr>
              <w:spacing w:after="0"/>
              <w:rPr>
                <w:sz w:val="13"/>
                <w:szCs w:val="13"/>
                <w:color w:val="auto"/>
              </w:rPr>
            </w:pPr>
          </w:p>
        </w:tc>
        <w:tc>
          <w:tcPr>
            <w:tcW w:w="400" w:type="dxa"/>
            <w:vAlign w:val="bottom"/>
            <w:tcBorders>
              <w:bottom w:val="single" w:sz="8" w:color="004483"/>
            </w:tcBorders>
          </w:tcPr>
          <w:p>
            <w:pPr>
              <w:spacing w:after="0"/>
              <w:rPr>
                <w:sz w:val="13"/>
                <w:szCs w:val="13"/>
                <w:color w:val="auto"/>
              </w:rPr>
            </w:pPr>
          </w:p>
        </w:tc>
        <w:tc>
          <w:tcPr>
            <w:tcW w:w="2700" w:type="dxa"/>
            <w:vAlign w:val="bottom"/>
            <w:tcBorders>
              <w:bottom w:val="single" w:sz="8" w:color="004483"/>
            </w:tcBorders>
            <w:gridSpan w:val="3"/>
          </w:tcPr>
          <w:p>
            <w:pPr>
              <w:jc w:val="right"/>
              <w:ind w:right="640"/>
              <w:spacing w:after="0"/>
              <w:rPr>
                <w:sz w:val="20"/>
                <w:szCs w:val="20"/>
                <w:color w:val="auto"/>
              </w:rPr>
            </w:pPr>
            <w:r>
              <w:rPr>
                <w:rFonts w:ascii="Times New Roman" w:cs="Times New Roman" w:eastAsia="Times New Roman" w:hAnsi="Times New Roman"/>
                <w:sz w:val="13"/>
                <w:szCs w:val="13"/>
                <w:color w:val="auto"/>
              </w:rPr>
              <w:t>(dollars in thousands)</w:t>
            </w:r>
          </w:p>
        </w:tc>
        <w:tc>
          <w:tcPr>
            <w:tcW w:w="60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r>
      <w:tr>
        <w:trPr>
          <w:trHeight w:val="215"/>
        </w:trPr>
        <w:tc>
          <w:tcPr>
            <w:tcW w:w="20" w:type="dxa"/>
            <w:vAlign w:val="bottom"/>
          </w:tcPr>
          <w:p>
            <w:pPr>
              <w:spacing w:after="0"/>
              <w:rPr>
                <w:sz w:val="18"/>
                <w:szCs w:val="18"/>
                <w:color w:val="auto"/>
              </w:rPr>
            </w:pPr>
          </w:p>
        </w:tc>
        <w:tc>
          <w:tcPr>
            <w:tcW w:w="742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Cash Payments:</w:t>
            </w:r>
          </w:p>
        </w:tc>
        <w:tc>
          <w:tcPr>
            <w:tcW w:w="400" w:type="dxa"/>
            <w:vAlign w:val="bottom"/>
            <w:tcBorders>
              <w:bottom w:val="single" w:sz="8" w:color="A6A6A6"/>
            </w:tcBorders>
          </w:tcPr>
          <w:p>
            <w:pPr>
              <w:spacing w:after="0"/>
              <w:rPr>
                <w:sz w:val="18"/>
                <w:szCs w:val="18"/>
                <w:color w:val="auto"/>
              </w:rPr>
            </w:pPr>
          </w:p>
        </w:tc>
        <w:tc>
          <w:tcPr>
            <w:tcW w:w="130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7420" w:type="dxa"/>
            <w:vAlign w:val="bottom"/>
            <w:tcBorders>
              <w:bottom w:val="single" w:sz="8" w:color="A6A6A6"/>
            </w:tcBorders>
          </w:tcPr>
          <w:p>
            <w:pPr>
              <w:ind w:left="100"/>
              <w:spacing w:after="0"/>
              <w:rPr>
                <w:sz w:val="20"/>
                <w:szCs w:val="20"/>
                <w:color w:val="auto"/>
              </w:rPr>
            </w:pPr>
            <w:r>
              <w:rPr>
                <w:rFonts w:ascii="Times New Roman" w:cs="Times New Roman" w:eastAsia="Times New Roman" w:hAnsi="Times New Roman"/>
                <w:sz w:val="16"/>
                <w:szCs w:val="16"/>
                <w:color w:val="004483"/>
              </w:rPr>
              <w:t>Interest</w:t>
            </w:r>
          </w:p>
        </w:tc>
        <w:tc>
          <w:tcPr>
            <w:tcW w:w="400" w:type="dxa"/>
            <w:vAlign w:val="bottom"/>
            <w:tcBorders>
              <w:bottom w:val="single" w:sz="8" w:color="A6A6A6"/>
            </w:tcBorders>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30,107</w:t>
            </w:r>
          </w:p>
        </w:tc>
        <w:tc>
          <w:tcPr>
            <w:tcW w:w="120" w:type="dxa"/>
            <w:vAlign w:val="bottom"/>
          </w:tcPr>
          <w:p>
            <w:pPr>
              <w:spacing w:after="0"/>
              <w:rPr>
                <w:sz w:val="19"/>
                <w:szCs w:val="19"/>
                <w:color w:val="auto"/>
              </w:rPr>
            </w:pPr>
          </w:p>
        </w:tc>
        <w:tc>
          <w:tcPr>
            <w:tcW w:w="1280" w:type="dxa"/>
            <w:vAlign w:val="bottom"/>
            <w:tcBorders>
              <w:bottom w:val="single" w:sz="8" w:color="A6A6A6"/>
            </w:tcBorders>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25,490</w:t>
            </w:r>
          </w:p>
        </w:tc>
        <w:tc>
          <w:tcPr>
            <w:tcW w:w="10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7420" w:type="dxa"/>
            <w:vAlign w:val="bottom"/>
            <w:tcBorders>
              <w:bottom w:val="single" w:sz="8" w:color="A6A6A6"/>
            </w:tcBorders>
          </w:tcPr>
          <w:p>
            <w:pPr>
              <w:ind w:left="100"/>
              <w:spacing w:after="0"/>
              <w:rPr>
                <w:sz w:val="20"/>
                <w:szCs w:val="20"/>
                <w:color w:val="auto"/>
              </w:rPr>
            </w:pPr>
            <w:r>
              <w:rPr>
                <w:rFonts w:ascii="Times New Roman" w:cs="Times New Roman" w:eastAsia="Times New Roman" w:hAnsi="Times New Roman"/>
                <w:sz w:val="16"/>
                <w:szCs w:val="16"/>
                <w:color w:val="004483"/>
              </w:rPr>
              <w:t>Income Taxes</w:t>
            </w:r>
          </w:p>
        </w:tc>
        <w:tc>
          <w:tcPr>
            <w:tcW w:w="400" w:type="dxa"/>
            <w:vAlign w:val="bottom"/>
            <w:tcBorders>
              <w:bottom w:val="single" w:sz="8" w:color="A6A6A6"/>
            </w:tcBorders>
          </w:tcPr>
          <w:p>
            <w:pPr>
              <w:spacing w:after="0"/>
              <w:rPr>
                <w:sz w:val="19"/>
                <w:szCs w:val="19"/>
                <w:color w:val="auto"/>
              </w:rPr>
            </w:pPr>
          </w:p>
        </w:tc>
        <w:tc>
          <w:tcPr>
            <w:tcW w:w="13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30,816</w:t>
            </w:r>
          </w:p>
        </w:tc>
        <w:tc>
          <w:tcPr>
            <w:tcW w:w="120" w:type="dxa"/>
            <w:vAlign w:val="bottom"/>
          </w:tcPr>
          <w:p>
            <w:pPr>
              <w:spacing w:after="0"/>
              <w:rPr>
                <w:sz w:val="19"/>
                <w:szCs w:val="19"/>
                <w:color w:val="auto"/>
              </w:rPr>
            </w:pPr>
          </w:p>
        </w:tc>
        <w:tc>
          <w:tcPr>
            <w:tcW w:w="1280" w:type="dxa"/>
            <w:vAlign w:val="bottom"/>
            <w:tcBorders>
              <w:bottom w:val="single" w:sz="8" w:color="A6A6A6"/>
            </w:tcBorders>
          </w:tcPr>
          <w:p>
            <w:pPr>
              <w:spacing w:after="0"/>
              <w:rPr>
                <w:sz w:val="19"/>
                <w:szCs w:val="19"/>
                <w:color w:val="auto"/>
              </w:rPr>
            </w:pP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20,046</w:t>
            </w:r>
          </w:p>
        </w:tc>
        <w:tc>
          <w:tcPr>
            <w:tcW w:w="10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7420" w:type="dxa"/>
            <w:vAlign w:val="bottom"/>
            <w:tcBorders>
              <w:bottom w:val="single" w:sz="8" w:color="A6A6A6"/>
            </w:tcBorders>
          </w:tcPr>
          <w:p>
            <w:pPr>
              <w:ind w:left="100"/>
              <w:spacing w:after="0"/>
              <w:rPr>
                <w:sz w:val="20"/>
                <w:szCs w:val="20"/>
                <w:color w:val="auto"/>
              </w:rPr>
            </w:pPr>
            <w:r>
              <w:rPr>
                <w:rFonts w:ascii="Times New Roman" w:cs="Times New Roman" w:eastAsia="Times New Roman" w:hAnsi="Times New Roman"/>
                <w:sz w:val="16"/>
                <w:szCs w:val="16"/>
                <w:color w:val="004483"/>
              </w:rPr>
              <w:t>Operating Cash Flows used for Operating Leases</w:t>
            </w:r>
          </w:p>
        </w:tc>
        <w:tc>
          <w:tcPr>
            <w:tcW w:w="400" w:type="dxa"/>
            <w:vAlign w:val="bottom"/>
            <w:tcBorders>
              <w:bottom w:val="single" w:sz="8" w:color="A6A6A6"/>
            </w:tcBorders>
          </w:tcPr>
          <w:p>
            <w:pPr>
              <w:spacing w:after="0"/>
              <w:rPr>
                <w:sz w:val="19"/>
                <w:szCs w:val="19"/>
                <w:color w:val="auto"/>
              </w:rPr>
            </w:pPr>
          </w:p>
        </w:tc>
        <w:tc>
          <w:tcPr>
            <w:tcW w:w="13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8,691</w:t>
            </w:r>
          </w:p>
        </w:tc>
        <w:tc>
          <w:tcPr>
            <w:tcW w:w="120" w:type="dxa"/>
            <w:vAlign w:val="bottom"/>
          </w:tcPr>
          <w:p>
            <w:pPr>
              <w:spacing w:after="0"/>
              <w:rPr>
                <w:sz w:val="19"/>
                <w:szCs w:val="19"/>
                <w:color w:val="auto"/>
              </w:rPr>
            </w:pPr>
          </w:p>
        </w:tc>
        <w:tc>
          <w:tcPr>
            <w:tcW w:w="1280" w:type="dxa"/>
            <w:vAlign w:val="bottom"/>
            <w:tcBorders>
              <w:bottom w:val="single" w:sz="8" w:color="A6A6A6"/>
            </w:tcBorders>
          </w:tcPr>
          <w:p>
            <w:pPr>
              <w:spacing w:after="0"/>
              <w:rPr>
                <w:sz w:val="19"/>
                <w:szCs w:val="19"/>
                <w:color w:val="auto"/>
              </w:rPr>
            </w:pP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11,562</w:t>
            </w:r>
          </w:p>
        </w:tc>
        <w:tc>
          <w:tcPr>
            <w:tcW w:w="10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420" w:type="dxa"/>
            <w:vAlign w:val="bottom"/>
            <w:tcBorders>
              <w:bottom w:val="single" w:sz="8" w:color="A6A6A6"/>
            </w:tcBorders>
          </w:tcPr>
          <w:p>
            <w:pPr>
              <w:spacing w:after="0"/>
              <w:rPr>
                <w:sz w:val="19"/>
                <w:szCs w:val="19"/>
                <w:color w:val="auto"/>
              </w:rPr>
            </w:pPr>
          </w:p>
        </w:tc>
        <w:tc>
          <w:tcPr>
            <w:tcW w:w="400" w:type="dxa"/>
            <w:vAlign w:val="bottom"/>
            <w:tcBorders>
              <w:bottom w:val="single" w:sz="8" w:color="A6A6A6"/>
            </w:tcBorders>
          </w:tcPr>
          <w:p>
            <w:pPr>
              <w:spacing w:after="0"/>
              <w:rPr>
                <w:sz w:val="19"/>
                <w:szCs w:val="19"/>
                <w:color w:val="auto"/>
              </w:rPr>
            </w:pPr>
          </w:p>
        </w:tc>
        <w:tc>
          <w:tcPr>
            <w:tcW w:w="1300" w:type="dxa"/>
            <w:vAlign w:val="bottom"/>
            <w:tcBorders>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6A6A6"/>
            </w:tcBorders>
          </w:tcPr>
          <w:p>
            <w:pPr>
              <w:spacing w:after="0"/>
              <w:rPr>
                <w:sz w:val="19"/>
                <w:szCs w:val="19"/>
                <w:color w:val="auto"/>
              </w:rPr>
            </w:pPr>
          </w:p>
        </w:tc>
        <w:tc>
          <w:tcPr>
            <w:tcW w:w="60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742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Non-Cash Financing Activities:</w:t>
            </w:r>
          </w:p>
        </w:tc>
        <w:tc>
          <w:tcPr>
            <w:tcW w:w="400" w:type="dxa"/>
            <w:vAlign w:val="bottom"/>
            <w:tcBorders>
              <w:bottom w:val="single" w:sz="8" w:color="A6A6A6"/>
            </w:tcBorders>
          </w:tcPr>
          <w:p>
            <w:pPr>
              <w:spacing w:after="0"/>
              <w:rPr>
                <w:sz w:val="18"/>
                <w:szCs w:val="18"/>
                <w:color w:val="auto"/>
              </w:rPr>
            </w:pPr>
          </w:p>
        </w:tc>
        <w:tc>
          <w:tcPr>
            <w:tcW w:w="130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tcBorders>
              <w:bottom w:val="single" w:sz="8" w:color="A6A6A6"/>
            </w:tcBorders>
          </w:tcPr>
          <w:p>
            <w:pPr>
              <w:ind w:left="100"/>
              <w:spacing w:after="0"/>
              <w:rPr>
                <w:sz w:val="20"/>
                <w:szCs w:val="20"/>
                <w:color w:val="auto"/>
              </w:rPr>
            </w:pPr>
            <w:r>
              <w:rPr>
                <w:rFonts w:ascii="Times New Roman" w:cs="Times New Roman" w:eastAsia="Times New Roman" w:hAnsi="Times New Roman"/>
                <w:sz w:val="16"/>
                <w:szCs w:val="16"/>
                <w:color w:val="004483"/>
              </w:rPr>
              <w:t>Property and Equipment Purchases Included in Accrued Liabilities</w:t>
            </w:r>
          </w:p>
        </w:tc>
        <w:tc>
          <w:tcPr>
            <w:tcW w:w="400" w:type="dxa"/>
            <w:vAlign w:val="bottom"/>
            <w:tcBorders>
              <w:bottom w:val="single" w:sz="8" w:color="A6A6A6"/>
            </w:tcBorders>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tcBorders>
              <w:bottom w:val="single" w:sz="8" w:color="A6A6A6"/>
            </w:tcBorders>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00" w:type="dxa"/>
            <w:vAlign w:val="bottom"/>
          </w:tcPr>
          <w:p>
            <w:pPr>
              <w:spacing w:after="0"/>
              <w:rPr>
                <w:sz w:val="18"/>
                <w:szCs w:val="18"/>
                <w:color w:val="auto"/>
              </w:rPr>
            </w:pPr>
          </w:p>
        </w:tc>
      </w:tr>
    </w:tbl>
    <w:p>
      <w:pPr>
        <w:spacing w:after="0" w:line="237" w:lineRule="exact"/>
        <w:rPr>
          <w:sz w:val="20"/>
          <w:szCs w:val="20"/>
          <w:color w:val="auto"/>
        </w:rPr>
      </w:pPr>
    </w:p>
    <w:p>
      <w:pPr>
        <w:ind w:right="5400" w:firstLine="7"/>
        <w:spacing w:after="0" w:line="361" w:lineRule="auto"/>
        <w:tabs>
          <w:tab w:leader="none" w:pos="327"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DISCONTINUED OPERATIONS AND OTHER DISPOSITIONS </w:t>
      </w:r>
      <w:r>
        <w:rPr>
          <w:rFonts w:ascii="Arial" w:cs="Arial" w:eastAsia="Arial" w:hAnsi="Arial"/>
          <w:sz w:val="20"/>
          <w:szCs w:val="20"/>
          <w:i w:val="1"/>
          <w:iCs w:val="1"/>
          <w:color w:val="auto"/>
        </w:rPr>
        <w:t>Discontinued Operations</w:t>
      </w:r>
    </w:p>
    <w:p>
      <w:pPr>
        <w:spacing w:after="0" w:line="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May 30, 2019, the Company announced it was actively pursuing alternatives for its Oil and Gas Proppants business. On September 18, 2020, we sold our Oil and Gas Proppants business (the “Proppants Business”) to Smart Sand, Inc., a Delaware corporation (the “Purchaser”), pursuant to an Equity Purchase and Sale Agreement (the “Purchase Agreement”) between the Company and the Purchaser. The sale of this business excluded certain assets, namely real property and equipment in south Texas, real property in Illinois and certain other assets. The purchase price (the “Purchase Price”) paid by the Purchaser for the acquisition of the Proppants Business was $2.0 million paid in shares of common stock of the Purchaser. The shares delivered to the Company by the Purchaser are not registered under federal or state securities laws, and must be held at least six months, and possibly longer, before they can be sold. The shares were valued at the date of sale, and at December 31, 2020, using Level 1 inputs at the quoted market price of the shares, less a discount for the required holding period. The shares are classified as Other Assets in our Consolidated Balance Sheet at December 31, 2020. Shares representing $0.3 million of the Purchase Price are being held in escrow as a source of recovery for any indemnification claims by the Purchaser.</w:t>
      </w:r>
    </w:p>
    <w:p>
      <w:pPr>
        <w:spacing w:after="0" w:line="7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execution of the Purchase Agreement, we also entered into a Loan and Security Agreement, dated September 18, 2020 (the “Loan and Security Agreement”), by and among the Company, as lender; the Purchaser, as borrower; and other parties thereto. Pursuant to the Loan and Security Agreement, the Company will loan the Purchaser up to $5.0 million for working capital and operating, maintenance, and administrative expenses of the Proppants Business during the one-year period following the closing. The Company has deposited the $5.0 million into an escrow account. Up to 50% of the amounts outstanding under the Loan and Security Agreement may be repaid by the Purchaser in shares of the Purchaser’s common stock. Borrowings under the Loan and Security Agreement will bear interest at a fixed rate of 6.00% per annum during the one-year period following the closing. Any amounts outstanding after the one-year period will bear interest at a fixed rate of 8.00% per annum and will mature on September 18, 2024. There were no outstanding borrowings at December 31, 2020. The $5.0 million in the escrow account at December 31, 2020 is classified as Restricted Cash on the Consolidated Balance Sheet.</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sale of the Oil and Gas Proppants business, which was previously disclosed as a reportable segment, was determined to meet the discontinued operations accounting criteria. The sale resulted in a gain of approximately $9.2 million, which is included in Earnings (Loss) from Discontinued Operations on the Unaudited Consolidated Statement of Earnings. Certain expenses, which were previously included in the Oil and Gas Proppants operating segment, do not qualify for classification within Discontinued Operations and have been reclassified from the operating segment to continuing operations. These expenses primarily relate to lease agreements not included in the sale of the Proppants Business.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9" w:name="page10"/>
    <w:bookmarkEnd w:id="9"/>
    <w:p>
      <w:pPr>
        <w:ind w:right="500"/>
        <w:spacing w:after="0" w:line="302" w:lineRule="auto"/>
        <w:rPr>
          <w:sz w:val="20"/>
          <w:szCs w:val="20"/>
          <w:color w:val="auto"/>
        </w:rPr>
      </w:pPr>
      <w:r>
        <w:rPr>
          <w:rFonts w:ascii="Arial" w:cs="Arial" w:eastAsia="Arial" w:hAnsi="Arial"/>
          <w:sz w:val="18"/>
          <w:szCs w:val="18"/>
          <w:color w:val="auto"/>
        </w:rPr>
        <w:t>The following is a summary of operating results included in Earnings (Loss) from Discontinued Operations for the three and nine months ended December 31, 2020 and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shd w:val="clear" w:color="auto" w:fill="004483"/>
          </w:tcPr>
          <w:p>
            <w:pPr>
              <w:spacing w:after="0"/>
              <w:rPr>
                <w:sz w:val="19"/>
                <w:szCs w:val="19"/>
                <w:color w:val="auto"/>
              </w:rPr>
            </w:pPr>
          </w:p>
        </w:tc>
        <w:tc>
          <w:tcPr>
            <w:tcW w:w="2720" w:type="dxa"/>
            <w:vAlign w:val="bottom"/>
            <w:gridSpan w:val="5"/>
            <w:shd w:val="clear" w:color="auto" w:fill="004483"/>
          </w:tcPr>
          <w:p>
            <w:pPr>
              <w:ind w:left="60"/>
              <w:spacing w:after="0"/>
              <w:rPr>
                <w:sz w:val="20"/>
                <w:szCs w:val="20"/>
                <w:color w:val="auto"/>
              </w:rPr>
            </w:pPr>
            <w:r>
              <w:rPr>
                <w:rFonts w:ascii="Times New Roman" w:cs="Times New Roman" w:eastAsia="Times New Roman" w:hAnsi="Times New Roman"/>
                <w:sz w:val="13"/>
                <w:szCs w:val="13"/>
                <w:b w:val="1"/>
                <w:bCs w:val="1"/>
                <w:color w:val="FFFFFF"/>
              </w:rPr>
              <w:t>For the Three Months Ended December 31,</w:t>
            </w:r>
          </w:p>
        </w:tc>
        <w:tc>
          <w:tcPr>
            <w:tcW w:w="120" w:type="dxa"/>
            <w:vAlign w:val="bottom"/>
          </w:tcPr>
          <w:p>
            <w:pPr>
              <w:spacing w:after="0"/>
              <w:rPr>
                <w:sz w:val="19"/>
                <w:szCs w:val="19"/>
                <w:color w:val="auto"/>
              </w:rPr>
            </w:pPr>
          </w:p>
        </w:tc>
        <w:tc>
          <w:tcPr>
            <w:tcW w:w="160" w:type="dxa"/>
            <w:vAlign w:val="bottom"/>
            <w:shd w:val="clear" w:color="auto" w:fill="004483"/>
          </w:tcPr>
          <w:p>
            <w:pPr>
              <w:spacing w:after="0"/>
              <w:rPr>
                <w:sz w:val="19"/>
                <w:szCs w:val="19"/>
                <w:color w:val="auto"/>
              </w:rPr>
            </w:pPr>
          </w:p>
        </w:tc>
        <w:tc>
          <w:tcPr>
            <w:tcW w:w="2720" w:type="dxa"/>
            <w:vAlign w:val="bottom"/>
            <w:gridSpan w:val="6"/>
            <w:shd w:val="clear" w:color="auto" w:fill="004483"/>
          </w:tcPr>
          <w:p>
            <w:pPr>
              <w:ind w:left="100"/>
              <w:spacing w:after="0"/>
              <w:rPr>
                <w:sz w:val="20"/>
                <w:szCs w:val="20"/>
                <w:color w:val="auto"/>
              </w:rPr>
            </w:pPr>
            <w:r>
              <w:rPr>
                <w:rFonts w:ascii="Times New Roman" w:cs="Times New Roman" w:eastAsia="Times New Roman" w:hAnsi="Times New Roman"/>
                <w:sz w:val="13"/>
                <w:szCs w:val="13"/>
                <w:b w:val="1"/>
                <w:bCs w:val="1"/>
                <w:color w:val="FFFFFF"/>
              </w:rPr>
              <w:t>For the Nine Months Ended December 31,</w:t>
            </w:r>
          </w:p>
        </w:tc>
      </w:tr>
      <w:tr>
        <w:trPr>
          <w:trHeight w:val="156"/>
        </w:trPr>
        <w:tc>
          <w:tcPr>
            <w:tcW w:w="5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3"/>
                <w:szCs w:val="13"/>
                <w:color w:val="auto"/>
              </w:rPr>
            </w:pPr>
          </w:p>
        </w:tc>
      </w:tr>
      <w:tr>
        <w:trPr>
          <w:trHeight w:val="152"/>
        </w:trPr>
        <w:tc>
          <w:tcPr>
            <w:tcW w:w="526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140" w:type="dxa"/>
            <w:vAlign w:val="bottom"/>
            <w:tcBorders>
              <w:bottom w:val="single" w:sz="8" w:color="004483"/>
            </w:tcBorders>
          </w:tcPr>
          <w:p>
            <w:pPr>
              <w:spacing w:after="0"/>
              <w:rPr>
                <w:sz w:val="13"/>
                <w:szCs w:val="13"/>
                <w:color w:val="auto"/>
              </w:rPr>
            </w:pPr>
          </w:p>
        </w:tc>
        <w:tc>
          <w:tcPr>
            <w:tcW w:w="1120" w:type="dxa"/>
            <w:vAlign w:val="bottom"/>
            <w:tcBorders>
              <w:bottom w:val="single" w:sz="8" w:color="004483"/>
            </w:tcBorders>
          </w:tcPr>
          <w:p>
            <w:pPr>
              <w:spacing w:after="0"/>
              <w:rPr>
                <w:sz w:val="13"/>
                <w:szCs w:val="13"/>
                <w:color w:val="auto"/>
              </w:rPr>
            </w:pPr>
          </w:p>
        </w:tc>
        <w:tc>
          <w:tcPr>
            <w:tcW w:w="240" w:type="dxa"/>
            <w:vAlign w:val="bottom"/>
            <w:tcBorders>
              <w:bottom w:val="single" w:sz="8" w:color="004483"/>
            </w:tcBorders>
          </w:tcPr>
          <w:p>
            <w:pPr>
              <w:spacing w:after="0"/>
              <w:rPr>
                <w:sz w:val="13"/>
                <w:szCs w:val="13"/>
                <w:color w:val="auto"/>
              </w:rPr>
            </w:pPr>
          </w:p>
        </w:tc>
        <w:tc>
          <w:tcPr>
            <w:tcW w:w="360" w:type="dxa"/>
            <w:vAlign w:val="bottom"/>
            <w:tcBorders>
              <w:bottom w:val="single" w:sz="8" w:color="004483"/>
            </w:tcBorders>
          </w:tcPr>
          <w:p>
            <w:pPr>
              <w:spacing w:after="0"/>
              <w:rPr>
                <w:sz w:val="13"/>
                <w:szCs w:val="13"/>
                <w:color w:val="auto"/>
              </w:rPr>
            </w:pPr>
          </w:p>
        </w:tc>
        <w:tc>
          <w:tcPr>
            <w:tcW w:w="2620" w:type="dxa"/>
            <w:vAlign w:val="bottom"/>
            <w:tcBorders>
              <w:bottom w:val="single" w:sz="8" w:color="004483"/>
            </w:tcBorders>
            <w:gridSpan w:val="6"/>
          </w:tcPr>
          <w:p>
            <w:pPr>
              <w:ind w:left="460"/>
              <w:spacing w:after="0"/>
              <w:rPr>
                <w:sz w:val="20"/>
                <w:szCs w:val="20"/>
                <w:color w:val="auto"/>
              </w:rPr>
            </w:pPr>
            <w:r>
              <w:rPr>
                <w:rFonts w:ascii="Times New Roman" w:cs="Times New Roman" w:eastAsia="Times New Roman" w:hAnsi="Times New Roman"/>
                <w:sz w:val="13"/>
                <w:szCs w:val="13"/>
                <w:color w:val="auto"/>
              </w:rPr>
              <w:t>(dollars in thousands)</w:t>
            </w:r>
          </w:p>
        </w:tc>
        <w:tc>
          <w:tcPr>
            <w:tcW w:w="20" w:type="dxa"/>
            <w:vAlign w:val="bottom"/>
            <w:tcBorders>
              <w:bottom w:val="single" w:sz="8" w:color="004483"/>
            </w:tcBorders>
          </w:tcPr>
          <w:p>
            <w:pPr>
              <w:spacing w:after="0"/>
              <w:rPr>
                <w:sz w:val="13"/>
                <w:szCs w:val="13"/>
                <w:color w:val="auto"/>
              </w:rPr>
            </w:pPr>
          </w:p>
        </w:tc>
        <w:tc>
          <w:tcPr>
            <w:tcW w:w="360" w:type="dxa"/>
            <w:vAlign w:val="bottom"/>
            <w:tcBorders>
              <w:bottom w:val="single" w:sz="8" w:color="004483"/>
            </w:tcBorders>
          </w:tcPr>
          <w:p>
            <w:pPr>
              <w:spacing w:after="0"/>
              <w:rPr>
                <w:sz w:val="13"/>
                <w:szCs w:val="13"/>
                <w:color w:val="auto"/>
              </w:rPr>
            </w:pPr>
          </w:p>
        </w:tc>
        <w:tc>
          <w:tcPr>
            <w:tcW w:w="90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r>
      <w:tr>
        <w:trPr>
          <w:trHeight w:val="205"/>
        </w:trPr>
        <w:tc>
          <w:tcPr>
            <w:tcW w:w="53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17385E"/>
              </w:rPr>
              <w:t>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7,345</w:t>
            </w:r>
          </w:p>
        </w:tc>
        <w:tc>
          <w:tcPr>
            <w:tcW w:w="1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220" w:type="dxa"/>
            <w:vAlign w:val="bottom"/>
          </w:tcPr>
          <w:p>
            <w:pPr>
              <w:spacing w:after="0"/>
              <w:rPr>
                <w:sz w:val="17"/>
                <w:szCs w:val="17"/>
                <w:color w:val="auto"/>
              </w:rPr>
            </w:pPr>
          </w:p>
        </w:tc>
        <w:tc>
          <w:tcPr>
            <w:tcW w:w="380" w:type="dxa"/>
            <w:vAlign w:val="bottom"/>
            <w:gridSpan w:val="2"/>
          </w:tcPr>
          <w:p>
            <w:pPr>
              <w:jc w:val="right"/>
              <w:ind w:right="245"/>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36,534</w:t>
            </w:r>
          </w:p>
        </w:tc>
        <w:tc>
          <w:tcPr>
            <w:tcW w:w="100" w:type="dxa"/>
            <w:vAlign w:val="bottom"/>
          </w:tcPr>
          <w:p>
            <w:pPr>
              <w:spacing w:after="0"/>
              <w:rPr>
                <w:sz w:val="17"/>
                <w:szCs w:val="17"/>
                <w:color w:val="auto"/>
              </w:rPr>
            </w:pPr>
          </w:p>
        </w:tc>
      </w:tr>
      <w:tr>
        <w:trPr>
          <w:trHeight w:val="208"/>
        </w:trPr>
        <w:tc>
          <w:tcPr>
            <w:tcW w:w="5260" w:type="dxa"/>
            <w:vAlign w:val="bottom"/>
            <w:tcBorders>
              <w:top w:val="single" w:sz="8" w:color="A6A6A6"/>
              <w:bottom w:val="single" w:sz="8" w:color="A6A6A6"/>
            </w:tcBorders>
          </w:tcPr>
          <w:p>
            <w:pPr>
              <w:ind w:left="260"/>
              <w:spacing w:after="0"/>
              <w:rPr>
                <w:sz w:val="20"/>
                <w:szCs w:val="20"/>
                <w:color w:val="auto"/>
              </w:rPr>
            </w:pPr>
            <w:r>
              <w:rPr>
                <w:rFonts w:ascii="Times New Roman" w:cs="Times New Roman" w:eastAsia="Times New Roman" w:hAnsi="Times New Roman"/>
                <w:sz w:val="16"/>
                <w:szCs w:val="16"/>
                <w:color w:val="17385E"/>
              </w:rPr>
              <w:t>Cost of Goods Sold</w:t>
            </w:r>
          </w:p>
        </w:tc>
        <w:tc>
          <w:tcPr>
            <w:tcW w:w="120" w:type="dxa"/>
            <w:vAlign w:val="bottom"/>
          </w:tcPr>
          <w:p>
            <w:pPr>
              <w:spacing w:after="0"/>
              <w:rPr>
                <w:sz w:val="18"/>
                <w:szCs w:val="18"/>
                <w:color w:val="auto"/>
              </w:rPr>
            </w:pPr>
          </w:p>
        </w:tc>
        <w:tc>
          <w:tcPr>
            <w:tcW w:w="140" w:type="dxa"/>
            <w:vAlign w:val="bottom"/>
            <w:tcBorders>
              <w:top w:val="single" w:sz="8" w:color="A6A6A6"/>
              <w:bottom w:val="single" w:sz="8" w:color="004483"/>
            </w:tcBorders>
          </w:tcPr>
          <w:p>
            <w:pPr>
              <w:spacing w:after="0"/>
              <w:rPr>
                <w:sz w:val="18"/>
                <w:szCs w:val="18"/>
                <w:color w:val="auto"/>
              </w:rPr>
            </w:pPr>
          </w:p>
        </w:tc>
        <w:tc>
          <w:tcPr>
            <w:tcW w:w="1120" w:type="dxa"/>
            <w:vAlign w:val="bottom"/>
            <w:tcBorders>
              <w:top w:val="single" w:sz="8" w:color="A6A6A6"/>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60" w:type="dxa"/>
            <w:vAlign w:val="bottom"/>
            <w:tcBorders>
              <w:top w:val="single" w:sz="8" w:color="A6A6A6"/>
              <w:bottom w:val="single" w:sz="8" w:color="004483"/>
            </w:tcBorders>
          </w:tcPr>
          <w:p>
            <w:pPr>
              <w:spacing w:after="0"/>
              <w:rPr>
                <w:sz w:val="18"/>
                <w:szCs w:val="18"/>
                <w:color w:val="auto"/>
              </w:rPr>
            </w:pPr>
          </w:p>
        </w:tc>
        <w:tc>
          <w:tcPr>
            <w:tcW w:w="900" w:type="dxa"/>
            <w:vAlign w:val="bottom"/>
            <w:tcBorders>
              <w:top w:val="single" w:sz="8" w:color="A6A6A6"/>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13,034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6A6A6"/>
              <w:bottom w:val="single" w:sz="8" w:color="004483"/>
            </w:tcBorders>
          </w:tcPr>
          <w:p>
            <w:pPr>
              <w:spacing w:after="0"/>
              <w:rPr>
                <w:sz w:val="18"/>
                <w:szCs w:val="18"/>
                <w:color w:val="auto"/>
              </w:rPr>
            </w:pPr>
          </w:p>
        </w:tc>
        <w:tc>
          <w:tcPr>
            <w:tcW w:w="1120" w:type="dxa"/>
            <w:vAlign w:val="bottom"/>
            <w:tcBorders>
              <w:top w:val="single" w:sz="8" w:color="A6A6A6"/>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3,415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6A6A6"/>
              <w:bottom w:val="single" w:sz="8" w:color="004483"/>
            </w:tcBorders>
          </w:tcPr>
          <w:p>
            <w:pPr>
              <w:spacing w:after="0"/>
              <w:rPr>
                <w:sz w:val="18"/>
                <w:szCs w:val="18"/>
                <w:color w:val="auto"/>
              </w:rPr>
            </w:pPr>
          </w:p>
        </w:tc>
        <w:tc>
          <w:tcPr>
            <w:tcW w:w="900" w:type="dxa"/>
            <w:vAlign w:val="bottom"/>
            <w:tcBorders>
              <w:top w:val="single" w:sz="8" w:color="A6A6A6"/>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49,502</w:t>
            </w:r>
          </w:p>
        </w:tc>
        <w:tc>
          <w:tcPr>
            <w:tcW w:w="100" w:type="dxa"/>
            <w:vAlign w:val="bottom"/>
          </w:tcPr>
          <w:p>
            <w:pPr>
              <w:spacing w:after="0"/>
              <w:rPr>
                <w:sz w:val="18"/>
                <w:szCs w:val="18"/>
                <w:color w:val="auto"/>
              </w:rPr>
            </w:pPr>
          </w:p>
        </w:tc>
      </w:tr>
      <w:tr>
        <w:trPr>
          <w:trHeight w:val="208"/>
        </w:trPr>
        <w:tc>
          <w:tcPr>
            <w:tcW w:w="5260" w:type="dxa"/>
            <w:vAlign w:val="bottom"/>
            <w:tcBorders>
              <w:bottom w:val="single" w:sz="8" w:color="A6A6A6"/>
            </w:tcBorders>
          </w:tcPr>
          <w:p>
            <w:pPr>
              <w:ind w:left="500"/>
              <w:spacing w:after="0"/>
              <w:rPr>
                <w:sz w:val="20"/>
                <w:szCs w:val="20"/>
                <w:color w:val="auto"/>
              </w:rPr>
            </w:pPr>
            <w:r>
              <w:rPr>
                <w:rFonts w:ascii="Times New Roman" w:cs="Times New Roman" w:eastAsia="Times New Roman" w:hAnsi="Times New Roman"/>
                <w:sz w:val="16"/>
                <w:szCs w:val="16"/>
                <w:color w:val="17385E"/>
              </w:rPr>
              <w:t>Gross Profit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(5,689)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(12,968)</w:t>
            </w:r>
          </w:p>
        </w:tc>
        <w:tc>
          <w:tcPr>
            <w:tcW w:w="100" w:type="dxa"/>
            <w:vAlign w:val="bottom"/>
          </w:tcPr>
          <w:p>
            <w:pPr>
              <w:spacing w:after="0"/>
              <w:rPr>
                <w:sz w:val="18"/>
                <w:szCs w:val="18"/>
                <w:color w:val="auto"/>
              </w:rPr>
            </w:pPr>
          </w:p>
        </w:tc>
      </w:tr>
      <w:tr>
        <w:trPr>
          <w:trHeight w:val="208"/>
        </w:trPr>
        <w:tc>
          <w:tcPr>
            <w:tcW w:w="5260" w:type="dxa"/>
            <w:vAlign w:val="bottom"/>
            <w:tcBorders>
              <w:bottom w:val="single" w:sz="8" w:color="A6A6A6"/>
            </w:tcBorders>
          </w:tcPr>
          <w:p>
            <w:pPr>
              <w:ind w:left="260"/>
              <w:spacing w:after="0"/>
              <w:rPr>
                <w:sz w:val="20"/>
                <w:szCs w:val="20"/>
                <w:color w:val="auto"/>
              </w:rPr>
            </w:pPr>
            <w:r>
              <w:rPr>
                <w:rFonts w:ascii="Times New Roman" w:cs="Times New Roman" w:eastAsia="Times New Roman" w:hAnsi="Times New Roman"/>
                <w:sz w:val="16"/>
                <w:szCs w:val="16"/>
                <w:color w:val="17385E"/>
              </w:rPr>
              <w:t>Other Non-Operating Income</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Pr>
          <w:p>
            <w:pPr>
              <w:spacing w:after="0"/>
              <w:rPr>
                <w:sz w:val="18"/>
                <w:szCs w:val="18"/>
                <w:color w:val="auto"/>
              </w:rPr>
            </w:pPr>
          </w:p>
        </w:tc>
      </w:tr>
      <w:tr>
        <w:trPr>
          <w:trHeight w:val="208"/>
        </w:trPr>
        <w:tc>
          <w:tcPr>
            <w:tcW w:w="5260" w:type="dxa"/>
            <w:vAlign w:val="bottom"/>
            <w:tcBorders>
              <w:bottom w:val="single" w:sz="8" w:color="A6A6A6"/>
            </w:tcBorders>
          </w:tcPr>
          <w:p>
            <w:pPr>
              <w:ind w:left="260"/>
              <w:spacing w:after="0"/>
              <w:rPr>
                <w:sz w:val="20"/>
                <w:szCs w:val="20"/>
                <w:color w:val="auto"/>
              </w:rPr>
            </w:pPr>
            <w:r>
              <w:rPr>
                <w:rFonts w:ascii="Times New Roman" w:cs="Times New Roman" w:eastAsia="Times New Roman" w:hAnsi="Times New Roman"/>
                <w:sz w:val="16"/>
                <w:szCs w:val="16"/>
                <w:color w:val="17385E"/>
              </w:rPr>
              <w:t>Gain on Sale of Discontinued Operations</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9,230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208"/>
        </w:trPr>
        <w:tc>
          <w:tcPr>
            <w:tcW w:w="5260" w:type="dxa"/>
            <w:vAlign w:val="bottom"/>
            <w:tcBorders>
              <w:bottom w:val="single" w:sz="8" w:color="A6A6A6"/>
            </w:tcBorders>
          </w:tcPr>
          <w:p>
            <w:pPr>
              <w:ind w:left="260"/>
              <w:spacing w:after="0"/>
              <w:rPr>
                <w:sz w:val="20"/>
                <w:szCs w:val="20"/>
                <w:color w:val="auto"/>
              </w:rPr>
            </w:pPr>
            <w:r>
              <w:rPr>
                <w:rFonts w:ascii="Times New Roman" w:cs="Times New Roman" w:eastAsia="Times New Roman" w:hAnsi="Times New Roman"/>
                <w:sz w:val="16"/>
                <w:szCs w:val="16"/>
                <w:color w:val="17385E"/>
              </w:rPr>
              <w:t>Impairment Losses</w:t>
            </w:r>
          </w:p>
        </w:tc>
        <w:tc>
          <w:tcPr>
            <w:tcW w:w="120" w:type="dxa"/>
            <w:vAlign w:val="bottom"/>
          </w:tcPr>
          <w:p>
            <w:pPr>
              <w:spacing w:after="0"/>
              <w:rPr>
                <w:sz w:val="18"/>
                <w:szCs w:val="18"/>
                <w:color w:val="auto"/>
              </w:rPr>
            </w:pPr>
          </w:p>
        </w:tc>
        <w:tc>
          <w:tcPr>
            <w:tcW w:w="1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60" w:type="dxa"/>
            <w:vAlign w:val="bottom"/>
            <w:tcBorders>
              <w:bottom w:val="single" w:sz="8" w:color="004483"/>
            </w:tcBorders>
          </w:tcPr>
          <w:p>
            <w:pPr>
              <w:spacing w:after="0"/>
              <w:rPr>
                <w:sz w:val="18"/>
                <w:szCs w:val="18"/>
                <w:color w:val="auto"/>
              </w:rPr>
            </w:pPr>
          </w:p>
        </w:tc>
        <w:tc>
          <w:tcPr>
            <w:tcW w:w="9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(199,136)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004483"/>
            </w:tcBorders>
          </w:tcPr>
          <w:p>
            <w:pPr>
              <w:spacing w:after="0"/>
              <w:rPr>
                <w:sz w:val="18"/>
                <w:szCs w:val="18"/>
                <w:color w:val="auto"/>
              </w:rPr>
            </w:pPr>
          </w:p>
        </w:tc>
        <w:tc>
          <w:tcPr>
            <w:tcW w:w="9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(199,136)</w:t>
            </w:r>
          </w:p>
        </w:tc>
        <w:tc>
          <w:tcPr>
            <w:tcW w:w="100" w:type="dxa"/>
            <w:vAlign w:val="bottom"/>
          </w:tcPr>
          <w:p>
            <w:pPr>
              <w:spacing w:after="0"/>
              <w:rPr>
                <w:sz w:val="18"/>
                <w:szCs w:val="18"/>
                <w:color w:val="auto"/>
              </w:rPr>
            </w:pPr>
          </w:p>
        </w:tc>
      </w:tr>
      <w:tr>
        <w:trPr>
          <w:trHeight w:val="208"/>
        </w:trPr>
        <w:tc>
          <w:tcPr>
            <w:tcW w:w="5260" w:type="dxa"/>
            <w:vAlign w:val="bottom"/>
            <w:tcBorders>
              <w:bottom w:val="single" w:sz="8" w:color="A6A6A6"/>
            </w:tcBorders>
          </w:tcPr>
          <w:p>
            <w:pPr>
              <w:ind w:left="260"/>
              <w:spacing w:after="0"/>
              <w:rPr>
                <w:sz w:val="20"/>
                <w:szCs w:val="20"/>
                <w:color w:val="auto"/>
              </w:rPr>
            </w:pPr>
            <w:r>
              <w:rPr>
                <w:rFonts w:ascii="Times New Roman" w:cs="Times New Roman" w:eastAsia="Times New Roman" w:hAnsi="Times New Roman"/>
                <w:sz w:val="16"/>
                <w:szCs w:val="16"/>
                <w:color w:val="17385E"/>
              </w:rPr>
              <w:t>Earnings (Loss) from Discontinued Operations</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(204,722)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7,086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(211,582)</w:t>
            </w:r>
          </w:p>
        </w:tc>
        <w:tc>
          <w:tcPr>
            <w:tcW w:w="100" w:type="dxa"/>
            <w:vAlign w:val="bottom"/>
          </w:tcPr>
          <w:p>
            <w:pPr>
              <w:spacing w:after="0"/>
              <w:rPr>
                <w:sz w:val="18"/>
                <w:szCs w:val="18"/>
                <w:color w:val="auto"/>
              </w:rPr>
            </w:pPr>
          </w:p>
        </w:tc>
      </w:tr>
      <w:tr>
        <w:trPr>
          <w:trHeight w:val="208"/>
        </w:trPr>
        <w:tc>
          <w:tcPr>
            <w:tcW w:w="5260" w:type="dxa"/>
            <w:vAlign w:val="bottom"/>
            <w:tcBorders>
              <w:bottom w:val="single" w:sz="8" w:color="A6A6A6"/>
            </w:tcBorders>
          </w:tcPr>
          <w:p>
            <w:pPr>
              <w:ind w:left="260"/>
              <w:spacing w:after="0"/>
              <w:rPr>
                <w:sz w:val="20"/>
                <w:szCs w:val="20"/>
                <w:color w:val="auto"/>
              </w:rPr>
            </w:pPr>
            <w:r>
              <w:rPr>
                <w:rFonts w:ascii="Times New Roman" w:cs="Times New Roman" w:eastAsia="Times New Roman" w:hAnsi="Times New Roman"/>
                <w:sz w:val="16"/>
                <w:szCs w:val="16"/>
                <w:color w:val="17385E"/>
              </w:rPr>
              <w:t>Income Tax (Expense) Benefit</w:t>
            </w:r>
          </w:p>
        </w:tc>
        <w:tc>
          <w:tcPr>
            <w:tcW w:w="120" w:type="dxa"/>
            <w:vAlign w:val="bottom"/>
          </w:tcPr>
          <w:p>
            <w:pPr>
              <w:spacing w:after="0"/>
              <w:rPr>
                <w:sz w:val="18"/>
                <w:szCs w:val="18"/>
                <w:color w:val="auto"/>
              </w:rPr>
            </w:pPr>
          </w:p>
        </w:tc>
        <w:tc>
          <w:tcPr>
            <w:tcW w:w="140" w:type="dxa"/>
            <w:vAlign w:val="bottom"/>
            <w:tcBorders>
              <w:bottom w:val="single" w:sz="8" w:color="17385E"/>
            </w:tcBorders>
          </w:tcPr>
          <w:p>
            <w:pPr>
              <w:spacing w:after="0"/>
              <w:rPr>
                <w:sz w:val="18"/>
                <w:szCs w:val="18"/>
                <w:color w:val="auto"/>
              </w:rPr>
            </w:pPr>
          </w:p>
        </w:tc>
        <w:tc>
          <w:tcPr>
            <w:tcW w:w="112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60" w:type="dxa"/>
            <w:vAlign w:val="bottom"/>
            <w:tcBorders>
              <w:bottom w:val="single" w:sz="8" w:color="17385E"/>
            </w:tcBorders>
          </w:tcPr>
          <w:p>
            <w:pPr>
              <w:spacing w:after="0"/>
              <w:rPr>
                <w:sz w:val="18"/>
                <w:szCs w:val="18"/>
                <w:color w:val="auto"/>
              </w:rPr>
            </w:pPr>
          </w:p>
        </w:tc>
        <w:tc>
          <w:tcPr>
            <w:tcW w:w="90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color w:val="auto"/>
              </w:rPr>
              <w:t>46,616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17385E"/>
            </w:tcBorders>
          </w:tcPr>
          <w:p>
            <w:pPr>
              <w:spacing w:after="0"/>
              <w:rPr>
                <w:sz w:val="18"/>
                <w:szCs w:val="18"/>
                <w:color w:val="auto"/>
              </w:rPr>
            </w:pPr>
          </w:p>
        </w:tc>
        <w:tc>
          <w:tcPr>
            <w:tcW w:w="112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17385E"/>
            </w:tcBorders>
          </w:tcPr>
          <w:p>
            <w:pPr>
              <w:spacing w:after="0"/>
              <w:rPr>
                <w:sz w:val="18"/>
                <w:szCs w:val="18"/>
                <w:color w:val="auto"/>
              </w:rPr>
            </w:pPr>
          </w:p>
        </w:tc>
        <w:tc>
          <w:tcPr>
            <w:tcW w:w="90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color w:val="auto"/>
              </w:rPr>
              <w:t>48,176</w:t>
            </w:r>
          </w:p>
        </w:tc>
        <w:tc>
          <w:tcPr>
            <w:tcW w:w="100" w:type="dxa"/>
            <w:vAlign w:val="bottom"/>
          </w:tcPr>
          <w:p>
            <w:pPr>
              <w:spacing w:after="0"/>
              <w:rPr>
                <w:sz w:val="18"/>
                <w:szCs w:val="18"/>
                <w:color w:val="auto"/>
              </w:rPr>
            </w:pPr>
          </w:p>
        </w:tc>
      </w:tr>
      <w:tr>
        <w:trPr>
          <w:trHeight w:val="209"/>
        </w:trPr>
        <w:tc>
          <w:tcPr>
            <w:tcW w:w="526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17385E"/>
              </w:rPr>
              <w:t>Net Earnings (Loss) from Discontinued Operations</w:t>
            </w:r>
          </w:p>
        </w:tc>
        <w:tc>
          <w:tcPr>
            <w:tcW w:w="120" w:type="dxa"/>
            <w:vAlign w:val="bottom"/>
          </w:tcPr>
          <w:p>
            <w:pPr>
              <w:spacing w:after="0"/>
              <w:rPr>
                <w:sz w:val="18"/>
                <w:szCs w:val="18"/>
                <w:color w:val="auto"/>
              </w:rPr>
            </w:pPr>
          </w:p>
        </w:tc>
        <w:tc>
          <w:tcPr>
            <w:tcW w:w="14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360" w:type="dxa"/>
            <w:vAlign w:val="bottom"/>
            <w:tcBorders>
              <w:bottom w:val="single" w:sz="8" w:color="17385E"/>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(158,106)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5,278</w:t>
            </w:r>
          </w:p>
        </w:tc>
        <w:tc>
          <w:tcPr>
            <w:tcW w:w="220" w:type="dxa"/>
            <w:vAlign w:val="bottom"/>
          </w:tcPr>
          <w:p>
            <w:pPr>
              <w:spacing w:after="0"/>
              <w:rPr>
                <w:sz w:val="18"/>
                <w:szCs w:val="18"/>
                <w:color w:val="auto"/>
              </w:rPr>
            </w:pPr>
          </w:p>
        </w:tc>
        <w:tc>
          <w:tcPr>
            <w:tcW w:w="20" w:type="dxa"/>
            <w:vAlign w:val="bottom"/>
            <w:tcBorders>
              <w:bottom w:val="single" w:sz="8" w:color="17385E"/>
            </w:tcBorders>
          </w:tcPr>
          <w:p>
            <w:pPr>
              <w:spacing w:after="0"/>
              <w:rPr>
                <w:sz w:val="18"/>
                <w:szCs w:val="18"/>
                <w:color w:val="auto"/>
              </w:rPr>
            </w:pPr>
          </w:p>
        </w:tc>
        <w:tc>
          <w:tcPr>
            <w:tcW w:w="360" w:type="dxa"/>
            <w:vAlign w:val="bottom"/>
            <w:tcBorders>
              <w:bottom w:val="single" w:sz="8" w:color="17385E"/>
            </w:tcBorders>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17385E"/>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(163,406)</w:t>
            </w:r>
          </w:p>
        </w:tc>
        <w:tc>
          <w:tcPr>
            <w:tcW w:w="10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17385E"/>
            </w:tcBorders>
          </w:tcPr>
          <w:p>
            <w:pPr>
              <w:spacing w:after="0" w:line="20" w:lineRule="exact"/>
              <w:rPr>
                <w:sz w:val="1"/>
                <w:szCs w:val="1"/>
                <w:color w:val="auto"/>
              </w:rPr>
            </w:pPr>
          </w:p>
        </w:tc>
        <w:tc>
          <w:tcPr>
            <w:tcW w:w="1120" w:type="dxa"/>
            <w:vAlign w:val="bottom"/>
            <w:tcBorders>
              <w:bottom w:val="single" w:sz="8" w:color="17385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17385E"/>
            </w:tcBorders>
          </w:tcPr>
          <w:p>
            <w:pPr>
              <w:spacing w:after="0" w:line="20" w:lineRule="exact"/>
              <w:rPr>
                <w:sz w:val="1"/>
                <w:szCs w:val="1"/>
                <w:color w:val="auto"/>
              </w:rPr>
            </w:pPr>
          </w:p>
        </w:tc>
        <w:tc>
          <w:tcPr>
            <w:tcW w:w="900" w:type="dxa"/>
            <w:vAlign w:val="bottom"/>
            <w:tcBorders>
              <w:bottom w:val="single" w:sz="8" w:color="17385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17385E"/>
            </w:tcBorders>
          </w:tcPr>
          <w:p>
            <w:pPr>
              <w:spacing w:after="0" w:line="20" w:lineRule="exact"/>
              <w:rPr>
                <w:sz w:val="1"/>
                <w:szCs w:val="1"/>
                <w:color w:val="auto"/>
              </w:rPr>
            </w:pPr>
          </w:p>
        </w:tc>
        <w:tc>
          <w:tcPr>
            <w:tcW w:w="1120" w:type="dxa"/>
            <w:vAlign w:val="bottom"/>
            <w:tcBorders>
              <w:bottom w:val="single" w:sz="8" w:color="17385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17385E"/>
            </w:tcBorders>
          </w:tcPr>
          <w:p>
            <w:pPr>
              <w:spacing w:after="0" w:line="20" w:lineRule="exact"/>
              <w:rPr>
                <w:sz w:val="1"/>
                <w:szCs w:val="1"/>
                <w:color w:val="auto"/>
              </w:rPr>
            </w:pPr>
          </w:p>
        </w:tc>
        <w:tc>
          <w:tcPr>
            <w:tcW w:w="900" w:type="dxa"/>
            <w:vAlign w:val="bottom"/>
            <w:tcBorders>
              <w:bottom w:val="single" w:sz="8" w:color="17385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20"/>
        <w:spacing w:after="0" w:line="302" w:lineRule="auto"/>
        <w:rPr>
          <w:sz w:val="20"/>
          <w:szCs w:val="20"/>
          <w:color w:val="auto"/>
        </w:rPr>
      </w:pPr>
      <w:r>
        <w:rPr>
          <w:rFonts w:ascii="Arial" w:cs="Arial" w:eastAsia="Arial" w:hAnsi="Arial"/>
          <w:sz w:val="18"/>
          <w:szCs w:val="18"/>
          <w:color w:val="auto"/>
        </w:rPr>
        <w:t>The significant components of our Consolidated Statements of Cash Flows for discontinued operations for the nine months ended December 31, 2020 and 2019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40" w:type="dxa"/>
            <w:vAlign w:val="bottom"/>
            <w:shd w:val="clear" w:color="auto" w:fill="004483"/>
          </w:tcPr>
          <w:p>
            <w:pPr>
              <w:spacing w:after="0"/>
              <w:rPr>
                <w:sz w:val="19"/>
                <w:szCs w:val="19"/>
                <w:color w:val="auto"/>
              </w:rPr>
            </w:pPr>
          </w:p>
        </w:tc>
        <w:tc>
          <w:tcPr>
            <w:tcW w:w="2720" w:type="dxa"/>
            <w:vAlign w:val="bottom"/>
            <w:gridSpan w:val="3"/>
            <w:shd w:val="clear" w:color="auto" w:fill="004483"/>
          </w:tcPr>
          <w:p>
            <w:pPr>
              <w:jc w:val="center"/>
              <w:ind w:left="146"/>
              <w:spacing w:after="0"/>
              <w:rPr>
                <w:sz w:val="20"/>
                <w:szCs w:val="20"/>
                <w:color w:val="auto"/>
              </w:rPr>
            </w:pPr>
            <w:r>
              <w:rPr>
                <w:rFonts w:ascii="Times New Roman" w:cs="Times New Roman" w:eastAsia="Times New Roman" w:hAnsi="Times New Roman"/>
                <w:sz w:val="13"/>
                <w:szCs w:val="13"/>
                <w:b w:val="1"/>
                <w:bCs w:val="1"/>
                <w:color w:val="FFFFFF"/>
                <w:w w:val="96"/>
              </w:rPr>
              <w:t>For the Nine Months Ended December 31,</w:t>
            </w:r>
          </w:p>
        </w:tc>
        <w:tc>
          <w:tcPr>
            <w:tcW w:w="660" w:type="dxa"/>
            <w:vAlign w:val="bottom"/>
            <w:shd w:val="clear" w:color="auto" w:fill="004483"/>
          </w:tcPr>
          <w:p>
            <w:pPr>
              <w:spacing w:after="0"/>
              <w:rPr>
                <w:sz w:val="19"/>
                <w:szCs w:val="19"/>
                <w:color w:val="auto"/>
              </w:rPr>
            </w:pPr>
          </w:p>
        </w:tc>
        <w:tc>
          <w:tcPr>
            <w:tcW w:w="100" w:type="dxa"/>
            <w:vAlign w:val="bottom"/>
            <w:shd w:val="clear" w:color="auto" w:fill="004483"/>
          </w:tcPr>
          <w:p>
            <w:pPr>
              <w:spacing w:after="0"/>
              <w:rPr>
                <w:sz w:val="19"/>
                <w:szCs w:val="19"/>
                <w:color w:val="auto"/>
              </w:rPr>
            </w:pPr>
          </w:p>
        </w:tc>
      </w:tr>
      <w:tr>
        <w:trPr>
          <w:trHeight w:val="143"/>
        </w:trPr>
        <w:tc>
          <w:tcPr>
            <w:tcW w:w="48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r>
      <w:tr>
        <w:trPr>
          <w:trHeight w:val="152"/>
        </w:trPr>
        <w:tc>
          <w:tcPr>
            <w:tcW w:w="4800" w:type="dxa"/>
            <w:vAlign w:val="bottom"/>
            <w:tcBorders>
              <w:bottom w:val="single" w:sz="8" w:color="004483"/>
            </w:tcBorders>
          </w:tcPr>
          <w:p>
            <w:pPr>
              <w:spacing w:after="0"/>
              <w:rPr>
                <w:sz w:val="13"/>
                <w:szCs w:val="13"/>
                <w:color w:val="auto"/>
              </w:rPr>
            </w:pPr>
          </w:p>
        </w:tc>
        <w:tc>
          <w:tcPr>
            <w:tcW w:w="2520" w:type="dxa"/>
            <w:vAlign w:val="bottom"/>
            <w:tcBorders>
              <w:bottom w:val="single" w:sz="8" w:color="004483"/>
            </w:tcBorders>
          </w:tcPr>
          <w:p>
            <w:pPr>
              <w:spacing w:after="0"/>
              <w:rPr>
                <w:sz w:val="13"/>
                <w:szCs w:val="13"/>
                <w:color w:val="auto"/>
              </w:rPr>
            </w:pPr>
          </w:p>
        </w:tc>
        <w:tc>
          <w:tcPr>
            <w:tcW w:w="440" w:type="dxa"/>
            <w:vAlign w:val="bottom"/>
            <w:tcBorders>
              <w:bottom w:val="single" w:sz="8" w:color="004483"/>
            </w:tcBorders>
          </w:tcPr>
          <w:p>
            <w:pPr>
              <w:spacing w:after="0"/>
              <w:rPr>
                <w:sz w:val="13"/>
                <w:szCs w:val="13"/>
                <w:color w:val="auto"/>
              </w:rPr>
            </w:pPr>
          </w:p>
        </w:tc>
        <w:tc>
          <w:tcPr>
            <w:tcW w:w="2720" w:type="dxa"/>
            <w:vAlign w:val="bottom"/>
            <w:tcBorders>
              <w:bottom w:val="single" w:sz="8" w:color="004483"/>
            </w:tcBorders>
            <w:gridSpan w:val="3"/>
          </w:tcPr>
          <w:p>
            <w:pPr>
              <w:jc w:val="center"/>
              <w:ind w:left="126"/>
              <w:spacing w:after="0"/>
              <w:rPr>
                <w:sz w:val="20"/>
                <w:szCs w:val="20"/>
                <w:color w:val="auto"/>
              </w:rPr>
            </w:pPr>
            <w:r>
              <w:rPr>
                <w:rFonts w:ascii="Times New Roman" w:cs="Times New Roman" w:eastAsia="Times New Roman" w:hAnsi="Times New Roman"/>
                <w:sz w:val="13"/>
                <w:szCs w:val="13"/>
                <w:color w:val="auto"/>
                <w:w w:val="95"/>
              </w:rPr>
              <w:t>(dollars in thousands)</w:t>
            </w:r>
          </w:p>
        </w:tc>
        <w:tc>
          <w:tcPr>
            <w:tcW w:w="66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r>
      <w:tr>
        <w:trPr>
          <w:trHeight w:val="205"/>
        </w:trPr>
        <w:tc>
          <w:tcPr>
            <w:tcW w:w="4800" w:type="dxa"/>
            <w:vAlign w:val="bottom"/>
            <w:tcBorders>
              <w:bottom w:val="single" w:sz="8" w:color="A6A6A6"/>
            </w:tcBorders>
          </w:tcPr>
          <w:p>
            <w:pPr>
              <w:ind w:left="260"/>
              <w:spacing w:after="0"/>
              <w:rPr>
                <w:sz w:val="20"/>
                <w:szCs w:val="20"/>
                <w:color w:val="auto"/>
              </w:rPr>
            </w:pPr>
            <w:r>
              <w:rPr>
                <w:rFonts w:ascii="Times New Roman" w:cs="Times New Roman" w:eastAsia="Times New Roman" w:hAnsi="Times New Roman"/>
                <w:sz w:val="16"/>
                <w:szCs w:val="16"/>
                <w:color w:val="004483"/>
              </w:rPr>
              <w:t>Depreciation and Amortization</w:t>
            </w:r>
          </w:p>
        </w:tc>
        <w:tc>
          <w:tcPr>
            <w:tcW w:w="2960" w:type="dxa"/>
            <w:vAlign w:val="bottom"/>
            <w:tcBorders>
              <w:bottom w:val="single" w:sz="8" w:color="A6A6A6"/>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7"/>
                <w:szCs w:val="17"/>
                <w:color w:val="auto"/>
              </w:rPr>
            </w:pPr>
          </w:p>
        </w:tc>
        <w:tc>
          <w:tcPr>
            <w:tcW w:w="1300" w:type="dxa"/>
            <w:vAlign w:val="bottom"/>
            <w:tcBorders>
              <w:bottom w:val="single" w:sz="8" w:color="A6A6A6"/>
            </w:tcBorders>
          </w:tcPr>
          <w:p>
            <w:pPr>
              <w:jc w:val="right"/>
              <w:ind w:right="9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11,087</w:t>
            </w:r>
          </w:p>
        </w:tc>
        <w:tc>
          <w:tcPr>
            <w:tcW w:w="100" w:type="dxa"/>
            <w:vAlign w:val="bottom"/>
          </w:tcPr>
          <w:p>
            <w:pPr>
              <w:spacing w:after="0"/>
              <w:rPr>
                <w:sz w:val="17"/>
                <w:szCs w:val="17"/>
                <w:color w:val="auto"/>
              </w:rPr>
            </w:pPr>
          </w:p>
        </w:tc>
      </w:tr>
      <w:tr>
        <w:trPr>
          <w:trHeight w:val="208"/>
        </w:trPr>
        <w:tc>
          <w:tcPr>
            <w:tcW w:w="4800" w:type="dxa"/>
            <w:vAlign w:val="bottom"/>
            <w:tcBorders>
              <w:bottom w:val="single" w:sz="8" w:color="A6A6A6"/>
            </w:tcBorders>
          </w:tcPr>
          <w:p>
            <w:pPr>
              <w:ind w:left="260"/>
              <w:spacing w:after="0"/>
              <w:rPr>
                <w:sz w:val="20"/>
                <w:szCs w:val="20"/>
                <w:color w:val="auto"/>
              </w:rPr>
            </w:pPr>
            <w:r>
              <w:rPr>
                <w:rFonts w:ascii="Times New Roman" w:cs="Times New Roman" w:eastAsia="Times New Roman" w:hAnsi="Times New Roman"/>
                <w:sz w:val="16"/>
                <w:szCs w:val="16"/>
                <w:color w:val="004483"/>
              </w:rPr>
              <w:t>Gain on Sale</w:t>
            </w:r>
          </w:p>
        </w:tc>
        <w:tc>
          <w:tcPr>
            <w:tcW w:w="252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(9,230)</w:t>
            </w:r>
          </w:p>
        </w:tc>
        <w:tc>
          <w:tcPr>
            <w:tcW w:w="100" w:type="dxa"/>
            <w:vAlign w:val="bottom"/>
          </w:tcPr>
          <w:p>
            <w:pPr>
              <w:spacing w:after="0"/>
              <w:rPr>
                <w:sz w:val="18"/>
                <w:szCs w:val="18"/>
                <w:color w:val="auto"/>
              </w:rPr>
            </w:pPr>
          </w:p>
        </w:tc>
        <w:tc>
          <w:tcPr>
            <w:tcW w:w="13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208"/>
        </w:trPr>
        <w:tc>
          <w:tcPr>
            <w:tcW w:w="4800" w:type="dxa"/>
            <w:vAlign w:val="bottom"/>
            <w:tcBorders>
              <w:bottom w:val="single" w:sz="8" w:color="A6A6A6"/>
            </w:tcBorders>
          </w:tcPr>
          <w:p>
            <w:pPr>
              <w:ind w:left="260"/>
              <w:spacing w:after="0"/>
              <w:rPr>
                <w:sz w:val="20"/>
                <w:szCs w:val="20"/>
                <w:color w:val="auto"/>
              </w:rPr>
            </w:pPr>
            <w:r>
              <w:rPr>
                <w:rFonts w:ascii="Times New Roman" w:cs="Times New Roman" w:eastAsia="Times New Roman" w:hAnsi="Times New Roman"/>
                <w:sz w:val="16"/>
                <w:szCs w:val="16"/>
                <w:color w:val="004483"/>
              </w:rPr>
              <w:t>Impairment Losses</w:t>
            </w:r>
          </w:p>
        </w:tc>
        <w:tc>
          <w:tcPr>
            <w:tcW w:w="252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199,136</w:t>
            </w:r>
          </w:p>
        </w:tc>
        <w:tc>
          <w:tcPr>
            <w:tcW w:w="100" w:type="dxa"/>
            <w:vAlign w:val="bottom"/>
          </w:tcPr>
          <w:p>
            <w:pPr>
              <w:spacing w:after="0"/>
              <w:rPr>
                <w:sz w:val="18"/>
                <w:szCs w:val="18"/>
                <w:color w:val="auto"/>
              </w:rPr>
            </w:pPr>
          </w:p>
        </w:tc>
      </w:tr>
      <w:tr>
        <w:trPr>
          <w:trHeight w:val="208"/>
        </w:trPr>
        <w:tc>
          <w:tcPr>
            <w:tcW w:w="4800" w:type="dxa"/>
            <w:vAlign w:val="bottom"/>
            <w:tcBorders>
              <w:bottom w:val="single" w:sz="8" w:color="A6A6A6"/>
            </w:tcBorders>
          </w:tcPr>
          <w:p>
            <w:pPr>
              <w:ind w:left="260"/>
              <w:spacing w:after="0"/>
              <w:rPr>
                <w:sz w:val="20"/>
                <w:szCs w:val="20"/>
                <w:color w:val="auto"/>
              </w:rPr>
            </w:pPr>
            <w:r>
              <w:rPr>
                <w:rFonts w:ascii="Times New Roman" w:cs="Times New Roman" w:eastAsia="Times New Roman" w:hAnsi="Times New Roman"/>
                <w:sz w:val="16"/>
                <w:szCs w:val="16"/>
                <w:color w:val="004483"/>
              </w:rPr>
              <w:t>Net Change in Inventory</w:t>
            </w:r>
          </w:p>
        </w:tc>
        <w:tc>
          <w:tcPr>
            <w:tcW w:w="252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tcPr>
          <w:p>
            <w:pPr>
              <w:spacing w:after="0"/>
              <w:rPr>
                <w:sz w:val="18"/>
                <w:szCs w:val="18"/>
                <w:color w:val="auto"/>
              </w:rPr>
            </w:pPr>
          </w:p>
        </w:tc>
      </w:tr>
      <w:tr>
        <w:trPr>
          <w:trHeight w:val="208"/>
        </w:trPr>
        <w:tc>
          <w:tcPr>
            <w:tcW w:w="4800" w:type="dxa"/>
            <w:vAlign w:val="bottom"/>
            <w:tcBorders>
              <w:bottom w:val="single" w:sz="8" w:color="A6A6A6"/>
            </w:tcBorders>
          </w:tcPr>
          <w:p>
            <w:pPr>
              <w:ind w:left="260"/>
              <w:spacing w:after="0"/>
              <w:rPr>
                <w:sz w:val="20"/>
                <w:szCs w:val="20"/>
                <w:color w:val="auto"/>
              </w:rPr>
            </w:pPr>
            <w:r>
              <w:rPr>
                <w:rFonts w:ascii="Times New Roman" w:cs="Times New Roman" w:eastAsia="Times New Roman" w:hAnsi="Times New Roman"/>
                <w:sz w:val="16"/>
                <w:szCs w:val="16"/>
                <w:color w:val="004483"/>
              </w:rPr>
              <w:t>Capital Expenditures</w:t>
            </w:r>
          </w:p>
        </w:tc>
        <w:tc>
          <w:tcPr>
            <w:tcW w:w="252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0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r>
    </w:tbl>
    <w:p>
      <w:pPr>
        <w:spacing w:after="0" w:line="218" w:lineRule="exact"/>
        <w:rPr>
          <w:sz w:val="20"/>
          <w:szCs w:val="20"/>
          <w:color w:val="auto"/>
        </w:rPr>
      </w:pPr>
    </w:p>
    <w:p>
      <w:pPr>
        <w:ind w:right="60"/>
        <w:spacing w:after="0" w:line="302" w:lineRule="auto"/>
        <w:rPr>
          <w:sz w:val="20"/>
          <w:szCs w:val="20"/>
          <w:color w:val="auto"/>
        </w:rPr>
      </w:pPr>
      <w:r>
        <w:rPr>
          <w:rFonts w:ascii="Arial" w:cs="Arial" w:eastAsia="Arial" w:hAnsi="Arial"/>
          <w:sz w:val="18"/>
          <w:szCs w:val="18"/>
          <w:color w:val="auto"/>
        </w:rPr>
        <w:t>The following is a summary of assets and liabilities attributable to discontinued operations, which were included in our balance sheet at March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004483"/>
          </w:tcPr>
          <w:p>
            <w:pPr>
              <w:spacing w:after="0"/>
              <w:rPr>
                <w:sz w:val="19"/>
                <w:szCs w:val="19"/>
                <w:color w:val="auto"/>
              </w:rPr>
            </w:pPr>
          </w:p>
        </w:tc>
        <w:tc>
          <w:tcPr>
            <w:tcW w:w="1660" w:type="dxa"/>
            <w:vAlign w:val="bottom"/>
            <w:gridSpan w:val="2"/>
            <w:shd w:val="clear" w:color="auto" w:fill="004483"/>
          </w:tcPr>
          <w:p>
            <w:pPr>
              <w:ind w:left="980"/>
              <w:spacing w:after="0"/>
              <w:rPr>
                <w:sz w:val="20"/>
                <w:szCs w:val="20"/>
                <w:color w:val="auto"/>
              </w:rPr>
            </w:pPr>
            <w:r>
              <w:rPr>
                <w:rFonts w:ascii="Times New Roman" w:cs="Times New Roman" w:eastAsia="Times New Roman" w:hAnsi="Times New Roman"/>
                <w:sz w:val="13"/>
                <w:szCs w:val="13"/>
                <w:b w:val="1"/>
                <w:bCs w:val="1"/>
                <w:color w:val="FFFFFF"/>
              </w:rPr>
              <w:t>March 31,</w:t>
            </w:r>
          </w:p>
        </w:tc>
      </w:tr>
      <w:tr>
        <w:trPr>
          <w:trHeight w:val="156"/>
        </w:trPr>
        <w:tc>
          <w:tcPr>
            <w:tcW w:w="20" w:type="dxa"/>
            <w:vAlign w:val="bottom"/>
          </w:tcPr>
          <w:p>
            <w:pPr>
              <w:spacing w:after="0"/>
              <w:rPr>
                <w:sz w:val="13"/>
                <w:szCs w:val="13"/>
                <w:color w:val="auto"/>
              </w:rPr>
            </w:pPr>
          </w:p>
        </w:tc>
        <w:tc>
          <w:tcPr>
            <w:tcW w:w="9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9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(dollars in thousands)</w:t>
            </w:r>
          </w:p>
        </w:tc>
      </w:tr>
      <w:tr>
        <w:trPr>
          <w:trHeight w:val="206"/>
        </w:trPr>
        <w:tc>
          <w:tcPr>
            <w:tcW w:w="20" w:type="dxa"/>
            <w:vAlign w:val="bottom"/>
            <w:tcBorders>
              <w:bottom w:val="single" w:sz="8" w:color="A6A6A6"/>
            </w:tcBorders>
          </w:tcPr>
          <w:p>
            <w:pPr>
              <w:spacing w:after="0"/>
              <w:rPr>
                <w:sz w:val="17"/>
                <w:szCs w:val="17"/>
                <w:color w:val="auto"/>
              </w:rPr>
            </w:pPr>
          </w:p>
        </w:tc>
        <w:tc>
          <w:tcPr>
            <w:tcW w:w="9380" w:type="dxa"/>
            <w:vAlign w:val="bottom"/>
            <w:tcBorders>
              <w:top w:val="single" w:sz="8" w:color="004483"/>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Borders>
              <w:top w:val="single" w:sz="8" w:color="004483"/>
              <w:bottom w:val="single" w:sz="8" w:color="A6A6A6"/>
            </w:tcBorders>
          </w:tcPr>
          <w:p>
            <w:pPr>
              <w:spacing w:after="0"/>
              <w:rPr>
                <w:sz w:val="17"/>
                <w:szCs w:val="17"/>
                <w:color w:val="auto"/>
              </w:rPr>
            </w:pPr>
          </w:p>
        </w:tc>
        <w:tc>
          <w:tcPr>
            <w:tcW w:w="160" w:type="dxa"/>
            <w:vAlign w:val="bottom"/>
            <w:tcBorders>
              <w:top w:val="single" w:sz="8" w:color="004483"/>
              <w:bottom w:val="single" w:sz="8" w:color="A6A6A6"/>
            </w:tcBorders>
          </w:tcPr>
          <w:p>
            <w:pPr>
              <w:spacing w:after="0"/>
              <w:rPr>
                <w:sz w:val="17"/>
                <w:szCs w:val="17"/>
                <w:color w:val="auto"/>
              </w:rPr>
            </w:pPr>
          </w:p>
        </w:tc>
        <w:tc>
          <w:tcPr>
            <w:tcW w:w="1540" w:type="dxa"/>
            <w:vAlign w:val="bottom"/>
            <w:tcBorders>
              <w:top w:val="single" w:sz="8" w:color="004483"/>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r>
      <w:tr>
        <w:trPr>
          <w:trHeight w:val="207"/>
        </w:trPr>
        <w:tc>
          <w:tcPr>
            <w:tcW w:w="940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Accounts and Notes Receivable</w:t>
            </w:r>
          </w:p>
        </w:tc>
        <w:tc>
          <w:tcPr>
            <w:tcW w:w="180" w:type="dxa"/>
            <w:vAlign w:val="bottom"/>
            <w:tcBorders>
              <w:bottom w:val="single" w:sz="8" w:color="A6A6A6"/>
            </w:tcBorders>
            <w:gridSpan w:val="2"/>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9,019</w:t>
            </w:r>
          </w:p>
        </w:tc>
        <w:tc>
          <w:tcPr>
            <w:tcW w:w="120" w:type="dxa"/>
            <w:vAlign w:val="bottom"/>
          </w:tcPr>
          <w:p>
            <w:pPr>
              <w:spacing w:after="0"/>
              <w:rPr>
                <w:sz w:val="17"/>
                <w:szCs w:val="17"/>
                <w:color w:val="auto"/>
              </w:rPr>
            </w:pPr>
          </w:p>
        </w:tc>
      </w:tr>
      <w:tr>
        <w:trPr>
          <w:trHeight w:val="208"/>
        </w:trPr>
        <w:tc>
          <w:tcPr>
            <w:tcW w:w="940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Allowance for Doubtful Accounts</w:t>
            </w:r>
          </w:p>
        </w:tc>
        <w:tc>
          <w:tcPr>
            <w:tcW w:w="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5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(3,041)</w:t>
            </w:r>
          </w:p>
        </w:tc>
        <w:tc>
          <w:tcPr>
            <w:tcW w:w="120" w:type="dxa"/>
            <w:vAlign w:val="bottom"/>
          </w:tcPr>
          <w:p>
            <w:pPr>
              <w:spacing w:after="0"/>
              <w:rPr>
                <w:sz w:val="18"/>
                <w:szCs w:val="18"/>
                <w:color w:val="auto"/>
              </w:rPr>
            </w:pPr>
          </w:p>
        </w:tc>
      </w:tr>
      <w:tr>
        <w:trPr>
          <w:trHeight w:val="208"/>
        </w:trPr>
        <w:tc>
          <w:tcPr>
            <w:tcW w:w="940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Inventories</w:t>
            </w:r>
          </w:p>
        </w:tc>
        <w:tc>
          <w:tcPr>
            <w:tcW w:w="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5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Pr>
          <w:p>
            <w:pPr>
              <w:spacing w:after="0"/>
              <w:rPr>
                <w:sz w:val="18"/>
                <w:szCs w:val="18"/>
                <w:color w:val="auto"/>
              </w:rPr>
            </w:pPr>
          </w:p>
        </w:tc>
      </w:tr>
      <w:tr>
        <w:trPr>
          <w:trHeight w:val="208"/>
        </w:trPr>
        <w:tc>
          <w:tcPr>
            <w:tcW w:w="9400" w:type="dxa"/>
            <w:vAlign w:val="bottom"/>
            <w:gridSpan w:val="2"/>
          </w:tcPr>
          <w:p>
            <w:pPr>
              <w:spacing w:after="0"/>
              <w:rPr>
                <w:sz w:val="20"/>
                <w:szCs w:val="20"/>
                <w:color w:val="auto"/>
              </w:rPr>
            </w:pPr>
            <w:r>
              <w:rPr>
                <w:rFonts w:ascii="Times New Roman" w:cs="Times New Roman" w:eastAsia="Times New Roman" w:hAnsi="Times New Roman"/>
                <w:sz w:val="16"/>
                <w:szCs w:val="16"/>
                <w:color w:val="004483"/>
              </w:rPr>
              <w:t>Prepaid and Other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380" w:type="dxa"/>
            <w:vAlign w:val="bottom"/>
            <w:tcBorders>
              <w:top w:val="single" w:sz="8" w:color="A6A6A6"/>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Total Current Assets</w:t>
            </w:r>
          </w:p>
        </w:tc>
        <w:tc>
          <w:tcPr>
            <w:tcW w:w="20" w:type="dxa"/>
            <w:vAlign w:val="bottom"/>
            <w:tcBorders>
              <w:top w:val="single" w:sz="8" w:color="A6A6A6"/>
              <w:bottom w:val="single" w:sz="8" w:color="A6A6A6"/>
            </w:tcBorders>
          </w:tcPr>
          <w:p>
            <w:pPr>
              <w:spacing w:after="0"/>
              <w:rPr>
                <w:sz w:val="18"/>
                <w:szCs w:val="18"/>
                <w:color w:val="auto"/>
              </w:rPr>
            </w:pPr>
          </w:p>
        </w:tc>
        <w:tc>
          <w:tcPr>
            <w:tcW w:w="160" w:type="dxa"/>
            <w:vAlign w:val="bottom"/>
            <w:tcBorders>
              <w:top w:val="single" w:sz="8" w:color="004483"/>
              <w:bottom w:val="single" w:sz="8" w:color="004483"/>
            </w:tcBorders>
          </w:tcPr>
          <w:p>
            <w:pPr>
              <w:spacing w:after="0"/>
              <w:rPr>
                <w:sz w:val="18"/>
                <w:szCs w:val="18"/>
                <w:color w:val="auto"/>
              </w:rPr>
            </w:pPr>
          </w:p>
        </w:tc>
        <w:tc>
          <w:tcPr>
            <w:tcW w:w="154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7,092</w:t>
            </w:r>
          </w:p>
        </w:tc>
        <w:tc>
          <w:tcPr>
            <w:tcW w:w="120" w:type="dxa"/>
            <w:vAlign w:val="bottom"/>
          </w:tcPr>
          <w:p>
            <w:pPr>
              <w:spacing w:after="0"/>
              <w:rPr>
                <w:sz w:val="18"/>
                <w:szCs w:val="18"/>
                <w:color w:val="auto"/>
              </w:rPr>
            </w:pPr>
          </w:p>
        </w:tc>
      </w:tr>
      <w:tr>
        <w:trPr>
          <w:trHeight w:val="208"/>
        </w:trPr>
        <w:tc>
          <w:tcPr>
            <w:tcW w:w="20" w:type="dxa"/>
            <w:vAlign w:val="bottom"/>
            <w:tcBorders>
              <w:bottom w:val="single" w:sz="8" w:color="A6A6A6"/>
            </w:tcBorders>
          </w:tcPr>
          <w:p>
            <w:pPr>
              <w:spacing w:after="0"/>
              <w:rPr>
                <w:sz w:val="18"/>
                <w:szCs w:val="18"/>
                <w:color w:val="auto"/>
              </w:rPr>
            </w:pPr>
          </w:p>
        </w:tc>
        <w:tc>
          <w:tcPr>
            <w:tcW w:w="938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Property, Plant, and Equipment, net</w:t>
            </w:r>
          </w:p>
        </w:tc>
        <w:tc>
          <w:tcPr>
            <w:tcW w:w="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5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5,692</w:t>
            </w:r>
          </w:p>
        </w:tc>
        <w:tc>
          <w:tcPr>
            <w:tcW w:w="120" w:type="dxa"/>
            <w:vAlign w:val="bottom"/>
          </w:tcPr>
          <w:p>
            <w:pPr>
              <w:spacing w:after="0"/>
              <w:rPr>
                <w:sz w:val="18"/>
                <w:szCs w:val="18"/>
                <w:color w:val="auto"/>
              </w:rPr>
            </w:pPr>
          </w:p>
        </w:tc>
      </w:tr>
      <w:tr>
        <w:trPr>
          <w:trHeight w:val="208"/>
        </w:trPr>
        <w:tc>
          <w:tcPr>
            <w:tcW w:w="9400" w:type="dxa"/>
            <w:vAlign w:val="bottom"/>
            <w:gridSpan w:val="2"/>
          </w:tcPr>
          <w:p>
            <w:pPr>
              <w:spacing w:after="0"/>
              <w:rPr>
                <w:sz w:val="20"/>
                <w:szCs w:val="20"/>
                <w:color w:val="auto"/>
              </w:rPr>
            </w:pPr>
            <w:r>
              <w:rPr>
                <w:rFonts w:ascii="Times New Roman" w:cs="Times New Roman" w:eastAsia="Times New Roman" w:hAnsi="Times New Roman"/>
                <w:sz w:val="16"/>
                <w:szCs w:val="16"/>
                <w:color w:val="004483"/>
              </w:rPr>
              <w:t>Operating Lease Right-of-Use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380" w:type="dxa"/>
            <w:vAlign w:val="bottom"/>
            <w:tcBorders>
              <w:top w:val="single" w:sz="8" w:color="A6A6A6"/>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Total Noncurrent Assets</w:t>
            </w:r>
          </w:p>
        </w:tc>
        <w:tc>
          <w:tcPr>
            <w:tcW w:w="20" w:type="dxa"/>
            <w:vAlign w:val="bottom"/>
            <w:tcBorders>
              <w:top w:val="single" w:sz="8" w:color="A6A6A6"/>
              <w:bottom w:val="single" w:sz="8" w:color="A6A6A6"/>
            </w:tcBorders>
          </w:tcPr>
          <w:p>
            <w:pPr>
              <w:spacing w:after="0"/>
              <w:rPr>
                <w:sz w:val="18"/>
                <w:szCs w:val="18"/>
                <w:color w:val="auto"/>
              </w:rPr>
            </w:pPr>
          </w:p>
        </w:tc>
        <w:tc>
          <w:tcPr>
            <w:tcW w:w="160" w:type="dxa"/>
            <w:vAlign w:val="bottom"/>
            <w:tcBorders>
              <w:top w:val="single" w:sz="8" w:color="004483"/>
              <w:bottom w:val="single" w:sz="8" w:color="004483"/>
            </w:tcBorders>
          </w:tcPr>
          <w:p>
            <w:pPr>
              <w:spacing w:after="0"/>
              <w:rPr>
                <w:sz w:val="18"/>
                <w:szCs w:val="18"/>
                <w:color w:val="auto"/>
              </w:rPr>
            </w:pPr>
          </w:p>
        </w:tc>
        <w:tc>
          <w:tcPr>
            <w:tcW w:w="154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6,739</w:t>
            </w:r>
          </w:p>
        </w:tc>
        <w:tc>
          <w:tcPr>
            <w:tcW w:w="12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9380" w:type="dxa"/>
            <w:vAlign w:val="bottom"/>
            <w:tcBorders>
              <w:bottom w:val="single" w:sz="8" w:color="A6A6A6"/>
            </w:tcBorders>
          </w:tcPr>
          <w:p>
            <w:pPr>
              <w:spacing w:after="0"/>
              <w:rPr>
                <w:sz w:val="21"/>
                <w:szCs w:val="21"/>
                <w:color w:val="auto"/>
              </w:rPr>
            </w:pPr>
          </w:p>
        </w:tc>
        <w:tc>
          <w:tcPr>
            <w:tcW w:w="20" w:type="dxa"/>
            <w:vAlign w:val="bottom"/>
            <w:tcBorders>
              <w:bottom w:val="single" w:sz="8" w:color="A6A6A6"/>
            </w:tcBorders>
          </w:tcPr>
          <w:p>
            <w:pPr>
              <w:spacing w:after="0"/>
              <w:rPr>
                <w:sz w:val="21"/>
                <w:szCs w:val="21"/>
                <w:color w:val="auto"/>
              </w:rPr>
            </w:pPr>
          </w:p>
        </w:tc>
        <w:tc>
          <w:tcPr>
            <w:tcW w:w="160" w:type="dxa"/>
            <w:vAlign w:val="bottom"/>
            <w:tcBorders>
              <w:bottom w:val="single" w:sz="8" w:color="004483"/>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13,831</w:t>
            </w:r>
          </w:p>
        </w:tc>
        <w:tc>
          <w:tcPr>
            <w:tcW w:w="12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9380" w:type="dxa"/>
            <w:vAlign w:val="bottom"/>
            <w:tcBorders>
              <w:bottom w:val="single" w:sz="8" w:color="A6A6A6"/>
            </w:tcBorders>
          </w:tcPr>
          <w:p>
            <w:pPr>
              <w:spacing w:after="0"/>
              <w:rPr>
                <w:sz w:val="17"/>
                <w:szCs w:val="17"/>
                <w:color w:val="auto"/>
              </w:rPr>
            </w:pPr>
          </w:p>
        </w:tc>
        <w:tc>
          <w:tcPr>
            <w:tcW w:w="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154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20" w:type="dxa"/>
            <w:vAlign w:val="bottom"/>
            <w:tcBorders>
              <w:bottom w:val="single" w:sz="8" w:color="A6A6A6"/>
            </w:tcBorders>
          </w:tcPr>
          <w:p>
            <w:pPr>
              <w:spacing w:after="0"/>
              <w:rPr>
                <w:sz w:val="17"/>
                <w:szCs w:val="17"/>
                <w:color w:val="auto"/>
              </w:rPr>
            </w:pPr>
          </w:p>
        </w:tc>
        <w:tc>
          <w:tcPr>
            <w:tcW w:w="938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154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r>
      <w:tr>
        <w:trPr>
          <w:trHeight w:val="207"/>
        </w:trPr>
        <w:tc>
          <w:tcPr>
            <w:tcW w:w="940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Accounts Payable</w:t>
            </w:r>
          </w:p>
        </w:tc>
        <w:tc>
          <w:tcPr>
            <w:tcW w:w="180" w:type="dxa"/>
            <w:vAlign w:val="bottom"/>
            <w:tcBorders>
              <w:bottom w:val="single" w:sz="8" w:color="A6A6A6"/>
            </w:tcBorders>
            <w:gridSpan w:val="2"/>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120" w:type="dxa"/>
            <w:vAlign w:val="bottom"/>
          </w:tcPr>
          <w:p>
            <w:pPr>
              <w:spacing w:after="0"/>
              <w:rPr>
                <w:sz w:val="17"/>
                <w:szCs w:val="17"/>
                <w:color w:val="auto"/>
              </w:rPr>
            </w:pPr>
          </w:p>
        </w:tc>
      </w:tr>
      <w:tr>
        <w:trPr>
          <w:trHeight w:val="208"/>
        </w:trPr>
        <w:tc>
          <w:tcPr>
            <w:tcW w:w="940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Accrued Liabilities</w:t>
            </w:r>
          </w:p>
        </w:tc>
        <w:tc>
          <w:tcPr>
            <w:tcW w:w="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5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120" w:type="dxa"/>
            <w:vAlign w:val="bottom"/>
          </w:tcPr>
          <w:p>
            <w:pPr>
              <w:spacing w:after="0"/>
              <w:rPr>
                <w:sz w:val="18"/>
                <w:szCs w:val="18"/>
                <w:color w:val="auto"/>
              </w:rPr>
            </w:pPr>
          </w:p>
        </w:tc>
      </w:tr>
      <w:tr>
        <w:trPr>
          <w:trHeight w:val="208"/>
        </w:trPr>
        <w:tc>
          <w:tcPr>
            <w:tcW w:w="9400" w:type="dxa"/>
            <w:vAlign w:val="bottom"/>
            <w:gridSpan w:val="2"/>
          </w:tcPr>
          <w:p>
            <w:pPr>
              <w:spacing w:after="0"/>
              <w:rPr>
                <w:sz w:val="20"/>
                <w:szCs w:val="20"/>
                <w:color w:val="auto"/>
              </w:rPr>
            </w:pPr>
            <w:r>
              <w:rPr>
                <w:rFonts w:ascii="Times New Roman" w:cs="Times New Roman" w:eastAsia="Times New Roman" w:hAnsi="Times New Roman"/>
                <w:sz w:val="16"/>
                <w:szCs w:val="16"/>
                <w:color w:val="004483"/>
              </w:rPr>
              <w:t>Operating Lease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1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380" w:type="dxa"/>
            <w:vAlign w:val="bottom"/>
            <w:tcBorders>
              <w:top w:val="single" w:sz="8" w:color="A6A6A6"/>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Total Current Liabilities</w:t>
            </w:r>
          </w:p>
        </w:tc>
        <w:tc>
          <w:tcPr>
            <w:tcW w:w="20" w:type="dxa"/>
            <w:vAlign w:val="bottom"/>
            <w:tcBorders>
              <w:top w:val="single" w:sz="8" w:color="A6A6A6"/>
              <w:bottom w:val="single" w:sz="8" w:color="A6A6A6"/>
            </w:tcBorders>
          </w:tcPr>
          <w:p>
            <w:pPr>
              <w:spacing w:after="0"/>
              <w:rPr>
                <w:sz w:val="18"/>
                <w:szCs w:val="18"/>
                <w:color w:val="auto"/>
              </w:rPr>
            </w:pPr>
          </w:p>
        </w:tc>
        <w:tc>
          <w:tcPr>
            <w:tcW w:w="160" w:type="dxa"/>
            <w:vAlign w:val="bottom"/>
            <w:tcBorders>
              <w:top w:val="single" w:sz="8" w:color="004483"/>
              <w:bottom w:val="single" w:sz="8" w:color="004483"/>
            </w:tcBorders>
          </w:tcPr>
          <w:p>
            <w:pPr>
              <w:spacing w:after="0"/>
              <w:rPr>
                <w:sz w:val="18"/>
                <w:szCs w:val="18"/>
                <w:color w:val="auto"/>
              </w:rPr>
            </w:pPr>
          </w:p>
        </w:tc>
        <w:tc>
          <w:tcPr>
            <w:tcW w:w="154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8,487</w:t>
            </w:r>
          </w:p>
        </w:tc>
        <w:tc>
          <w:tcPr>
            <w:tcW w:w="120" w:type="dxa"/>
            <w:vAlign w:val="bottom"/>
          </w:tcPr>
          <w:p>
            <w:pPr>
              <w:spacing w:after="0"/>
              <w:rPr>
                <w:sz w:val="18"/>
                <w:szCs w:val="18"/>
                <w:color w:val="auto"/>
              </w:rPr>
            </w:pPr>
          </w:p>
        </w:tc>
      </w:tr>
      <w:tr>
        <w:trPr>
          <w:trHeight w:val="208"/>
        </w:trPr>
        <w:tc>
          <w:tcPr>
            <w:tcW w:w="20" w:type="dxa"/>
            <w:vAlign w:val="bottom"/>
            <w:tcBorders>
              <w:bottom w:val="single" w:sz="8" w:color="A6A6A6"/>
            </w:tcBorders>
          </w:tcPr>
          <w:p>
            <w:pPr>
              <w:spacing w:after="0"/>
              <w:rPr>
                <w:sz w:val="18"/>
                <w:szCs w:val="18"/>
                <w:color w:val="auto"/>
              </w:rPr>
            </w:pPr>
          </w:p>
        </w:tc>
        <w:tc>
          <w:tcPr>
            <w:tcW w:w="938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Noncurrent Operating Lease Liabilities</w:t>
            </w:r>
          </w:p>
        </w:tc>
        <w:tc>
          <w:tcPr>
            <w:tcW w:w="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5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9,570</w:t>
            </w:r>
          </w:p>
        </w:tc>
        <w:tc>
          <w:tcPr>
            <w:tcW w:w="120" w:type="dxa"/>
            <w:vAlign w:val="bottom"/>
          </w:tcPr>
          <w:p>
            <w:pPr>
              <w:spacing w:after="0"/>
              <w:rPr>
                <w:sz w:val="18"/>
                <w:szCs w:val="18"/>
                <w:color w:val="auto"/>
              </w:rPr>
            </w:pPr>
          </w:p>
        </w:tc>
      </w:tr>
      <w:tr>
        <w:trPr>
          <w:trHeight w:val="208"/>
        </w:trPr>
        <w:tc>
          <w:tcPr>
            <w:tcW w:w="9400" w:type="dxa"/>
            <w:vAlign w:val="bottom"/>
            <w:gridSpan w:val="2"/>
          </w:tcPr>
          <w:p>
            <w:pPr>
              <w:spacing w:after="0"/>
              <w:rPr>
                <w:sz w:val="20"/>
                <w:szCs w:val="20"/>
                <w:color w:val="auto"/>
              </w:rPr>
            </w:pPr>
            <w:r>
              <w:rPr>
                <w:rFonts w:ascii="Times New Roman" w:cs="Times New Roman" w:eastAsia="Times New Roman" w:hAnsi="Times New Roman"/>
                <w:sz w:val="16"/>
                <w:szCs w:val="16"/>
                <w:color w:val="004483"/>
              </w:rPr>
              <w:t>Other Long-term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5,857</w:t>
            </w:r>
          </w:p>
        </w:tc>
        <w:tc>
          <w:tcPr>
            <w:tcW w:w="1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380" w:type="dxa"/>
            <w:vAlign w:val="bottom"/>
            <w:tcBorders>
              <w:top w:val="single" w:sz="8" w:color="A6A6A6"/>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Total Noncurrent Liabilities</w:t>
            </w:r>
          </w:p>
        </w:tc>
        <w:tc>
          <w:tcPr>
            <w:tcW w:w="20" w:type="dxa"/>
            <w:vAlign w:val="bottom"/>
            <w:tcBorders>
              <w:top w:val="single" w:sz="8" w:color="A6A6A6"/>
              <w:bottom w:val="single" w:sz="8" w:color="A6A6A6"/>
            </w:tcBorders>
          </w:tcPr>
          <w:p>
            <w:pPr>
              <w:spacing w:after="0"/>
              <w:rPr>
                <w:sz w:val="18"/>
                <w:szCs w:val="18"/>
                <w:color w:val="auto"/>
              </w:rPr>
            </w:pPr>
          </w:p>
        </w:tc>
        <w:tc>
          <w:tcPr>
            <w:tcW w:w="160" w:type="dxa"/>
            <w:vAlign w:val="bottom"/>
            <w:tcBorders>
              <w:top w:val="single" w:sz="8" w:color="004483"/>
              <w:bottom w:val="single" w:sz="8" w:color="004483"/>
            </w:tcBorders>
          </w:tcPr>
          <w:p>
            <w:pPr>
              <w:spacing w:after="0"/>
              <w:rPr>
                <w:sz w:val="18"/>
                <w:szCs w:val="18"/>
                <w:color w:val="auto"/>
              </w:rPr>
            </w:pPr>
          </w:p>
        </w:tc>
        <w:tc>
          <w:tcPr>
            <w:tcW w:w="154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15,427</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20" w:type="dxa"/>
            <w:vAlign w:val="bottom"/>
            <w:tcBorders>
              <w:bottom w:val="single" w:sz="8" w:color="004483"/>
            </w:tcBorders>
          </w:tcPr>
          <w:p>
            <w:pPr>
              <w:spacing w:after="0"/>
              <w:rPr>
                <w:sz w:val="18"/>
                <w:szCs w:val="18"/>
                <w:color w:val="auto"/>
              </w:rPr>
            </w:pPr>
          </w:p>
        </w:tc>
        <w:tc>
          <w:tcPr>
            <w:tcW w:w="160" w:type="dxa"/>
            <w:vAlign w:val="bottom"/>
            <w:tcBorders>
              <w:bottom w:val="single" w:sz="8" w:color="004483"/>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23,914</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5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7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Other Dispositions</w:t>
      </w:r>
    </w:p>
    <w:p>
      <w:pPr>
        <w:spacing w:after="0" w:line="12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On April 17, 2020, we sold our Western Aggregates LLC (Western) and Mathews Readymix LLC (Mathews) businesses to Teichert, Inc. for an aggregate purchase price of approximately $93.5 million, subject to certain post-closing adjustments. This sale resulted in a gain of approximately $52.0 million. Western and Mathews were part of our Concrete and Aggregates operating segment, and their results of operations were included in our financial statements for the period from April 1, 2020 through April 17, 2020.</w:t>
      </w:r>
    </w:p>
    <w:p>
      <w:pPr>
        <w:spacing w:after="0" w:line="67" w:lineRule="exact"/>
        <w:rPr>
          <w:sz w:val="20"/>
          <w:szCs w:val="20"/>
          <w:color w:val="auto"/>
        </w:rPr>
      </w:pPr>
    </w:p>
    <w:p>
      <w:pPr>
        <w:ind w:right="60"/>
        <w:spacing w:after="0" w:line="302" w:lineRule="auto"/>
        <w:rPr>
          <w:sz w:val="20"/>
          <w:szCs w:val="20"/>
          <w:color w:val="auto"/>
        </w:rPr>
      </w:pPr>
      <w:r>
        <w:rPr>
          <w:rFonts w:ascii="Arial" w:cs="Arial" w:eastAsia="Arial" w:hAnsi="Arial"/>
          <w:sz w:val="18"/>
          <w:szCs w:val="18"/>
          <w:color w:val="auto"/>
        </w:rPr>
        <w:t>At the date of sale, assets and liabilities included on our balance sheet related to Western and Mathews were approximately $43.8 million and $2.3 million, respectively.</w:t>
      </w:r>
    </w:p>
    <w:p>
      <w:pPr>
        <w:spacing w:after="0" w:line="42" w:lineRule="exact"/>
        <w:rPr>
          <w:sz w:val="20"/>
          <w:szCs w:val="20"/>
          <w:color w:val="auto"/>
        </w:rPr>
      </w:pPr>
    </w:p>
    <w:p>
      <w:pPr>
        <w:spacing w:after="0" w:line="302" w:lineRule="auto"/>
        <w:rPr>
          <w:sz w:val="20"/>
          <w:szCs w:val="20"/>
          <w:color w:val="auto"/>
        </w:rPr>
      </w:pPr>
      <w:r>
        <w:rPr>
          <w:rFonts w:ascii="Arial" w:cs="Arial" w:eastAsia="Arial" w:hAnsi="Arial"/>
          <w:sz w:val="18"/>
          <w:szCs w:val="18"/>
          <w:color w:val="auto"/>
        </w:rPr>
        <w:t>Revenue and Operating Earnings from Western and Mathews, collectively, for the three and nine months ended December 31, 2020 and 2019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tcPr>
          <w:p>
            <w:pPr>
              <w:spacing w:after="0"/>
              <w:rPr>
                <w:sz w:val="19"/>
                <w:szCs w:val="19"/>
                <w:color w:val="auto"/>
              </w:rPr>
            </w:pPr>
          </w:p>
        </w:tc>
        <w:tc>
          <w:tcPr>
            <w:tcW w:w="140" w:type="dxa"/>
            <w:vAlign w:val="bottom"/>
            <w:shd w:val="clear" w:color="auto" w:fill="004483"/>
          </w:tcPr>
          <w:p>
            <w:pPr>
              <w:spacing w:after="0"/>
              <w:rPr>
                <w:sz w:val="19"/>
                <w:szCs w:val="19"/>
                <w:color w:val="auto"/>
              </w:rPr>
            </w:pPr>
          </w:p>
        </w:tc>
        <w:tc>
          <w:tcPr>
            <w:tcW w:w="2720" w:type="dxa"/>
            <w:vAlign w:val="bottom"/>
            <w:gridSpan w:val="5"/>
            <w:shd w:val="clear" w:color="auto" w:fill="004483"/>
          </w:tcPr>
          <w:p>
            <w:pPr>
              <w:ind w:left="60"/>
              <w:spacing w:after="0"/>
              <w:rPr>
                <w:sz w:val="20"/>
                <w:szCs w:val="20"/>
                <w:color w:val="auto"/>
              </w:rPr>
            </w:pPr>
            <w:r>
              <w:rPr>
                <w:rFonts w:ascii="Times New Roman" w:cs="Times New Roman" w:eastAsia="Times New Roman" w:hAnsi="Times New Roman"/>
                <w:sz w:val="13"/>
                <w:szCs w:val="13"/>
                <w:b w:val="1"/>
                <w:bCs w:val="1"/>
                <w:color w:val="FFFFFF"/>
              </w:rPr>
              <w:t>For the Three Months Ended December 31,</w:t>
            </w:r>
          </w:p>
        </w:tc>
        <w:tc>
          <w:tcPr>
            <w:tcW w:w="120" w:type="dxa"/>
            <w:vAlign w:val="bottom"/>
          </w:tcPr>
          <w:p>
            <w:pPr>
              <w:spacing w:after="0"/>
              <w:rPr>
                <w:sz w:val="19"/>
                <w:szCs w:val="19"/>
                <w:color w:val="auto"/>
              </w:rPr>
            </w:pPr>
          </w:p>
        </w:tc>
        <w:tc>
          <w:tcPr>
            <w:tcW w:w="160" w:type="dxa"/>
            <w:vAlign w:val="bottom"/>
            <w:shd w:val="clear" w:color="auto" w:fill="004483"/>
          </w:tcPr>
          <w:p>
            <w:pPr>
              <w:spacing w:after="0"/>
              <w:rPr>
                <w:sz w:val="19"/>
                <w:szCs w:val="19"/>
                <w:color w:val="auto"/>
              </w:rPr>
            </w:pPr>
          </w:p>
        </w:tc>
        <w:tc>
          <w:tcPr>
            <w:tcW w:w="2720" w:type="dxa"/>
            <w:vAlign w:val="bottom"/>
            <w:gridSpan w:val="5"/>
            <w:shd w:val="clear" w:color="auto" w:fill="004483"/>
          </w:tcPr>
          <w:p>
            <w:pPr>
              <w:ind w:left="100"/>
              <w:spacing w:after="0"/>
              <w:rPr>
                <w:sz w:val="20"/>
                <w:szCs w:val="20"/>
                <w:color w:val="auto"/>
              </w:rPr>
            </w:pPr>
            <w:r>
              <w:rPr>
                <w:rFonts w:ascii="Times New Roman" w:cs="Times New Roman" w:eastAsia="Times New Roman" w:hAnsi="Times New Roman"/>
                <w:sz w:val="13"/>
                <w:szCs w:val="13"/>
                <w:b w:val="1"/>
                <w:bCs w:val="1"/>
                <w:color w:val="FFFFFF"/>
              </w:rPr>
              <w:t>For the Nine Months Ended December 31,</w:t>
            </w:r>
          </w:p>
        </w:tc>
      </w:tr>
      <w:tr>
        <w:trPr>
          <w:trHeight w:val="156"/>
        </w:trPr>
        <w:tc>
          <w:tcPr>
            <w:tcW w:w="5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3"/>
                <w:szCs w:val="13"/>
                <w:color w:val="auto"/>
              </w:rPr>
            </w:pPr>
          </w:p>
        </w:tc>
      </w:tr>
      <w:tr>
        <w:trPr>
          <w:trHeight w:val="152"/>
        </w:trPr>
        <w:tc>
          <w:tcPr>
            <w:tcW w:w="5380" w:type="dxa"/>
            <w:vAlign w:val="bottom"/>
            <w:tcBorders>
              <w:bottom w:val="single" w:sz="8" w:color="004483"/>
            </w:tcBorders>
          </w:tcPr>
          <w:p>
            <w:pPr>
              <w:spacing w:after="0"/>
              <w:rPr>
                <w:sz w:val="13"/>
                <w:szCs w:val="13"/>
                <w:color w:val="auto"/>
              </w:rPr>
            </w:pPr>
          </w:p>
        </w:tc>
        <w:tc>
          <w:tcPr>
            <w:tcW w:w="140" w:type="dxa"/>
            <w:vAlign w:val="bottom"/>
            <w:tcBorders>
              <w:bottom w:val="single" w:sz="8" w:color="004483"/>
            </w:tcBorders>
          </w:tcPr>
          <w:p>
            <w:pPr>
              <w:spacing w:after="0"/>
              <w:rPr>
                <w:sz w:val="13"/>
                <w:szCs w:val="13"/>
                <w:color w:val="auto"/>
              </w:rPr>
            </w:pPr>
          </w:p>
        </w:tc>
        <w:tc>
          <w:tcPr>
            <w:tcW w:w="112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580" w:type="dxa"/>
            <w:vAlign w:val="bottom"/>
            <w:tcBorders>
              <w:bottom w:val="single" w:sz="8" w:color="004483"/>
            </w:tcBorders>
          </w:tcPr>
          <w:p>
            <w:pPr>
              <w:spacing w:after="0"/>
              <w:rPr>
                <w:sz w:val="13"/>
                <w:szCs w:val="13"/>
                <w:color w:val="auto"/>
              </w:rPr>
            </w:pPr>
          </w:p>
        </w:tc>
        <w:tc>
          <w:tcPr>
            <w:tcW w:w="2400" w:type="dxa"/>
            <w:vAlign w:val="bottom"/>
            <w:tcBorders>
              <w:bottom w:val="single" w:sz="8" w:color="004483"/>
            </w:tcBorders>
            <w:gridSpan w:val="6"/>
          </w:tcPr>
          <w:p>
            <w:pPr>
              <w:ind w:left="360"/>
              <w:spacing w:after="0"/>
              <w:rPr>
                <w:sz w:val="20"/>
                <w:szCs w:val="20"/>
                <w:color w:val="auto"/>
              </w:rPr>
            </w:pPr>
            <w:r>
              <w:rPr>
                <w:rFonts w:ascii="Times New Roman" w:cs="Times New Roman" w:eastAsia="Times New Roman" w:hAnsi="Times New Roman"/>
                <w:sz w:val="13"/>
                <w:szCs w:val="13"/>
                <w:color w:val="auto"/>
              </w:rPr>
              <w:t>(dollars in thousands)</w:t>
            </w:r>
          </w:p>
        </w:tc>
        <w:tc>
          <w:tcPr>
            <w:tcW w:w="560" w:type="dxa"/>
            <w:vAlign w:val="bottom"/>
            <w:tcBorders>
              <w:bottom w:val="single" w:sz="8" w:color="004483"/>
            </w:tcBorders>
          </w:tcPr>
          <w:p>
            <w:pPr>
              <w:spacing w:after="0"/>
              <w:rPr>
                <w:sz w:val="13"/>
                <w:szCs w:val="13"/>
                <w:color w:val="auto"/>
              </w:rPr>
            </w:pPr>
          </w:p>
        </w:tc>
        <w:tc>
          <w:tcPr>
            <w:tcW w:w="84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r>
      <w:tr>
        <w:trPr>
          <w:trHeight w:val="218"/>
        </w:trPr>
        <w:tc>
          <w:tcPr>
            <w:tcW w:w="5380" w:type="dxa"/>
            <w:vAlign w:val="bottom"/>
            <w:tcBorders>
              <w:bottom w:val="single" w:sz="8" w:color="A6A6A6"/>
            </w:tcBorders>
          </w:tcPr>
          <w:p>
            <w:pPr>
              <w:ind w:left="260"/>
              <w:spacing w:after="0"/>
              <w:rPr>
                <w:sz w:val="20"/>
                <w:szCs w:val="20"/>
                <w:color w:val="auto"/>
              </w:rPr>
            </w:pPr>
            <w:r>
              <w:rPr>
                <w:rFonts w:ascii="Times New Roman" w:cs="Times New Roman" w:eastAsia="Times New Roman" w:hAnsi="Times New Roman"/>
                <w:sz w:val="16"/>
                <w:szCs w:val="16"/>
                <w:color w:val="17385E"/>
              </w:rPr>
              <w:t>Revenue</w:t>
            </w:r>
          </w:p>
        </w:tc>
        <w:tc>
          <w:tcPr>
            <w:tcW w:w="1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80" w:type="dxa"/>
            <w:vAlign w:val="bottom"/>
            <w:tcBorders>
              <w:bottom w:val="single" w:sz="8" w:color="A6A6A6"/>
            </w:tcBorders>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7,872</w:t>
            </w:r>
          </w:p>
        </w:tc>
        <w:tc>
          <w:tcPr>
            <w:tcW w:w="100" w:type="dxa"/>
            <w:vAlign w:val="bottom"/>
          </w:tcPr>
          <w:p>
            <w:pPr>
              <w:spacing w:after="0"/>
              <w:rPr>
                <w:sz w:val="18"/>
                <w:szCs w:val="18"/>
                <w:color w:val="auto"/>
              </w:rPr>
            </w:pPr>
          </w:p>
        </w:tc>
        <w:tc>
          <w:tcPr>
            <w:tcW w:w="280" w:type="dxa"/>
            <w:vAlign w:val="bottom"/>
            <w:tcBorders>
              <w:bottom w:val="single" w:sz="8" w:color="A6A6A6"/>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00" w:type="dxa"/>
            <w:vAlign w:val="bottom"/>
          </w:tcPr>
          <w:p>
            <w:pPr>
              <w:spacing w:after="0"/>
              <w:rPr>
                <w:sz w:val="18"/>
                <w:szCs w:val="18"/>
                <w:color w:val="auto"/>
              </w:rPr>
            </w:pPr>
          </w:p>
        </w:tc>
        <w:tc>
          <w:tcPr>
            <w:tcW w:w="560" w:type="dxa"/>
            <w:vAlign w:val="bottom"/>
            <w:tcBorders>
              <w:bottom w:val="single" w:sz="8" w:color="A6A6A6"/>
            </w:tcBorders>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25,248</w:t>
            </w:r>
          </w:p>
        </w:tc>
        <w:tc>
          <w:tcPr>
            <w:tcW w:w="100" w:type="dxa"/>
            <w:vAlign w:val="bottom"/>
          </w:tcPr>
          <w:p>
            <w:pPr>
              <w:spacing w:after="0"/>
              <w:rPr>
                <w:sz w:val="18"/>
                <w:szCs w:val="18"/>
                <w:color w:val="auto"/>
              </w:rPr>
            </w:pPr>
          </w:p>
        </w:tc>
      </w:tr>
      <w:tr>
        <w:trPr>
          <w:trHeight w:val="221"/>
        </w:trPr>
        <w:tc>
          <w:tcPr>
            <w:tcW w:w="5380" w:type="dxa"/>
            <w:vAlign w:val="bottom"/>
            <w:tcBorders>
              <w:bottom w:val="single" w:sz="8" w:color="A6A6A6"/>
            </w:tcBorders>
          </w:tcPr>
          <w:p>
            <w:pPr>
              <w:ind w:left="260"/>
              <w:spacing w:after="0"/>
              <w:rPr>
                <w:sz w:val="20"/>
                <w:szCs w:val="20"/>
                <w:color w:val="auto"/>
              </w:rPr>
            </w:pPr>
            <w:r>
              <w:rPr>
                <w:rFonts w:ascii="Times New Roman" w:cs="Times New Roman" w:eastAsia="Times New Roman" w:hAnsi="Times New Roman"/>
                <w:sz w:val="16"/>
                <w:szCs w:val="16"/>
                <w:color w:val="17385E"/>
              </w:rPr>
              <w:t>Operating Earnings</w:t>
            </w:r>
          </w:p>
        </w:tc>
        <w:tc>
          <w:tcPr>
            <w:tcW w:w="1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580" w:type="dxa"/>
            <w:vAlign w:val="bottom"/>
            <w:tcBorders>
              <w:bottom w:val="single" w:sz="8" w:color="A6A6A6"/>
            </w:tcBorders>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00" w:type="dxa"/>
            <w:vAlign w:val="bottom"/>
          </w:tcPr>
          <w:p>
            <w:pPr>
              <w:spacing w:after="0"/>
              <w:rPr>
                <w:sz w:val="19"/>
                <w:szCs w:val="19"/>
                <w:color w:val="auto"/>
              </w:rPr>
            </w:pPr>
          </w:p>
        </w:tc>
        <w:tc>
          <w:tcPr>
            <w:tcW w:w="280" w:type="dxa"/>
            <w:vAlign w:val="bottom"/>
            <w:tcBorders>
              <w:bottom w:val="single" w:sz="8" w:color="A6A6A6"/>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9"/>
                <w:szCs w:val="19"/>
                <w:color w:val="auto"/>
              </w:rPr>
            </w:pPr>
          </w:p>
        </w:tc>
        <w:tc>
          <w:tcPr>
            <w:tcW w:w="560" w:type="dxa"/>
            <w:vAlign w:val="bottom"/>
            <w:tcBorders>
              <w:bottom w:val="single" w:sz="8" w:color="A6A6A6"/>
            </w:tcBorders>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100" w:type="dxa"/>
            <w:vAlign w:val="bottom"/>
          </w:tcPr>
          <w:p>
            <w:pPr>
              <w:spacing w:after="0"/>
              <w:rPr>
                <w:sz w:val="19"/>
                <w:szCs w:val="19"/>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 ACQUISITION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Kosmos Acquisition</w:t>
      </w:r>
    </w:p>
    <w:p>
      <w:pPr>
        <w:spacing w:after="0" w:line="130"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On March 6, 2020, we acquired the assets of Kosmos Cement Company (Kosmos), a joint venture between CEMEX S.A.B. de C.V. and Buzzi Unicem S.p.A. (the Kosmos Acquisition). The Kosmos Acquisition included (i) a cement plant located in Louisville, Kentucky, (ii) a limestone quarry located in Battletown, Kentucky, (iii) cement distribution terminals located in Indianapolis, Indiana; Cincinnati, Ohio; Pittsburgh, Pennsylvania; Charleston, West Virginia; Ceredo, West Virginia; Mt. Vernon, Indiana; and Lexington, Kentucky, and (iv) certain other properties and assets used by Kosmos in connection with the foregoing (collectively, the Kosmos Business). We assumed certain liabilities and obligations of Kosmos relating to the Kosmos Business, including contractual obligations, reclamation obligations, and various other liabilities arising out of or relating to the Kosmos Business. The Kosmos Business is included in the Cement segment of our Heavy Materials sector.</w:t>
      </w:r>
    </w:p>
    <w:p>
      <w:pPr>
        <w:spacing w:after="0" w:line="74" w:lineRule="exact"/>
        <w:rPr>
          <w:sz w:val="20"/>
          <w:szCs w:val="20"/>
          <w:color w:val="auto"/>
        </w:rPr>
      </w:pPr>
    </w:p>
    <w:p>
      <w:pPr>
        <w:ind w:right="320"/>
        <w:spacing w:after="0" w:line="283" w:lineRule="auto"/>
        <w:rPr>
          <w:sz w:val="20"/>
          <w:szCs w:val="20"/>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The purchase price of the Kosmos Acquisition was approximately $669 million. We funded the payment of the Kosmos Acquisition primarily through a Term Loan borrowing with the remainder paid using cash on hand. See Footnote (N) for a description of the loan terms.</w:t>
      </w:r>
    </w:p>
    <w:p>
      <w:pPr>
        <w:spacing w:after="0" w:line="59"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u w:val="single" w:color="auto"/>
          <w:color w:val="auto"/>
        </w:rPr>
        <w:t>Recording of Assets Acquired and Liabilities Assumed:</w:t>
      </w:r>
      <w:r>
        <w:rPr>
          <w:rFonts w:ascii="Arial" w:cs="Arial" w:eastAsia="Arial" w:hAnsi="Arial"/>
          <w:sz w:val="18"/>
          <w:szCs w:val="18"/>
          <w:color w:val="auto"/>
        </w:rPr>
        <w:t xml:space="preserve"> The Kosmos Acquisition was accounted for using the acquisition method of accounting which requires, among other things, that assets acquired and liabilities assumed be recognized at their fair values as of the acquisition date. The Company engaged a third party to perform appraisal valuation services to support the Company’s preliminary estimate of the fair value of certain assets acquired in the Kosmos Acquisition.</w:t>
      </w:r>
    </w:p>
    <w:p>
      <w:pPr>
        <w:spacing w:after="0" w:line="67" w:lineRule="exact"/>
        <w:rPr>
          <w:sz w:val="20"/>
          <w:szCs w:val="20"/>
          <w:color w:val="auto"/>
        </w:rPr>
      </w:pPr>
    </w:p>
    <w:p>
      <w:pPr>
        <w:ind w:right="60"/>
        <w:spacing w:after="0" w:line="293" w:lineRule="auto"/>
        <w:rPr>
          <w:sz w:val="20"/>
          <w:szCs w:val="20"/>
          <w:color w:val="auto"/>
        </w:rPr>
      </w:pPr>
      <w:r>
        <w:rPr>
          <w:rFonts w:ascii="Arial" w:cs="Arial" w:eastAsia="Arial" w:hAnsi="Arial"/>
          <w:sz w:val="17"/>
          <w:szCs w:val="17"/>
          <w:color w:val="auto"/>
        </w:rPr>
        <w:t>The preparation of the valuation of the assets acquired and liabilities assumed in the Kosmos Acquisition requires the use of significant assumptions and estimates. Critical estimates with respect to the valuation of property, plant, and equipment include, but are not limited to, replacement cost, condition, and estimated remaining useful lives of property and equipment. Critical estimates related to intangible and other assets include future expected cash flows, including projected revenues and expenses, customer attrition, and applicable discount rates. These estimates are based on assumptions that we believe to be reasonable. However, actual results may differ from these estimates.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summarizes the allocation of the purchase price to assets acquired and liabilities assumed as of December 31, 2020:</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8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w w:val="99"/>
              </w:rPr>
              <w:t>(dollars in thousands)</w:t>
            </w:r>
          </w:p>
        </w:tc>
      </w:tr>
      <w:tr>
        <w:trPr>
          <w:trHeight w:val="205"/>
        </w:trPr>
        <w:tc>
          <w:tcPr>
            <w:tcW w:w="20" w:type="dxa"/>
            <w:vAlign w:val="bottom"/>
            <w:tcBorders>
              <w:bottom w:val="single" w:sz="8" w:color="A6A6A6"/>
            </w:tcBorders>
          </w:tcPr>
          <w:p>
            <w:pPr>
              <w:spacing w:after="0"/>
              <w:rPr>
                <w:sz w:val="17"/>
                <w:szCs w:val="17"/>
                <w:color w:val="auto"/>
              </w:rPr>
            </w:pPr>
          </w:p>
        </w:tc>
        <w:tc>
          <w:tcPr>
            <w:tcW w:w="8880" w:type="dxa"/>
            <w:vAlign w:val="bottom"/>
            <w:tcBorders>
              <w:top w:val="single" w:sz="8" w:color="004483"/>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Inventories</w:t>
            </w:r>
          </w:p>
        </w:tc>
        <w:tc>
          <w:tcPr>
            <w:tcW w:w="600" w:type="dxa"/>
            <w:vAlign w:val="bottom"/>
            <w:tcBorders>
              <w:top w:val="single" w:sz="8" w:color="004483"/>
              <w:bottom w:val="single" w:sz="8" w:color="A6A6A6"/>
            </w:tcBorders>
          </w:tcPr>
          <w:p>
            <w:pPr>
              <w:jc w:val="right"/>
              <w:ind w:right="440"/>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28,568</w:t>
            </w:r>
          </w:p>
        </w:tc>
        <w:tc>
          <w:tcPr>
            <w:tcW w:w="40" w:type="dxa"/>
            <w:vAlign w:val="bottom"/>
          </w:tcPr>
          <w:p>
            <w:pPr>
              <w:spacing w:after="0"/>
              <w:rPr>
                <w:sz w:val="17"/>
                <w:szCs w:val="17"/>
                <w:color w:val="auto"/>
              </w:rPr>
            </w:pPr>
          </w:p>
        </w:tc>
      </w:tr>
      <w:tr>
        <w:trPr>
          <w:trHeight w:val="208"/>
        </w:trPr>
        <w:tc>
          <w:tcPr>
            <w:tcW w:w="890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Property, Plant, and Equipment</w:t>
            </w:r>
          </w:p>
        </w:tc>
        <w:tc>
          <w:tcPr>
            <w:tcW w:w="600" w:type="dxa"/>
            <w:vAlign w:val="bottom"/>
            <w:tcBorders>
              <w:bottom w:val="single" w:sz="8" w:color="A6A6A6"/>
            </w:tcBorders>
          </w:tcPr>
          <w:p>
            <w:pPr>
              <w:spacing w:after="0"/>
              <w:rPr>
                <w:sz w:val="18"/>
                <w:szCs w:val="18"/>
                <w:color w:val="auto"/>
              </w:rPr>
            </w:pPr>
          </w:p>
        </w:tc>
        <w:tc>
          <w:tcPr>
            <w:tcW w:w="16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476,698</w:t>
            </w:r>
          </w:p>
        </w:tc>
        <w:tc>
          <w:tcPr>
            <w:tcW w:w="40" w:type="dxa"/>
            <w:vAlign w:val="bottom"/>
          </w:tcPr>
          <w:p>
            <w:pPr>
              <w:spacing w:after="0"/>
              <w:rPr>
                <w:sz w:val="18"/>
                <w:szCs w:val="18"/>
                <w:color w:val="auto"/>
              </w:rPr>
            </w:pPr>
          </w:p>
        </w:tc>
      </w:tr>
      <w:tr>
        <w:trPr>
          <w:trHeight w:val="208"/>
        </w:trPr>
        <w:tc>
          <w:tcPr>
            <w:tcW w:w="890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Intangible Assets</w:t>
            </w:r>
          </w:p>
        </w:tc>
        <w:tc>
          <w:tcPr>
            <w:tcW w:w="600" w:type="dxa"/>
            <w:vAlign w:val="bottom"/>
            <w:tcBorders>
              <w:bottom w:val="single" w:sz="8" w:color="A6A6A6"/>
            </w:tcBorders>
          </w:tcPr>
          <w:p>
            <w:pPr>
              <w:spacing w:after="0"/>
              <w:rPr>
                <w:sz w:val="18"/>
                <w:szCs w:val="18"/>
                <w:color w:val="auto"/>
              </w:rPr>
            </w:pPr>
          </w:p>
        </w:tc>
        <w:tc>
          <w:tcPr>
            <w:tcW w:w="16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38,300</w:t>
            </w:r>
          </w:p>
        </w:tc>
        <w:tc>
          <w:tcPr>
            <w:tcW w:w="40" w:type="dxa"/>
            <w:vAlign w:val="bottom"/>
          </w:tcPr>
          <w:p>
            <w:pPr>
              <w:spacing w:after="0"/>
              <w:rPr>
                <w:sz w:val="18"/>
                <w:szCs w:val="18"/>
                <w:color w:val="auto"/>
              </w:rPr>
            </w:pPr>
          </w:p>
        </w:tc>
      </w:tr>
      <w:tr>
        <w:trPr>
          <w:trHeight w:val="208"/>
        </w:trPr>
        <w:tc>
          <w:tcPr>
            <w:tcW w:w="890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Lease Right-of-Use Assets</w:t>
            </w:r>
          </w:p>
        </w:tc>
        <w:tc>
          <w:tcPr>
            <w:tcW w:w="600" w:type="dxa"/>
            <w:vAlign w:val="bottom"/>
            <w:tcBorders>
              <w:bottom w:val="single" w:sz="8" w:color="A6A6A6"/>
            </w:tcBorders>
          </w:tcPr>
          <w:p>
            <w:pPr>
              <w:spacing w:after="0"/>
              <w:rPr>
                <w:sz w:val="18"/>
                <w:szCs w:val="18"/>
                <w:color w:val="auto"/>
              </w:rPr>
            </w:pPr>
          </w:p>
        </w:tc>
        <w:tc>
          <w:tcPr>
            <w:tcW w:w="16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4,478</w:t>
            </w:r>
          </w:p>
        </w:tc>
        <w:tc>
          <w:tcPr>
            <w:tcW w:w="40" w:type="dxa"/>
            <w:vAlign w:val="bottom"/>
          </w:tcPr>
          <w:p>
            <w:pPr>
              <w:spacing w:after="0"/>
              <w:rPr>
                <w:sz w:val="18"/>
                <w:szCs w:val="18"/>
                <w:color w:val="auto"/>
              </w:rPr>
            </w:pPr>
          </w:p>
        </w:tc>
      </w:tr>
      <w:tr>
        <w:trPr>
          <w:trHeight w:val="208"/>
        </w:trPr>
        <w:tc>
          <w:tcPr>
            <w:tcW w:w="890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Lease Obligations</w:t>
            </w:r>
          </w:p>
        </w:tc>
        <w:tc>
          <w:tcPr>
            <w:tcW w:w="600" w:type="dxa"/>
            <w:vAlign w:val="bottom"/>
            <w:tcBorders>
              <w:bottom w:val="single" w:sz="8" w:color="A6A6A6"/>
            </w:tcBorders>
          </w:tcPr>
          <w:p>
            <w:pPr>
              <w:spacing w:after="0"/>
              <w:rPr>
                <w:sz w:val="18"/>
                <w:szCs w:val="18"/>
                <w:color w:val="auto"/>
              </w:rPr>
            </w:pPr>
          </w:p>
        </w:tc>
        <w:tc>
          <w:tcPr>
            <w:tcW w:w="16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(4,478)</w:t>
            </w:r>
          </w:p>
        </w:tc>
        <w:tc>
          <w:tcPr>
            <w:tcW w:w="40" w:type="dxa"/>
            <w:vAlign w:val="bottom"/>
          </w:tcPr>
          <w:p>
            <w:pPr>
              <w:spacing w:after="0"/>
              <w:rPr>
                <w:sz w:val="18"/>
                <w:szCs w:val="18"/>
                <w:color w:val="auto"/>
              </w:rPr>
            </w:pPr>
          </w:p>
        </w:tc>
      </w:tr>
      <w:tr>
        <w:trPr>
          <w:trHeight w:val="208"/>
        </w:trPr>
        <w:tc>
          <w:tcPr>
            <w:tcW w:w="8900" w:type="dxa"/>
            <w:vAlign w:val="bottom"/>
            <w:gridSpan w:val="2"/>
          </w:tcPr>
          <w:p>
            <w:pPr>
              <w:spacing w:after="0"/>
              <w:rPr>
                <w:sz w:val="20"/>
                <w:szCs w:val="20"/>
                <w:color w:val="auto"/>
              </w:rPr>
            </w:pPr>
            <w:r>
              <w:rPr>
                <w:rFonts w:ascii="Times New Roman" w:cs="Times New Roman" w:eastAsia="Times New Roman" w:hAnsi="Times New Roman"/>
                <w:sz w:val="16"/>
                <w:szCs w:val="16"/>
                <w:color w:val="004483"/>
              </w:rPr>
              <w:t>Long-term Liabilities</w:t>
            </w:r>
          </w:p>
        </w:tc>
        <w:tc>
          <w:tcPr>
            <w:tcW w:w="6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40" w:type="dxa"/>
            <w:vAlign w:val="bottom"/>
          </w:tcPr>
          <w:p>
            <w:pPr>
              <w:spacing w:after="0"/>
              <w:rPr>
                <w:sz w:val="18"/>
                <w:szCs w:val="18"/>
                <w:color w:val="auto"/>
              </w:rPr>
            </w:pPr>
          </w:p>
        </w:tc>
      </w:tr>
      <w:tr>
        <w:trPr>
          <w:trHeight w:val="208"/>
        </w:trPr>
        <w:tc>
          <w:tcPr>
            <w:tcW w:w="20" w:type="dxa"/>
            <w:vAlign w:val="bottom"/>
            <w:tcBorders>
              <w:bottom w:val="single" w:sz="8" w:color="A6A6A6"/>
            </w:tcBorders>
          </w:tcPr>
          <w:p>
            <w:pPr>
              <w:spacing w:after="0"/>
              <w:rPr>
                <w:sz w:val="18"/>
                <w:szCs w:val="18"/>
                <w:color w:val="auto"/>
              </w:rPr>
            </w:pPr>
          </w:p>
        </w:tc>
        <w:tc>
          <w:tcPr>
            <w:tcW w:w="8880" w:type="dxa"/>
            <w:vAlign w:val="bottom"/>
            <w:tcBorders>
              <w:top w:val="single" w:sz="8" w:color="A6A6A6"/>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Total Net Assets</w:t>
            </w:r>
          </w:p>
        </w:tc>
        <w:tc>
          <w:tcPr>
            <w:tcW w:w="600" w:type="dxa"/>
            <w:vAlign w:val="bottom"/>
            <w:tcBorders>
              <w:top w:val="single" w:sz="8" w:color="004483"/>
              <w:bottom w:val="single" w:sz="8" w:color="A6A6A6"/>
            </w:tcBorders>
          </w:tcPr>
          <w:p>
            <w:pPr>
              <w:spacing w:after="0"/>
              <w:rPr>
                <w:sz w:val="18"/>
                <w:szCs w:val="18"/>
                <w:color w:val="auto"/>
              </w:rPr>
            </w:pPr>
          </w:p>
        </w:tc>
        <w:tc>
          <w:tcPr>
            <w:tcW w:w="164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539,810</w:t>
            </w:r>
          </w:p>
        </w:tc>
        <w:tc>
          <w:tcPr>
            <w:tcW w:w="40" w:type="dxa"/>
            <w:vAlign w:val="bottom"/>
          </w:tcPr>
          <w:p>
            <w:pPr>
              <w:spacing w:after="0"/>
              <w:rPr>
                <w:sz w:val="18"/>
                <w:szCs w:val="18"/>
                <w:color w:val="auto"/>
              </w:rPr>
            </w:pPr>
          </w:p>
        </w:tc>
      </w:tr>
      <w:tr>
        <w:trPr>
          <w:trHeight w:val="208"/>
        </w:trPr>
        <w:tc>
          <w:tcPr>
            <w:tcW w:w="8900" w:type="dxa"/>
            <w:vAlign w:val="bottom"/>
            <w:gridSpan w:val="2"/>
          </w:tcPr>
          <w:p>
            <w:pPr>
              <w:spacing w:after="0"/>
              <w:rPr>
                <w:sz w:val="20"/>
                <w:szCs w:val="20"/>
                <w:color w:val="auto"/>
              </w:rPr>
            </w:pPr>
            <w:r>
              <w:rPr>
                <w:rFonts w:ascii="Times New Roman" w:cs="Times New Roman" w:eastAsia="Times New Roman" w:hAnsi="Times New Roman"/>
                <w:sz w:val="16"/>
                <w:szCs w:val="16"/>
                <w:color w:val="004483"/>
              </w:rPr>
              <w:t>Goodwill</w:t>
            </w:r>
          </w:p>
        </w:tc>
        <w:tc>
          <w:tcPr>
            <w:tcW w:w="6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129,127</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880" w:type="dxa"/>
            <w:vAlign w:val="bottom"/>
            <w:tcBorders>
              <w:top w:val="single" w:sz="8" w:color="A6A6A6"/>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Total Estimated Purchase Price</w:t>
            </w:r>
          </w:p>
        </w:tc>
        <w:tc>
          <w:tcPr>
            <w:tcW w:w="600" w:type="dxa"/>
            <w:vAlign w:val="bottom"/>
            <w:tcBorders>
              <w:top w:val="single" w:sz="8" w:color="004483"/>
              <w:bottom w:val="single" w:sz="8" w:color="004483"/>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4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668,937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1640" w:type="dxa"/>
            <w:vAlign w:val="bottom"/>
            <w:tcBorders>
              <w:bottom w:val="single" w:sz="8" w:color="00448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8"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During the quarter ended June 30, 2020, we completed the valuation of inventories, intangible assets, lease right-of-use assets, and lease obligations, and during the quarter ended December 31, 2020, we finalized the valuation of our asset retirement obligation. These final values, which are disclosed in the above table, resulted in minor changes from the amounts disclosed in our fiscal 2020 Form 10-K.</w:t>
      </w:r>
    </w:p>
    <w:p>
      <w:pPr>
        <w:spacing w:after="0" w:line="59" w:lineRule="exact"/>
        <w:rPr>
          <w:sz w:val="20"/>
          <w:szCs w:val="20"/>
          <w:color w:val="auto"/>
        </w:rPr>
      </w:pPr>
    </w:p>
    <w:p>
      <w:pPr>
        <w:jc w:val="both"/>
        <w:ind w:right="80"/>
        <w:spacing w:after="0" w:line="283" w:lineRule="auto"/>
        <w:rPr>
          <w:sz w:val="20"/>
          <w:szCs w:val="20"/>
          <w:color w:val="auto"/>
        </w:rPr>
      </w:pPr>
      <w:r>
        <w:rPr>
          <w:rFonts w:ascii="Arial" w:cs="Arial" w:eastAsia="Arial" w:hAnsi="Arial"/>
          <w:sz w:val="18"/>
          <w:szCs w:val="18"/>
          <w:color w:val="auto"/>
        </w:rPr>
        <w:t>Goodwill represents the excess purchase price over the fair values of assets acquired and liabilities assumed. Goodwill was generated by the availability of co-product sales and the opportunity associated with the expansion of our Cement business to the eastern region of the United States. All of the Goodwill generated by the transaction will be deductible for income tax purposes.</w:t>
      </w:r>
    </w:p>
    <w:p>
      <w:pPr>
        <w:spacing w:after="0" w:line="59" w:lineRule="exact"/>
        <w:rPr>
          <w:sz w:val="20"/>
          <w:szCs w:val="20"/>
          <w:color w:val="auto"/>
        </w:rPr>
      </w:pPr>
    </w:p>
    <w:p>
      <w:pPr>
        <w:ind w:right="440"/>
        <w:spacing w:after="0" w:line="302" w:lineRule="auto"/>
        <w:rPr>
          <w:sz w:val="20"/>
          <w:szCs w:val="20"/>
          <w:color w:val="auto"/>
        </w:rPr>
      </w:pPr>
      <w:r>
        <w:rPr>
          <w:rFonts w:ascii="Arial" w:cs="Arial" w:eastAsia="Arial" w:hAnsi="Arial"/>
          <w:sz w:val="18"/>
          <w:szCs w:val="18"/>
          <w:color w:val="auto"/>
        </w:rPr>
        <w:t>The following table is a summary of the fair value estimates of the identifiable intangible assets (dollars in thousands) and their weighted-average useful lives: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460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Weighted-Average Life</w:t>
            </w:r>
          </w:p>
        </w:tc>
        <w:tc>
          <w:tcPr>
            <w:tcW w:w="2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Estimated Fair Value</w:t>
            </w:r>
          </w:p>
        </w:tc>
      </w:tr>
      <w:tr>
        <w:trPr>
          <w:trHeight w:val="205"/>
        </w:trPr>
        <w:tc>
          <w:tcPr>
            <w:tcW w:w="20" w:type="dxa"/>
            <w:vAlign w:val="bottom"/>
          </w:tcPr>
          <w:p>
            <w:pPr>
              <w:spacing w:after="0"/>
              <w:rPr>
                <w:sz w:val="17"/>
                <w:szCs w:val="17"/>
                <w:color w:val="auto"/>
              </w:rPr>
            </w:pPr>
          </w:p>
        </w:tc>
        <w:tc>
          <w:tcPr>
            <w:tcW w:w="4900" w:type="dxa"/>
            <w:vAlign w:val="bottom"/>
            <w:tcBorders>
              <w:top w:val="single" w:sz="8" w:color="004483"/>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Permits</w:t>
            </w:r>
          </w:p>
        </w:tc>
        <w:tc>
          <w:tcPr>
            <w:tcW w:w="430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7"/>
                <w:szCs w:val="17"/>
                <w:color w:val="auto"/>
              </w:rPr>
            </w:pPr>
          </w:p>
        </w:tc>
        <w:tc>
          <w:tcPr>
            <w:tcW w:w="180" w:type="dxa"/>
            <w:vAlign w:val="bottom"/>
            <w:tcBorders>
              <w:top w:val="single" w:sz="8" w:color="004483"/>
              <w:bottom w:val="single" w:sz="8" w:color="A6A6A6"/>
            </w:tcBorders>
          </w:tcPr>
          <w:p>
            <w:pPr>
              <w:spacing w:after="0"/>
              <w:rPr>
                <w:sz w:val="17"/>
                <w:szCs w:val="17"/>
                <w:color w:val="auto"/>
              </w:rPr>
            </w:pPr>
          </w:p>
        </w:tc>
        <w:tc>
          <w:tcPr>
            <w:tcW w:w="260" w:type="dxa"/>
            <w:vAlign w:val="bottom"/>
            <w:tcBorders>
              <w:top w:val="single" w:sz="8" w:color="004483"/>
              <w:bottom w:val="single" w:sz="8" w:color="A6A6A6"/>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08"/>
        </w:trPr>
        <w:tc>
          <w:tcPr>
            <w:tcW w:w="20" w:type="dxa"/>
            <w:vAlign w:val="bottom"/>
          </w:tcPr>
          <w:p>
            <w:pPr>
              <w:spacing w:after="0"/>
              <w:rPr>
                <w:sz w:val="18"/>
                <w:szCs w:val="18"/>
                <w:color w:val="auto"/>
              </w:rPr>
            </w:pPr>
          </w:p>
        </w:tc>
        <w:tc>
          <w:tcPr>
            <w:tcW w:w="490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Customer Relationships</w:t>
            </w:r>
          </w:p>
        </w:tc>
        <w:tc>
          <w:tcPr>
            <w:tcW w:w="43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13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35,300</w:t>
            </w:r>
          </w:p>
        </w:tc>
      </w:tr>
      <w:tr>
        <w:trPr>
          <w:trHeight w:val="208"/>
        </w:trPr>
        <w:tc>
          <w:tcPr>
            <w:tcW w:w="20" w:type="dxa"/>
            <w:vAlign w:val="bottom"/>
          </w:tcPr>
          <w:p>
            <w:pPr>
              <w:spacing w:after="0"/>
              <w:rPr>
                <w:sz w:val="18"/>
                <w:szCs w:val="18"/>
                <w:color w:val="auto"/>
              </w:rPr>
            </w:pPr>
          </w:p>
        </w:tc>
        <w:tc>
          <w:tcPr>
            <w:tcW w:w="490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Trade Name and Technology</w:t>
            </w:r>
          </w:p>
        </w:tc>
        <w:tc>
          <w:tcPr>
            <w:tcW w:w="43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260" w:type="dxa"/>
            <w:vAlign w:val="bottom"/>
            <w:tcBorders>
              <w:bottom w:val="single" w:sz="8" w:color="004483"/>
            </w:tcBorders>
          </w:tcPr>
          <w:p>
            <w:pPr>
              <w:spacing w:after="0"/>
              <w:rPr>
                <w:sz w:val="18"/>
                <w:szCs w:val="18"/>
                <w:color w:val="auto"/>
              </w:rPr>
            </w:pPr>
          </w:p>
        </w:tc>
        <w:tc>
          <w:tcPr>
            <w:tcW w:w="13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09"/>
        </w:trPr>
        <w:tc>
          <w:tcPr>
            <w:tcW w:w="2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Intangible Assets</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004483"/>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38,300</w:t>
            </w: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360" w:type="dxa"/>
            <w:vAlign w:val="bottom"/>
            <w:tcBorders>
              <w:bottom w:val="single" w:sz="8" w:color="004483"/>
            </w:tcBorders>
          </w:tcPr>
          <w:p>
            <w:pPr>
              <w:spacing w:after="0" w:line="20" w:lineRule="exact"/>
              <w:rPr>
                <w:sz w:val="1"/>
                <w:szCs w:val="1"/>
                <w:color w:val="auto"/>
              </w:rPr>
            </w:pPr>
          </w:p>
        </w:tc>
      </w:tr>
    </w:tbl>
    <w:p>
      <w:pPr>
        <w:spacing w:after="0" w:line="218" w:lineRule="exact"/>
        <w:rPr>
          <w:sz w:val="20"/>
          <w:szCs w:val="20"/>
          <w:color w:val="auto"/>
        </w:rPr>
      </w:pPr>
    </w:p>
    <w:p>
      <w:pPr>
        <w:jc w:val="both"/>
        <w:ind w:right="80"/>
        <w:spacing w:after="0" w:line="334" w:lineRule="auto"/>
        <w:rPr>
          <w:sz w:val="20"/>
          <w:szCs w:val="20"/>
          <w:color w:val="auto"/>
        </w:rPr>
      </w:pPr>
      <w:r>
        <w:rPr>
          <w:rFonts w:ascii="Arial" w:cs="Arial" w:eastAsia="Arial" w:hAnsi="Arial"/>
          <w:sz w:val="17"/>
          <w:szCs w:val="17"/>
          <w:u w:val="single" w:color="auto"/>
          <w:color w:val="auto"/>
        </w:rPr>
        <w:t>Actual and pro forma impact of Kosmos Acquisition:</w:t>
      </w:r>
      <w:r>
        <w:rPr>
          <w:rFonts w:ascii="Arial" w:cs="Arial" w:eastAsia="Arial" w:hAnsi="Arial"/>
          <w:sz w:val="17"/>
          <w:szCs w:val="17"/>
          <w:color w:val="auto"/>
        </w:rPr>
        <w:t xml:space="preserve"> The following table presents the Revenue and Operating Earnings related to the Kosmos Acquisition that has been included in our Consolidated Statement of Earnings for the three and nine months ended December 31, 2020:</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00" w:type="dxa"/>
            <w:vAlign w:val="bottom"/>
            <w:shd w:val="clear" w:color="auto" w:fill="004483"/>
          </w:tcPr>
          <w:p>
            <w:pPr>
              <w:spacing w:after="0"/>
              <w:rPr>
                <w:sz w:val="17"/>
                <w:szCs w:val="17"/>
                <w:color w:val="auto"/>
              </w:rPr>
            </w:pPr>
          </w:p>
        </w:tc>
        <w:tc>
          <w:tcPr>
            <w:tcW w:w="2000" w:type="dxa"/>
            <w:vAlign w:val="bottom"/>
            <w:gridSpan w:val="2"/>
            <w:shd w:val="clear" w:color="auto" w:fill="004483"/>
          </w:tcPr>
          <w:p>
            <w:pPr>
              <w:ind w:left="20"/>
              <w:spacing w:after="0"/>
              <w:rPr>
                <w:sz w:val="20"/>
                <w:szCs w:val="20"/>
                <w:color w:val="auto"/>
              </w:rPr>
            </w:pPr>
            <w:r>
              <w:rPr>
                <w:rFonts w:ascii="Times New Roman" w:cs="Times New Roman" w:eastAsia="Times New Roman" w:hAnsi="Times New Roman"/>
                <w:sz w:val="13"/>
                <w:szCs w:val="13"/>
                <w:b w:val="1"/>
                <w:bCs w:val="1"/>
                <w:color w:val="FFFFFF"/>
              </w:rPr>
              <w:t>For the Three Months Ended</w:t>
            </w:r>
          </w:p>
        </w:tc>
        <w:tc>
          <w:tcPr>
            <w:tcW w:w="120" w:type="dxa"/>
            <w:vAlign w:val="bottom"/>
            <w:shd w:val="clear" w:color="auto" w:fill="004483"/>
          </w:tcPr>
          <w:p>
            <w:pPr>
              <w:spacing w:after="0"/>
              <w:rPr>
                <w:sz w:val="17"/>
                <w:szCs w:val="17"/>
                <w:color w:val="auto"/>
              </w:rPr>
            </w:pPr>
          </w:p>
        </w:tc>
        <w:tc>
          <w:tcPr>
            <w:tcW w:w="1720" w:type="dxa"/>
            <w:vAlign w:val="bottom"/>
            <w:shd w:val="clear" w:color="auto" w:fill="004483"/>
          </w:tcPr>
          <w:p>
            <w:pPr>
              <w:jc w:val="right"/>
              <w:ind w:right="106"/>
              <w:spacing w:after="0"/>
              <w:rPr>
                <w:sz w:val="20"/>
                <w:szCs w:val="20"/>
                <w:color w:val="auto"/>
              </w:rPr>
            </w:pPr>
            <w:r>
              <w:rPr>
                <w:rFonts w:ascii="Times New Roman" w:cs="Times New Roman" w:eastAsia="Times New Roman" w:hAnsi="Times New Roman"/>
                <w:sz w:val="13"/>
                <w:szCs w:val="13"/>
                <w:b w:val="1"/>
                <w:bCs w:val="1"/>
                <w:color w:val="FFFFFF"/>
                <w:w w:val="97"/>
              </w:rPr>
              <w:t>For the Nine Months Ended</w:t>
            </w:r>
          </w:p>
        </w:tc>
        <w:tc>
          <w:tcPr>
            <w:tcW w:w="120" w:type="dxa"/>
            <w:vAlign w:val="bottom"/>
            <w:shd w:val="clear" w:color="auto" w:fill="004483"/>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100" w:type="dxa"/>
            <w:vAlign w:val="bottom"/>
            <w:shd w:val="clear" w:color="auto" w:fill="004483"/>
          </w:tcPr>
          <w:p>
            <w:pPr>
              <w:spacing w:after="0"/>
              <w:rPr>
                <w:sz w:val="15"/>
                <w:szCs w:val="15"/>
                <w:color w:val="auto"/>
              </w:rPr>
            </w:pPr>
          </w:p>
        </w:tc>
        <w:tc>
          <w:tcPr>
            <w:tcW w:w="3840" w:type="dxa"/>
            <w:vAlign w:val="bottom"/>
            <w:gridSpan w:val="4"/>
            <w:shd w:val="clear" w:color="auto" w:fill="004483"/>
          </w:tcPr>
          <w:p>
            <w:pPr>
              <w:jc w:val="right"/>
              <w:ind w:right="1406"/>
              <w:spacing w:after="0"/>
              <w:rPr>
                <w:sz w:val="20"/>
                <w:szCs w:val="20"/>
                <w:color w:val="auto"/>
              </w:rPr>
            </w:pPr>
            <w:r>
              <w:rPr>
                <w:rFonts w:ascii="Times New Roman" w:cs="Times New Roman" w:eastAsia="Times New Roman" w:hAnsi="Times New Roman"/>
                <w:sz w:val="13"/>
                <w:szCs w:val="13"/>
                <w:b w:val="1"/>
                <w:bCs w:val="1"/>
                <w:color w:val="FFFFFF"/>
              </w:rPr>
              <w:t>December 31, 2020</w:t>
            </w:r>
          </w:p>
        </w:tc>
        <w:tc>
          <w:tcPr>
            <w:tcW w:w="120" w:type="dxa"/>
            <w:vAlign w:val="bottom"/>
            <w:shd w:val="clear" w:color="auto" w:fill="004483"/>
          </w:tcPr>
          <w:p>
            <w:pPr>
              <w:spacing w:after="0"/>
              <w:rPr>
                <w:sz w:val="15"/>
                <w:szCs w:val="15"/>
                <w:color w:val="auto"/>
              </w:rPr>
            </w:pPr>
          </w:p>
        </w:tc>
      </w:tr>
      <w:tr>
        <w:trPr>
          <w:trHeight w:val="147"/>
        </w:trPr>
        <w:tc>
          <w:tcPr>
            <w:tcW w:w="20" w:type="dxa"/>
            <w:vAlign w:val="bottom"/>
          </w:tcPr>
          <w:p>
            <w:pPr>
              <w:spacing w:after="0"/>
              <w:rPr>
                <w:sz w:val="12"/>
                <w:szCs w:val="12"/>
                <w:color w:val="auto"/>
              </w:rPr>
            </w:pPr>
          </w:p>
        </w:tc>
        <w:tc>
          <w:tcPr>
            <w:tcW w:w="7160" w:type="dxa"/>
            <w:vAlign w:val="bottom"/>
            <w:tcBorders>
              <w:bottom w:val="single" w:sz="8" w:color="004483"/>
            </w:tcBorders>
          </w:tcPr>
          <w:p>
            <w:pPr>
              <w:spacing w:after="0"/>
              <w:rPr>
                <w:sz w:val="12"/>
                <w:szCs w:val="12"/>
                <w:color w:val="auto"/>
              </w:rPr>
            </w:pPr>
          </w:p>
        </w:tc>
        <w:tc>
          <w:tcPr>
            <w:tcW w:w="100" w:type="dxa"/>
            <w:vAlign w:val="bottom"/>
            <w:tcBorders>
              <w:bottom w:val="single" w:sz="8" w:color="004483"/>
            </w:tcBorders>
          </w:tcPr>
          <w:p>
            <w:pPr>
              <w:spacing w:after="0"/>
              <w:rPr>
                <w:sz w:val="12"/>
                <w:szCs w:val="12"/>
                <w:color w:val="auto"/>
              </w:rPr>
            </w:pPr>
          </w:p>
        </w:tc>
        <w:tc>
          <w:tcPr>
            <w:tcW w:w="3840" w:type="dxa"/>
            <w:vAlign w:val="bottom"/>
            <w:tcBorders>
              <w:bottom w:val="single" w:sz="8" w:color="004483"/>
            </w:tcBorders>
            <w:gridSpan w:val="4"/>
          </w:tcPr>
          <w:p>
            <w:pPr>
              <w:jc w:val="right"/>
              <w:ind w:right="1366"/>
              <w:spacing w:after="0" w:line="147" w:lineRule="exact"/>
              <w:rPr>
                <w:sz w:val="20"/>
                <w:szCs w:val="20"/>
                <w:color w:val="auto"/>
              </w:rPr>
            </w:pPr>
            <w:r>
              <w:rPr>
                <w:rFonts w:ascii="Times New Roman" w:cs="Times New Roman" w:eastAsia="Times New Roman" w:hAnsi="Times New Roman"/>
                <w:sz w:val="13"/>
                <w:szCs w:val="13"/>
                <w:color w:val="auto"/>
              </w:rPr>
              <w:t>(dollars in thousands)</w:t>
            </w:r>
          </w:p>
        </w:tc>
        <w:tc>
          <w:tcPr>
            <w:tcW w:w="120" w:type="dxa"/>
            <w:vAlign w:val="bottom"/>
          </w:tcPr>
          <w:p>
            <w:pPr>
              <w:spacing w:after="0"/>
              <w:rPr>
                <w:sz w:val="12"/>
                <w:szCs w:val="12"/>
                <w:color w:val="auto"/>
              </w:rPr>
            </w:pPr>
          </w:p>
        </w:tc>
      </w:tr>
      <w:tr>
        <w:trPr>
          <w:trHeight w:val="206"/>
        </w:trPr>
        <w:tc>
          <w:tcPr>
            <w:tcW w:w="20" w:type="dxa"/>
            <w:vAlign w:val="bottom"/>
          </w:tcPr>
          <w:p>
            <w:pPr>
              <w:spacing w:after="0"/>
              <w:rPr>
                <w:sz w:val="17"/>
                <w:szCs w:val="17"/>
                <w:color w:val="auto"/>
              </w:rPr>
            </w:pPr>
          </w:p>
        </w:tc>
        <w:tc>
          <w:tcPr>
            <w:tcW w:w="71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004483"/>
              </w:rPr>
              <w:t>Revenue</w:t>
            </w:r>
          </w:p>
        </w:tc>
        <w:tc>
          <w:tcPr>
            <w:tcW w:w="1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45,407</w:t>
            </w:r>
          </w:p>
        </w:tc>
        <w:tc>
          <w:tcPr>
            <w:tcW w:w="280" w:type="dxa"/>
            <w:vAlign w:val="bottom"/>
          </w:tcPr>
          <w:p>
            <w:pPr>
              <w:spacing w:after="0"/>
              <w:rPr>
                <w:sz w:val="17"/>
                <w:szCs w:val="17"/>
                <w:color w:val="auto"/>
              </w:rPr>
            </w:pPr>
          </w:p>
        </w:tc>
        <w:tc>
          <w:tcPr>
            <w:tcW w:w="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142,980</w:t>
            </w:r>
          </w:p>
        </w:tc>
        <w:tc>
          <w:tcPr>
            <w:tcW w:w="1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71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004483"/>
              </w:rPr>
              <w:t>Operating Earnings</w:t>
            </w:r>
          </w:p>
        </w:tc>
        <w:tc>
          <w:tcPr>
            <w:tcW w:w="1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13,316</w:t>
            </w:r>
          </w:p>
        </w:tc>
        <w:tc>
          <w:tcPr>
            <w:tcW w:w="280" w:type="dxa"/>
            <w:vAlign w:val="bottom"/>
          </w:tcPr>
          <w:p>
            <w:pPr>
              <w:spacing w:after="0"/>
              <w:rPr>
                <w:sz w:val="18"/>
                <w:szCs w:val="18"/>
                <w:color w:val="auto"/>
              </w:rPr>
            </w:pPr>
          </w:p>
        </w:tc>
        <w:tc>
          <w:tcPr>
            <w:tcW w:w="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38,286</w:t>
            </w:r>
          </w:p>
        </w:tc>
        <w:tc>
          <w:tcPr>
            <w:tcW w:w="120" w:type="dxa"/>
            <w:vAlign w:val="bottom"/>
          </w:tcPr>
          <w:p>
            <w:pPr>
              <w:spacing w:after="0"/>
              <w:rPr>
                <w:sz w:val="18"/>
                <w:szCs w:val="18"/>
                <w:color w:val="auto"/>
              </w:rPr>
            </w:pPr>
          </w:p>
        </w:tc>
      </w:tr>
    </w:tbl>
    <w:p>
      <w:pPr>
        <w:spacing w:after="0" w:line="218"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Operating Earnings shown above for the three and nine months ended December 31, 2020 was affected by approximately $5.4 million and $16.1 million, respectively, related to depreciation and amortization. Additionally, Operating Earnings for the nine months ended December 31, 2020 was affected by approximately $3.7 million, related to the recording of acquired inventory at fair value. There was no effect on the quarter ended December 31, 2020, as all of the acquired inventory was sold in the fiscal first quarter.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79" w:right="339" w:bottom="1440" w:gutter="0" w:footer="0" w:header="0"/>
        </w:sectPr>
      </w:pPr>
    </w:p>
    <w:bookmarkStart w:id="12" w:name="page13"/>
    <w:bookmarkEnd w:id="12"/>
    <w:p>
      <w:pPr>
        <w:ind w:right="60"/>
        <w:spacing w:after="0" w:line="273" w:lineRule="auto"/>
        <w:rPr>
          <w:sz w:val="20"/>
          <w:szCs w:val="20"/>
          <w:color w:val="auto"/>
        </w:rPr>
      </w:pPr>
      <w:r>
        <w:rPr>
          <w:rFonts w:ascii="Arial" w:cs="Arial" w:eastAsia="Arial" w:hAnsi="Arial"/>
          <w:sz w:val="18"/>
          <w:szCs w:val="18"/>
          <w:color w:val="auto"/>
        </w:rPr>
        <w:t>The unaudited pro forma results presented below include the effects of the Kosmos Acquisition as if it had been consummated as of April 1, 2019. The pro forma results include estimates for depreciation from fair value adjustments to acquired Property and Equipment, amortization for acquired Intangible Assets, the Inventory step-up to fair value, and interest expense associated with debt used to fund the Kosmos Acquisition. To better reflect the combined operating results, approximately $5.6 million of material nonrecurring charges directly related to the Kosmos Acquisition have been excluded from pro forma Net Income.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00" w:type="dxa"/>
            <w:vAlign w:val="bottom"/>
            <w:shd w:val="clear" w:color="auto" w:fill="004483"/>
          </w:tcPr>
          <w:p>
            <w:pPr>
              <w:spacing w:after="0"/>
              <w:rPr>
                <w:sz w:val="17"/>
                <w:szCs w:val="17"/>
                <w:color w:val="auto"/>
              </w:rPr>
            </w:pPr>
          </w:p>
        </w:tc>
        <w:tc>
          <w:tcPr>
            <w:tcW w:w="2000" w:type="dxa"/>
            <w:vAlign w:val="bottom"/>
            <w:gridSpan w:val="2"/>
            <w:shd w:val="clear" w:color="auto" w:fill="004483"/>
          </w:tcPr>
          <w:p>
            <w:pPr>
              <w:ind w:left="20"/>
              <w:spacing w:after="0"/>
              <w:rPr>
                <w:sz w:val="20"/>
                <w:szCs w:val="20"/>
                <w:color w:val="auto"/>
              </w:rPr>
            </w:pPr>
            <w:r>
              <w:rPr>
                <w:rFonts w:ascii="Times New Roman" w:cs="Times New Roman" w:eastAsia="Times New Roman" w:hAnsi="Times New Roman"/>
                <w:sz w:val="13"/>
                <w:szCs w:val="13"/>
                <w:b w:val="1"/>
                <w:bCs w:val="1"/>
                <w:color w:val="FFFFFF"/>
              </w:rPr>
              <w:t>For the Three Months Ended</w:t>
            </w:r>
          </w:p>
        </w:tc>
        <w:tc>
          <w:tcPr>
            <w:tcW w:w="160" w:type="dxa"/>
            <w:vAlign w:val="bottom"/>
            <w:shd w:val="clear" w:color="auto" w:fill="004483"/>
          </w:tcPr>
          <w:p>
            <w:pPr>
              <w:spacing w:after="0"/>
              <w:rPr>
                <w:sz w:val="17"/>
                <w:szCs w:val="17"/>
                <w:color w:val="auto"/>
              </w:rPr>
            </w:pPr>
          </w:p>
        </w:tc>
        <w:tc>
          <w:tcPr>
            <w:tcW w:w="1680" w:type="dxa"/>
            <w:vAlign w:val="bottom"/>
            <w:shd w:val="clear" w:color="auto" w:fill="004483"/>
          </w:tcPr>
          <w:p>
            <w:pPr>
              <w:jc w:val="right"/>
              <w:ind w:right="103"/>
              <w:spacing w:after="0"/>
              <w:rPr>
                <w:sz w:val="20"/>
                <w:szCs w:val="20"/>
                <w:color w:val="auto"/>
              </w:rPr>
            </w:pPr>
            <w:r>
              <w:rPr>
                <w:rFonts w:ascii="Times New Roman" w:cs="Times New Roman" w:eastAsia="Times New Roman" w:hAnsi="Times New Roman"/>
                <w:sz w:val="13"/>
                <w:szCs w:val="13"/>
                <w:b w:val="1"/>
                <w:bCs w:val="1"/>
                <w:color w:val="FFFFFF"/>
                <w:w w:val="95"/>
              </w:rPr>
              <w:t>For the Nine Months Ended</w:t>
            </w:r>
          </w:p>
        </w:tc>
        <w:tc>
          <w:tcPr>
            <w:tcW w:w="120" w:type="dxa"/>
            <w:vAlign w:val="bottom"/>
            <w:shd w:val="clear" w:color="auto" w:fill="004483"/>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100" w:type="dxa"/>
            <w:vAlign w:val="bottom"/>
            <w:shd w:val="clear" w:color="auto" w:fill="004483"/>
          </w:tcPr>
          <w:p>
            <w:pPr>
              <w:spacing w:after="0"/>
              <w:rPr>
                <w:sz w:val="15"/>
                <w:szCs w:val="15"/>
                <w:color w:val="auto"/>
              </w:rPr>
            </w:pPr>
          </w:p>
        </w:tc>
        <w:tc>
          <w:tcPr>
            <w:tcW w:w="3840" w:type="dxa"/>
            <w:vAlign w:val="bottom"/>
            <w:gridSpan w:val="4"/>
            <w:shd w:val="clear" w:color="auto" w:fill="004483"/>
          </w:tcPr>
          <w:p>
            <w:pPr>
              <w:jc w:val="center"/>
              <w:ind w:right="43"/>
              <w:spacing w:after="0"/>
              <w:rPr>
                <w:sz w:val="20"/>
                <w:szCs w:val="20"/>
                <w:color w:val="auto"/>
              </w:rPr>
            </w:pPr>
            <w:r>
              <w:rPr>
                <w:rFonts w:ascii="Times New Roman" w:cs="Times New Roman" w:eastAsia="Times New Roman" w:hAnsi="Times New Roman"/>
                <w:sz w:val="13"/>
                <w:szCs w:val="13"/>
                <w:b w:val="1"/>
                <w:bCs w:val="1"/>
                <w:color w:val="FFFFFF"/>
                <w:w w:val="95"/>
              </w:rPr>
              <w:t>December 31, 2019</w:t>
            </w:r>
          </w:p>
        </w:tc>
        <w:tc>
          <w:tcPr>
            <w:tcW w:w="120" w:type="dxa"/>
            <w:vAlign w:val="bottom"/>
            <w:shd w:val="clear" w:color="auto" w:fill="004483"/>
          </w:tcPr>
          <w:p>
            <w:pPr>
              <w:spacing w:after="0"/>
              <w:rPr>
                <w:sz w:val="15"/>
                <w:szCs w:val="15"/>
                <w:color w:val="auto"/>
              </w:rPr>
            </w:pPr>
          </w:p>
        </w:tc>
      </w:tr>
      <w:tr>
        <w:trPr>
          <w:trHeight w:val="143"/>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3"/>
          </w:tcPr>
          <w:p>
            <w:pPr>
              <w:jc w:val="center"/>
              <w:ind w:left="1489"/>
              <w:spacing w:after="0" w:line="143" w:lineRule="exact"/>
              <w:rPr>
                <w:sz w:val="20"/>
                <w:szCs w:val="20"/>
                <w:color w:val="auto"/>
              </w:rPr>
            </w:pPr>
            <w:r>
              <w:rPr>
                <w:rFonts w:ascii="Times New Roman" w:cs="Times New Roman" w:eastAsia="Times New Roman" w:hAnsi="Times New Roman"/>
                <w:sz w:val="13"/>
                <w:szCs w:val="13"/>
                <w:b w:val="1"/>
                <w:bCs w:val="1"/>
                <w:color w:val="auto"/>
                <w:w w:val="95"/>
              </w:rPr>
              <w:t>Unaudited</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6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color w:val="auto"/>
                <w:w w:val="96"/>
              </w:rPr>
              <w:t>(dollars in thousands, except per share data)</w:t>
            </w:r>
          </w:p>
        </w:tc>
      </w:tr>
      <w:tr>
        <w:trPr>
          <w:trHeight w:val="206"/>
        </w:trPr>
        <w:tc>
          <w:tcPr>
            <w:tcW w:w="20" w:type="dxa"/>
            <w:vAlign w:val="bottom"/>
          </w:tcPr>
          <w:p>
            <w:pPr>
              <w:spacing w:after="0"/>
              <w:rPr>
                <w:sz w:val="17"/>
                <w:szCs w:val="17"/>
                <w:color w:val="auto"/>
              </w:rPr>
            </w:pPr>
          </w:p>
        </w:tc>
        <w:tc>
          <w:tcPr>
            <w:tcW w:w="7160" w:type="dxa"/>
            <w:vAlign w:val="bottom"/>
            <w:tcBorders>
              <w:top w:val="single" w:sz="8" w:color="004483"/>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004483"/>
              </w:rPr>
              <w:t>Revenue</w:t>
            </w:r>
          </w:p>
        </w:tc>
        <w:tc>
          <w:tcPr>
            <w:tcW w:w="10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393,336</w:t>
            </w:r>
          </w:p>
        </w:tc>
        <w:tc>
          <w:tcPr>
            <w:tcW w:w="280" w:type="dxa"/>
            <w:vAlign w:val="bottom"/>
            <w:tcBorders>
              <w:top w:val="single" w:sz="8" w:color="004483"/>
            </w:tcBorders>
          </w:tcPr>
          <w:p>
            <w:pPr>
              <w:spacing w:after="0"/>
              <w:rPr>
                <w:sz w:val="17"/>
                <w:szCs w:val="17"/>
                <w:color w:val="auto"/>
              </w:rPr>
            </w:pPr>
          </w:p>
        </w:tc>
        <w:tc>
          <w:tcPr>
            <w:tcW w:w="16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1,225,314</w:t>
            </w:r>
          </w:p>
        </w:tc>
        <w:tc>
          <w:tcPr>
            <w:tcW w:w="1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71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004483"/>
              </w:rPr>
              <w:t>Net Earnings from Continuing Operations</w:t>
            </w:r>
          </w:p>
        </w:tc>
        <w:tc>
          <w:tcPr>
            <w:tcW w:w="1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49,495</w:t>
            </w:r>
          </w:p>
        </w:tc>
        <w:tc>
          <w:tcPr>
            <w:tcW w:w="280" w:type="dxa"/>
            <w:vAlign w:val="bottom"/>
          </w:tcPr>
          <w:p>
            <w:pPr>
              <w:spacing w:after="0"/>
              <w:rPr>
                <w:sz w:val="18"/>
                <w:szCs w:val="18"/>
                <w:color w:val="auto"/>
              </w:rPr>
            </w:pPr>
          </w:p>
        </w:tc>
        <w:tc>
          <w:tcPr>
            <w:tcW w:w="1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183,498</w:t>
            </w:r>
          </w:p>
        </w:tc>
        <w:tc>
          <w:tcPr>
            <w:tcW w:w="1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1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004483"/>
              </w:rPr>
              <w:t>Earnings Per Share from Continuing Operations – basic</w:t>
            </w:r>
          </w:p>
        </w:tc>
        <w:tc>
          <w:tcPr>
            <w:tcW w:w="1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80" w:type="dxa"/>
            <w:vAlign w:val="bottom"/>
          </w:tcPr>
          <w:p>
            <w:pPr>
              <w:spacing w:after="0"/>
              <w:rPr>
                <w:sz w:val="18"/>
                <w:szCs w:val="18"/>
                <w:color w:val="auto"/>
              </w:rPr>
            </w:pPr>
          </w:p>
        </w:tc>
        <w:tc>
          <w:tcPr>
            <w:tcW w:w="1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1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004483"/>
              </w:rPr>
              <w:t>Earnings Per Share from Continuing Operations – diluted</w:t>
            </w:r>
          </w:p>
        </w:tc>
        <w:tc>
          <w:tcPr>
            <w:tcW w:w="1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80" w:type="dxa"/>
            <w:vAlign w:val="bottom"/>
          </w:tcPr>
          <w:p>
            <w:pPr>
              <w:spacing w:after="0"/>
              <w:rPr>
                <w:sz w:val="18"/>
                <w:szCs w:val="18"/>
                <w:color w:val="auto"/>
              </w:rPr>
            </w:pPr>
          </w:p>
        </w:tc>
        <w:tc>
          <w:tcPr>
            <w:tcW w:w="1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Pr>
          <w:p>
            <w:pPr>
              <w:spacing w:after="0"/>
              <w:rPr>
                <w:sz w:val="18"/>
                <w:szCs w:val="18"/>
                <w:color w:val="auto"/>
              </w:rPr>
            </w:pPr>
          </w:p>
        </w:tc>
      </w:tr>
    </w:tbl>
    <w:p>
      <w:pPr>
        <w:spacing w:after="0" w:line="218" w:lineRule="exact"/>
        <w:rPr>
          <w:sz w:val="20"/>
          <w:szCs w:val="20"/>
          <w:color w:val="auto"/>
        </w:rPr>
      </w:pPr>
    </w:p>
    <w:p>
      <w:pPr>
        <w:ind w:right="240"/>
        <w:spacing w:after="0" w:line="283" w:lineRule="auto"/>
        <w:rPr>
          <w:sz w:val="20"/>
          <w:szCs w:val="20"/>
          <w:color w:val="auto"/>
        </w:rPr>
      </w:pPr>
      <w:r>
        <w:rPr>
          <w:rFonts w:ascii="Arial" w:cs="Arial" w:eastAsia="Arial" w:hAnsi="Arial"/>
          <w:sz w:val="18"/>
          <w:szCs w:val="18"/>
          <w:color w:val="auto"/>
        </w:rPr>
        <w:t>The pro forma results do not include any anticipated synergies or other expected benefits from the Kosmos Acquisition. Accordingly, the unaudited pro forma results are not necessarily indicative of either future results of operations or results that might have been achieved had the Kosmos Acquisition been consummated as of April 1, 2019.</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 REVENUE</w:t>
      </w:r>
    </w:p>
    <w:p>
      <w:pPr>
        <w:spacing w:after="0" w:line="127"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We earn Revenue primarily from the sale of products, which include cement, concrete, aggregates, gypsum wallboard, and recycled paperboard. The vast majority of Revenue from the sale of cement, concrete, aggregates, and gypsum wallboard is originated by purchase orders from our customers, who are primarily third-party contractors and suppliers. Revenue from our Recycled Paperboard segment is generated primarily through long-term supply agreements maturing between 2023 and 2025. We invoice customers upon shipment, and our collection terms range from 30-75 days. Revenue from the sale of cement, concrete, aggregates, and gypsum wallboard that is not related to long-term supply agreements is recognized upon shipment of the related products to customers, which is when title and ownership are transferred, and the customer is obligated to pay.</w:t>
      </w:r>
    </w:p>
    <w:p>
      <w:pPr>
        <w:spacing w:after="0" w:line="72"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Revenue from sales under our long-term supply agreements is also recognized upon transfer of control to the customer, which generally occurs at the time the product is shipped from the production facility or terminal location. Our long-term supply agreements with customers define, among other commitments, the volume of product we must provide and the volume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an agreement is reached with the customer and, therefore, are not subject to the risk of reversal.</w:t>
      </w:r>
    </w:p>
    <w:p>
      <w:pPr>
        <w:spacing w:after="0" w:line="72"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67"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The Company has elected to treat freight and delivery charges we pay for the delivery of goods to our customers as a fulfilment activity rather than a separate performance obligation. When we arrange for a third party to deliver products to customers, fees for shipping and handling that are billed to the customer are recorded as Revenue, while costs we incur for shipping and handling are recorded as expenses and included in Cost of Goods Sold.</w:t>
      </w:r>
    </w:p>
    <w:p>
      <w:pPr>
        <w:spacing w:after="0" w:line="67" w:lineRule="exact"/>
        <w:rPr>
          <w:sz w:val="20"/>
          <w:szCs w:val="20"/>
          <w:color w:val="auto"/>
        </w:rPr>
      </w:pPr>
    </w:p>
    <w:p>
      <w:pPr>
        <w:jc w:val="both"/>
        <w:ind w:right="420"/>
        <w:spacing w:after="0" w:line="283" w:lineRule="auto"/>
        <w:rPr>
          <w:sz w:val="20"/>
          <w:szCs w:val="20"/>
          <w:color w:val="auto"/>
        </w:rPr>
      </w:pPr>
      <w:r>
        <w:rPr>
          <w:rFonts w:ascii="Arial" w:cs="Arial" w:eastAsia="Arial" w:hAnsi="Arial"/>
          <w:sz w:val="18"/>
          <w:szCs w:val="18"/>
          <w:color w:val="auto"/>
        </w:rPr>
        <w:t>Other Non-Operating Income includes lease and rental income, asset sale income, non-inventoried aggregates sales income, distribution center income, and trucking income, as well as other miscellaneous revenue items and costs that have not been allocated to a business segment.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7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See Footnote (O) to the Unaudited Consolidated Financial Statements for disaggregation of revenue by segment.</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ACCOUNTS AND NOTES RECEIVABLE</w:t>
      </w:r>
    </w:p>
    <w:p>
      <w:pPr>
        <w:spacing w:after="0" w:line="12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Accounts and Notes Receivable have been shown net of the allowance for doubtful accounts of $8.2 million and $9.3 million (net of allowance for doubtful accounts related to discontinued operations) at December 31, 2020 and March 31, 2020, respectively. We perform ongoing credit evaluations of our customers’ financial condition and generally require no collateral from our customers. The allowance for non-collection of receivables is based upon analysis of economic trends in the construction industry, detailed analysis of the expected collectability of accounts receivable that are past due, and the expected collectability of overall receivables. We have no significant credit risk concentration among our diversified customer base.</w:t>
      </w:r>
    </w:p>
    <w:p>
      <w:pPr>
        <w:spacing w:after="0" w:line="72"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color w:val="auto"/>
        </w:rPr>
        <w:t>We had Notes Receivable totaling approximately $8.4 million at December 31, 2020, which is classified as long-term on the balance sheet. We lend funds to certain companies in the ordinary course of business, and the notes bear interest, on average, at 3.6%. Remaining unpaid amounts, plus accrued interest, mature in 2026. The notes are collateralized by certain assets of the borrower, namely property and equipment, and are generally payable monthly. We monitor the credit risk of each borrower by assessing the timeliness of payments, credit history, credit metrics, and our ongoing interactions with each borrower.</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 INVENTORIES</w:t>
      </w:r>
    </w:p>
    <w:p>
      <w:pPr>
        <w:spacing w:after="0" w:line="114" w:lineRule="exact"/>
        <w:rPr>
          <w:sz w:val="20"/>
          <w:szCs w:val="20"/>
          <w:color w:val="auto"/>
        </w:rPr>
      </w:pPr>
    </w:p>
    <w:p>
      <w:pPr>
        <w:ind w:right="340"/>
        <w:spacing w:after="0" w:line="273" w:lineRule="auto"/>
        <w:rPr>
          <w:sz w:val="20"/>
          <w:szCs w:val="20"/>
          <w:color w:val="auto"/>
        </w:rPr>
      </w:pPr>
      <w:r>
        <w:rPr>
          <w:rFonts w:ascii="Arial" w:cs="Arial" w:eastAsia="Arial" w:hAnsi="Arial"/>
          <w:sz w:val="18"/>
          <w:szCs w:val="18"/>
          <w:color w:val="auto"/>
        </w:rPr>
        <w:t>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 size and location of the inventory piles, and converted to tonnage using standard inventory density factors. Inventories consist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40" w:type="dxa"/>
            <w:vAlign w:val="bottom"/>
            <w:shd w:val="clear" w:color="auto" w:fill="004483"/>
          </w:tcPr>
          <w:p>
            <w:pPr>
              <w:spacing w:after="0"/>
              <w:rPr>
                <w:sz w:val="19"/>
                <w:szCs w:val="19"/>
                <w:color w:val="auto"/>
              </w:rPr>
            </w:pPr>
          </w:p>
        </w:tc>
        <w:tc>
          <w:tcPr>
            <w:tcW w:w="1400" w:type="dxa"/>
            <w:vAlign w:val="bottom"/>
            <w:gridSpan w:val="3"/>
            <w:shd w:val="clear" w:color="auto" w:fill="004483"/>
          </w:tcPr>
          <w:p>
            <w:pPr>
              <w:ind w:left="360"/>
              <w:spacing w:after="0"/>
              <w:rPr>
                <w:sz w:val="20"/>
                <w:szCs w:val="20"/>
                <w:color w:val="auto"/>
              </w:rPr>
            </w:pPr>
            <w:r>
              <w:rPr>
                <w:rFonts w:ascii="Times New Roman" w:cs="Times New Roman" w:eastAsia="Times New Roman" w:hAnsi="Times New Roman"/>
                <w:sz w:val="13"/>
                <w:szCs w:val="13"/>
                <w:b w:val="1"/>
                <w:bCs w:val="1"/>
                <w:color w:val="FFFFFF"/>
              </w:rPr>
              <w:t>December 31,</w:t>
            </w:r>
          </w:p>
        </w:tc>
        <w:tc>
          <w:tcPr>
            <w:tcW w:w="700" w:type="dxa"/>
            <w:vAlign w:val="bottom"/>
            <w:shd w:val="clear" w:color="auto" w:fill="004483"/>
          </w:tcPr>
          <w:p>
            <w:pPr>
              <w:spacing w:after="0"/>
              <w:rPr>
                <w:sz w:val="19"/>
                <w:szCs w:val="19"/>
                <w:color w:val="auto"/>
              </w:rPr>
            </w:pPr>
          </w:p>
        </w:tc>
        <w:tc>
          <w:tcPr>
            <w:tcW w:w="980" w:type="dxa"/>
            <w:vAlign w:val="bottom"/>
            <w:gridSpan w:val="2"/>
            <w:shd w:val="clear" w:color="auto" w:fill="004483"/>
          </w:tcPr>
          <w:p>
            <w:pPr>
              <w:ind w:left="320"/>
              <w:spacing w:after="0"/>
              <w:rPr>
                <w:sz w:val="20"/>
                <w:szCs w:val="20"/>
                <w:color w:val="auto"/>
              </w:rPr>
            </w:pPr>
            <w:r>
              <w:rPr>
                <w:rFonts w:ascii="Times New Roman" w:cs="Times New Roman" w:eastAsia="Times New Roman" w:hAnsi="Times New Roman"/>
                <w:sz w:val="13"/>
                <w:szCs w:val="13"/>
                <w:b w:val="1"/>
                <w:bCs w:val="1"/>
                <w:color w:val="FFFFFF"/>
              </w:rPr>
              <w:t>March 31,</w:t>
            </w:r>
          </w:p>
        </w:tc>
      </w:tr>
      <w:tr>
        <w:trPr>
          <w:trHeight w:val="143"/>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5160" w:type="dxa"/>
            <w:vAlign w:val="bottom"/>
            <w:tcBorders>
              <w:bottom w:val="single" w:sz="8" w:color="004483"/>
            </w:tcBorders>
          </w:tcPr>
          <w:p>
            <w:pPr>
              <w:spacing w:after="0"/>
              <w:rPr>
                <w:sz w:val="13"/>
                <w:szCs w:val="13"/>
                <w:color w:val="auto"/>
              </w:rPr>
            </w:pPr>
          </w:p>
        </w:tc>
        <w:tc>
          <w:tcPr>
            <w:tcW w:w="2540" w:type="dxa"/>
            <w:vAlign w:val="bottom"/>
            <w:tcBorders>
              <w:bottom w:val="single" w:sz="8" w:color="004483"/>
            </w:tcBorders>
          </w:tcPr>
          <w:p>
            <w:pPr>
              <w:spacing w:after="0"/>
              <w:rPr>
                <w:sz w:val="13"/>
                <w:szCs w:val="13"/>
                <w:color w:val="auto"/>
              </w:rPr>
            </w:pPr>
          </w:p>
        </w:tc>
        <w:tc>
          <w:tcPr>
            <w:tcW w:w="440" w:type="dxa"/>
            <w:vAlign w:val="bottom"/>
            <w:tcBorders>
              <w:bottom w:val="single" w:sz="8" w:color="004483"/>
            </w:tcBorders>
          </w:tcPr>
          <w:p>
            <w:pPr>
              <w:spacing w:after="0"/>
              <w:rPr>
                <w:sz w:val="13"/>
                <w:szCs w:val="13"/>
                <w:color w:val="auto"/>
              </w:rPr>
            </w:pPr>
          </w:p>
        </w:tc>
        <w:tc>
          <w:tcPr>
            <w:tcW w:w="2100" w:type="dxa"/>
            <w:vAlign w:val="bottom"/>
            <w:tcBorders>
              <w:bottom w:val="single" w:sz="8" w:color="004483"/>
            </w:tcBorders>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(dollars in thousands)</w:t>
            </w:r>
          </w:p>
        </w:tc>
        <w:tc>
          <w:tcPr>
            <w:tcW w:w="88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51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Raw Materials and Materials-in-Progress</w:t>
            </w:r>
          </w:p>
        </w:tc>
        <w:tc>
          <w:tcPr>
            <w:tcW w:w="2980" w:type="dxa"/>
            <w:vAlign w:val="bottom"/>
            <w:tcBorders>
              <w:bottom w:val="single" w:sz="8" w:color="A6A6A6"/>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75,710</w:t>
            </w: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tcPr>
          <w:p>
            <w:pPr>
              <w:jc w:val="right"/>
              <w:ind w:right="5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110,558</w:t>
            </w: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1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Finished Cement</w:t>
            </w:r>
          </w:p>
        </w:tc>
        <w:tc>
          <w:tcPr>
            <w:tcW w:w="254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34,916</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43,538</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1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Aggregates</w:t>
            </w:r>
          </w:p>
        </w:tc>
        <w:tc>
          <w:tcPr>
            <w:tcW w:w="254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8,416</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1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Gypsum Wallboard</w:t>
            </w:r>
          </w:p>
        </w:tc>
        <w:tc>
          <w:tcPr>
            <w:tcW w:w="254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4,540</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1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Paperboard</w:t>
            </w:r>
          </w:p>
        </w:tc>
        <w:tc>
          <w:tcPr>
            <w:tcW w:w="254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6,986</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5,715</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1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Repair Parts and Supplies</w:t>
            </w:r>
          </w:p>
        </w:tc>
        <w:tc>
          <w:tcPr>
            <w:tcW w:w="254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92,119</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88,094</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1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Fuel and Coal</w:t>
            </w:r>
          </w:p>
        </w:tc>
        <w:tc>
          <w:tcPr>
            <w:tcW w:w="2540" w:type="dxa"/>
            <w:vAlign w:val="bottom"/>
            <w:tcBorders>
              <w:bottom w:val="single" w:sz="8" w:color="A6A6A6"/>
            </w:tcBorders>
          </w:tcPr>
          <w:p>
            <w:pPr>
              <w:spacing w:after="0"/>
              <w:rPr>
                <w:sz w:val="18"/>
                <w:szCs w:val="18"/>
                <w:color w:val="auto"/>
              </w:rPr>
            </w:pPr>
          </w:p>
        </w:tc>
        <w:tc>
          <w:tcPr>
            <w:tcW w:w="4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11,324</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004483"/>
            </w:tcBorders>
          </w:tcPr>
          <w:p>
            <w:pPr>
              <w:spacing w:after="0"/>
              <w:rPr>
                <w:sz w:val="18"/>
                <w:szCs w:val="18"/>
                <w:color w:val="auto"/>
              </w:rPr>
            </w:pPr>
          </w:p>
        </w:tc>
        <w:tc>
          <w:tcPr>
            <w:tcW w:w="88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11,589</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40" w:type="dxa"/>
            <w:vAlign w:val="bottom"/>
            <w:tcBorders>
              <w:bottom w:val="single" w:sz="8" w:color="004483"/>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228,667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004483"/>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272,121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79"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(H) ACCRUED EXPENSES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40" w:type="dxa"/>
            <w:vAlign w:val="bottom"/>
            <w:shd w:val="clear" w:color="auto" w:fill="004483"/>
          </w:tcPr>
          <w:p>
            <w:pPr>
              <w:spacing w:after="0"/>
              <w:rPr>
                <w:sz w:val="19"/>
                <w:szCs w:val="19"/>
                <w:color w:val="auto"/>
              </w:rPr>
            </w:pPr>
          </w:p>
        </w:tc>
        <w:tc>
          <w:tcPr>
            <w:tcW w:w="1400" w:type="dxa"/>
            <w:vAlign w:val="bottom"/>
            <w:gridSpan w:val="3"/>
            <w:shd w:val="clear" w:color="auto" w:fill="004483"/>
          </w:tcPr>
          <w:p>
            <w:pPr>
              <w:ind w:left="360"/>
              <w:spacing w:after="0"/>
              <w:rPr>
                <w:sz w:val="20"/>
                <w:szCs w:val="20"/>
                <w:color w:val="auto"/>
              </w:rPr>
            </w:pPr>
            <w:r>
              <w:rPr>
                <w:rFonts w:ascii="Times New Roman" w:cs="Times New Roman" w:eastAsia="Times New Roman" w:hAnsi="Times New Roman"/>
                <w:sz w:val="13"/>
                <w:szCs w:val="13"/>
                <w:b w:val="1"/>
                <w:bCs w:val="1"/>
                <w:color w:val="FFFFFF"/>
              </w:rPr>
              <w:t>December 31,</w:t>
            </w:r>
          </w:p>
        </w:tc>
        <w:tc>
          <w:tcPr>
            <w:tcW w:w="700" w:type="dxa"/>
            <w:vAlign w:val="bottom"/>
            <w:shd w:val="clear" w:color="auto" w:fill="004483"/>
          </w:tcPr>
          <w:p>
            <w:pPr>
              <w:spacing w:after="0"/>
              <w:rPr>
                <w:sz w:val="19"/>
                <w:szCs w:val="19"/>
                <w:color w:val="auto"/>
              </w:rPr>
            </w:pPr>
          </w:p>
        </w:tc>
        <w:tc>
          <w:tcPr>
            <w:tcW w:w="980" w:type="dxa"/>
            <w:vAlign w:val="bottom"/>
            <w:gridSpan w:val="2"/>
            <w:shd w:val="clear" w:color="auto" w:fill="004483"/>
          </w:tcPr>
          <w:p>
            <w:pPr>
              <w:ind w:left="320"/>
              <w:spacing w:after="0"/>
              <w:rPr>
                <w:sz w:val="20"/>
                <w:szCs w:val="20"/>
                <w:color w:val="auto"/>
              </w:rPr>
            </w:pPr>
            <w:r>
              <w:rPr>
                <w:rFonts w:ascii="Times New Roman" w:cs="Times New Roman" w:eastAsia="Times New Roman" w:hAnsi="Times New Roman"/>
                <w:sz w:val="13"/>
                <w:szCs w:val="13"/>
                <w:b w:val="1"/>
                <w:bCs w:val="1"/>
                <w:color w:val="FFFFFF"/>
              </w:rPr>
              <w:t>March 31,</w:t>
            </w:r>
          </w:p>
        </w:tc>
      </w:tr>
      <w:tr>
        <w:trPr>
          <w:trHeight w:val="143"/>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5020" w:type="dxa"/>
            <w:vAlign w:val="bottom"/>
            <w:tcBorders>
              <w:bottom w:val="single" w:sz="8" w:color="004483"/>
            </w:tcBorders>
          </w:tcPr>
          <w:p>
            <w:pPr>
              <w:spacing w:after="0"/>
              <w:rPr>
                <w:sz w:val="13"/>
                <w:szCs w:val="13"/>
                <w:color w:val="auto"/>
              </w:rPr>
            </w:pPr>
          </w:p>
        </w:tc>
        <w:tc>
          <w:tcPr>
            <w:tcW w:w="2680" w:type="dxa"/>
            <w:vAlign w:val="bottom"/>
            <w:tcBorders>
              <w:bottom w:val="single" w:sz="8" w:color="004483"/>
            </w:tcBorders>
          </w:tcPr>
          <w:p>
            <w:pPr>
              <w:spacing w:after="0"/>
              <w:rPr>
                <w:sz w:val="13"/>
                <w:szCs w:val="13"/>
                <w:color w:val="auto"/>
              </w:rPr>
            </w:pPr>
          </w:p>
        </w:tc>
        <w:tc>
          <w:tcPr>
            <w:tcW w:w="440" w:type="dxa"/>
            <w:vAlign w:val="bottom"/>
            <w:tcBorders>
              <w:bottom w:val="single" w:sz="8" w:color="004483"/>
            </w:tcBorders>
          </w:tcPr>
          <w:p>
            <w:pPr>
              <w:spacing w:after="0"/>
              <w:rPr>
                <w:sz w:val="13"/>
                <w:szCs w:val="13"/>
                <w:color w:val="auto"/>
              </w:rPr>
            </w:pPr>
          </w:p>
        </w:tc>
        <w:tc>
          <w:tcPr>
            <w:tcW w:w="2100" w:type="dxa"/>
            <w:vAlign w:val="bottom"/>
            <w:tcBorders>
              <w:bottom w:val="single" w:sz="8" w:color="004483"/>
            </w:tcBorders>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(dollars in thousands)</w:t>
            </w:r>
          </w:p>
        </w:tc>
        <w:tc>
          <w:tcPr>
            <w:tcW w:w="88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502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Payroll and Incentive Compensation</w:t>
            </w:r>
          </w:p>
        </w:tc>
        <w:tc>
          <w:tcPr>
            <w:tcW w:w="3120" w:type="dxa"/>
            <w:vAlign w:val="bottom"/>
            <w:tcBorders>
              <w:bottom w:val="single" w:sz="8" w:color="A6A6A6"/>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33,101</w:t>
            </w: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tcPr>
          <w:p>
            <w:pPr>
              <w:jc w:val="right"/>
              <w:ind w:right="5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24,904</w:t>
            </w: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02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Benefits</w:t>
            </w:r>
          </w:p>
        </w:tc>
        <w:tc>
          <w:tcPr>
            <w:tcW w:w="268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16,151</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12,447</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2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Interest</w:t>
            </w:r>
          </w:p>
        </w:tc>
        <w:tc>
          <w:tcPr>
            <w:tcW w:w="268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7,841</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4,080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2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Property Taxes</w:t>
            </w:r>
          </w:p>
        </w:tc>
        <w:tc>
          <w:tcPr>
            <w:tcW w:w="268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4,675</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5,110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2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Power and Fuel</w:t>
            </w:r>
          </w:p>
        </w:tc>
        <w:tc>
          <w:tcPr>
            <w:tcW w:w="268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2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Freight</w:t>
            </w:r>
          </w:p>
        </w:tc>
        <w:tc>
          <w:tcPr>
            <w:tcW w:w="268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2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Legal and Professional</w:t>
            </w:r>
          </w:p>
        </w:tc>
        <w:tc>
          <w:tcPr>
            <w:tcW w:w="268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11,828</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16,096</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2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Sales and Use Tax</w:t>
            </w:r>
          </w:p>
        </w:tc>
        <w:tc>
          <w:tcPr>
            <w:tcW w:w="268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2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Other</w:t>
            </w:r>
          </w:p>
        </w:tc>
        <w:tc>
          <w:tcPr>
            <w:tcW w:w="2680" w:type="dxa"/>
            <w:vAlign w:val="bottom"/>
            <w:tcBorders>
              <w:bottom w:val="single" w:sz="8" w:color="A6A6A6"/>
            </w:tcBorders>
          </w:tcPr>
          <w:p>
            <w:pPr>
              <w:spacing w:after="0"/>
              <w:rPr>
                <w:sz w:val="18"/>
                <w:szCs w:val="18"/>
                <w:color w:val="auto"/>
              </w:rPr>
            </w:pPr>
          </w:p>
        </w:tc>
        <w:tc>
          <w:tcPr>
            <w:tcW w:w="4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6,125</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004483"/>
            </w:tcBorders>
          </w:tcPr>
          <w:p>
            <w:pPr>
              <w:spacing w:after="0"/>
              <w:rPr>
                <w:sz w:val="18"/>
                <w:szCs w:val="18"/>
                <w:color w:val="auto"/>
              </w:rPr>
            </w:pPr>
          </w:p>
        </w:tc>
        <w:tc>
          <w:tcPr>
            <w:tcW w:w="88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4,838</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40" w:type="dxa"/>
            <w:vAlign w:val="bottom"/>
            <w:tcBorders>
              <w:bottom w:val="single" w:sz="8" w:color="004483"/>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84,914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004483"/>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70,442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 LEASES</w:t>
      </w:r>
    </w:p>
    <w:p>
      <w:pPr>
        <w:spacing w:after="0" w:line="114"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We lease certain real estate, buildings, and equipment. Certain of these leases contain escalations of rent over the term of the lease, as well as options for us to extend the term of the lease at the end of the original term. These extensions range from periods of one year to twenty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twelve months, which are not recorded on the balance sheet.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our operating and short-term leases included in continuing operations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40" w:type="dxa"/>
            <w:vAlign w:val="bottom"/>
            <w:tcBorders>
              <w:bottom w:val="single" w:sz="8" w:color="004483"/>
            </w:tcBorders>
            <w:shd w:val="clear" w:color="auto" w:fill="004483"/>
          </w:tcPr>
          <w:p>
            <w:pPr>
              <w:spacing w:after="0"/>
              <w:rPr>
                <w:sz w:val="19"/>
                <w:szCs w:val="19"/>
                <w:color w:val="auto"/>
              </w:rPr>
            </w:pPr>
          </w:p>
        </w:tc>
        <w:tc>
          <w:tcPr>
            <w:tcW w:w="2720" w:type="dxa"/>
            <w:vAlign w:val="bottom"/>
            <w:tcBorders>
              <w:bottom w:val="single" w:sz="8" w:color="004483"/>
            </w:tcBorders>
            <w:gridSpan w:val="6"/>
            <w:shd w:val="clear" w:color="auto" w:fill="004483"/>
          </w:tcPr>
          <w:p>
            <w:pPr>
              <w:ind w:left="60"/>
              <w:spacing w:after="0"/>
              <w:rPr>
                <w:sz w:val="20"/>
                <w:szCs w:val="20"/>
                <w:color w:val="auto"/>
              </w:rPr>
            </w:pPr>
            <w:r>
              <w:rPr>
                <w:rFonts w:ascii="Times New Roman" w:cs="Times New Roman" w:eastAsia="Times New Roman" w:hAnsi="Times New Roman"/>
                <w:sz w:val="13"/>
                <w:szCs w:val="13"/>
                <w:b w:val="1"/>
                <w:bCs w:val="1"/>
                <w:color w:val="FFFFFF"/>
              </w:rPr>
              <w:t>For the Three Months Ended December 31,</w:t>
            </w:r>
          </w:p>
        </w:tc>
        <w:tc>
          <w:tcPr>
            <w:tcW w:w="120" w:type="dxa"/>
            <w:vAlign w:val="bottom"/>
          </w:tcPr>
          <w:p>
            <w:pPr>
              <w:spacing w:after="0"/>
              <w:rPr>
                <w:sz w:val="19"/>
                <w:szCs w:val="19"/>
                <w:color w:val="auto"/>
              </w:rPr>
            </w:pPr>
          </w:p>
        </w:tc>
        <w:tc>
          <w:tcPr>
            <w:tcW w:w="160" w:type="dxa"/>
            <w:vAlign w:val="bottom"/>
            <w:tcBorders>
              <w:bottom w:val="single" w:sz="8" w:color="004483"/>
            </w:tcBorders>
            <w:shd w:val="clear" w:color="auto" w:fill="004483"/>
          </w:tcPr>
          <w:p>
            <w:pPr>
              <w:spacing w:after="0"/>
              <w:rPr>
                <w:sz w:val="19"/>
                <w:szCs w:val="19"/>
                <w:color w:val="auto"/>
              </w:rPr>
            </w:pPr>
          </w:p>
        </w:tc>
        <w:tc>
          <w:tcPr>
            <w:tcW w:w="2720" w:type="dxa"/>
            <w:vAlign w:val="bottom"/>
            <w:tcBorders>
              <w:bottom w:val="single" w:sz="8" w:color="004483"/>
            </w:tcBorders>
            <w:gridSpan w:val="6"/>
            <w:shd w:val="clear" w:color="auto" w:fill="004483"/>
          </w:tcPr>
          <w:p>
            <w:pPr>
              <w:ind w:left="100"/>
              <w:spacing w:after="0"/>
              <w:rPr>
                <w:sz w:val="20"/>
                <w:szCs w:val="20"/>
                <w:color w:val="auto"/>
              </w:rPr>
            </w:pPr>
            <w:r>
              <w:rPr>
                <w:rFonts w:ascii="Times New Roman" w:cs="Times New Roman" w:eastAsia="Times New Roman" w:hAnsi="Times New Roman"/>
                <w:sz w:val="13"/>
                <w:szCs w:val="13"/>
                <w:b w:val="1"/>
                <w:bCs w:val="1"/>
                <w:color w:val="FFFFFF"/>
              </w:rPr>
              <w:t>For the Nine Months Ended December 31,</w:t>
            </w:r>
          </w:p>
        </w:tc>
      </w:tr>
      <w:tr>
        <w:trPr>
          <w:trHeight w:val="143"/>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5360" w:type="dxa"/>
            <w:vAlign w:val="bottom"/>
            <w:tcBorders>
              <w:bottom w:val="single" w:sz="8" w:color="004483"/>
            </w:tcBorders>
          </w:tcPr>
          <w:p>
            <w:pPr>
              <w:spacing w:after="0"/>
              <w:rPr>
                <w:sz w:val="13"/>
                <w:szCs w:val="13"/>
                <w:color w:val="auto"/>
              </w:rPr>
            </w:pPr>
          </w:p>
        </w:tc>
        <w:tc>
          <w:tcPr>
            <w:tcW w:w="140" w:type="dxa"/>
            <w:vAlign w:val="bottom"/>
            <w:tcBorders>
              <w:bottom w:val="single" w:sz="8" w:color="004483"/>
            </w:tcBorders>
          </w:tcPr>
          <w:p>
            <w:pPr>
              <w:spacing w:after="0"/>
              <w:rPr>
                <w:sz w:val="13"/>
                <w:szCs w:val="13"/>
                <w:color w:val="auto"/>
              </w:rPr>
            </w:pPr>
          </w:p>
        </w:tc>
        <w:tc>
          <w:tcPr>
            <w:tcW w:w="112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460" w:type="dxa"/>
            <w:vAlign w:val="bottom"/>
            <w:tcBorders>
              <w:bottom w:val="single" w:sz="8" w:color="004483"/>
            </w:tcBorders>
          </w:tcPr>
          <w:p>
            <w:pPr>
              <w:spacing w:after="0"/>
              <w:rPr>
                <w:sz w:val="13"/>
                <w:szCs w:val="13"/>
                <w:color w:val="auto"/>
              </w:rPr>
            </w:pPr>
          </w:p>
        </w:tc>
        <w:tc>
          <w:tcPr>
            <w:tcW w:w="2520" w:type="dxa"/>
            <w:vAlign w:val="bottom"/>
            <w:tcBorders>
              <w:bottom w:val="single" w:sz="8" w:color="004483"/>
            </w:tcBorders>
            <w:gridSpan w:val="7"/>
          </w:tcPr>
          <w:p>
            <w:pPr>
              <w:ind w:left="360"/>
              <w:spacing w:after="0"/>
              <w:rPr>
                <w:sz w:val="20"/>
                <w:szCs w:val="20"/>
                <w:color w:val="auto"/>
              </w:rPr>
            </w:pPr>
            <w:r>
              <w:rPr>
                <w:rFonts w:ascii="Times New Roman" w:cs="Times New Roman" w:eastAsia="Times New Roman" w:hAnsi="Times New Roman"/>
                <w:sz w:val="13"/>
                <w:szCs w:val="13"/>
                <w:color w:val="auto"/>
              </w:rPr>
              <w:t>(dollars in thousands)</w:t>
            </w:r>
          </w:p>
        </w:tc>
        <w:tc>
          <w:tcPr>
            <w:tcW w:w="480" w:type="dxa"/>
            <w:vAlign w:val="bottom"/>
            <w:tcBorders>
              <w:bottom w:val="single" w:sz="8" w:color="004483"/>
            </w:tcBorders>
          </w:tcPr>
          <w:p>
            <w:pPr>
              <w:spacing w:after="0"/>
              <w:rPr>
                <w:sz w:val="13"/>
                <w:szCs w:val="13"/>
                <w:color w:val="auto"/>
              </w:rPr>
            </w:pPr>
          </w:p>
        </w:tc>
        <w:tc>
          <w:tcPr>
            <w:tcW w:w="80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r>
      <w:tr>
        <w:trPr>
          <w:trHeight w:val="218"/>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004483"/>
              </w:rPr>
              <w:t>Operating Lease Cost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7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6,418</w:t>
            </w:r>
          </w:p>
        </w:tc>
        <w:tc>
          <w:tcPr>
            <w:tcW w:w="10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360" w:type="dxa"/>
            <w:vAlign w:val="bottom"/>
            <w:tcBorders>
              <w:top w:val="single" w:sz="8" w:color="A6A6A6"/>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Short-term Lease Cost</w:t>
            </w:r>
          </w:p>
        </w:tc>
        <w:tc>
          <w:tcPr>
            <w:tcW w:w="140" w:type="dxa"/>
            <w:vAlign w:val="bottom"/>
            <w:tcBorders>
              <w:top w:val="single" w:sz="8" w:color="A6A6A6"/>
              <w:bottom w:val="single" w:sz="8" w:color="004483"/>
            </w:tcBorders>
          </w:tcPr>
          <w:p>
            <w:pPr>
              <w:spacing w:after="0"/>
              <w:rPr>
                <w:sz w:val="19"/>
                <w:szCs w:val="19"/>
                <w:color w:val="auto"/>
              </w:rPr>
            </w:pPr>
          </w:p>
        </w:tc>
        <w:tc>
          <w:tcPr>
            <w:tcW w:w="1120" w:type="dxa"/>
            <w:vAlign w:val="bottom"/>
            <w:tcBorders>
              <w:top w:val="single" w:sz="8" w:color="A6A6A6"/>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460" w:type="dxa"/>
            <w:vAlign w:val="bottom"/>
            <w:tcBorders>
              <w:top w:val="single" w:sz="8" w:color="A6A6A6"/>
              <w:bottom w:val="single" w:sz="8" w:color="004483"/>
            </w:tcBorders>
          </w:tcPr>
          <w:p>
            <w:pPr>
              <w:spacing w:after="0"/>
              <w:rPr>
                <w:sz w:val="19"/>
                <w:szCs w:val="19"/>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160" w:type="dxa"/>
            <w:vAlign w:val="bottom"/>
            <w:tcBorders>
              <w:top w:val="single" w:sz="8" w:color="A6A6A6"/>
              <w:bottom w:val="single" w:sz="8" w:color="004483"/>
            </w:tcBorders>
          </w:tcPr>
          <w:p>
            <w:pPr>
              <w:spacing w:after="0"/>
              <w:rPr>
                <w:sz w:val="19"/>
                <w:szCs w:val="19"/>
                <w:color w:val="auto"/>
              </w:rPr>
            </w:pPr>
          </w:p>
        </w:tc>
        <w:tc>
          <w:tcPr>
            <w:tcW w:w="1120" w:type="dxa"/>
            <w:vAlign w:val="bottom"/>
            <w:tcBorders>
              <w:top w:val="single" w:sz="8" w:color="A6A6A6"/>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480" w:type="dxa"/>
            <w:vAlign w:val="bottom"/>
            <w:tcBorders>
              <w:top w:val="single" w:sz="8" w:color="A6A6A6"/>
              <w:bottom w:val="single" w:sz="8" w:color="004483"/>
            </w:tcBorders>
          </w:tcPr>
          <w:p>
            <w:pPr>
              <w:spacing w:after="0"/>
              <w:rPr>
                <w:sz w:val="19"/>
                <w:szCs w:val="19"/>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0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004483"/>
              </w:rPr>
              <w:t>Total Lease Cost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2,060</w:t>
            </w:r>
          </w:p>
        </w:tc>
        <w:tc>
          <w:tcPr>
            <w:tcW w:w="7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2,559</w:t>
            </w:r>
          </w:p>
        </w:tc>
        <w:tc>
          <w:tcPr>
            <w:tcW w:w="10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7,486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0" w:type="dxa"/>
            <w:vAlign w:val="bottom"/>
            <w:tcBorders>
              <w:top w:val="single" w:sz="8" w:color="004483"/>
              <w:bottom w:val="single" w:sz="8" w:color="004483"/>
            </w:tcBorders>
          </w:tcPr>
          <w:p>
            <w:pPr>
              <w:spacing w:after="0" w:line="20" w:lineRule="exact"/>
              <w:rPr>
                <w:sz w:val="1"/>
                <w:szCs w:val="1"/>
                <w:color w:val="auto"/>
              </w:rPr>
            </w:pPr>
          </w:p>
        </w:tc>
        <w:tc>
          <w:tcPr>
            <w:tcW w:w="1120" w:type="dxa"/>
            <w:vAlign w:val="bottom"/>
            <w:tcBorders>
              <w:top w:val="single" w:sz="8" w:color="004483"/>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4483"/>
              <w:bottom w:val="single" w:sz="8" w:color="004483"/>
            </w:tcBorders>
          </w:tcPr>
          <w:p>
            <w:pPr>
              <w:spacing w:after="0" w:line="20" w:lineRule="exact"/>
              <w:rPr>
                <w:sz w:val="1"/>
                <w:szCs w:val="1"/>
                <w:color w:val="auto"/>
              </w:rPr>
            </w:pPr>
          </w:p>
        </w:tc>
        <w:tc>
          <w:tcPr>
            <w:tcW w:w="80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4483"/>
              <w:bottom w:val="single" w:sz="8" w:color="004483"/>
            </w:tcBorders>
          </w:tcPr>
          <w:p>
            <w:pPr>
              <w:spacing w:after="0" w:line="20" w:lineRule="exact"/>
              <w:rPr>
                <w:sz w:val="1"/>
                <w:szCs w:val="1"/>
                <w:color w:val="auto"/>
              </w:rPr>
            </w:pPr>
          </w:p>
        </w:tc>
        <w:tc>
          <w:tcPr>
            <w:tcW w:w="112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4483"/>
              <w:bottom w:val="single" w:sz="8" w:color="004483"/>
            </w:tcBorders>
          </w:tcPr>
          <w:p>
            <w:pPr>
              <w:spacing w:after="0" w:line="20" w:lineRule="exact"/>
              <w:rPr>
                <w:sz w:val="1"/>
                <w:szCs w:val="1"/>
                <w:color w:val="auto"/>
              </w:rPr>
            </w:pPr>
          </w:p>
        </w:tc>
        <w:tc>
          <w:tcPr>
            <w:tcW w:w="80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Right-of-Use Assets and Lease Liabilities are reflected on our Balance Sheet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20" w:type="dxa"/>
            <w:vAlign w:val="bottom"/>
          </w:tcPr>
          <w:p>
            <w:pPr>
              <w:spacing w:after="0"/>
              <w:rPr>
                <w:sz w:val="19"/>
                <w:szCs w:val="19"/>
                <w:color w:val="auto"/>
              </w:rPr>
            </w:pPr>
          </w:p>
        </w:tc>
        <w:tc>
          <w:tcPr>
            <w:tcW w:w="2540" w:type="dxa"/>
            <w:vAlign w:val="bottom"/>
            <w:shd w:val="clear" w:color="auto" w:fill="004483"/>
          </w:tcPr>
          <w:p>
            <w:pPr>
              <w:jc w:val="right"/>
              <w:ind w:right="937"/>
              <w:spacing w:after="0"/>
              <w:rPr>
                <w:sz w:val="20"/>
                <w:szCs w:val="20"/>
                <w:color w:val="auto"/>
              </w:rPr>
            </w:pPr>
            <w:r>
              <w:rPr>
                <w:rFonts w:ascii="Times New Roman" w:cs="Times New Roman" w:eastAsia="Times New Roman" w:hAnsi="Times New Roman"/>
                <w:sz w:val="13"/>
                <w:szCs w:val="13"/>
                <w:b w:val="1"/>
                <w:bCs w:val="1"/>
                <w:color w:val="FFFFFF"/>
              </w:rPr>
              <w:t>December 31,</w:t>
            </w:r>
          </w:p>
        </w:tc>
        <w:tc>
          <w:tcPr>
            <w:tcW w:w="980" w:type="dxa"/>
            <w:vAlign w:val="bottom"/>
            <w:gridSpan w:val="2"/>
            <w:shd w:val="clear" w:color="auto" w:fill="004483"/>
          </w:tcPr>
          <w:p>
            <w:pPr>
              <w:jc w:val="right"/>
              <w:ind w:right="120"/>
              <w:spacing w:after="0"/>
              <w:rPr>
                <w:sz w:val="20"/>
                <w:szCs w:val="20"/>
                <w:color w:val="auto"/>
              </w:rPr>
            </w:pPr>
            <w:r>
              <w:rPr>
                <w:rFonts w:ascii="Times New Roman" w:cs="Times New Roman" w:eastAsia="Times New Roman" w:hAnsi="Times New Roman"/>
                <w:sz w:val="13"/>
                <w:szCs w:val="13"/>
                <w:b w:val="1"/>
                <w:bCs w:val="1"/>
                <w:color w:val="FFFFFF"/>
              </w:rPr>
              <w:t>March 31,</w:t>
            </w:r>
          </w:p>
        </w:tc>
      </w:tr>
      <w:tr>
        <w:trPr>
          <w:trHeight w:val="143"/>
        </w:trPr>
        <w:tc>
          <w:tcPr>
            <w:tcW w:w="7720" w:type="dxa"/>
            <w:vAlign w:val="bottom"/>
          </w:tcPr>
          <w:p>
            <w:pPr>
              <w:spacing w:after="0"/>
              <w:rPr>
                <w:sz w:val="12"/>
                <w:szCs w:val="12"/>
                <w:color w:val="auto"/>
              </w:rPr>
            </w:pPr>
          </w:p>
        </w:tc>
        <w:tc>
          <w:tcPr>
            <w:tcW w:w="2540" w:type="dxa"/>
            <w:vAlign w:val="bottom"/>
          </w:tcPr>
          <w:p>
            <w:pPr>
              <w:jc w:val="right"/>
              <w:ind w:right="937"/>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8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r>
      <w:tr>
        <w:trPr>
          <w:trHeight w:val="152"/>
        </w:trPr>
        <w:tc>
          <w:tcPr>
            <w:tcW w:w="7720" w:type="dxa"/>
            <w:vAlign w:val="bottom"/>
            <w:tcBorders>
              <w:bottom w:val="single" w:sz="8" w:color="004483"/>
            </w:tcBorders>
          </w:tcPr>
          <w:p>
            <w:pPr>
              <w:spacing w:after="0"/>
              <w:rPr>
                <w:sz w:val="13"/>
                <w:szCs w:val="13"/>
                <w:color w:val="auto"/>
              </w:rPr>
            </w:pPr>
          </w:p>
        </w:tc>
        <w:tc>
          <w:tcPr>
            <w:tcW w:w="2540" w:type="dxa"/>
            <w:vAlign w:val="bottom"/>
            <w:tcBorders>
              <w:bottom w:val="single" w:sz="8" w:color="004483"/>
            </w:tcBorders>
          </w:tcPr>
          <w:p>
            <w:pPr>
              <w:jc w:val="right"/>
              <w:ind w:right="237"/>
              <w:spacing w:after="0"/>
              <w:rPr>
                <w:sz w:val="20"/>
                <w:szCs w:val="20"/>
                <w:color w:val="auto"/>
              </w:rPr>
            </w:pPr>
            <w:r>
              <w:rPr>
                <w:rFonts w:ascii="Times New Roman" w:cs="Times New Roman" w:eastAsia="Times New Roman" w:hAnsi="Times New Roman"/>
                <w:sz w:val="13"/>
                <w:szCs w:val="13"/>
                <w:color w:val="auto"/>
              </w:rPr>
              <w:t>(dollars in thousands)</w:t>
            </w:r>
          </w:p>
        </w:tc>
        <w:tc>
          <w:tcPr>
            <w:tcW w:w="88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1">
            <w:col w:w="11240"/>
          </w:cols>
          <w:pgMar w:left="320" w:top="403" w:right="339" w:bottom="1440" w:gutter="0" w:footer="0" w:header="0"/>
        </w:sectPr>
      </w:pPr>
    </w:p>
    <w:p>
      <w:pPr>
        <w:spacing w:after="0"/>
        <w:rPr>
          <w:sz w:val="20"/>
          <w:szCs w:val="20"/>
          <w:color w:val="auto"/>
        </w:rPr>
      </w:pPr>
      <w:r>
        <w:rPr>
          <w:rFonts w:ascii="Times New Roman" w:cs="Times New Roman" w:eastAsia="Times New Roman" w:hAnsi="Times New Roman"/>
          <w:sz w:val="16"/>
          <w:szCs w:val="16"/>
          <w:b w:val="1"/>
          <w:bCs w:val="1"/>
          <w:color w:val="004483"/>
        </w:rPr>
        <w:t>Operating Leases: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180" w:type="dxa"/>
            <w:vAlign w:val="bottom"/>
            <w:tcBorders>
              <w:top w:val="single" w:sz="8" w:color="A6A6A6"/>
            </w:tcBorders>
          </w:tcPr>
          <w:p>
            <w:pPr>
              <w:ind w:left="120"/>
              <w:spacing w:after="0"/>
              <w:rPr>
                <w:sz w:val="20"/>
                <w:szCs w:val="20"/>
                <w:color w:val="auto"/>
              </w:rPr>
            </w:pPr>
            <w:r>
              <w:rPr>
                <w:rFonts w:ascii="Times New Roman" w:cs="Times New Roman" w:eastAsia="Times New Roman" w:hAnsi="Times New Roman"/>
                <w:sz w:val="16"/>
                <w:szCs w:val="16"/>
                <w:color w:val="004483"/>
              </w:rPr>
              <w:t>Operating Lease Right-of-Use Assets</w:t>
            </w:r>
          </w:p>
        </w:tc>
        <w:tc>
          <w:tcPr>
            <w:tcW w:w="3120" w:type="dxa"/>
            <w:vAlign w:val="bottom"/>
            <w:tcBorders>
              <w:top w:val="single" w:sz="8" w:color="A6A6A6"/>
            </w:tcBorders>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26,927</w:t>
            </w:r>
          </w:p>
        </w:tc>
      </w:tr>
      <w:tr>
        <w:trPr>
          <w:trHeight w:val="197"/>
        </w:trPr>
        <w:tc>
          <w:tcPr>
            <w:tcW w:w="5180" w:type="dxa"/>
            <w:vAlign w:val="bottom"/>
            <w:tcBorders>
              <w:top w:val="single" w:sz="8" w:color="A6A6A6"/>
              <w:bottom w:val="single" w:sz="8" w:color="A6A6A6"/>
            </w:tcBorders>
          </w:tcPr>
          <w:p>
            <w:pPr>
              <w:spacing w:after="0"/>
              <w:rPr>
                <w:sz w:val="17"/>
                <w:szCs w:val="17"/>
                <w:color w:val="auto"/>
              </w:rPr>
            </w:pPr>
          </w:p>
        </w:tc>
        <w:tc>
          <w:tcPr>
            <w:tcW w:w="2540" w:type="dxa"/>
            <w:vAlign w:val="bottom"/>
            <w:tcBorders>
              <w:top w:val="single" w:sz="8" w:color="A6A6A6"/>
              <w:bottom w:val="single" w:sz="8" w:color="A6A6A6"/>
            </w:tcBorders>
          </w:tcPr>
          <w:p>
            <w:pPr>
              <w:spacing w:after="0"/>
              <w:rPr>
                <w:sz w:val="17"/>
                <w:szCs w:val="17"/>
                <w:color w:val="auto"/>
              </w:rPr>
            </w:pPr>
          </w:p>
        </w:tc>
        <w:tc>
          <w:tcPr>
            <w:tcW w:w="580" w:type="dxa"/>
            <w:vAlign w:val="bottom"/>
            <w:tcBorders>
              <w:top w:val="single" w:sz="8" w:color="004483"/>
              <w:bottom w:val="single" w:sz="8" w:color="A6A6A6"/>
            </w:tcBorders>
          </w:tcPr>
          <w:p>
            <w:pPr>
              <w:spacing w:after="0"/>
              <w:rPr>
                <w:sz w:val="17"/>
                <w:szCs w:val="17"/>
                <w:color w:val="auto"/>
              </w:rPr>
            </w:pPr>
          </w:p>
        </w:tc>
        <w:tc>
          <w:tcPr>
            <w:tcW w:w="980" w:type="dxa"/>
            <w:vAlign w:val="bottom"/>
            <w:tcBorders>
              <w:top w:val="single" w:sz="8" w:color="004483"/>
              <w:bottom w:val="single" w:sz="8" w:color="A6A6A6"/>
            </w:tcBorders>
          </w:tcPr>
          <w:p>
            <w:pPr>
              <w:spacing w:after="0"/>
              <w:rPr>
                <w:sz w:val="17"/>
                <w:szCs w:val="17"/>
                <w:color w:val="auto"/>
              </w:rPr>
            </w:pPr>
          </w:p>
        </w:tc>
      </w:tr>
      <w:tr>
        <w:trPr>
          <w:trHeight w:val="205"/>
        </w:trPr>
        <w:tc>
          <w:tcPr>
            <w:tcW w:w="5180" w:type="dxa"/>
            <w:vAlign w:val="bottom"/>
            <w:tcBorders>
              <w:bottom w:val="single" w:sz="8" w:color="A6A6A6"/>
            </w:tcBorders>
          </w:tcPr>
          <w:p>
            <w:pPr>
              <w:ind w:left="120"/>
              <w:spacing w:after="0"/>
              <w:rPr>
                <w:sz w:val="20"/>
                <w:szCs w:val="20"/>
                <w:color w:val="auto"/>
              </w:rPr>
            </w:pPr>
            <w:r>
              <w:rPr>
                <w:rFonts w:ascii="Times New Roman" w:cs="Times New Roman" w:eastAsia="Times New Roman" w:hAnsi="Times New Roman"/>
                <w:sz w:val="16"/>
                <w:szCs w:val="16"/>
                <w:color w:val="004483"/>
              </w:rPr>
              <w:t>Current Operating Lease Liabilities</w:t>
            </w:r>
          </w:p>
        </w:tc>
        <w:tc>
          <w:tcPr>
            <w:tcW w:w="3120" w:type="dxa"/>
            <w:vAlign w:val="bottom"/>
            <w:tcBorders>
              <w:bottom w:val="single" w:sz="8" w:color="A6A6A6"/>
            </w:tcBorders>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6,551</w:t>
            </w:r>
          </w:p>
        </w:tc>
      </w:tr>
      <w:tr>
        <w:trPr>
          <w:trHeight w:val="205"/>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004483"/>
              </w:rPr>
              <w:t>Noncurrent Operating Lease Liabilities</w:t>
            </w:r>
          </w:p>
        </w:tc>
        <w:tc>
          <w:tcPr>
            <w:tcW w:w="2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820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820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1115" w:hanging="1115"/>
        <w:spacing w:after="0"/>
        <w:tabs>
          <w:tab w:leader="none" w:pos="111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29,483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181610</wp:posOffset>
            </wp:positionV>
            <wp:extent cx="11150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5060" cy="8255"/>
                    </a:xfrm>
                    <a:prstGeom prst="rect">
                      <a:avLst/>
                    </a:prstGeom>
                    <a:noFill/>
                  </pic:spPr>
                </pic:pic>
              </a:graphicData>
            </a:graphic>
          </wp:anchor>
        </w:drawing>
        <w:drawing>
          <wp:anchor simplePos="0" relativeHeight="251657728" behindDoc="1" locked="0" layoutInCell="0" allowOverlap="1">
            <wp:simplePos x="0" y="0"/>
            <wp:positionH relativeFrom="column">
              <wp:posOffset>-118745</wp:posOffset>
            </wp:positionH>
            <wp:positionV relativeFrom="paragraph">
              <wp:posOffset>19685</wp:posOffset>
            </wp:positionV>
            <wp:extent cx="111506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5060" cy="25400"/>
                    </a:xfrm>
                    <a:prstGeom prst="rect">
                      <a:avLst/>
                    </a:prstGeom>
                    <a:noFill/>
                  </pic:spPr>
                </pic:pic>
              </a:graphicData>
            </a:graphic>
          </wp:anchor>
        </w:drawing>
        <w:drawing>
          <wp:anchor simplePos="0" relativeHeight="251657728" behindDoc="1" locked="0" layoutInCell="0" allowOverlap="1">
            <wp:simplePos x="0" y="0"/>
            <wp:positionH relativeFrom="column">
              <wp:posOffset>-118745</wp:posOffset>
            </wp:positionH>
            <wp:positionV relativeFrom="paragraph">
              <wp:posOffset>-124460</wp:posOffset>
            </wp:positionV>
            <wp:extent cx="11150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spacing w:after="0" w:line="279" w:lineRule="exact"/>
        <w:rPr>
          <w:sz w:val="20"/>
          <w:szCs w:val="20"/>
          <w:color w:val="auto"/>
        </w:rPr>
      </w:pPr>
    </w:p>
    <w:p>
      <w:pPr>
        <w:ind w:left="1195" w:hanging="1195"/>
        <w:spacing w:after="0"/>
        <w:tabs>
          <w:tab w:leader="none" w:pos="119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6,585</w:t>
      </w:r>
    </w:p>
    <w:p>
      <w:pPr>
        <w:spacing w:after="0" w:line="43" w:lineRule="exact"/>
        <w:rPr>
          <w:rFonts w:ascii="Times New Roman" w:cs="Times New Roman" w:eastAsia="Times New Roman" w:hAnsi="Times New Roman"/>
          <w:sz w:val="16"/>
          <w:szCs w:val="16"/>
          <w:color w:val="auto"/>
        </w:rPr>
      </w:pPr>
    </w:p>
    <w:p>
      <w:pPr>
        <w:ind w:left="111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19685</wp:posOffset>
            </wp:positionV>
            <wp:extent cx="11150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5060" cy="8255"/>
                    </a:xfrm>
                    <a:prstGeom prst="rect">
                      <a:avLst/>
                    </a:prstGeom>
                    <a:noFill/>
                  </pic:spPr>
                </pic:pic>
              </a:graphicData>
            </a:graphic>
          </wp:anchor>
        </w:drawing>
        <w:drawing>
          <wp:anchor simplePos="0" relativeHeight="251657728" behindDoc="1" locked="0" layoutInCell="0" allowOverlap="1">
            <wp:simplePos x="0" y="0"/>
            <wp:positionH relativeFrom="column">
              <wp:posOffset>-118745</wp:posOffset>
            </wp:positionH>
            <wp:positionV relativeFrom="paragraph">
              <wp:posOffset>-124460</wp:posOffset>
            </wp:positionV>
            <wp:extent cx="11150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2">
            <w:col w:w="9280" w:space="285"/>
            <w:col w:w="1675"/>
          </w:cols>
          <w:pgMar w:left="320" w:top="403" w:right="339" w:bottom="1440" w:gutter="0" w:footer="0" w:header="0"/>
          <w:type w:val="continuous"/>
        </w:sectPr>
      </w:pPr>
    </w:p>
    <w:p>
      <w:pPr>
        <w:spacing w:after="0"/>
        <w:tabs>
          <w:tab w:leader="none" w:pos="7700" w:val="left"/>
          <w:tab w:leader="none" w:pos="8800" w:val="left"/>
          <w:tab w:leader="none" w:pos="9540" w:val="left"/>
          <w:tab w:leader="none" w:pos="10660" w:val="left"/>
        </w:tabs>
        <w:rPr>
          <w:sz w:val="20"/>
          <w:szCs w:val="20"/>
          <w:color w:val="auto"/>
        </w:rPr>
      </w:pPr>
      <w:r>
        <w:rPr>
          <w:rFonts w:ascii="Times New Roman" w:cs="Times New Roman" w:eastAsia="Times New Roman" w:hAnsi="Times New Roman"/>
          <w:sz w:val="16"/>
          <w:szCs w:val="16"/>
          <w:b w:val="1"/>
          <w:bCs w:val="1"/>
          <w:color w:val="004483"/>
        </w:rPr>
        <w:t>Total Operating Lease Liabilities</w:t>
      </w:r>
      <w:r>
        <w:rPr>
          <w:sz w:val="20"/>
          <w:szCs w:val="20"/>
          <w:color w:val="auto"/>
        </w:rPr>
        <w:tab/>
      </w: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42,447</w:t>
      </w:r>
      <w:r>
        <w:rPr>
          <w:sz w:val="20"/>
          <w:szCs w:val="20"/>
          <w:color w:val="auto"/>
        </w:rPr>
        <w:tab/>
      </w: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46,824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4899025</wp:posOffset>
            </wp:positionH>
            <wp:positionV relativeFrom="paragraph">
              <wp:posOffset>20955</wp:posOffset>
            </wp:positionV>
            <wp:extent cx="217043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7043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03"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Future payments for operating leases are as follows (dollars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1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72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205"/>
        </w:trPr>
        <w:tc>
          <w:tcPr>
            <w:tcW w:w="9180" w:type="dxa"/>
            <w:vAlign w:val="bottom"/>
            <w:tcBorders>
              <w:top w:val="single" w:sz="8" w:color="004483"/>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2021 (remaining three months)</w:t>
            </w:r>
          </w:p>
        </w:tc>
        <w:tc>
          <w:tcPr>
            <w:tcW w:w="720" w:type="dxa"/>
            <w:vAlign w:val="bottom"/>
            <w:tcBorders>
              <w:top w:val="single" w:sz="8" w:color="004483"/>
              <w:bottom w:val="single" w:sz="8" w:color="A6A6A6"/>
            </w:tcBorders>
          </w:tcPr>
          <w:p>
            <w:pPr>
              <w:jc w:val="right"/>
              <w:ind w:right="56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160" w:type="dxa"/>
            <w:vAlign w:val="bottom"/>
          </w:tcPr>
          <w:p>
            <w:pPr>
              <w:spacing w:after="0"/>
              <w:rPr>
                <w:sz w:val="17"/>
                <w:szCs w:val="17"/>
                <w:color w:val="auto"/>
              </w:rPr>
            </w:pPr>
          </w:p>
        </w:tc>
      </w:tr>
      <w:tr>
        <w:trPr>
          <w:trHeight w:val="208"/>
        </w:trPr>
        <w:tc>
          <w:tcPr>
            <w:tcW w:w="918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2022</w:t>
            </w:r>
          </w:p>
        </w:tc>
        <w:tc>
          <w:tcPr>
            <w:tcW w:w="7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7,556</w:t>
            </w:r>
          </w:p>
        </w:tc>
        <w:tc>
          <w:tcPr>
            <w:tcW w:w="160" w:type="dxa"/>
            <w:vAlign w:val="bottom"/>
          </w:tcPr>
          <w:p>
            <w:pPr>
              <w:spacing w:after="0"/>
              <w:rPr>
                <w:sz w:val="18"/>
                <w:szCs w:val="18"/>
                <w:color w:val="auto"/>
              </w:rPr>
            </w:pPr>
          </w:p>
        </w:tc>
      </w:tr>
      <w:tr>
        <w:trPr>
          <w:trHeight w:val="208"/>
        </w:trPr>
        <w:tc>
          <w:tcPr>
            <w:tcW w:w="918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2023</w:t>
            </w:r>
          </w:p>
        </w:tc>
        <w:tc>
          <w:tcPr>
            <w:tcW w:w="7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6,969</w:t>
            </w:r>
          </w:p>
        </w:tc>
        <w:tc>
          <w:tcPr>
            <w:tcW w:w="160" w:type="dxa"/>
            <w:vAlign w:val="bottom"/>
          </w:tcPr>
          <w:p>
            <w:pPr>
              <w:spacing w:after="0"/>
              <w:rPr>
                <w:sz w:val="18"/>
                <w:szCs w:val="18"/>
                <w:color w:val="auto"/>
              </w:rPr>
            </w:pPr>
          </w:p>
        </w:tc>
      </w:tr>
      <w:tr>
        <w:trPr>
          <w:trHeight w:val="208"/>
        </w:trPr>
        <w:tc>
          <w:tcPr>
            <w:tcW w:w="918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2024</w:t>
            </w:r>
          </w:p>
        </w:tc>
        <w:tc>
          <w:tcPr>
            <w:tcW w:w="7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160" w:type="dxa"/>
            <w:vAlign w:val="bottom"/>
          </w:tcPr>
          <w:p>
            <w:pPr>
              <w:spacing w:after="0"/>
              <w:rPr>
                <w:sz w:val="18"/>
                <w:szCs w:val="18"/>
                <w:color w:val="auto"/>
              </w:rPr>
            </w:pPr>
          </w:p>
        </w:tc>
      </w:tr>
      <w:tr>
        <w:trPr>
          <w:trHeight w:val="208"/>
        </w:trPr>
        <w:tc>
          <w:tcPr>
            <w:tcW w:w="918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2025</w:t>
            </w:r>
          </w:p>
        </w:tc>
        <w:tc>
          <w:tcPr>
            <w:tcW w:w="7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5,651</w:t>
            </w:r>
          </w:p>
        </w:tc>
        <w:tc>
          <w:tcPr>
            <w:tcW w:w="160" w:type="dxa"/>
            <w:vAlign w:val="bottom"/>
          </w:tcPr>
          <w:p>
            <w:pPr>
              <w:spacing w:after="0"/>
              <w:rPr>
                <w:sz w:val="18"/>
                <w:szCs w:val="18"/>
                <w:color w:val="auto"/>
              </w:rPr>
            </w:pPr>
          </w:p>
        </w:tc>
      </w:tr>
      <w:tr>
        <w:trPr>
          <w:trHeight w:val="208"/>
        </w:trPr>
        <w:tc>
          <w:tcPr>
            <w:tcW w:w="9180" w:type="dxa"/>
            <w:vAlign w:val="bottom"/>
            <w:gridSpan w:val="2"/>
          </w:tcPr>
          <w:p>
            <w:pPr>
              <w:spacing w:after="0"/>
              <w:rPr>
                <w:sz w:val="20"/>
                <w:szCs w:val="20"/>
                <w:color w:val="auto"/>
              </w:rPr>
            </w:pPr>
            <w:r>
              <w:rPr>
                <w:rFonts w:ascii="Times New Roman" w:cs="Times New Roman" w:eastAsia="Times New Roman" w:hAnsi="Times New Roman"/>
                <w:sz w:val="16"/>
                <w:szCs w:val="16"/>
                <w:color w:val="004483"/>
              </w:rPr>
              <w:t>Thereafter</w:t>
            </w:r>
          </w:p>
        </w:tc>
        <w:tc>
          <w:tcPr>
            <w:tcW w:w="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24,585</w:t>
            </w:r>
          </w:p>
        </w:tc>
        <w:tc>
          <w:tcPr>
            <w:tcW w:w="160" w:type="dxa"/>
            <w:vAlign w:val="bottom"/>
          </w:tcPr>
          <w:p>
            <w:pPr>
              <w:spacing w:after="0"/>
              <w:rPr>
                <w:sz w:val="18"/>
                <w:szCs w:val="18"/>
                <w:color w:val="auto"/>
              </w:rPr>
            </w:pPr>
          </w:p>
        </w:tc>
      </w:tr>
      <w:tr>
        <w:trPr>
          <w:trHeight w:val="209"/>
        </w:trPr>
        <w:tc>
          <w:tcPr>
            <w:tcW w:w="20" w:type="dxa"/>
            <w:vAlign w:val="bottom"/>
            <w:tcBorders>
              <w:bottom w:val="single" w:sz="8" w:color="A6A6A6"/>
            </w:tcBorders>
          </w:tcPr>
          <w:p>
            <w:pPr>
              <w:spacing w:after="0"/>
              <w:rPr>
                <w:sz w:val="18"/>
                <w:szCs w:val="18"/>
                <w:color w:val="auto"/>
              </w:rPr>
            </w:pPr>
          </w:p>
        </w:tc>
        <w:tc>
          <w:tcPr>
            <w:tcW w:w="9160" w:type="dxa"/>
            <w:vAlign w:val="bottom"/>
            <w:tcBorders>
              <w:top w:val="single" w:sz="8" w:color="A6A6A6"/>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004483"/>
              </w:rPr>
              <w:t>Total Lease Payments</w:t>
            </w:r>
          </w:p>
        </w:tc>
        <w:tc>
          <w:tcPr>
            <w:tcW w:w="720" w:type="dxa"/>
            <w:vAlign w:val="bottom"/>
            <w:tcBorders>
              <w:top w:val="single" w:sz="8" w:color="004483"/>
              <w:bottom w:val="single" w:sz="8" w:color="A6A6A6"/>
            </w:tcBorders>
          </w:tcPr>
          <w:p>
            <w:pPr>
              <w:jc w:val="right"/>
              <w:ind w:right="56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52,818</w:t>
            </w:r>
          </w:p>
        </w:tc>
        <w:tc>
          <w:tcPr>
            <w:tcW w:w="160" w:type="dxa"/>
            <w:vAlign w:val="bottom"/>
          </w:tcPr>
          <w:p>
            <w:pPr>
              <w:spacing w:after="0"/>
              <w:rPr>
                <w:sz w:val="18"/>
                <w:szCs w:val="18"/>
                <w:color w:val="auto"/>
              </w:rPr>
            </w:pPr>
          </w:p>
        </w:tc>
      </w:tr>
      <w:tr>
        <w:trPr>
          <w:trHeight w:val="207"/>
        </w:trPr>
        <w:tc>
          <w:tcPr>
            <w:tcW w:w="9180" w:type="dxa"/>
            <w:vAlign w:val="bottom"/>
            <w:gridSpan w:val="2"/>
          </w:tcPr>
          <w:p>
            <w:pPr>
              <w:spacing w:after="0"/>
              <w:rPr>
                <w:sz w:val="20"/>
                <w:szCs w:val="20"/>
                <w:color w:val="auto"/>
              </w:rPr>
            </w:pPr>
            <w:r>
              <w:rPr>
                <w:rFonts w:ascii="Times New Roman" w:cs="Times New Roman" w:eastAsia="Times New Roman" w:hAnsi="Times New Roman"/>
                <w:sz w:val="16"/>
                <w:szCs w:val="16"/>
                <w:color w:val="004483"/>
              </w:rPr>
              <w:t>Less: Imputed Interest</w:t>
            </w:r>
          </w:p>
        </w:tc>
        <w:tc>
          <w:tcPr>
            <w:tcW w:w="7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004483"/>
              </w:rPr>
              <w:t>(10,371)</w:t>
            </w:r>
          </w:p>
        </w:tc>
        <w:tc>
          <w:tcPr>
            <w:tcW w:w="16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9160" w:type="dxa"/>
            <w:vAlign w:val="bottom"/>
            <w:tcBorders>
              <w:top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004483"/>
              </w:rPr>
              <w:t>Present Value of Lease Liabilities</w:t>
            </w:r>
          </w:p>
        </w:tc>
        <w:tc>
          <w:tcPr>
            <w:tcW w:w="720" w:type="dxa"/>
            <w:vAlign w:val="bottom"/>
            <w:tcBorders>
              <w:top w:val="single" w:sz="8" w:color="004483"/>
              <w:bottom w:val="single" w:sz="8" w:color="004483"/>
            </w:tcBorders>
          </w:tcPr>
          <w:p>
            <w:pPr>
              <w:jc w:val="right"/>
              <w:ind w:right="560"/>
              <w:spacing w:after="0"/>
              <w:rPr>
                <w:sz w:val="20"/>
                <w:szCs w:val="20"/>
                <w:color w:val="auto"/>
              </w:rPr>
            </w:pPr>
            <w:r>
              <w:rPr>
                <w:rFonts w:ascii="Times New Roman" w:cs="Times New Roman" w:eastAsia="Times New Roman" w:hAnsi="Times New Roman"/>
                <w:sz w:val="16"/>
                <w:szCs w:val="16"/>
                <w:color w:val="004483"/>
                <w:w w:val="74"/>
              </w:rPr>
              <w:t>$</w:t>
            </w:r>
          </w:p>
        </w:tc>
        <w:tc>
          <w:tcPr>
            <w:tcW w:w="116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004483"/>
              </w:rPr>
              <w:t>42,447</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7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0" w:type="dxa"/>
            <w:vAlign w:val="bottom"/>
            <w:tcBorders>
              <w:bottom w:val="single" w:sz="8" w:color="A6A6A6"/>
            </w:tcBorders>
          </w:tcPr>
          <w:p>
            <w:pPr>
              <w:spacing w:after="0"/>
              <w:rPr>
                <w:sz w:val="17"/>
                <w:szCs w:val="17"/>
                <w:color w:val="auto"/>
              </w:rPr>
            </w:pPr>
          </w:p>
        </w:tc>
        <w:tc>
          <w:tcPr>
            <w:tcW w:w="9160" w:type="dxa"/>
            <w:vAlign w:val="bottom"/>
            <w:tcBorders>
              <w:bottom w:val="single" w:sz="8" w:color="A6A6A6"/>
            </w:tcBorders>
          </w:tcPr>
          <w:p>
            <w:pPr>
              <w:spacing w:after="0"/>
              <w:rPr>
                <w:sz w:val="17"/>
                <w:szCs w:val="17"/>
                <w:color w:val="auto"/>
              </w:rPr>
            </w:pPr>
          </w:p>
        </w:tc>
        <w:tc>
          <w:tcPr>
            <w:tcW w:w="72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918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b w:val="1"/>
                <w:bCs w:val="1"/>
                <w:color w:val="004483"/>
              </w:rPr>
              <w:t>Weighted-Average Remaining Lease Term (in years)</w:t>
            </w:r>
          </w:p>
        </w:tc>
        <w:tc>
          <w:tcPr>
            <w:tcW w:w="72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w:t>
            </w:r>
          </w:p>
        </w:tc>
        <w:tc>
          <w:tcPr>
            <w:tcW w:w="160" w:type="dxa"/>
            <w:vAlign w:val="bottom"/>
          </w:tcPr>
          <w:p>
            <w:pPr>
              <w:spacing w:after="0"/>
              <w:rPr>
                <w:sz w:val="17"/>
                <w:szCs w:val="17"/>
                <w:color w:val="auto"/>
              </w:rPr>
            </w:pPr>
          </w:p>
        </w:tc>
      </w:tr>
      <w:tr>
        <w:trPr>
          <w:trHeight w:val="208"/>
        </w:trPr>
        <w:tc>
          <w:tcPr>
            <w:tcW w:w="9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4483"/>
              </w:rPr>
              <w:t>Weighted-Average Discount Rate</w:t>
            </w:r>
          </w:p>
        </w:tc>
        <w:tc>
          <w:tcPr>
            <w:tcW w:w="7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3.79%</w:t>
            </w:r>
          </w:p>
        </w:tc>
      </w:tr>
      <w:tr>
        <w:trPr>
          <w:trHeight w:val="20"/>
        </w:trPr>
        <w:tc>
          <w:tcPr>
            <w:tcW w:w="20" w:type="dxa"/>
            <w:vAlign w:val="bottom"/>
            <w:shd w:val="clear" w:color="auto" w:fill="A6A6A6"/>
          </w:tcPr>
          <w:p>
            <w:pPr>
              <w:spacing w:after="0" w:line="20" w:lineRule="exact"/>
              <w:rPr>
                <w:sz w:val="1"/>
                <w:szCs w:val="1"/>
                <w:color w:val="auto"/>
              </w:rPr>
            </w:pPr>
          </w:p>
        </w:tc>
        <w:tc>
          <w:tcPr>
            <w:tcW w:w="91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 SHARE-BASED EMPLOYEE COMPENSATION</w:t>
      </w:r>
    </w:p>
    <w:p>
      <w:pPr>
        <w:spacing w:after="0" w:line="114" w:lineRule="exact"/>
        <w:rPr>
          <w:sz w:val="20"/>
          <w:szCs w:val="20"/>
          <w:color w:val="auto"/>
        </w:rPr>
      </w:pPr>
    </w:p>
    <w:p>
      <w:pPr>
        <w:spacing w:after="0" w:line="293" w:lineRule="auto"/>
        <w:rPr>
          <w:sz w:val="20"/>
          <w:szCs w:val="20"/>
          <w:color w:val="auto"/>
        </w:rPr>
      </w:pPr>
      <w:r>
        <w:rPr>
          <w:rFonts w:ascii="Arial" w:cs="Arial" w:eastAsia="Arial" w:hAnsi="Arial"/>
          <w:sz w:val="17"/>
          <w:szCs w:val="17"/>
          <w:color w:val="auto"/>
        </w:rPr>
        <w:t>On August 7, 2013, our stockholders approved the Eagle Materials Inc. Amended and Restated Incentive Plan (the Plan), which increased the shares we are authorized to issue as awards by 3,000,000 (1,500,000 of which may be stock awards). Under the terms of the Plan, we can issue equity awards, including stock options, restricted stock units (RSUs), restricted stock, and stock appreciation rights to employees of the Company and members of the Board of Directors. Awards that were already outstanding prior to the approval of the Plan on August 7, 2013 remained outstanding. The Compensation Committee of our Board of Directors specifies the terms for grants of equity awards under the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Compensation Plans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May 2020, the Compensation Committee of the Board of Directors approved the granting to certain officers and key employees an aggregate of 96,476 performance vesting stock options that will be earned only if certain performance conditions are satisfied (the Fiscal 2021 Employee Performance Stock Option Grant). The performance criteria for the Fiscal 2021 Employee Performance Stock Option Grant is based upon the achievement of certain levels of return on equity (as defined in the option agreements), ranging from 10.0% to 20.0%, for the fiscal year ending March 31, 2021. All stock options will be earned if the return on equity is 20.0% or greater, and the percentage of shares earned will be reduced proportionately to approximately 66.7% if the return on equity is 10.0%. If the Company does not achieve a return on equity of at least 10.0%, all granted stock options will be forfeited. Following any such reduction, restrictions on the earned stock options will lapse and the earned options will vest ratably over four years, with the initial fourth vesting promptly following the determination date, and the remaining options vesting on March 31, 2022 through 2024. The stock options have a term of ten years from the date of grant. The Compensation Committee also approved the granting of 80,396 time-vesting stock options to the same officers and key employees, which vest ratably over four years (the Fiscal 2021 Employee Time-Vesting Stock Option Grant).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the Black-Scholes model to value the option awards in fiscal 2021 are as follows: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980" w:type="dxa"/>
            <w:vAlign w:val="bottom"/>
            <w:tcBorders>
              <w:bottom w:val="single" w:sz="8" w:color="004483"/>
            </w:tcBorders>
          </w:tcPr>
          <w:p>
            <w:pPr>
              <w:spacing w:after="0"/>
              <w:rPr>
                <w:sz w:val="13"/>
                <w:szCs w:val="13"/>
                <w:color w:val="auto"/>
              </w:rPr>
            </w:pPr>
          </w:p>
        </w:tc>
        <w:tc>
          <w:tcPr>
            <w:tcW w:w="51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3"/>
                <w:szCs w:val="13"/>
                <w:color w:val="auto"/>
              </w:rPr>
            </w:pPr>
          </w:p>
        </w:tc>
      </w:tr>
      <w:tr>
        <w:trPr>
          <w:trHeight w:val="205"/>
        </w:trPr>
        <w:tc>
          <w:tcPr>
            <w:tcW w:w="20" w:type="dxa"/>
            <w:vAlign w:val="bottom"/>
            <w:tcBorders>
              <w:bottom w:val="single" w:sz="8" w:color="A6A6A6"/>
            </w:tcBorders>
          </w:tcPr>
          <w:p>
            <w:pPr>
              <w:spacing w:after="0"/>
              <w:rPr>
                <w:sz w:val="17"/>
                <w:szCs w:val="17"/>
                <w:color w:val="auto"/>
              </w:rPr>
            </w:pPr>
          </w:p>
        </w:tc>
        <w:tc>
          <w:tcPr>
            <w:tcW w:w="598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Dividend Yield</w:t>
            </w:r>
          </w:p>
        </w:tc>
        <w:tc>
          <w:tcPr>
            <w:tcW w:w="51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8"/>
        </w:trPr>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004483"/>
              </w:rPr>
              <w:t>Expected Volatility</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37.9%</w:t>
            </w:r>
          </w:p>
        </w:tc>
      </w:tr>
      <w:tr>
        <w:trPr>
          <w:trHeight w:val="20"/>
        </w:trPr>
        <w:tc>
          <w:tcPr>
            <w:tcW w:w="20" w:type="dxa"/>
            <w:vAlign w:val="bottom"/>
            <w:shd w:val="clear" w:color="auto" w:fill="A6A6A6"/>
          </w:tcPr>
          <w:p>
            <w:pPr>
              <w:spacing w:after="0" w:line="20" w:lineRule="exact"/>
              <w:rPr>
                <w:sz w:val="1"/>
                <w:szCs w:val="1"/>
                <w:color w:val="auto"/>
              </w:rPr>
            </w:pPr>
          </w:p>
        </w:tc>
        <w:tc>
          <w:tcPr>
            <w:tcW w:w="5980" w:type="dxa"/>
            <w:vAlign w:val="bottom"/>
            <w:shd w:val="clear" w:color="auto" w:fill="A6A6A6"/>
          </w:tcPr>
          <w:p>
            <w:pPr>
              <w:spacing w:after="0" w:line="20" w:lineRule="exact"/>
              <w:rPr>
                <w:sz w:val="1"/>
                <w:szCs w:val="1"/>
                <w:color w:val="auto"/>
              </w:rPr>
            </w:pPr>
          </w:p>
        </w:tc>
        <w:tc>
          <w:tcPr>
            <w:tcW w:w="51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004483"/>
              </w:rPr>
              <w:t>Risk Free Interest Rate</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8"/>
        </w:trPr>
        <w:tc>
          <w:tcPr>
            <w:tcW w:w="6000" w:type="dxa"/>
            <w:vAlign w:val="bottom"/>
            <w:tcBorders>
              <w:top w:val="single" w:sz="8" w:color="A6A6A6"/>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Expected Life</w:t>
            </w:r>
          </w:p>
        </w:tc>
        <w:tc>
          <w:tcPr>
            <w:tcW w:w="510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6.0 years</w:t>
            </w:r>
          </w:p>
        </w:tc>
        <w:tc>
          <w:tcPr>
            <w:tcW w:w="1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371" w:right="359" w:bottom="1440" w:gutter="0" w:footer="0" w:header="0"/>
        </w:sectPr>
      </w:pPr>
    </w:p>
    <w:bookmarkStart w:id="16" w:name="page17"/>
    <w:bookmarkEnd w:id="16"/>
    <w:p>
      <w:pPr>
        <w:ind w:right="60"/>
        <w:spacing w:after="0" w:line="276" w:lineRule="auto"/>
        <w:rPr>
          <w:sz w:val="20"/>
          <w:szCs w:val="20"/>
          <w:color w:val="auto"/>
        </w:rPr>
      </w:pPr>
      <w:r>
        <w:rPr>
          <w:rFonts w:ascii="Arial" w:cs="Arial" w:eastAsia="Arial" w:hAnsi="Arial"/>
          <w:sz w:val="18"/>
          <w:szCs w:val="18"/>
          <w:color w:val="auto"/>
        </w:rPr>
        <w:t>Stock option expense for all outstanding stock option awards totaled approximately $1.1 million and $3.9 million for the three and nine months ended December 31, 2020, respectively, and $1.2 million and $3.5 million for the three and nine months ended December 31, 2019, respectively. At December 31, 2020, there was approximately $7.7 million of unrecognized compensation cost related to outstanding stock options, which is expected to be recognized over a weighted-average period of 2.5 years.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stock option activity for the nine months ended December 31, 2020:</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Weighted-</w:t>
            </w:r>
          </w:p>
        </w:tc>
      </w:tr>
      <w:tr>
        <w:trPr>
          <w:trHeight w:val="134"/>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Average</w:t>
            </w:r>
          </w:p>
        </w:tc>
      </w:tr>
      <w:tr>
        <w:trPr>
          <w:trHeight w:val="134"/>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3"/>
                <w:szCs w:val="13"/>
                <w:b w:val="1"/>
                <w:bCs w:val="1"/>
                <w:color w:val="auto"/>
              </w:rPr>
              <w:t>Number</w:t>
            </w:r>
          </w:p>
        </w:tc>
        <w:tc>
          <w:tcPr>
            <w:tcW w:w="72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Exercise</w:t>
            </w:r>
          </w:p>
        </w:tc>
      </w:tr>
      <w:tr>
        <w:trPr>
          <w:trHeight w:val="154"/>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7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Price</w:t>
            </w:r>
          </w:p>
        </w:tc>
      </w:tr>
      <w:tr>
        <w:trPr>
          <w:trHeight w:val="206"/>
        </w:trPr>
        <w:tc>
          <w:tcPr>
            <w:tcW w:w="20" w:type="dxa"/>
            <w:vAlign w:val="bottom"/>
          </w:tcPr>
          <w:p>
            <w:pPr>
              <w:spacing w:after="0"/>
              <w:rPr>
                <w:sz w:val="17"/>
                <w:szCs w:val="17"/>
                <w:color w:val="auto"/>
              </w:rPr>
            </w:pPr>
          </w:p>
        </w:tc>
        <w:tc>
          <w:tcPr>
            <w:tcW w:w="5540" w:type="dxa"/>
            <w:vAlign w:val="bottom"/>
            <w:tcBorders>
              <w:top w:val="single" w:sz="8" w:color="004483"/>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004483"/>
              </w:rPr>
              <w:t>Outstanding Options at March 31, 2020</w:t>
            </w:r>
          </w:p>
        </w:tc>
        <w:tc>
          <w:tcPr>
            <w:tcW w:w="2160" w:type="dxa"/>
            <w:vAlign w:val="bottom"/>
            <w:tcBorders>
              <w:top w:val="single" w:sz="8" w:color="004483"/>
              <w:bottom w:val="single" w:sz="8" w:color="A6A6A6"/>
            </w:tcBorders>
          </w:tcPr>
          <w:p>
            <w:pPr>
              <w:spacing w:after="0"/>
              <w:rPr>
                <w:sz w:val="17"/>
                <w:szCs w:val="17"/>
                <w:color w:val="auto"/>
              </w:rPr>
            </w:pPr>
          </w:p>
        </w:tc>
        <w:tc>
          <w:tcPr>
            <w:tcW w:w="480" w:type="dxa"/>
            <w:vAlign w:val="bottom"/>
            <w:tcBorders>
              <w:top w:val="single" w:sz="8" w:color="004483"/>
              <w:bottom w:val="single" w:sz="8" w:color="A6A6A6"/>
            </w:tcBorders>
          </w:tcPr>
          <w:p>
            <w:pPr>
              <w:spacing w:after="0"/>
              <w:rPr>
                <w:sz w:val="17"/>
                <w:szCs w:val="17"/>
                <w:color w:val="auto"/>
              </w:rPr>
            </w:pPr>
          </w:p>
        </w:tc>
        <w:tc>
          <w:tcPr>
            <w:tcW w:w="108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1,160,091</w:t>
            </w:r>
          </w:p>
        </w:tc>
        <w:tc>
          <w:tcPr>
            <w:tcW w:w="100" w:type="dxa"/>
            <w:vAlign w:val="bottom"/>
          </w:tcPr>
          <w:p>
            <w:pPr>
              <w:spacing w:after="0"/>
              <w:rPr>
                <w:sz w:val="17"/>
                <w:szCs w:val="17"/>
                <w:color w:val="auto"/>
              </w:rPr>
            </w:pPr>
          </w:p>
        </w:tc>
        <w:tc>
          <w:tcPr>
            <w:tcW w:w="720" w:type="dxa"/>
            <w:vAlign w:val="bottom"/>
            <w:tcBorders>
              <w:top w:val="single" w:sz="8" w:color="004483"/>
              <w:bottom w:val="single" w:sz="8" w:color="A6A6A6"/>
            </w:tcBorders>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80.36</w:t>
            </w:r>
          </w:p>
        </w:tc>
      </w:tr>
      <w:tr>
        <w:trPr>
          <w:trHeight w:val="207"/>
        </w:trPr>
        <w:tc>
          <w:tcPr>
            <w:tcW w:w="20" w:type="dxa"/>
            <w:vAlign w:val="bottom"/>
          </w:tcPr>
          <w:p>
            <w:pPr>
              <w:spacing w:after="0"/>
              <w:rPr>
                <w:sz w:val="17"/>
                <w:szCs w:val="17"/>
                <w:color w:val="auto"/>
              </w:rPr>
            </w:pPr>
          </w:p>
        </w:tc>
        <w:tc>
          <w:tcPr>
            <w:tcW w:w="55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Granted</w:t>
            </w:r>
          </w:p>
        </w:tc>
        <w:tc>
          <w:tcPr>
            <w:tcW w:w="2160" w:type="dxa"/>
            <w:vAlign w:val="bottom"/>
            <w:tcBorders>
              <w:bottom w:val="single" w:sz="8" w:color="A6A6A6"/>
            </w:tcBorders>
          </w:tcPr>
          <w:p>
            <w:pPr>
              <w:spacing w:after="0"/>
              <w:rPr>
                <w:sz w:val="17"/>
                <w:szCs w:val="17"/>
                <w:color w:val="auto"/>
              </w:rPr>
            </w:pPr>
          </w:p>
        </w:tc>
        <w:tc>
          <w:tcPr>
            <w:tcW w:w="48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178,946</w:t>
            </w:r>
          </w:p>
        </w:tc>
        <w:tc>
          <w:tcPr>
            <w:tcW w:w="100" w:type="dxa"/>
            <w:vAlign w:val="bottom"/>
          </w:tcPr>
          <w:p>
            <w:pPr>
              <w:spacing w:after="0"/>
              <w:rPr>
                <w:sz w:val="17"/>
                <w:szCs w:val="17"/>
                <w:color w:val="auto"/>
              </w:rPr>
            </w:pPr>
          </w:p>
        </w:tc>
        <w:tc>
          <w:tcPr>
            <w:tcW w:w="720" w:type="dxa"/>
            <w:vAlign w:val="bottom"/>
            <w:tcBorders>
              <w:bottom w:val="single" w:sz="8" w:color="A6A6A6"/>
            </w:tcBorders>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60.20</w:t>
            </w:r>
          </w:p>
        </w:tc>
      </w:tr>
      <w:tr>
        <w:trPr>
          <w:trHeight w:val="208"/>
        </w:trPr>
        <w:tc>
          <w:tcPr>
            <w:tcW w:w="20" w:type="dxa"/>
            <w:vAlign w:val="bottom"/>
          </w:tcPr>
          <w:p>
            <w:pPr>
              <w:spacing w:after="0"/>
              <w:rPr>
                <w:sz w:val="18"/>
                <w:szCs w:val="18"/>
                <w:color w:val="auto"/>
              </w:rPr>
            </w:pPr>
          </w:p>
        </w:tc>
        <w:tc>
          <w:tcPr>
            <w:tcW w:w="55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Exercised</w:t>
            </w:r>
          </w:p>
        </w:tc>
        <w:tc>
          <w:tcPr>
            <w:tcW w:w="216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(166,887)</w:t>
            </w:r>
          </w:p>
        </w:tc>
        <w:tc>
          <w:tcPr>
            <w:tcW w:w="100" w:type="dxa"/>
            <w:vAlign w:val="bottom"/>
          </w:tcPr>
          <w:p>
            <w:pPr>
              <w:spacing w:after="0"/>
              <w:rPr>
                <w:sz w:val="18"/>
                <w:szCs w:val="18"/>
                <w:color w:val="auto"/>
              </w:rPr>
            </w:pPr>
          </w:p>
        </w:tc>
        <w:tc>
          <w:tcPr>
            <w:tcW w:w="720" w:type="dxa"/>
            <w:vAlign w:val="bottom"/>
            <w:tcBorders>
              <w:bottom w:val="single" w:sz="8" w:color="A6A6A6"/>
            </w:tcBorders>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55.42</w:t>
            </w:r>
          </w:p>
        </w:tc>
      </w:tr>
      <w:tr>
        <w:trPr>
          <w:trHeight w:val="208"/>
        </w:trPr>
        <w:tc>
          <w:tcPr>
            <w:tcW w:w="20" w:type="dxa"/>
            <w:vAlign w:val="bottom"/>
          </w:tcPr>
          <w:p>
            <w:pPr>
              <w:spacing w:after="0"/>
              <w:rPr>
                <w:sz w:val="18"/>
                <w:szCs w:val="18"/>
                <w:color w:val="auto"/>
              </w:rPr>
            </w:pPr>
          </w:p>
        </w:tc>
        <w:tc>
          <w:tcPr>
            <w:tcW w:w="55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Cancelled</w:t>
            </w:r>
          </w:p>
        </w:tc>
        <w:tc>
          <w:tcPr>
            <w:tcW w:w="2160" w:type="dxa"/>
            <w:vAlign w:val="bottom"/>
            <w:tcBorders>
              <w:bottom w:val="single" w:sz="8" w:color="A6A6A6"/>
            </w:tcBorders>
          </w:tcPr>
          <w:p>
            <w:pPr>
              <w:spacing w:after="0"/>
              <w:rPr>
                <w:sz w:val="18"/>
                <w:szCs w:val="18"/>
                <w:color w:val="auto"/>
              </w:rPr>
            </w:pPr>
          </w:p>
        </w:tc>
        <w:tc>
          <w:tcPr>
            <w:tcW w:w="480" w:type="dxa"/>
            <w:vAlign w:val="bottom"/>
            <w:tcBorders>
              <w:bottom w:val="single" w:sz="8" w:color="004483"/>
            </w:tcBorders>
          </w:tcPr>
          <w:p>
            <w:pPr>
              <w:spacing w:after="0"/>
              <w:rPr>
                <w:sz w:val="18"/>
                <w:szCs w:val="18"/>
                <w:color w:val="auto"/>
              </w:rPr>
            </w:pPr>
          </w:p>
        </w:tc>
        <w:tc>
          <w:tcPr>
            <w:tcW w:w="108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(15,094)</w:t>
            </w:r>
          </w:p>
        </w:tc>
        <w:tc>
          <w:tcPr>
            <w:tcW w:w="100" w:type="dxa"/>
            <w:vAlign w:val="bottom"/>
          </w:tcPr>
          <w:p>
            <w:pPr>
              <w:spacing w:after="0"/>
              <w:rPr>
                <w:sz w:val="18"/>
                <w:szCs w:val="18"/>
                <w:color w:val="auto"/>
              </w:rPr>
            </w:pPr>
          </w:p>
        </w:tc>
        <w:tc>
          <w:tcPr>
            <w:tcW w:w="720" w:type="dxa"/>
            <w:vAlign w:val="bottom"/>
            <w:tcBorders>
              <w:bottom w:val="single" w:sz="8" w:color="A6A6A6"/>
            </w:tcBorders>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92.51</w:t>
            </w:r>
          </w:p>
        </w:tc>
      </w:tr>
      <w:tr>
        <w:trPr>
          <w:trHeight w:val="250"/>
        </w:trPr>
        <w:tc>
          <w:tcPr>
            <w:tcW w:w="20" w:type="dxa"/>
            <w:vAlign w:val="bottom"/>
          </w:tcPr>
          <w:p>
            <w:pPr>
              <w:spacing w:after="0"/>
              <w:rPr>
                <w:sz w:val="21"/>
                <w:szCs w:val="21"/>
                <w:color w:val="auto"/>
              </w:rPr>
            </w:pPr>
          </w:p>
        </w:tc>
        <w:tc>
          <w:tcPr>
            <w:tcW w:w="55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004483"/>
              </w:rPr>
              <w:t>Options Outstanding at December 31, 2020</w:t>
            </w:r>
          </w:p>
        </w:tc>
        <w:tc>
          <w:tcPr>
            <w:tcW w:w="2160" w:type="dxa"/>
            <w:vAlign w:val="bottom"/>
            <w:tcBorders>
              <w:bottom w:val="single" w:sz="8" w:color="A6A6A6"/>
            </w:tcBorders>
          </w:tcPr>
          <w:p>
            <w:pPr>
              <w:spacing w:after="0"/>
              <w:rPr>
                <w:sz w:val="21"/>
                <w:szCs w:val="21"/>
                <w:color w:val="auto"/>
              </w:rPr>
            </w:pPr>
          </w:p>
        </w:tc>
        <w:tc>
          <w:tcPr>
            <w:tcW w:w="480" w:type="dxa"/>
            <w:vAlign w:val="bottom"/>
            <w:tcBorders>
              <w:bottom w:val="single" w:sz="8" w:color="004483"/>
            </w:tcBorders>
          </w:tcPr>
          <w:p>
            <w:pPr>
              <w:spacing w:after="0"/>
              <w:rPr>
                <w:sz w:val="21"/>
                <w:szCs w:val="21"/>
                <w:color w:val="auto"/>
              </w:rPr>
            </w:pPr>
          </w:p>
        </w:tc>
        <w:tc>
          <w:tcPr>
            <w:tcW w:w="108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1,157,056</w:t>
            </w:r>
          </w:p>
        </w:tc>
        <w:tc>
          <w:tcPr>
            <w:tcW w:w="100" w:type="dxa"/>
            <w:vAlign w:val="bottom"/>
          </w:tcPr>
          <w:p>
            <w:pPr>
              <w:spacing w:after="0"/>
              <w:rPr>
                <w:sz w:val="21"/>
                <w:szCs w:val="21"/>
                <w:color w:val="auto"/>
              </w:rPr>
            </w:pPr>
          </w:p>
        </w:tc>
        <w:tc>
          <w:tcPr>
            <w:tcW w:w="720" w:type="dxa"/>
            <w:vAlign w:val="bottom"/>
            <w:tcBorders>
              <w:bottom w:val="single" w:sz="8" w:color="A6A6A6"/>
            </w:tcBorders>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80.68</w:t>
            </w:r>
          </w:p>
        </w:tc>
      </w:tr>
      <w:tr>
        <w:trPr>
          <w:trHeight w:val="233"/>
        </w:trPr>
        <w:tc>
          <w:tcPr>
            <w:tcW w:w="20" w:type="dxa"/>
            <w:vAlign w:val="bottom"/>
          </w:tcPr>
          <w:p>
            <w:pPr>
              <w:spacing w:after="0"/>
              <w:rPr>
                <w:sz w:val="20"/>
                <w:szCs w:val="20"/>
                <w:color w:val="auto"/>
              </w:rPr>
            </w:pPr>
          </w:p>
        </w:tc>
        <w:tc>
          <w:tcPr>
            <w:tcW w:w="55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004483"/>
              </w:rPr>
              <w:t>Options Exercisable at December 31, 2020</w:t>
            </w:r>
          </w:p>
        </w:tc>
        <w:tc>
          <w:tcPr>
            <w:tcW w:w="2160" w:type="dxa"/>
            <w:vAlign w:val="bottom"/>
            <w:tcBorders>
              <w:bottom w:val="single" w:sz="8" w:color="A6A6A6"/>
            </w:tcBorders>
          </w:tcPr>
          <w:p>
            <w:pPr>
              <w:spacing w:after="0"/>
              <w:rPr>
                <w:sz w:val="20"/>
                <w:szCs w:val="20"/>
                <w:color w:val="auto"/>
              </w:rPr>
            </w:pPr>
          </w:p>
        </w:tc>
        <w:tc>
          <w:tcPr>
            <w:tcW w:w="48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747,796</w:t>
            </w:r>
          </w:p>
        </w:tc>
        <w:tc>
          <w:tcPr>
            <w:tcW w:w="100" w:type="dxa"/>
            <w:vAlign w:val="bottom"/>
          </w:tcPr>
          <w:p>
            <w:pPr>
              <w:spacing w:after="0"/>
              <w:rPr>
                <w:sz w:val="20"/>
                <w:szCs w:val="20"/>
                <w:color w:val="auto"/>
              </w:rPr>
            </w:pPr>
          </w:p>
        </w:tc>
        <w:tc>
          <w:tcPr>
            <w:tcW w:w="720" w:type="dxa"/>
            <w:vAlign w:val="bottom"/>
            <w:tcBorders>
              <w:bottom w:val="single" w:sz="8" w:color="A6A6A6"/>
            </w:tcBorders>
          </w:tcPr>
          <w:p>
            <w:pPr>
              <w:spacing w:after="0"/>
              <w:rPr>
                <w:sz w:val="20"/>
                <w:szCs w:val="20"/>
                <w:color w:val="auto"/>
              </w:rPr>
            </w:pPr>
          </w:p>
        </w:tc>
        <w:tc>
          <w:tcPr>
            <w:tcW w:w="1040" w:type="dxa"/>
            <w:vAlign w:val="bottom"/>
            <w:tcBorders>
              <w:bottom w:val="single" w:sz="8" w:color="A6A6A6"/>
            </w:tcBorders>
          </w:tcPr>
          <w:p>
            <w:pPr>
              <w:spacing w:after="0"/>
              <w:rPr>
                <w:sz w:val="20"/>
                <w:szCs w:val="20"/>
                <w:color w:val="auto"/>
              </w:rPr>
            </w:pPr>
          </w:p>
        </w:tc>
      </w:tr>
      <w:tr>
        <w:trPr>
          <w:trHeight w:val="167"/>
        </w:trPr>
        <w:tc>
          <w:tcPr>
            <w:tcW w:w="20" w:type="dxa"/>
            <w:vAlign w:val="bottom"/>
          </w:tcPr>
          <w:p>
            <w:pPr>
              <w:spacing w:after="0"/>
              <w:rPr>
                <w:sz w:val="14"/>
                <w:szCs w:val="14"/>
                <w:color w:val="auto"/>
              </w:rPr>
            </w:pPr>
          </w:p>
        </w:tc>
        <w:tc>
          <w:tcPr>
            <w:tcW w:w="554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004483"/>
              </w:rPr>
              <w:t>Weighted-Average Fair Value of Options Granted</w:t>
            </w:r>
          </w:p>
        </w:tc>
        <w:tc>
          <w:tcPr>
            <w:tcW w:w="2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4"/>
        </w:trPr>
        <w:tc>
          <w:tcPr>
            <w:tcW w:w="5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4483"/>
              </w:rPr>
              <w:t>During the Year</w:t>
            </w:r>
          </w:p>
        </w:tc>
        <w:tc>
          <w:tcPr>
            <w:tcW w:w="26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shd w:val="clear" w:color="auto" w:fill="A6A6A6"/>
          </w:tcPr>
          <w:p>
            <w:pPr>
              <w:spacing w:after="0" w:line="20" w:lineRule="exact"/>
              <w:rPr>
                <w:sz w:val="1"/>
                <w:szCs w:val="1"/>
                <w:color w:val="auto"/>
              </w:rPr>
            </w:pPr>
          </w:p>
        </w:tc>
        <w:tc>
          <w:tcPr>
            <w:tcW w:w="2160" w:type="dxa"/>
            <w:vAlign w:val="bottom"/>
            <w:shd w:val="clear" w:color="auto" w:fill="A6A6A6"/>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December 31, 2020:</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0" w:type="dxa"/>
            <w:vAlign w:val="bottom"/>
            <w:shd w:val="clear" w:color="auto" w:fill="004483"/>
          </w:tcPr>
          <w:p>
            <w:pPr>
              <w:spacing w:after="0"/>
              <w:rPr>
                <w:sz w:val="19"/>
                <w:szCs w:val="19"/>
                <w:color w:val="auto"/>
              </w:rPr>
            </w:pPr>
          </w:p>
        </w:tc>
        <w:tc>
          <w:tcPr>
            <w:tcW w:w="120" w:type="dxa"/>
            <w:vAlign w:val="bottom"/>
            <w:shd w:val="clear" w:color="auto" w:fill="004483"/>
          </w:tcPr>
          <w:p>
            <w:pPr>
              <w:spacing w:after="0"/>
              <w:rPr>
                <w:sz w:val="19"/>
                <w:szCs w:val="19"/>
                <w:color w:val="auto"/>
              </w:rPr>
            </w:pPr>
          </w:p>
        </w:tc>
        <w:tc>
          <w:tcPr>
            <w:tcW w:w="1260" w:type="dxa"/>
            <w:vAlign w:val="bottom"/>
            <w:shd w:val="clear" w:color="auto" w:fill="004483"/>
          </w:tcPr>
          <w:p>
            <w:pPr>
              <w:jc w:val="right"/>
              <w:ind w:right="9"/>
              <w:spacing w:after="0"/>
              <w:rPr>
                <w:sz w:val="20"/>
                <w:szCs w:val="20"/>
                <w:color w:val="auto"/>
              </w:rPr>
            </w:pPr>
            <w:r>
              <w:rPr>
                <w:rFonts w:ascii="Times New Roman" w:cs="Times New Roman" w:eastAsia="Times New Roman" w:hAnsi="Times New Roman"/>
                <w:sz w:val="13"/>
                <w:szCs w:val="13"/>
                <w:b w:val="1"/>
                <w:bCs w:val="1"/>
                <w:color w:val="FFFFFF"/>
                <w:w w:val="99"/>
              </w:rPr>
              <w:t>Options Outstanding</w:t>
            </w:r>
          </w:p>
        </w:tc>
        <w:tc>
          <w:tcPr>
            <w:tcW w:w="360" w:type="dxa"/>
            <w:vAlign w:val="bottom"/>
            <w:shd w:val="clear" w:color="auto" w:fill="004483"/>
          </w:tcPr>
          <w:p>
            <w:pPr>
              <w:spacing w:after="0"/>
              <w:rPr>
                <w:sz w:val="19"/>
                <w:szCs w:val="19"/>
                <w:color w:val="auto"/>
              </w:rPr>
            </w:pPr>
          </w:p>
        </w:tc>
        <w:tc>
          <w:tcPr>
            <w:tcW w:w="840" w:type="dxa"/>
            <w:vAlign w:val="bottom"/>
            <w:shd w:val="clear" w:color="auto" w:fill="004483"/>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3"/>
            <w:shd w:val="clear" w:color="auto" w:fill="004483"/>
          </w:tcPr>
          <w:p>
            <w:pPr>
              <w:jc w:val="right"/>
              <w:spacing w:after="0"/>
              <w:rPr>
                <w:sz w:val="20"/>
                <w:szCs w:val="20"/>
                <w:color w:val="auto"/>
              </w:rPr>
            </w:pPr>
            <w:r>
              <w:rPr>
                <w:rFonts w:ascii="Times New Roman" w:cs="Times New Roman" w:eastAsia="Times New Roman" w:hAnsi="Times New Roman"/>
                <w:sz w:val="13"/>
                <w:szCs w:val="13"/>
                <w:b w:val="1"/>
                <w:bCs w:val="1"/>
                <w:color w:val="FFFFFF"/>
              </w:rPr>
              <w:t>Options Exercisable</w:t>
            </w:r>
          </w:p>
        </w:tc>
        <w:tc>
          <w:tcPr>
            <w:tcW w:w="580" w:type="dxa"/>
            <w:vAlign w:val="bottom"/>
            <w:shd w:val="clear" w:color="auto" w:fill="004483"/>
          </w:tcPr>
          <w:p>
            <w:pPr>
              <w:spacing w:after="0"/>
              <w:rPr>
                <w:sz w:val="19"/>
                <w:szCs w:val="19"/>
                <w:color w:val="auto"/>
              </w:rPr>
            </w:pPr>
          </w:p>
        </w:tc>
        <w:tc>
          <w:tcPr>
            <w:tcW w:w="100" w:type="dxa"/>
            <w:vAlign w:val="bottom"/>
            <w:shd w:val="clear" w:color="auto" w:fill="004483"/>
          </w:tcPr>
          <w:p>
            <w:pPr>
              <w:spacing w:after="0"/>
              <w:rPr>
                <w:sz w:val="19"/>
                <w:szCs w:val="19"/>
                <w:color w:val="auto"/>
              </w:rPr>
            </w:pPr>
          </w:p>
        </w:tc>
      </w:tr>
      <w:tr>
        <w:trPr>
          <w:trHeight w:val="127"/>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ind w:right="89"/>
              <w:spacing w:after="0" w:line="12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ind w:right="89"/>
              <w:spacing w:after="0" w:line="134" w:lineRule="exact"/>
              <w:rPr>
                <w:sz w:val="20"/>
                <w:szCs w:val="20"/>
                <w:color w:val="auto"/>
              </w:rPr>
            </w:pPr>
            <w:r>
              <w:rPr>
                <w:rFonts w:ascii="Times New Roman" w:cs="Times New Roman" w:eastAsia="Times New Roman" w:hAnsi="Times New Roman"/>
                <w:sz w:val="13"/>
                <w:szCs w:val="13"/>
                <w:b w:val="1"/>
                <w:bCs w:val="1"/>
                <w:color w:val="auto"/>
              </w:rPr>
              <w:t>Average</w:t>
            </w:r>
          </w:p>
        </w:tc>
        <w:tc>
          <w:tcPr>
            <w:tcW w:w="360" w:type="dxa"/>
            <w:vAlign w:val="bottom"/>
          </w:tcPr>
          <w:p>
            <w:pPr>
              <w:spacing w:after="0"/>
              <w:rPr>
                <w:sz w:val="11"/>
                <w:szCs w:val="11"/>
                <w:color w:val="auto"/>
              </w:rPr>
            </w:pPr>
          </w:p>
        </w:tc>
        <w:tc>
          <w:tcPr>
            <w:tcW w:w="840" w:type="dxa"/>
            <w:vAlign w:val="bottom"/>
          </w:tcPr>
          <w:p>
            <w:pPr>
              <w:jc w:val="right"/>
              <w:ind w:right="48"/>
              <w:spacing w:after="0" w:line="134"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3"/>
              </w:rPr>
              <w:t>Weighted-</w:t>
            </w:r>
          </w:p>
        </w:tc>
      </w:tr>
      <w:tr>
        <w:trPr>
          <w:trHeight w:val="134"/>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12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60" w:type="dxa"/>
            <w:vAlign w:val="bottom"/>
          </w:tcPr>
          <w:p>
            <w:pPr>
              <w:jc w:val="right"/>
              <w:ind w:right="89"/>
              <w:spacing w:after="0" w:line="134"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360" w:type="dxa"/>
            <w:vAlign w:val="bottom"/>
          </w:tcPr>
          <w:p>
            <w:pPr>
              <w:spacing w:after="0"/>
              <w:rPr>
                <w:sz w:val="11"/>
                <w:szCs w:val="11"/>
                <w:color w:val="auto"/>
              </w:rPr>
            </w:pPr>
          </w:p>
        </w:tc>
        <w:tc>
          <w:tcPr>
            <w:tcW w:w="840" w:type="dxa"/>
            <w:vAlign w:val="bottom"/>
          </w:tcPr>
          <w:p>
            <w:pPr>
              <w:jc w:val="right"/>
              <w:ind w:right="48"/>
              <w:spacing w:after="0" w:line="134"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60" w:type="dxa"/>
            <w:vAlign w:val="bottom"/>
          </w:tcPr>
          <w:p>
            <w:pPr>
              <w:spacing w:after="0"/>
              <w:rPr>
                <w:sz w:val="11"/>
                <w:szCs w:val="11"/>
                <w:color w:val="auto"/>
              </w:rPr>
            </w:pPr>
          </w:p>
        </w:tc>
        <w:tc>
          <w:tcPr>
            <w:tcW w:w="68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3"/>
                <w:szCs w:val="13"/>
                <w:b w:val="1"/>
                <w:bCs w:val="1"/>
                <w:color w:val="auto"/>
              </w:rPr>
              <w:t>Average</w:t>
            </w:r>
          </w:p>
        </w:tc>
      </w:tr>
      <w:tr>
        <w:trPr>
          <w:trHeight w:val="134"/>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12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60" w:type="dxa"/>
            <w:vAlign w:val="bottom"/>
          </w:tcPr>
          <w:p>
            <w:pPr>
              <w:jc w:val="right"/>
              <w:ind w:right="89"/>
              <w:spacing w:after="0" w:line="134"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360" w:type="dxa"/>
            <w:vAlign w:val="bottom"/>
          </w:tcPr>
          <w:p>
            <w:pPr>
              <w:spacing w:after="0"/>
              <w:rPr>
                <w:sz w:val="11"/>
                <w:szCs w:val="11"/>
                <w:color w:val="auto"/>
              </w:rPr>
            </w:pPr>
          </w:p>
        </w:tc>
        <w:tc>
          <w:tcPr>
            <w:tcW w:w="840" w:type="dxa"/>
            <w:vAlign w:val="bottom"/>
          </w:tcPr>
          <w:p>
            <w:pPr>
              <w:jc w:val="right"/>
              <w:ind w:right="48"/>
              <w:spacing w:after="0" w:line="134"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tcPr>
          <w:p>
            <w:pPr>
              <w:spacing w:after="0"/>
              <w:rPr>
                <w:sz w:val="11"/>
                <w:szCs w:val="11"/>
                <w:color w:val="auto"/>
              </w:rPr>
            </w:pPr>
          </w:p>
        </w:tc>
        <w:tc>
          <w:tcPr>
            <w:tcW w:w="68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3"/>
                <w:szCs w:val="13"/>
                <w:b w:val="1"/>
                <w:bCs w:val="1"/>
                <w:color w:val="auto"/>
              </w:rPr>
              <w:t>Exercise</w:t>
            </w:r>
          </w:p>
        </w:tc>
      </w:tr>
      <w:tr>
        <w:trPr>
          <w:trHeight w:val="154"/>
        </w:trPr>
        <w:tc>
          <w:tcPr>
            <w:tcW w:w="51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Range of Exercise Prices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26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Life (in years)</w:t>
            </w:r>
          </w:p>
        </w:tc>
        <w:tc>
          <w:tcPr>
            <w:tcW w:w="360" w:type="dxa"/>
            <w:vAlign w:val="bottom"/>
          </w:tcPr>
          <w:p>
            <w:pPr>
              <w:spacing w:after="0"/>
              <w:rPr>
                <w:sz w:val="13"/>
                <w:szCs w:val="13"/>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5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Price</w:t>
            </w:r>
          </w:p>
        </w:tc>
      </w:tr>
      <w:tr>
        <w:trPr>
          <w:trHeight w:val="205"/>
        </w:trPr>
        <w:tc>
          <w:tcPr>
            <w:tcW w:w="20" w:type="dxa"/>
            <w:vAlign w:val="bottom"/>
          </w:tcPr>
          <w:p>
            <w:pPr>
              <w:spacing w:after="0"/>
              <w:rPr>
                <w:sz w:val="17"/>
                <w:szCs w:val="17"/>
                <w:color w:val="auto"/>
              </w:rPr>
            </w:pPr>
          </w:p>
        </w:tc>
        <w:tc>
          <w:tcPr>
            <w:tcW w:w="440" w:type="dxa"/>
            <w:vAlign w:val="bottom"/>
            <w:tcBorders>
              <w:top w:val="single" w:sz="8" w:color="004483"/>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w w:val="95"/>
              </w:rPr>
              <w:t>$23.17</w:t>
            </w:r>
          </w:p>
        </w:tc>
        <w:tc>
          <w:tcPr>
            <w:tcW w:w="4720" w:type="dxa"/>
            <w:vAlign w:val="bottom"/>
            <w:tcBorders>
              <w:top w:val="single" w:sz="8" w:color="004483"/>
              <w:bottom w:val="single" w:sz="8" w:color="A6A6A6"/>
            </w:tcBorders>
          </w:tcPr>
          <w:p>
            <w:pPr>
              <w:ind w:left="20"/>
              <w:spacing w:after="0"/>
              <w:rPr>
                <w:sz w:val="20"/>
                <w:szCs w:val="20"/>
                <w:color w:val="auto"/>
              </w:rPr>
            </w:pPr>
            <w:r>
              <w:rPr>
                <w:rFonts w:ascii="Times New Roman" w:cs="Times New Roman" w:eastAsia="Times New Roman" w:hAnsi="Times New Roman"/>
                <w:sz w:val="16"/>
                <w:szCs w:val="16"/>
                <w:color w:val="004483"/>
              </w:rPr>
              <w:t>- $29.84</w:t>
            </w:r>
          </w:p>
        </w:tc>
        <w:tc>
          <w:tcPr>
            <w:tcW w:w="100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18,931</w:t>
            </w:r>
          </w:p>
        </w:tc>
        <w:tc>
          <w:tcPr>
            <w:tcW w:w="120" w:type="dxa"/>
            <w:vAlign w:val="bottom"/>
          </w:tcPr>
          <w:p>
            <w:pPr>
              <w:spacing w:after="0"/>
              <w:rPr>
                <w:sz w:val="17"/>
                <w:szCs w:val="17"/>
                <w:color w:val="auto"/>
              </w:rPr>
            </w:pPr>
          </w:p>
        </w:tc>
        <w:tc>
          <w:tcPr>
            <w:tcW w:w="1260" w:type="dxa"/>
            <w:vAlign w:val="bottom"/>
            <w:tcBorders>
              <w:top w:val="single" w:sz="8" w:color="004483"/>
              <w:bottom w:val="single" w:sz="8" w:color="A6A6A6"/>
            </w:tcBorders>
          </w:tcPr>
          <w:p>
            <w:pPr>
              <w:jc w:val="right"/>
              <w:ind w:right="89"/>
              <w:spacing w:after="0"/>
              <w:rPr>
                <w:sz w:val="20"/>
                <w:szCs w:val="20"/>
                <w:color w:val="auto"/>
              </w:rPr>
            </w:pPr>
            <w:r>
              <w:rPr>
                <w:rFonts w:ascii="Times New Roman" w:cs="Times New Roman" w:eastAsia="Times New Roman" w:hAnsi="Times New Roman"/>
                <w:sz w:val="16"/>
                <w:szCs w:val="16"/>
                <w:color w:val="auto"/>
              </w:rPr>
              <w:t>0.59</w:t>
            </w:r>
          </w:p>
        </w:tc>
        <w:tc>
          <w:tcPr>
            <w:tcW w:w="360" w:type="dxa"/>
            <w:vAlign w:val="bottom"/>
            <w:tcBorders>
              <w:top w:val="single" w:sz="8" w:color="004483"/>
              <w:bottom w:val="single" w:sz="8" w:color="A6A6A6"/>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004483"/>
              <w:bottom w:val="single" w:sz="8" w:color="A6A6A6"/>
            </w:tcBorders>
          </w:tcPr>
          <w:p>
            <w:pPr>
              <w:jc w:val="right"/>
              <w:ind w:right="48"/>
              <w:spacing w:after="0"/>
              <w:rPr>
                <w:sz w:val="20"/>
                <w:szCs w:val="20"/>
                <w:color w:val="auto"/>
              </w:rPr>
            </w:pPr>
            <w:r>
              <w:rPr>
                <w:rFonts w:ascii="Times New Roman" w:cs="Times New Roman" w:eastAsia="Times New Roman" w:hAnsi="Times New Roman"/>
                <w:sz w:val="16"/>
                <w:szCs w:val="16"/>
                <w:color w:val="auto"/>
              </w:rPr>
              <w:t>23.21</w:t>
            </w:r>
          </w:p>
        </w:tc>
        <w:tc>
          <w:tcPr>
            <w:tcW w:w="1120" w:type="dxa"/>
            <w:vAlign w:val="bottom"/>
            <w:tcBorders>
              <w:top w:val="single" w:sz="8" w:color="004483"/>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18,931</w:t>
            </w:r>
          </w:p>
        </w:tc>
        <w:tc>
          <w:tcPr>
            <w:tcW w:w="120" w:type="dxa"/>
            <w:vAlign w:val="bottom"/>
          </w:tcPr>
          <w:p>
            <w:pPr>
              <w:spacing w:after="0"/>
              <w:rPr>
                <w:sz w:val="17"/>
                <w:szCs w:val="17"/>
                <w:color w:val="auto"/>
              </w:rPr>
            </w:pPr>
          </w:p>
        </w:tc>
        <w:tc>
          <w:tcPr>
            <w:tcW w:w="560" w:type="dxa"/>
            <w:vAlign w:val="bottom"/>
            <w:tcBorders>
              <w:top w:val="single" w:sz="8" w:color="004483"/>
              <w:bottom w:val="single" w:sz="8" w:color="A6A6A6"/>
            </w:tcBorders>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4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w w:val="95"/>
              </w:rPr>
              <w:t>$33.43</w:t>
            </w:r>
          </w:p>
        </w:tc>
        <w:tc>
          <w:tcPr>
            <w:tcW w:w="4720" w:type="dxa"/>
            <w:vAlign w:val="bottom"/>
            <w:tcBorders>
              <w:bottom w:val="single" w:sz="8" w:color="A6A6A6"/>
            </w:tcBorders>
          </w:tcPr>
          <w:p>
            <w:pPr>
              <w:ind w:left="20"/>
              <w:spacing w:after="0"/>
              <w:rPr>
                <w:sz w:val="20"/>
                <w:szCs w:val="20"/>
                <w:color w:val="auto"/>
              </w:rPr>
            </w:pPr>
            <w:r>
              <w:rPr>
                <w:rFonts w:ascii="Times New Roman" w:cs="Times New Roman" w:eastAsia="Times New Roman" w:hAnsi="Times New Roman"/>
                <w:sz w:val="16"/>
                <w:szCs w:val="16"/>
                <w:color w:val="004483"/>
              </w:rPr>
              <w:t>- $37.34</w:t>
            </w:r>
          </w:p>
        </w:tc>
        <w:tc>
          <w:tcPr>
            <w:tcW w:w="10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37,456</w:t>
            </w:r>
          </w:p>
        </w:tc>
        <w:tc>
          <w:tcPr>
            <w:tcW w:w="120" w:type="dxa"/>
            <w:vAlign w:val="bottom"/>
          </w:tcPr>
          <w:p>
            <w:pPr>
              <w:spacing w:after="0"/>
              <w:rPr>
                <w:sz w:val="18"/>
                <w:szCs w:val="18"/>
                <w:color w:val="auto"/>
              </w:rPr>
            </w:pPr>
          </w:p>
        </w:tc>
        <w:tc>
          <w:tcPr>
            <w:tcW w:w="1260" w:type="dxa"/>
            <w:vAlign w:val="bottom"/>
            <w:tcBorders>
              <w:bottom w:val="single" w:sz="8" w:color="A6A6A6"/>
            </w:tcBorders>
          </w:tcPr>
          <w:p>
            <w:pPr>
              <w:jc w:val="right"/>
              <w:ind w:right="89"/>
              <w:spacing w:after="0"/>
              <w:rPr>
                <w:sz w:val="20"/>
                <w:szCs w:val="20"/>
                <w:color w:val="auto"/>
              </w:rPr>
            </w:pPr>
            <w:r>
              <w:rPr>
                <w:rFonts w:ascii="Times New Roman" w:cs="Times New Roman" w:eastAsia="Times New Roman" w:hAnsi="Times New Roman"/>
                <w:sz w:val="16"/>
                <w:szCs w:val="16"/>
                <w:color w:val="auto"/>
              </w:rPr>
              <w:t>1.45</w:t>
            </w:r>
          </w:p>
        </w:tc>
        <w:tc>
          <w:tcPr>
            <w:tcW w:w="360" w:type="dxa"/>
            <w:vAlign w:val="bottom"/>
            <w:tcBorders>
              <w:bottom w:val="single" w:sz="8" w:color="A6A6A6"/>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6A6A6"/>
            </w:tcBorders>
          </w:tcPr>
          <w:p>
            <w:pPr>
              <w:jc w:val="right"/>
              <w:ind w:right="48"/>
              <w:spacing w:after="0"/>
              <w:rPr>
                <w:sz w:val="20"/>
                <w:szCs w:val="20"/>
                <w:color w:val="auto"/>
              </w:rPr>
            </w:pPr>
            <w:r>
              <w:rPr>
                <w:rFonts w:ascii="Times New Roman" w:cs="Times New Roman" w:eastAsia="Times New Roman" w:hAnsi="Times New Roman"/>
                <w:sz w:val="16"/>
                <w:szCs w:val="16"/>
                <w:color w:val="auto"/>
              </w:rPr>
              <w:t>34.21</w:t>
            </w:r>
          </w:p>
        </w:tc>
        <w:tc>
          <w:tcPr>
            <w:tcW w:w="112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37,456</w:t>
            </w:r>
          </w:p>
        </w:tc>
        <w:tc>
          <w:tcPr>
            <w:tcW w:w="120" w:type="dxa"/>
            <w:vAlign w:val="bottom"/>
          </w:tcPr>
          <w:p>
            <w:pPr>
              <w:spacing w:after="0"/>
              <w:rPr>
                <w:sz w:val="18"/>
                <w:szCs w:val="18"/>
                <w:color w:val="auto"/>
              </w:rPr>
            </w:pPr>
          </w:p>
        </w:tc>
        <w:tc>
          <w:tcPr>
            <w:tcW w:w="560" w:type="dxa"/>
            <w:vAlign w:val="bottom"/>
            <w:tcBorders>
              <w:bottom w:val="single" w:sz="8" w:color="A6A6A6"/>
            </w:tcBorders>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34.21</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w w:val="95"/>
              </w:rPr>
              <w:t>$53.22</w:t>
            </w:r>
          </w:p>
        </w:tc>
        <w:tc>
          <w:tcPr>
            <w:tcW w:w="4720" w:type="dxa"/>
            <w:vAlign w:val="bottom"/>
            <w:tcBorders>
              <w:bottom w:val="single" w:sz="8" w:color="A6A6A6"/>
            </w:tcBorders>
          </w:tcPr>
          <w:p>
            <w:pPr>
              <w:ind w:left="20"/>
              <w:spacing w:after="0"/>
              <w:rPr>
                <w:sz w:val="20"/>
                <w:szCs w:val="20"/>
                <w:color w:val="auto"/>
              </w:rPr>
            </w:pPr>
            <w:r>
              <w:rPr>
                <w:rFonts w:ascii="Times New Roman" w:cs="Times New Roman" w:eastAsia="Times New Roman" w:hAnsi="Times New Roman"/>
                <w:sz w:val="16"/>
                <w:szCs w:val="16"/>
                <w:color w:val="004483"/>
              </w:rPr>
              <w:t>- $77.67</w:t>
            </w:r>
          </w:p>
        </w:tc>
        <w:tc>
          <w:tcPr>
            <w:tcW w:w="10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377,009</w:t>
            </w:r>
          </w:p>
        </w:tc>
        <w:tc>
          <w:tcPr>
            <w:tcW w:w="120" w:type="dxa"/>
            <w:vAlign w:val="bottom"/>
          </w:tcPr>
          <w:p>
            <w:pPr>
              <w:spacing w:after="0"/>
              <w:rPr>
                <w:sz w:val="18"/>
                <w:szCs w:val="18"/>
                <w:color w:val="auto"/>
              </w:rPr>
            </w:pPr>
          </w:p>
        </w:tc>
        <w:tc>
          <w:tcPr>
            <w:tcW w:w="1260" w:type="dxa"/>
            <w:vAlign w:val="bottom"/>
            <w:tcBorders>
              <w:bottom w:val="single" w:sz="8" w:color="A6A6A6"/>
            </w:tcBorders>
          </w:tcPr>
          <w:p>
            <w:pPr>
              <w:jc w:val="right"/>
              <w:ind w:right="89"/>
              <w:spacing w:after="0"/>
              <w:rPr>
                <w:sz w:val="20"/>
                <w:szCs w:val="20"/>
                <w:color w:val="auto"/>
              </w:rPr>
            </w:pPr>
            <w:r>
              <w:rPr>
                <w:rFonts w:ascii="Times New Roman" w:cs="Times New Roman" w:eastAsia="Times New Roman" w:hAnsi="Times New Roman"/>
                <w:sz w:val="16"/>
                <w:szCs w:val="16"/>
                <w:color w:val="auto"/>
              </w:rPr>
              <w:t>6.91</w:t>
            </w:r>
          </w:p>
        </w:tc>
        <w:tc>
          <w:tcPr>
            <w:tcW w:w="360" w:type="dxa"/>
            <w:vAlign w:val="bottom"/>
            <w:tcBorders>
              <w:bottom w:val="single" w:sz="8" w:color="A6A6A6"/>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6A6A6"/>
            </w:tcBorders>
          </w:tcPr>
          <w:p>
            <w:pPr>
              <w:jc w:val="right"/>
              <w:ind w:right="48"/>
              <w:spacing w:after="0"/>
              <w:rPr>
                <w:sz w:val="20"/>
                <w:szCs w:val="20"/>
                <w:color w:val="auto"/>
              </w:rPr>
            </w:pPr>
            <w:r>
              <w:rPr>
                <w:rFonts w:ascii="Times New Roman" w:cs="Times New Roman" w:eastAsia="Times New Roman" w:hAnsi="Times New Roman"/>
                <w:sz w:val="16"/>
                <w:szCs w:val="16"/>
                <w:color w:val="auto"/>
              </w:rPr>
              <w:t>66.82</w:t>
            </w:r>
          </w:p>
        </w:tc>
        <w:tc>
          <w:tcPr>
            <w:tcW w:w="112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185,657</w:t>
            </w:r>
          </w:p>
        </w:tc>
        <w:tc>
          <w:tcPr>
            <w:tcW w:w="120" w:type="dxa"/>
            <w:vAlign w:val="bottom"/>
          </w:tcPr>
          <w:p>
            <w:pPr>
              <w:spacing w:after="0"/>
              <w:rPr>
                <w:sz w:val="18"/>
                <w:szCs w:val="18"/>
                <w:color w:val="auto"/>
              </w:rPr>
            </w:pPr>
          </w:p>
        </w:tc>
        <w:tc>
          <w:tcPr>
            <w:tcW w:w="560" w:type="dxa"/>
            <w:vAlign w:val="bottom"/>
            <w:tcBorders>
              <w:bottom w:val="single" w:sz="8" w:color="A6A6A6"/>
            </w:tcBorders>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72.92</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6"/>
                <w:szCs w:val="16"/>
                <w:color w:val="004483"/>
                <w:w w:val="95"/>
              </w:rPr>
              <w:t>$79.73</w:t>
            </w:r>
          </w:p>
        </w:tc>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004483"/>
              </w:rPr>
              <w:t>- $106.24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723,660</w:t>
            </w:r>
          </w:p>
        </w:tc>
        <w:tc>
          <w:tcPr>
            <w:tcW w:w="120" w:type="dxa"/>
            <w:vAlign w:val="bottom"/>
          </w:tcPr>
          <w:p>
            <w:pPr>
              <w:spacing w:after="0"/>
              <w:rPr>
                <w:sz w:val="18"/>
                <w:szCs w:val="18"/>
                <w:color w:val="auto"/>
              </w:rPr>
            </w:pPr>
          </w:p>
        </w:tc>
        <w:tc>
          <w:tcPr>
            <w:tcW w:w="1260" w:type="dxa"/>
            <w:vAlign w:val="bottom"/>
          </w:tcPr>
          <w:p>
            <w:pPr>
              <w:jc w:val="right"/>
              <w:ind w:right="89"/>
              <w:spacing w:after="0"/>
              <w:rPr>
                <w:sz w:val="20"/>
                <w:szCs w:val="20"/>
                <w:color w:val="auto"/>
              </w:rPr>
            </w:pPr>
            <w:r>
              <w:rPr>
                <w:rFonts w:ascii="Times New Roman" w:cs="Times New Roman" w:eastAsia="Times New Roman" w:hAnsi="Times New Roman"/>
                <w:sz w:val="16"/>
                <w:szCs w:val="16"/>
                <w:color w:val="auto"/>
              </w:rPr>
              <w:t>6.03</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6"/>
                <w:szCs w:val="16"/>
                <w:color w:val="auto"/>
              </w:rPr>
              <w:t>91.81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505,752</w:t>
            </w:r>
          </w:p>
        </w:tc>
        <w:tc>
          <w:tcPr>
            <w:tcW w:w="120" w:type="dxa"/>
            <w:vAlign w:val="bottom"/>
          </w:tcPr>
          <w:p>
            <w:pPr>
              <w:spacing w:after="0"/>
              <w:rPr>
                <w:sz w:val="18"/>
                <w:szCs w:val="18"/>
                <w:color w:val="auto"/>
              </w:rPr>
            </w:pPr>
          </w:p>
        </w:tc>
        <w:tc>
          <w:tcPr>
            <w:tcW w:w="5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89.71</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40" w:type="dxa"/>
            <w:vAlign w:val="bottom"/>
            <w:tcBorders>
              <w:top w:val="single" w:sz="8" w:color="A6A6A6"/>
              <w:bottom w:val="single" w:sz="8" w:color="A6A6A6"/>
            </w:tcBorders>
          </w:tcPr>
          <w:p>
            <w:pPr>
              <w:spacing w:after="0"/>
              <w:rPr>
                <w:sz w:val="21"/>
                <w:szCs w:val="21"/>
                <w:color w:val="auto"/>
              </w:rPr>
            </w:pPr>
          </w:p>
        </w:tc>
        <w:tc>
          <w:tcPr>
            <w:tcW w:w="4720" w:type="dxa"/>
            <w:vAlign w:val="bottom"/>
            <w:tcBorders>
              <w:top w:val="single" w:sz="8" w:color="A6A6A6"/>
              <w:bottom w:val="single" w:sz="8" w:color="A6A6A6"/>
            </w:tcBorders>
          </w:tcPr>
          <w:p>
            <w:pPr>
              <w:spacing w:after="0"/>
              <w:rPr>
                <w:sz w:val="21"/>
                <w:szCs w:val="21"/>
                <w:color w:val="auto"/>
              </w:rPr>
            </w:pPr>
          </w:p>
        </w:tc>
        <w:tc>
          <w:tcPr>
            <w:tcW w:w="100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1,157,056</w:t>
            </w:r>
          </w:p>
        </w:tc>
        <w:tc>
          <w:tcPr>
            <w:tcW w:w="120" w:type="dxa"/>
            <w:vAlign w:val="bottom"/>
          </w:tcPr>
          <w:p>
            <w:pPr>
              <w:spacing w:after="0"/>
              <w:rPr>
                <w:sz w:val="21"/>
                <w:szCs w:val="21"/>
                <w:color w:val="auto"/>
              </w:rPr>
            </w:pPr>
          </w:p>
        </w:tc>
        <w:tc>
          <w:tcPr>
            <w:tcW w:w="1260" w:type="dxa"/>
            <w:vAlign w:val="bottom"/>
            <w:tcBorders>
              <w:top w:val="single" w:sz="8" w:color="A6A6A6"/>
              <w:bottom w:val="single" w:sz="8" w:color="A6A6A6"/>
            </w:tcBorders>
          </w:tcPr>
          <w:p>
            <w:pPr>
              <w:jc w:val="right"/>
              <w:ind w:right="89"/>
              <w:spacing w:after="0"/>
              <w:rPr>
                <w:sz w:val="20"/>
                <w:szCs w:val="20"/>
                <w:color w:val="auto"/>
              </w:rPr>
            </w:pPr>
            <w:r>
              <w:rPr>
                <w:rFonts w:ascii="Times New Roman" w:cs="Times New Roman" w:eastAsia="Times New Roman" w:hAnsi="Times New Roman"/>
                <w:sz w:val="16"/>
                <w:szCs w:val="16"/>
                <w:b w:val="1"/>
                <w:bCs w:val="1"/>
                <w:color w:val="auto"/>
              </w:rPr>
              <w:t>6.08</w:t>
            </w:r>
          </w:p>
        </w:tc>
        <w:tc>
          <w:tcPr>
            <w:tcW w:w="360" w:type="dxa"/>
            <w:vAlign w:val="bottom"/>
            <w:tcBorders>
              <w:top w:val="single" w:sz="8" w:color="A6A6A6"/>
              <w:bottom w:val="single" w:sz="8" w:color="A6A6A6"/>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6A6A6"/>
              <w:bottom w:val="single" w:sz="8" w:color="A6A6A6"/>
            </w:tcBorders>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80.68</w:t>
            </w:r>
          </w:p>
        </w:tc>
        <w:tc>
          <w:tcPr>
            <w:tcW w:w="120" w:type="dxa"/>
            <w:vAlign w:val="bottom"/>
            <w:tcBorders>
              <w:top w:val="single" w:sz="8" w:color="A6A6A6"/>
              <w:bottom w:val="single" w:sz="8" w:color="A6A6A6"/>
            </w:tcBorders>
          </w:tcPr>
          <w:p>
            <w:pPr>
              <w:spacing w:after="0"/>
              <w:rPr>
                <w:sz w:val="21"/>
                <w:szCs w:val="21"/>
                <w:color w:val="auto"/>
              </w:rPr>
            </w:pPr>
          </w:p>
        </w:tc>
        <w:tc>
          <w:tcPr>
            <w:tcW w:w="100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747,796</w:t>
            </w:r>
          </w:p>
        </w:tc>
        <w:tc>
          <w:tcPr>
            <w:tcW w:w="120" w:type="dxa"/>
            <w:vAlign w:val="bottom"/>
          </w:tcPr>
          <w:p>
            <w:pPr>
              <w:spacing w:after="0"/>
              <w:rPr>
                <w:sz w:val="21"/>
                <w:szCs w:val="21"/>
                <w:color w:val="auto"/>
              </w:rPr>
            </w:pPr>
          </w:p>
        </w:tc>
        <w:tc>
          <w:tcPr>
            <w:tcW w:w="560" w:type="dxa"/>
            <w:vAlign w:val="bottom"/>
            <w:tcBorders>
              <w:top w:val="single" w:sz="8" w:color="A6A6A6"/>
              <w:bottom w:val="single" w:sz="8" w:color="A6A6A6"/>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81.08</w:t>
            </w:r>
          </w:p>
        </w:tc>
        <w:tc>
          <w:tcPr>
            <w:tcW w:w="100" w:type="dxa"/>
            <w:vAlign w:val="bottom"/>
          </w:tcPr>
          <w:p>
            <w:pPr>
              <w:spacing w:after="0"/>
              <w:rPr>
                <w:sz w:val="21"/>
                <w:szCs w:val="21"/>
                <w:color w:val="auto"/>
              </w:rPr>
            </w:pPr>
          </w:p>
        </w:tc>
      </w:tr>
    </w:tbl>
    <w:p>
      <w:pPr>
        <w:spacing w:after="0" w:line="218" w:lineRule="exact"/>
        <w:rPr>
          <w:sz w:val="20"/>
          <w:szCs w:val="20"/>
          <w:color w:val="auto"/>
        </w:rPr>
      </w:pPr>
    </w:p>
    <w:p>
      <w:pPr>
        <w:jc w:val="both"/>
        <w:ind w:right="80"/>
        <w:spacing w:after="0" w:line="283" w:lineRule="auto"/>
        <w:rPr>
          <w:sz w:val="20"/>
          <w:szCs w:val="20"/>
          <w:color w:val="auto"/>
        </w:rPr>
      </w:pPr>
      <w:r>
        <w:rPr>
          <w:rFonts w:ascii="Arial" w:cs="Arial" w:eastAsia="Arial" w:hAnsi="Arial"/>
          <w:sz w:val="18"/>
          <w:szCs w:val="18"/>
          <w:color w:val="auto"/>
        </w:rPr>
        <w:t>At December 31, 2020, the aggregate intrinsic value for both of the outstanding and exercisable options was approximately $24.5 million and $15.4 million, respectively. The total intrinsic value of options exercised during the nine months ended December 31, 2020 was approximately $6.3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30"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May 2020, the Compensation Committee approved the granting to certain officers and key employees an aggregate of 82,722 shares of performance vesting restricted stock that will be earned if certain performance conditions are satisfied (the Fiscal 2021 Employee Restricted Stock Performance Award). The performance criteria for the Fiscal 2021 Employee Restricted Stock Performance Award is based upon the achievement of certain levels of return on equity (as defined in the award agreement), ranging from 10.0% to 20.0%, for the fiscal year ending March 31, 2021. All restricted shares will be earned if the return on equity is 20.0% or greater, and the percentage of shares earned will be reduced proportionately to approximately 66.7% if the return on equity is 10.0%. If the Company does not achieve a return on equity of at least 10.0%, all awards will be forfeited. Following any such reduction, restrictions on the earned shares will lapse ratably over four years, with the initial fourth lapsing promptly following the determination date, and the remaining restrictions lapsing on March 31, 2022 through 2024. The Compensation Committee also approved the granting of 68,936 shares of time-vesting restricted stock to the same officers and key employees, which vest ratably over four years (the Fiscal 2021 Employee Restricted Stock Time-Vesting Award). The Fiscal 2020 Employee Restricted Stock Performance Award and the Fiscal 2021 Employee Restricted Stock Time-Vesting Award were valued at the closing price of the stock on the date of grant and are being expensed over a four-year period.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In August 2020, we granted 26,064 shares of restricted stock to members of the Board of Directors (the Board of Directors Fiscal 2021</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 Restrictions on these shares will lapse six months after the date of grant. The Board of Directors Fiscal 2021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 was valued at the closing price of the stock at the date of the grant and was expensed over a six-month period.</w:t>
      </w:r>
    </w:p>
    <w:p>
      <w:pPr>
        <w:spacing w:after="0" w:line="116" w:lineRule="exact"/>
        <w:rPr>
          <w:sz w:val="20"/>
          <w:szCs w:val="20"/>
          <w:color w:val="auto"/>
        </w:rPr>
      </w:pPr>
    </w:p>
    <w:p>
      <w:pPr>
        <w:ind w:right="360"/>
        <w:spacing w:after="0" w:line="302" w:lineRule="auto"/>
        <w:rPr>
          <w:sz w:val="20"/>
          <w:szCs w:val="20"/>
          <w:color w:val="auto"/>
        </w:rPr>
      </w:pPr>
      <w:r>
        <w:rPr>
          <w:rFonts w:ascii="Arial" w:cs="Arial" w:eastAsia="Arial" w:hAnsi="Arial"/>
          <w:sz w:val="18"/>
          <w:szCs w:val="18"/>
          <w:color w:val="auto"/>
        </w:rPr>
        <w:t>The fair value of restricted stock is based on the stock price at the date of grant. The following table summarizes the activity for nonvested restricted shares during the nine months ended December 31,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w w:val="94"/>
              </w:rPr>
              <w:t>Weighted-Average Grant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00" w:type="dxa"/>
            <w:vAlign w:val="bottom"/>
          </w:tcPr>
          <w:p>
            <w:pPr>
              <w:spacing w:after="0"/>
              <w:rPr>
                <w:sz w:val="13"/>
                <w:szCs w:val="13"/>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280" w:type="dxa"/>
            <w:vAlign w:val="bottom"/>
          </w:tcPr>
          <w:p>
            <w:pPr>
              <w:spacing w:after="0"/>
              <w:rPr>
                <w:sz w:val="13"/>
                <w:szCs w:val="13"/>
                <w:color w:val="auto"/>
              </w:rPr>
            </w:pPr>
          </w:p>
        </w:tc>
        <w:tc>
          <w:tcPr>
            <w:tcW w:w="1480" w:type="dxa"/>
            <w:vAlign w:val="bottom"/>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Date Fair Value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00" w:type="dxa"/>
            <w:vAlign w:val="bottom"/>
            <w:tcBorders>
              <w:top w:val="single" w:sz="8" w:color="004483"/>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Nonvested Restricted Stock March 31, 2020</w:t>
            </w:r>
          </w:p>
        </w:tc>
        <w:tc>
          <w:tcPr>
            <w:tcW w:w="156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233,120</w:t>
            </w:r>
          </w:p>
        </w:tc>
        <w:tc>
          <w:tcPr>
            <w:tcW w:w="100" w:type="dxa"/>
            <w:vAlign w:val="bottom"/>
          </w:tcPr>
          <w:p>
            <w:pPr>
              <w:spacing w:after="0"/>
              <w:rPr>
                <w:sz w:val="18"/>
                <w:szCs w:val="18"/>
                <w:color w:val="auto"/>
              </w:rPr>
            </w:pPr>
          </w:p>
        </w:tc>
        <w:tc>
          <w:tcPr>
            <w:tcW w:w="28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004483"/>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75.35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Granted</w:t>
            </w:r>
          </w:p>
        </w:tc>
        <w:tc>
          <w:tcPr>
            <w:tcW w:w="15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178,373</w:t>
            </w:r>
          </w:p>
        </w:tc>
        <w:tc>
          <w:tcPr>
            <w:tcW w:w="100" w:type="dxa"/>
            <w:vAlign w:val="bottom"/>
          </w:tcPr>
          <w:p>
            <w:pPr>
              <w:spacing w:after="0"/>
              <w:rPr>
                <w:sz w:val="19"/>
                <w:szCs w:val="19"/>
                <w:color w:val="auto"/>
              </w:rPr>
            </w:pPr>
          </w:p>
        </w:tc>
        <w:tc>
          <w:tcPr>
            <w:tcW w:w="2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63.63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6"/>
                <w:szCs w:val="16"/>
                <w:color w:val="004483"/>
              </w:rPr>
              <w:t>Vested</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(50,378)</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00" w:type="dxa"/>
            <w:vAlign w:val="bottom"/>
            <w:shd w:val="clear" w:color="auto" w:fill="A6A6A6"/>
          </w:tcPr>
          <w:p>
            <w:pPr>
              <w:spacing w:after="0" w:line="20" w:lineRule="exact"/>
              <w:rPr>
                <w:sz w:val="1"/>
                <w:szCs w:val="1"/>
                <w:color w:val="auto"/>
              </w:rPr>
            </w:pPr>
          </w:p>
        </w:tc>
        <w:tc>
          <w:tcPr>
            <w:tcW w:w="1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6"/>
                <w:szCs w:val="16"/>
                <w:color w:val="004483"/>
              </w:rPr>
              <w:t>Forfeited</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(9,127)</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Borders>
              <w:top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Nonvested Restricted Stock at December 31, 2020</w:t>
            </w:r>
          </w:p>
        </w:tc>
        <w:tc>
          <w:tcPr>
            <w:tcW w:w="156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351,988</w:t>
            </w:r>
          </w:p>
        </w:tc>
        <w:tc>
          <w:tcPr>
            <w:tcW w:w="100" w:type="dxa"/>
            <w:vAlign w:val="bottom"/>
          </w:tcPr>
          <w:p>
            <w:pPr>
              <w:spacing w:after="0"/>
              <w:rPr>
                <w:sz w:val="19"/>
                <w:szCs w:val="19"/>
                <w:color w:val="auto"/>
              </w:rPr>
            </w:pPr>
          </w:p>
        </w:tc>
        <w:tc>
          <w:tcPr>
            <w:tcW w:w="280" w:type="dxa"/>
            <w:vAlign w:val="bottom"/>
            <w:tcBorders>
              <w:top w:val="single" w:sz="8" w:color="A6A6A6"/>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top w:val="single" w:sz="8" w:color="A6A6A6"/>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5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Expense related to restricted shares was approximately $2.8 million and $8.2 million for the three and nine months ended December 31, 2020, respectively, and $3.1 million and $12.9 million for the three and nine months ended December 31, 2019, respectively. At December 31, 2020, there was approximately $14.7 million of unearned compensation from restricted stock, which will be recognized over a weighted-average period of 2.2 years.</w:t>
      </w:r>
    </w:p>
    <w:p>
      <w:pPr>
        <w:spacing w:after="0" w:line="67" w:lineRule="exact"/>
        <w:rPr>
          <w:sz w:val="20"/>
          <w:szCs w:val="20"/>
          <w:color w:val="auto"/>
        </w:rPr>
      </w:pPr>
    </w:p>
    <w:p>
      <w:pPr>
        <w:ind w:right="220"/>
        <w:spacing w:after="0" w:line="302" w:lineRule="auto"/>
        <w:rPr>
          <w:sz w:val="20"/>
          <w:szCs w:val="20"/>
          <w:color w:val="auto"/>
        </w:rPr>
      </w:pPr>
      <w:r>
        <w:rPr>
          <w:rFonts w:ascii="Arial" w:cs="Arial" w:eastAsia="Arial" w:hAnsi="Arial"/>
          <w:sz w:val="18"/>
          <w:szCs w:val="18"/>
          <w:color w:val="auto"/>
        </w:rPr>
        <w:t>The number of shares available for future grants of stock options, restricted stock units, stock appreciation rights, and restricted stock under the Plan was 3,458,865 at December 31, 2020.</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 COMPUTATION OF EARNINGS PER SHARE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and diluted common shares outstanding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860" w:type="dxa"/>
            <w:vAlign w:val="bottom"/>
            <w:tcBorders>
              <w:bottom w:val="single" w:sz="8" w:color="004483"/>
            </w:tcBorders>
            <w:gridSpan w:val="5"/>
            <w:shd w:val="clear" w:color="auto" w:fill="004483"/>
          </w:tcPr>
          <w:p>
            <w:pPr>
              <w:ind w:left="200"/>
              <w:spacing w:after="0"/>
              <w:rPr>
                <w:sz w:val="20"/>
                <w:szCs w:val="20"/>
                <w:color w:val="auto"/>
              </w:rPr>
            </w:pPr>
            <w:r>
              <w:rPr>
                <w:rFonts w:ascii="Times New Roman" w:cs="Times New Roman" w:eastAsia="Times New Roman" w:hAnsi="Times New Roman"/>
                <w:sz w:val="13"/>
                <w:szCs w:val="13"/>
                <w:b w:val="1"/>
                <w:bCs w:val="1"/>
                <w:color w:val="FFFFFF"/>
              </w:rPr>
              <w:t>For the Three Months Ended December 31,</w:t>
            </w:r>
          </w:p>
        </w:tc>
        <w:tc>
          <w:tcPr>
            <w:tcW w:w="120" w:type="dxa"/>
            <w:vAlign w:val="bottom"/>
          </w:tcPr>
          <w:p>
            <w:pPr>
              <w:spacing w:after="0"/>
              <w:rPr>
                <w:sz w:val="18"/>
                <w:szCs w:val="18"/>
                <w:color w:val="auto"/>
              </w:rPr>
            </w:pPr>
          </w:p>
        </w:tc>
        <w:tc>
          <w:tcPr>
            <w:tcW w:w="2880" w:type="dxa"/>
            <w:vAlign w:val="bottom"/>
            <w:tcBorders>
              <w:bottom w:val="single" w:sz="8" w:color="004483"/>
            </w:tcBorders>
            <w:gridSpan w:val="5"/>
            <w:shd w:val="clear" w:color="auto" w:fill="004483"/>
          </w:tcPr>
          <w:p>
            <w:pPr>
              <w:ind w:left="260"/>
              <w:spacing w:after="0"/>
              <w:rPr>
                <w:sz w:val="20"/>
                <w:szCs w:val="20"/>
                <w:color w:val="auto"/>
              </w:rPr>
            </w:pPr>
            <w:r>
              <w:rPr>
                <w:rFonts w:ascii="Times New Roman" w:cs="Times New Roman" w:eastAsia="Times New Roman" w:hAnsi="Times New Roman"/>
                <w:sz w:val="13"/>
                <w:szCs w:val="13"/>
                <w:b w:val="1"/>
                <w:bCs w:val="1"/>
                <w:color w:val="FFFFFF"/>
              </w:rPr>
              <w:t>For the Nine Months Ended December 31,</w:t>
            </w:r>
          </w:p>
        </w:tc>
      </w:tr>
      <w:tr>
        <w:trPr>
          <w:trHeight w:val="147"/>
        </w:trPr>
        <w:tc>
          <w:tcPr>
            <w:tcW w:w="20" w:type="dxa"/>
            <w:vAlign w:val="bottom"/>
          </w:tcPr>
          <w:p>
            <w:pPr>
              <w:spacing w:after="0"/>
              <w:rPr>
                <w:sz w:val="12"/>
                <w:szCs w:val="12"/>
                <w:color w:val="auto"/>
              </w:rPr>
            </w:pPr>
          </w:p>
        </w:tc>
        <w:tc>
          <w:tcPr>
            <w:tcW w:w="5360" w:type="dxa"/>
            <w:vAlign w:val="bottom"/>
            <w:tcBorders>
              <w:bottom w:val="single" w:sz="8" w:color="004483"/>
            </w:tcBorders>
          </w:tcPr>
          <w:p>
            <w:pPr>
              <w:spacing w:after="0"/>
              <w:rPr>
                <w:sz w:val="12"/>
                <w:szCs w:val="12"/>
                <w:color w:val="auto"/>
              </w:rPr>
            </w:pPr>
          </w:p>
        </w:tc>
        <w:tc>
          <w:tcPr>
            <w:tcW w:w="1260" w:type="dxa"/>
            <w:vAlign w:val="bottom"/>
            <w:tcBorders>
              <w:bottom w:val="single" w:sz="8" w:color="004483"/>
            </w:tcBorders>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1260" w:type="dxa"/>
            <w:vAlign w:val="bottom"/>
            <w:tcBorders>
              <w:bottom w:val="single" w:sz="8" w:color="004483"/>
            </w:tcBorders>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1280" w:type="dxa"/>
            <w:vAlign w:val="bottom"/>
            <w:tcBorders>
              <w:bottom w:val="single" w:sz="8" w:color="004483"/>
            </w:tcBorders>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1280" w:type="dxa"/>
            <w:vAlign w:val="bottom"/>
            <w:tcBorders>
              <w:bottom w:val="single" w:sz="8" w:color="004483"/>
            </w:tcBorders>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r>
      <w:tr>
        <w:trPr>
          <w:trHeight w:val="206"/>
        </w:trPr>
        <w:tc>
          <w:tcPr>
            <w:tcW w:w="20" w:type="dxa"/>
            <w:vAlign w:val="bottom"/>
          </w:tcPr>
          <w:p>
            <w:pPr>
              <w:spacing w:after="0"/>
              <w:rPr>
                <w:sz w:val="17"/>
                <w:szCs w:val="17"/>
                <w:color w:val="auto"/>
              </w:rPr>
            </w:pPr>
          </w:p>
        </w:tc>
        <w:tc>
          <w:tcPr>
            <w:tcW w:w="53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Weighted-Average Shares of Common Stock Outstanding</w:t>
            </w:r>
          </w:p>
        </w:tc>
        <w:tc>
          <w:tcPr>
            <w:tcW w:w="12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41,494,149</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41,314,289</w:t>
            </w:r>
          </w:p>
        </w:tc>
        <w:tc>
          <w:tcPr>
            <w:tcW w:w="100" w:type="dxa"/>
            <w:vAlign w:val="bottom"/>
          </w:tcPr>
          <w:p>
            <w:pPr>
              <w:spacing w:after="0"/>
              <w:rPr>
                <w:sz w:val="17"/>
                <w:szCs w:val="17"/>
                <w:color w:val="auto"/>
              </w:rPr>
            </w:pPr>
          </w:p>
        </w:tc>
        <w:tc>
          <w:tcPr>
            <w:tcW w:w="140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41,451,801</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42,246,329</w:t>
            </w:r>
          </w:p>
        </w:tc>
        <w:tc>
          <w:tcPr>
            <w:tcW w:w="10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53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Effect of Dilutive Shares:</w:t>
            </w:r>
          </w:p>
        </w:tc>
        <w:tc>
          <w:tcPr>
            <w:tcW w:w="126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Assumed Exercise of Outstanding Dilutive Options</w:t>
            </w:r>
          </w:p>
        </w:tc>
        <w:tc>
          <w:tcPr>
            <w:tcW w:w="12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807,584</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717,028</w:t>
            </w:r>
          </w:p>
        </w:tc>
        <w:tc>
          <w:tcPr>
            <w:tcW w:w="100" w:type="dxa"/>
            <w:vAlign w:val="bottom"/>
          </w:tcPr>
          <w:p>
            <w:pPr>
              <w:spacing w:after="0"/>
              <w:rPr>
                <w:sz w:val="18"/>
                <w:szCs w:val="18"/>
                <w:color w:val="auto"/>
              </w:rPr>
            </w:pPr>
          </w:p>
        </w:tc>
        <w:tc>
          <w:tcPr>
            <w:tcW w:w="140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450,870</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705,692</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Less Shares Repurchased from Proceeds of Assumed Exercised Options</w:t>
            </w:r>
          </w:p>
        </w:tc>
        <w:tc>
          <w:tcPr>
            <w:tcW w:w="12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(650,819)</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(548,643)</w:t>
            </w:r>
          </w:p>
        </w:tc>
        <w:tc>
          <w:tcPr>
            <w:tcW w:w="100" w:type="dxa"/>
            <w:vAlign w:val="bottom"/>
          </w:tcPr>
          <w:p>
            <w:pPr>
              <w:spacing w:after="0"/>
              <w:rPr>
                <w:sz w:val="18"/>
                <w:szCs w:val="18"/>
                <w:color w:val="auto"/>
              </w:rPr>
            </w:pPr>
          </w:p>
        </w:tc>
        <w:tc>
          <w:tcPr>
            <w:tcW w:w="140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(344,307)</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(549,954)</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004483"/>
              </w:rPr>
              <w:t>Restricted 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132,821</w:t>
            </w: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124,177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125,293</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5360" w:type="dxa"/>
            <w:vAlign w:val="bottom"/>
            <w:tcBorders>
              <w:top w:val="single" w:sz="8" w:color="A6A6A6"/>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Weighted-Average Common Stock and Dilutive Securities Outstanding</w:t>
            </w:r>
          </w:p>
        </w:tc>
        <w:tc>
          <w:tcPr>
            <w:tcW w:w="126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41,834,590</w:t>
            </w:r>
          </w:p>
        </w:tc>
        <w:tc>
          <w:tcPr>
            <w:tcW w:w="120" w:type="dxa"/>
            <w:vAlign w:val="bottom"/>
          </w:tcPr>
          <w:p>
            <w:pPr>
              <w:spacing w:after="0"/>
              <w:rPr>
                <w:sz w:val="21"/>
                <w:szCs w:val="21"/>
                <w:color w:val="auto"/>
              </w:rPr>
            </w:pPr>
          </w:p>
        </w:tc>
        <w:tc>
          <w:tcPr>
            <w:tcW w:w="120" w:type="dxa"/>
            <w:vAlign w:val="bottom"/>
            <w:tcBorders>
              <w:top w:val="single" w:sz="8" w:color="A6A6A6"/>
              <w:bottom w:val="single" w:sz="8" w:color="A6A6A6"/>
            </w:tcBorders>
          </w:tcPr>
          <w:p>
            <w:pPr>
              <w:spacing w:after="0"/>
              <w:rPr>
                <w:sz w:val="21"/>
                <w:szCs w:val="21"/>
                <w:color w:val="auto"/>
              </w:rPr>
            </w:pPr>
          </w:p>
        </w:tc>
        <w:tc>
          <w:tcPr>
            <w:tcW w:w="126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41,615,495</w:t>
            </w:r>
          </w:p>
        </w:tc>
        <w:tc>
          <w:tcPr>
            <w:tcW w:w="100" w:type="dxa"/>
            <w:vAlign w:val="bottom"/>
          </w:tcPr>
          <w:p>
            <w:pPr>
              <w:spacing w:after="0"/>
              <w:rPr>
                <w:sz w:val="21"/>
                <w:szCs w:val="21"/>
                <w:color w:val="auto"/>
              </w:rPr>
            </w:pPr>
          </w:p>
        </w:tc>
        <w:tc>
          <w:tcPr>
            <w:tcW w:w="120" w:type="dxa"/>
            <w:vAlign w:val="bottom"/>
            <w:tcBorders>
              <w:top w:val="single" w:sz="8" w:color="A6A6A6"/>
              <w:bottom w:val="single" w:sz="8" w:color="A6A6A6"/>
            </w:tcBorders>
          </w:tcPr>
          <w:p>
            <w:pPr>
              <w:spacing w:after="0"/>
              <w:rPr>
                <w:sz w:val="21"/>
                <w:szCs w:val="21"/>
                <w:color w:val="auto"/>
              </w:rPr>
            </w:pPr>
          </w:p>
        </w:tc>
        <w:tc>
          <w:tcPr>
            <w:tcW w:w="128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41,682,541</w:t>
            </w:r>
          </w:p>
        </w:tc>
        <w:tc>
          <w:tcPr>
            <w:tcW w:w="100" w:type="dxa"/>
            <w:vAlign w:val="bottom"/>
          </w:tcPr>
          <w:p>
            <w:pPr>
              <w:spacing w:after="0"/>
              <w:rPr>
                <w:sz w:val="21"/>
                <w:szCs w:val="21"/>
                <w:color w:val="auto"/>
              </w:rPr>
            </w:pPr>
          </w:p>
        </w:tc>
        <w:tc>
          <w:tcPr>
            <w:tcW w:w="120" w:type="dxa"/>
            <w:vAlign w:val="bottom"/>
            <w:tcBorders>
              <w:top w:val="single" w:sz="8" w:color="A6A6A6"/>
              <w:bottom w:val="single" w:sz="8" w:color="A6A6A6"/>
            </w:tcBorders>
          </w:tcPr>
          <w:p>
            <w:pPr>
              <w:spacing w:after="0"/>
              <w:rPr>
                <w:sz w:val="21"/>
                <w:szCs w:val="21"/>
                <w:color w:val="auto"/>
              </w:rPr>
            </w:pPr>
          </w:p>
        </w:tc>
        <w:tc>
          <w:tcPr>
            <w:tcW w:w="128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42,527,360</w:t>
            </w:r>
          </w:p>
        </w:tc>
        <w:tc>
          <w:tcPr>
            <w:tcW w:w="10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Shares Excluded Due to Anti-dilution Effects</w:t>
            </w:r>
          </w:p>
        </w:tc>
        <w:tc>
          <w:tcPr>
            <w:tcW w:w="12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413,656</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2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655,889</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28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757,879</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28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657,964</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79"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(L) PENSION AND EMPLOYEE BENEFIT PLANS</w:t>
      </w:r>
    </w:p>
    <w:p>
      <w:pPr>
        <w:spacing w:after="0" w:line="114" w:lineRule="exact"/>
        <w:rPr>
          <w:sz w:val="20"/>
          <w:szCs w:val="20"/>
          <w:color w:val="auto"/>
        </w:rPr>
      </w:pPr>
    </w:p>
    <w:p>
      <w:pPr>
        <w:ind w:right="140"/>
        <w:spacing w:after="0" w:line="283" w:lineRule="auto"/>
        <w:rPr>
          <w:sz w:val="20"/>
          <w:szCs w:val="20"/>
          <w:color w:val="auto"/>
        </w:rPr>
      </w:pPr>
      <w:r>
        <w:rPr>
          <w:rFonts w:ascii="Arial" w:cs="Arial" w:eastAsia="Arial" w:hAnsi="Arial"/>
          <w:sz w:val="18"/>
          <w:szCs w:val="18"/>
          <w:color w:val="auto"/>
        </w:rPr>
        <w:t>We sponsor several defined benefit pension plans and defined contribution plans, which together cover substantially all our employees. Benefits paid under the defined benefit plans covering certain hourly employees are based on years of service and the employee’s qualifying compensation over the last few years of employment.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net periodic (benefit) cost for our plans: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40" w:type="dxa"/>
            <w:vAlign w:val="bottom"/>
            <w:shd w:val="clear" w:color="auto" w:fill="004483"/>
          </w:tcPr>
          <w:p>
            <w:pPr>
              <w:spacing w:after="0"/>
              <w:rPr>
                <w:sz w:val="19"/>
                <w:szCs w:val="19"/>
                <w:color w:val="auto"/>
              </w:rPr>
            </w:pPr>
          </w:p>
        </w:tc>
        <w:tc>
          <w:tcPr>
            <w:tcW w:w="2720" w:type="dxa"/>
            <w:vAlign w:val="bottom"/>
            <w:gridSpan w:val="6"/>
            <w:shd w:val="clear" w:color="auto" w:fill="004483"/>
          </w:tcPr>
          <w:p>
            <w:pPr>
              <w:ind w:left="60"/>
              <w:spacing w:after="0"/>
              <w:rPr>
                <w:sz w:val="20"/>
                <w:szCs w:val="20"/>
                <w:color w:val="auto"/>
              </w:rPr>
            </w:pPr>
            <w:r>
              <w:rPr>
                <w:rFonts w:ascii="Times New Roman" w:cs="Times New Roman" w:eastAsia="Times New Roman" w:hAnsi="Times New Roman"/>
                <w:sz w:val="13"/>
                <w:szCs w:val="13"/>
                <w:b w:val="1"/>
                <w:bCs w:val="1"/>
                <w:color w:val="FFFFFF"/>
              </w:rPr>
              <w:t>For the Three Months Ended December 31,</w:t>
            </w:r>
          </w:p>
        </w:tc>
        <w:tc>
          <w:tcPr>
            <w:tcW w:w="120" w:type="dxa"/>
            <w:vAlign w:val="bottom"/>
          </w:tcPr>
          <w:p>
            <w:pPr>
              <w:spacing w:after="0"/>
              <w:rPr>
                <w:sz w:val="19"/>
                <w:szCs w:val="19"/>
                <w:color w:val="auto"/>
              </w:rPr>
            </w:pPr>
          </w:p>
        </w:tc>
        <w:tc>
          <w:tcPr>
            <w:tcW w:w="160" w:type="dxa"/>
            <w:vAlign w:val="bottom"/>
            <w:shd w:val="clear" w:color="auto" w:fill="004483"/>
          </w:tcPr>
          <w:p>
            <w:pPr>
              <w:spacing w:after="0"/>
              <w:rPr>
                <w:sz w:val="19"/>
                <w:szCs w:val="19"/>
                <w:color w:val="auto"/>
              </w:rPr>
            </w:pPr>
          </w:p>
        </w:tc>
        <w:tc>
          <w:tcPr>
            <w:tcW w:w="2720" w:type="dxa"/>
            <w:vAlign w:val="bottom"/>
            <w:gridSpan w:val="6"/>
            <w:shd w:val="clear" w:color="auto" w:fill="004483"/>
          </w:tcPr>
          <w:p>
            <w:pPr>
              <w:ind w:left="100"/>
              <w:spacing w:after="0"/>
              <w:rPr>
                <w:sz w:val="20"/>
                <w:szCs w:val="20"/>
                <w:color w:val="auto"/>
              </w:rPr>
            </w:pPr>
            <w:r>
              <w:rPr>
                <w:rFonts w:ascii="Times New Roman" w:cs="Times New Roman" w:eastAsia="Times New Roman" w:hAnsi="Times New Roman"/>
                <w:sz w:val="13"/>
                <w:szCs w:val="13"/>
                <w:b w:val="1"/>
                <w:bCs w:val="1"/>
                <w:color w:val="FFFFFF"/>
              </w:rPr>
              <w:t>For the Nine Months Ended December 31,</w:t>
            </w:r>
          </w:p>
        </w:tc>
      </w:tr>
      <w:tr>
        <w:trPr>
          <w:trHeight w:val="143"/>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5360" w:type="dxa"/>
            <w:vAlign w:val="bottom"/>
            <w:tcBorders>
              <w:bottom w:val="single" w:sz="8" w:color="004483"/>
            </w:tcBorders>
          </w:tcPr>
          <w:p>
            <w:pPr>
              <w:spacing w:after="0"/>
              <w:rPr>
                <w:sz w:val="13"/>
                <w:szCs w:val="13"/>
                <w:color w:val="auto"/>
              </w:rPr>
            </w:pPr>
          </w:p>
        </w:tc>
        <w:tc>
          <w:tcPr>
            <w:tcW w:w="140" w:type="dxa"/>
            <w:vAlign w:val="bottom"/>
            <w:tcBorders>
              <w:bottom w:val="single" w:sz="8" w:color="004483"/>
            </w:tcBorders>
          </w:tcPr>
          <w:p>
            <w:pPr>
              <w:spacing w:after="0"/>
              <w:rPr>
                <w:sz w:val="13"/>
                <w:szCs w:val="13"/>
                <w:color w:val="auto"/>
              </w:rPr>
            </w:pPr>
          </w:p>
        </w:tc>
        <w:tc>
          <w:tcPr>
            <w:tcW w:w="112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460" w:type="dxa"/>
            <w:vAlign w:val="bottom"/>
            <w:tcBorders>
              <w:bottom w:val="single" w:sz="8" w:color="004483"/>
            </w:tcBorders>
          </w:tcPr>
          <w:p>
            <w:pPr>
              <w:spacing w:after="0"/>
              <w:rPr>
                <w:sz w:val="13"/>
                <w:szCs w:val="13"/>
                <w:color w:val="auto"/>
              </w:rPr>
            </w:pPr>
          </w:p>
        </w:tc>
        <w:tc>
          <w:tcPr>
            <w:tcW w:w="2520" w:type="dxa"/>
            <w:vAlign w:val="bottom"/>
            <w:tcBorders>
              <w:bottom w:val="single" w:sz="8" w:color="004483"/>
            </w:tcBorders>
            <w:gridSpan w:val="7"/>
          </w:tcPr>
          <w:p>
            <w:pPr>
              <w:ind w:left="360"/>
              <w:spacing w:after="0"/>
              <w:rPr>
                <w:sz w:val="20"/>
                <w:szCs w:val="20"/>
                <w:color w:val="auto"/>
              </w:rPr>
            </w:pPr>
            <w:r>
              <w:rPr>
                <w:rFonts w:ascii="Times New Roman" w:cs="Times New Roman" w:eastAsia="Times New Roman" w:hAnsi="Times New Roman"/>
                <w:sz w:val="13"/>
                <w:szCs w:val="13"/>
                <w:color w:val="auto"/>
              </w:rPr>
              <w:t>(dollars in thousands)</w:t>
            </w:r>
          </w:p>
        </w:tc>
        <w:tc>
          <w:tcPr>
            <w:tcW w:w="460" w:type="dxa"/>
            <w:vAlign w:val="bottom"/>
            <w:tcBorders>
              <w:bottom w:val="single" w:sz="8" w:color="004483"/>
            </w:tcBorders>
          </w:tcPr>
          <w:p>
            <w:pPr>
              <w:spacing w:after="0"/>
              <w:rPr>
                <w:sz w:val="13"/>
                <w:szCs w:val="13"/>
                <w:color w:val="auto"/>
              </w:rPr>
            </w:pPr>
          </w:p>
        </w:tc>
        <w:tc>
          <w:tcPr>
            <w:tcW w:w="82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004483"/>
              </w:rPr>
              <w:t>Service Cost - Benefits Earned During the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360" w:type="dxa"/>
            <w:vAlign w:val="bottom"/>
            <w:tcBorders>
              <w:top w:val="single" w:sz="8" w:color="A6A6A6"/>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Interest Cost of Projected Benefit Obligation</w:t>
            </w:r>
          </w:p>
        </w:tc>
        <w:tc>
          <w:tcPr>
            <w:tcW w:w="140" w:type="dxa"/>
            <w:vAlign w:val="bottom"/>
            <w:tcBorders>
              <w:top w:val="single" w:sz="8" w:color="A6A6A6"/>
              <w:bottom w:val="single" w:sz="8" w:color="A6A6A6"/>
            </w:tcBorders>
          </w:tcPr>
          <w:p>
            <w:pPr>
              <w:spacing w:after="0"/>
              <w:rPr>
                <w:sz w:val="18"/>
                <w:szCs w:val="18"/>
                <w:color w:val="auto"/>
              </w:rPr>
            </w:pPr>
          </w:p>
        </w:tc>
        <w:tc>
          <w:tcPr>
            <w:tcW w:w="112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46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112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460" w:type="dxa"/>
            <w:vAlign w:val="bottom"/>
            <w:tcBorders>
              <w:top w:val="single" w:sz="8" w:color="A6A6A6"/>
              <w:bottom w:val="single" w:sz="8" w:color="A6A6A6"/>
            </w:tcBorders>
          </w:tcPr>
          <w:p>
            <w:pPr>
              <w:spacing w:after="0"/>
              <w:rPr>
                <w:sz w:val="18"/>
                <w:szCs w:val="18"/>
                <w:color w:val="auto"/>
              </w:rPr>
            </w:pPr>
          </w:p>
        </w:tc>
        <w:tc>
          <w:tcPr>
            <w:tcW w:w="82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Expected Return on Plan Assets</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6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Recognized Net Actuarial Loss</w:t>
            </w:r>
          </w:p>
        </w:tc>
        <w:tc>
          <w:tcPr>
            <w:tcW w:w="1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60" w:type="dxa"/>
            <w:vAlign w:val="bottom"/>
            <w:tcBorders>
              <w:bottom w:val="single" w:sz="8" w:color="004483"/>
            </w:tcBorders>
          </w:tcPr>
          <w:p>
            <w:pPr>
              <w:spacing w:after="0"/>
              <w:rPr>
                <w:sz w:val="18"/>
                <w:szCs w:val="18"/>
                <w:color w:val="auto"/>
              </w:rPr>
            </w:pPr>
          </w:p>
        </w:tc>
        <w:tc>
          <w:tcPr>
            <w:tcW w:w="8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60" w:type="dxa"/>
            <w:vAlign w:val="bottom"/>
            <w:tcBorders>
              <w:bottom w:val="single" w:sz="8" w:color="004483"/>
            </w:tcBorders>
          </w:tcPr>
          <w:p>
            <w:pPr>
              <w:spacing w:after="0"/>
              <w:rPr>
                <w:sz w:val="18"/>
                <w:szCs w:val="18"/>
                <w:color w:val="auto"/>
              </w:rPr>
            </w:pPr>
          </w:p>
        </w:tc>
        <w:tc>
          <w:tcPr>
            <w:tcW w:w="8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3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Net Periodic Pension (Benefit) Cost</w:t>
            </w:r>
          </w:p>
        </w:tc>
        <w:tc>
          <w:tcPr>
            <w:tcW w:w="1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004483"/>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004483"/>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8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 INCOME TAXES</w:t>
      </w:r>
    </w:p>
    <w:p>
      <w:pPr>
        <w:spacing w:after="0" w:line="127"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Income Taxes for the interim periods presented have been included in the accompanying financial statements on the basis of an estimated annual effective tax rate. In addition to the amount of tax resulting from applying the estimated annual effective tax rate to pre-tax income, we will include, when appropriate, certain items treated as discrete events to arrive at an estimated overall tax amount. The effective tax rate for the nine months ended December 31, 2020 was approximately 22%, which was lower than the tax rate of 24% for the nine months ended December 31, 2019. The effective tax rate is higher than the U.S. Statutory rate of 21% primarily due to state income taxes, partially offset by a benefit recognized related to the reversal of all of our uncertain tax positions. The reversal of all of our uncertain tax position was the result of new regulations issued by the U.S. Department of Treasury relating to the interest limitation under IRC section 163(j).</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 LONG-TERM DEBT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40" w:type="dxa"/>
            <w:vAlign w:val="bottom"/>
            <w:shd w:val="clear" w:color="auto" w:fill="004483"/>
          </w:tcPr>
          <w:p>
            <w:pPr>
              <w:spacing w:after="0"/>
              <w:rPr>
                <w:sz w:val="19"/>
                <w:szCs w:val="19"/>
                <w:color w:val="auto"/>
              </w:rPr>
            </w:pPr>
          </w:p>
        </w:tc>
        <w:tc>
          <w:tcPr>
            <w:tcW w:w="1400" w:type="dxa"/>
            <w:vAlign w:val="bottom"/>
            <w:gridSpan w:val="3"/>
            <w:shd w:val="clear" w:color="auto" w:fill="004483"/>
          </w:tcPr>
          <w:p>
            <w:pPr>
              <w:ind w:left="360"/>
              <w:spacing w:after="0"/>
              <w:rPr>
                <w:sz w:val="20"/>
                <w:szCs w:val="20"/>
                <w:color w:val="auto"/>
              </w:rPr>
            </w:pPr>
            <w:r>
              <w:rPr>
                <w:rFonts w:ascii="Times New Roman" w:cs="Times New Roman" w:eastAsia="Times New Roman" w:hAnsi="Times New Roman"/>
                <w:sz w:val="13"/>
                <w:szCs w:val="13"/>
                <w:b w:val="1"/>
                <w:bCs w:val="1"/>
                <w:color w:val="FFFFFF"/>
              </w:rPr>
              <w:t>December 31,</w:t>
            </w:r>
          </w:p>
        </w:tc>
        <w:tc>
          <w:tcPr>
            <w:tcW w:w="660" w:type="dxa"/>
            <w:vAlign w:val="bottom"/>
            <w:shd w:val="clear" w:color="auto" w:fill="004483"/>
          </w:tcPr>
          <w:p>
            <w:pPr>
              <w:spacing w:after="0"/>
              <w:rPr>
                <w:sz w:val="19"/>
                <w:szCs w:val="19"/>
                <w:color w:val="auto"/>
              </w:rPr>
            </w:pPr>
          </w:p>
        </w:tc>
        <w:tc>
          <w:tcPr>
            <w:tcW w:w="1020" w:type="dxa"/>
            <w:vAlign w:val="bottom"/>
            <w:gridSpan w:val="2"/>
            <w:shd w:val="clear" w:color="auto" w:fill="004483"/>
          </w:tcPr>
          <w:p>
            <w:pPr>
              <w:ind w:left="360"/>
              <w:spacing w:after="0"/>
              <w:rPr>
                <w:sz w:val="20"/>
                <w:szCs w:val="20"/>
                <w:color w:val="auto"/>
              </w:rPr>
            </w:pPr>
            <w:r>
              <w:rPr>
                <w:rFonts w:ascii="Times New Roman" w:cs="Times New Roman" w:eastAsia="Times New Roman" w:hAnsi="Times New Roman"/>
                <w:sz w:val="13"/>
                <w:szCs w:val="13"/>
                <w:b w:val="1"/>
                <w:bCs w:val="1"/>
                <w:color w:val="FFFFFF"/>
              </w:rPr>
              <w:t>March 31,</w:t>
            </w:r>
          </w:p>
        </w:tc>
      </w:tr>
      <w:tr>
        <w:trPr>
          <w:trHeight w:val="143"/>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5220" w:type="dxa"/>
            <w:vAlign w:val="bottom"/>
            <w:tcBorders>
              <w:bottom w:val="single" w:sz="8" w:color="004483"/>
            </w:tcBorders>
          </w:tcPr>
          <w:p>
            <w:pPr>
              <w:spacing w:after="0"/>
              <w:rPr>
                <w:sz w:val="13"/>
                <w:szCs w:val="13"/>
                <w:color w:val="auto"/>
              </w:rPr>
            </w:pPr>
          </w:p>
        </w:tc>
        <w:tc>
          <w:tcPr>
            <w:tcW w:w="2480" w:type="dxa"/>
            <w:vAlign w:val="bottom"/>
            <w:tcBorders>
              <w:bottom w:val="single" w:sz="8" w:color="004483"/>
            </w:tcBorders>
          </w:tcPr>
          <w:p>
            <w:pPr>
              <w:spacing w:after="0"/>
              <w:rPr>
                <w:sz w:val="13"/>
                <w:szCs w:val="13"/>
                <w:color w:val="auto"/>
              </w:rPr>
            </w:pPr>
          </w:p>
        </w:tc>
        <w:tc>
          <w:tcPr>
            <w:tcW w:w="440" w:type="dxa"/>
            <w:vAlign w:val="bottom"/>
            <w:tcBorders>
              <w:bottom w:val="single" w:sz="8" w:color="004483"/>
            </w:tcBorders>
          </w:tcPr>
          <w:p>
            <w:pPr>
              <w:spacing w:after="0"/>
              <w:rPr>
                <w:sz w:val="13"/>
                <w:szCs w:val="13"/>
                <w:color w:val="auto"/>
              </w:rPr>
            </w:pPr>
          </w:p>
        </w:tc>
        <w:tc>
          <w:tcPr>
            <w:tcW w:w="2060" w:type="dxa"/>
            <w:vAlign w:val="bottom"/>
            <w:tcBorders>
              <w:bottom w:val="single" w:sz="8" w:color="004483"/>
            </w:tcBorders>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(dollars in thousands)</w:t>
            </w:r>
          </w:p>
        </w:tc>
        <w:tc>
          <w:tcPr>
            <w:tcW w:w="92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6"/>
                <w:szCs w:val="16"/>
                <w:color w:val="004483"/>
              </w:rPr>
              <w:t>Revolving Credit Facility</w:t>
            </w:r>
          </w:p>
        </w:tc>
        <w:tc>
          <w:tcPr>
            <w:tcW w:w="2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5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560,000</w:t>
            </w: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220" w:type="dxa"/>
            <w:vAlign w:val="bottom"/>
            <w:tcBorders>
              <w:top w:val="single" w:sz="8" w:color="A6A6A6"/>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4.500% Senior Unsecured Notes Due 2026</w:t>
            </w:r>
          </w:p>
        </w:tc>
        <w:tc>
          <w:tcPr>
            <w:tcW w:w="2480" w:type="dxa"/>
            <w:vAlign w:val="bottom"/>
            <w:tcBorders>
              <w:top w:val="single" w:sz="8" w:color="A6A6A6"/>
              <w:bottom w:val="single" w:sz="8" w:color="A6A6A6"/>
            </w:tcBorders>
          </w:tcPr>
          <w:p>
            <w:pPr>
              <w:spacing w:after="0"/>
              <w:rPr>
                <w:sz w:val="18"/>
                <w:szCs w:val="18"/>
                <w:color w:val="auto"/>
              </w:rPr>
            </w:pPr>
          </w:p>
        </w:tc>
        <w:tc>
          <w:tcPr>
            <w:tcW w:w="440" w:type="dxa"/>
            <w:vAlign w:val="bottom"/>
            <w:tcBorders>
              <w:top w:val="single" w:sz="8" w:color="A6A6A6"/>
              <w:bottom w:val="single" w:sz="8" w:color="A6A6A6"/>
            </w:tcBorders>
          </w:tcPr>
          <w:p>
            <w:pPr>
              <w:spacing w:after="0"/>
              <w:rPr>
                <w:sz w:val="18"/>
                <w:szCs w:val="18"/>
                <w:color w:val="auto"/>
              </w:rPr>
            </w:pPr>
          </w:p>
        </w:tc>
        <w:tc>
          <w:tcPr>
            <w:tcW w:w="112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660" w:type="dxa"/>
            <w:vAlign w:val="bottom"/>
            <w:tcBorders>
              <w:top w:val="single" w:sz="8" w:color="A6A6A6"/>
              <w:bottom w:val="single" w:sz="8" w:color="A6A6A6"/>
            </w:tcBorders>
          </w:tcPr>
          <w:p>
            <w:pPr>
              <w:spacing w:after="0"/>
              <w:rPr>
                <w:sz w:val="18"/>
                <w:szCs w:val="18"/>
                <w:color w:val="auto"/>
              </w:rPr>
            </w:pPr>
          </w:p>
        </w:tc>
        <w:tc>
          <w:tcPr>
            <w:tcW w:w="92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22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Term Loan</w:t>
            </w:r>
          </w:p>
        </w:tc>
        <w:tc>
          <w:tcPr>
            <w:tcW w:w="2480" w:type="dxa"/>
            <w:vAlign w:val="bottom"/>
            <w:tcBorders>
              <w:bottom w:val="single" w:sz="8" w:color="A6A6A6"/>
            </w:tcBorders>
          </w:tcPr>
          <w:p>
            <w:pPr>
              <w:spacing w:after="0"/>
              <w:rPr>
                <w:sz w:val="18"/>
                <w:szCs w:val="18"/>
                <w:color w:val="auto"/>
              </w:rPr>
            </w:pPr>
          </w:p>
        </w:tc>
        <w:tc>
          <w:tcPr>
            <w:tcW w:w="4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665,000</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60" w:type="dxa"/>
            <w:vAlign w:val="bottom"/>
            <w:tcBorders>
              <w:bottom w:val="single" w:sz="8" w:color="004483"/>
            </w:tcBorders>
          </w:tcPr>
          <w:p>
            <w:pPr>
              <w:spacing w:after="0"/>
              <w:rPr>
                <w:sz w:val="18"/>
                <w:szCs w:val="18"/>
                <w:color w:val="auto"/>
              </w:rPr>
            </w:pPr>
          </w:p>
        </w:tc>
        <w:tc>
          <w:tcPr>
            <w:tcW w:w="9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665,000</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2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248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1,015,000</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1,575,000</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522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Less: Debt Origination Costs</w:t>
            </w:r>
          </w:p>
        </w:tc>
        <w:tc>
          <w:tcPr>
            <w:tcW w:w="2480" w:type="dxa"/>
            <w:vAlign w:val="bottom"/>
            <w:tcBorders>
              <w:bottom w:val="single" w:sz="8" w:color="A6A6A6"/>
            </w:tcBorders>
          </w:tcPr>
          <w:p>
            <w:pPr>
              <w:spacing w:after="0"/>
              <w:rPr>
                <w:sz w:val="17"/>
                <w:szCs w:val="17"/>
                <w:color w:val="auto"/>
              </w:rPr>
            </w:pPr>
          </w:p>
        </w:tc>
        <w:tc>
          <w:tcPr>
            <w:tcW w:w="440" w:type="dxa"/>
            <w:vAlign w:val="bottom"/>
            <w:tcBorders>
              <w:bottom w:val="single" w:sz="8" w:color="004483"/>
            </w:tcBorders>
          </w:tcPr>
          <w:p>
            <w:pPr>
              <w:spacing w:after="0"/>
              <w:rPr>
                <w:sz w:val="17"/>
                <w:szCs w:val="17"/>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(6,655)</w:t>
            </w: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660" w:type="dxa"/>
            <w:vAlign w:val="bottom"/>
            <w:tcBorders>
              <w:bottom w:val="single" w:sz="8" w:color="004483"/>
            </w:tcBorders>
          </w:tcPr>
          <w:p>
            <w:pPr>
              <w:spacing w:after="0"/>
              <w:rPr>
                <w:sz w:val="17"/>
                <w:szCs w:val="17"/>
                <w:color w:val="auto"/>
              </w:rPr>
            </w:pPr>
          </w:p>
        </w:tc>
        <w:tc>
          <w:tcPr>
            <w:tcW w:w="9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(7,685)</w:t>
            </w:r>
          </w:p>
        </w:tc>
        <w:tc>
          <w:tcPr>
            <w:tcW w:w="10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Long-term Debt</w:t>
            </w:r>
          </w:p>
        </w:tc>
        <w:tc>
          <w:tcPr>
            <w:tcW w:w="2480" w:type="dxa"/>
            <w:vAlign w:val="bottom"/>
          </w:tcPr>
          <w:p>
            <w:pPr>
              <w:spacing w:after="0"/>
              <w:rPr>
                <w:sz w:val="18"/>
                <w:szCs w:val="18"/>
                <w:color w:val="auto"/>
              </w:rPr>
            </w:pPr>
          </w:p>
        </w:tc>
        <w:tc>
          <w:tcPr>
            <w:tcW w:w="440" w:type="dxa"/>
            <w:vAlign w:val="bottom"/>
            <w:tcBorders>
              <w:bottom w:val="single" w:sz="8" w:color="004483"/>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1,008,345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bottom w:val="single" w:sz="8" w:color="004483"/>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1,567,315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Facility</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On January 13, 2021 we amended our revolving credit facility (the Revolving Credit Facility) to extend the maturity date with respect to certain lender commitments thereunder from August 2, 2021 to August 2, 2022. The borrowing capacity under the Revolving Credit Facility is $750.0 million, and as a result of this amendment, all lender commitments under the Revolving Credit Facility now mature on August 2, 2022. The Revolving Credit Facility also includes a swingline loan sublimit of $25.0 million.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9" w:name="page20"/>
    <w:bookmarkEnd w:id="19"/>
    <w:p>
      <w:pPr>
        <w:ind w:right="20"/>
        <w:spacing w:after="0" w:line="266" w:lineRule="auto"/>
        <w:rPr>
          <w:sz w:val="20"/>
          <w:szCs w:val="20"/>
          <w:color w:val="auto"/>
        </w:rPr>
      </w:pPr>
      <w:r>
        <w:rPr>
          <w:rFonts w:ascii="Arial" w:cs="Arial" w:eastAsia="Arial" w:hAnsi="Arial"/>
          <w:sz w:val="18"/>
          <w:szCs w:val="18"/>
          <w:color w:val="auto"/>
        </w:rPr>
        <w:t>Borrowings under the Revolving Credit Facility are guaranteed by all of the Company’s material subsidiaries. The debt under the Revolving Credit Facility is not rated by ratings agencies. At the Company’s option, principal amounts outstanding under the Revolving Credit Facility bear interest at a variable rate equal to either (i) the Adjusted LIBO Rate (as defined in the Revolving Credit Facility) plus an agreed spread ranging from 150 to 250 basis points, which is established quarterly based on the Company's then Leverage Ratio (as defined in the Revolving Credit Facility); or (ii) an Alternate Base Rate (as defined in the Revolving Credit Facility), which is the highest of (a) the Prime Rate (as defined in the Revolving Credit Facility), (b) the NYFRB (as defined in the Revolving Credit Facility) plus ½ of 1%, and (c) the Adjusted LIBO Rate for a one-month interest period on such day, plus 1.0%, in each case plus an agreed upon spread ranging from 50 to 150 basis points, which is established quarterly based on the Company's then Leverage Ratio. In the case of loans bearing interest at a rate based on the Alternate Base Rate, interest payments are payable quarterly. In the case of loans bearing interest at a rate based on the Adjusted LIBO Rate, interest is payable at the end of the relevant Interest Period (as defined in the Revolving Credit Facility) for such borrowing unless such Interest Period is for more than three months duration, in which case such interest is payable at intervals of three months duration after the first day of such Interest Period, which can be up to six months at the option of the Company. The Company is also required to pay a commitment fee on unused available borrowings under the Revolving Credit Facility ranging from 20 to 40 basis points, which is established quarterly based on the Company's then Leverage Ratio. The Revolving Credit Facility contains customary covenants that restrict the Company’s and its Restricted Subsidiaries’ ability to incur additional debt; encumber assets; merge with or transfer or sell assets to other persons; make or enter into certain investments, loans, or guaranties; enter into certain swap agreements; enter into affiliate transactions or restrictive transactions; make restricted payments; prepay subordinated indebtedness; and enter into sale and leaseback arrangements. The Revolving Credit Facility also requires the Company to maintain at the end of each fiscal quarter a Leverage Ratio of 4.50:1.00 or less and an Interest Coverage Ratio (as defined in the Revolving Credit Facility) equal to or greater than 2.50 to 1.00.</w:t>
      </w:r>
    </w:p>
    <w:p>
      <w:pPr>
        <w:spacing w:after="0" w:line="78" w:lineRule="exact"/>
        <w:rPr>
          <w:sz w:val="20"/>
          <w:szCs w:val="20"/>
          <w:color w:val="auto"/>
        </w:rPr>
      </w:pPr>
    </w:p>
    <w:p>
      <w:pPr>
        <w:ind w:right="140"/>
        <w:spacing w:after="0" w:line="306" w:lineRule="auto"/>
        <w:rPr>
          <w:sz w:val="20"/>
          <w:szCs w:val="20"/>
          <w:color w:val="auto"/>
        </w:rPr>
      </w:pPr>
      <w:r>
        <w:rPr>
          <w:rFonts w:ascii="Arial" w:cs="Arial" w:eastAsia="Arial" w:hAnsi="Arial"/>
          <w:sz w:val="17"/>
          <w:szCs w:val="17"/>
          <w:color w:val="auto"/>
        </w:rPr>
        <w:t>We were in compliance with all financial ratios and tests at December 31, 2020. We did not have any borrowings outstanding under the Revolving Credit Facility at December 31, 2020. We had $745.0 million of available borrowings under the Revolving Credit Facility, net of the outstanding letters of credit, at December 31, 2020, all of which was available for future borrowings based on our current Leverage Ratio.</w:t>
      </w:r>
    </w:p>
    <w:p>
      <w:pPr>
        <w:spacing w:after="0" w:line="4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Revolving Credit Facility has a $40.0 million letter of credit facility. The Company pays each lender a participation fee with respect to such lender’s participations in letters of credit, which fee accrues at the same Applicable Rate (as defined in the Revolving Credit Facility) used to determine the interest rate applicable to Eurodollar Revolving Loans (as defined in the Revolving Credit Facility) plus a one-time letter of credit fee to the issuing bank of such letters of credit in an amount equal to 0.125% of the initial stated amount. At December 31, 2020, we had $5.0 million of outstanding letters of credit. We previously provided an irrevocable stand-by letter of credit for any borrowings made by our Joint Venture under its credit facility; however, this credit facility was terminated and the letter of credit cancelled in July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 Loan</w:t>
      </w:r>
    </w:p>
    <w:p>
      <w:pPr>
        <w:spacing w:after="0" w:line="130"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We have a term loan credit agreement (the Term Loan Agreement) establishing a $665.0 million term loan facility which we used to pay a portion of the purchase price for the Kosmos Acquisition and fees and expenses incurred in connection with the Kosmos Acquisition in March 2020, which matures on August 2, 2022.</w:t>
      </w:r>
    </w:p>
    <w:p>
      <w:pPr>
        <w:spacing w:after="0" w:line="5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Borrowings under the Term Loan Agreement bear interest, at our option, at a variable rate equal to either (i) the Alternate Base Rate (as defined in the Term Loan Agreement and consistent with the Revolving Credit Facility), plus an agreed spread (ranging from 50 to 150 basis points), or (ii) the Adjusted LIBO Rate (as defined in the Term Loan Agreement) plus an agreed spread (ranging from 150 to 250 basis points), which is established quarterly based on the Company's then Leverage Ratio (as defined in the Term Loan Agreement and consistent with the Revolving Credit Facility). The Company must also maintain a Leverage Ratio and Interest Coverage Ratio consistent with the Revolving Credit Facility.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479"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4.500% Senior Unsecured Notes Due 2026</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On August 2, 2016, the Company issued $350.0 million aggregate principal amount of 4.500% senior notes (Senior Unsecured Notes) due August 2026. Interest on the Senior Unsecured Notes is payable semiannually on February 1 and August 1 of each year until all of the outstanding notes are paid. The Senior Unsecured Notes rank equal to existing and future senior indebtedness, including the Revolving Credit Facility and the Term Loan. Prior to August 1, 2021, we may redeem some or all of the Senior Unsecured Notes at a price equal to 100% of the principal amount, plus a “make-whole” premium. Beginning August 1, 2021, we may redeem some or all of the Senior Unsecured Notes at the redemption prices set forth below (expressed as a percentage of the principal amount being redeemed):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860" w:type="dxa"/>
            <w:vAlign w:val="bottom"/>
            <w:tcBorders>
              <w:bottom w:val="single" w:sz="8" w:color="004483"/>
            </w:tcBorders>
          </w:tcPr>
          <w:p>
            <w:pPr>
              <w:spacing w:after="0"/>
              <w:rPr>
                <w:sz w:val="13"/>
                <w:szCs w:val="13"/>
                <w:color w:val="auto"/>
              </w:rPr>
            </w:pPr>
          </w:p>
        </w:tc>
        <w:tc>
          <w:tcPr>
            <w:tcW w:w="5220" w:type="dxa"/>
            <w:vAlign w:val="bottom"/>
            <w:tcBorders>
              <w:bottom w:val="single" w:sz="8" w:color="004483"/>
            </w:tcBorders>
          </w:tcPr>
          <w:p>
            <w:pPr>
              <w:ind w:left="462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120" w:type="dxa"/>
            <w:vAlign w:val="bottom"/>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6"/>
                <w:szCs w:val="16"/>
                <w:color w:val="004483"/>
              </w:rPr>
              <w:t>2021</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102.25%</w:t>
            </w:r>
          </w:p>
        </w:tc>
      </w:tr>
      <w:tr>
        <w:trPr>
          <w:trHeight w:val="20"/>
        </w:trPr>
        <w:tc>
          <w:tcPr>
            <w:tcW w:w="20" w:type="dxa"/>
            <w:vAlign w:val="bottom"/>
            <w:shd w:val="clear" w:color="auto" w:fill="A6A6A6"/>
          </w:tcPr>
          <w:p>
            <w:pPr>
              <w:spacing w:after="0" w:line="20" w:lineRule="exact"/>
              <w:rPr>
                <w:sz w:val="1"/>
                <w:szCs w:val="1"/>
                <w:color w:val="auto"/>
              </w:rPr>
            </w:pPr>
          </w:p>
        </w:tc>
        <w:tc>
          <w:tcPr>
            <w:tcW w:w="5860" w:type="dxa"/>
            <w:vAlign w:val="bottom"/>
            <w:shd w:val="clear" w:color="auto" w:fill="A6A6A6"/>
          </w:tcPr>
          <w:p>
            <w:pPr>
              <w:spacing w:after="0" w:line="20" w:lineRule="exact"/>
              <w:rPr>
                <w:sz w:val="1"/>
                <w:szCs w:val="1"/>
                <w:color w:val="auto"/>
              </w:rPr>
            </w:pPr>
          </w:p>
        </w:tc>
        <w:tc>
          <w:tcPr>
            <w:tcW w:w="52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color w:val="004483"/>
              </w:rPr>
              <w:t>2022</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101.50%</w:t>
            </w:r>
          </w:p>
        </w:tc>
      </w:tr>
      <w:tr>
        <w:trPr>
          <w:trHeight w:val="20"/>
        </w:trPr>
        <w:tc>
          <w:tcPr>
            <w:tcW w:w="20" w:type="dxa"/>
            <w:vAlign w:val="bottom"/>
            <w:shd w:val="clear" w:color="auto" w:fill="A6A6A6"/>
          </w:tcPr>
          <w:p>
            <w:pPr>
              <w:spacing w:after="0" w:line="20" w:lineRule="exact"/>
              <w:rPr>
                <w:sz w:val="1"/>
                <w:szCs w:val="1"/>
                <w:color w:val="auto"/>
              </w:rPr>
            </w:pPr>
          </w:p>
        </w:tc>
        <w:tc>
          <w:tcPr>
            <w:tcW w:w="5860" w:type="dxa"/>
            <w:vAlign w:val="bottom"/>
            <w:shd w:val="clear" w:color="auto" w:fill="A6A6A6"/>
          </w:tcPr>
          <w:p>
            <w:pPr>
              <w:spacing w:after="0" w:line="20" w:lineRule="exact"/>
              <w:rPr>
                <w:sz w:val="1"/>
                <w:szCs w:val="1"/>
                <w:color w:val="auto"/>
              </w:rPr>
            </w:pPr>
          </w:p>
        </w:tc>
        <w:tc>
          <w:tcPr>
            <w:tcW w:w="52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color w:val="004483"/>
              </w:rPr>
              <w:t>2023</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100.75%</w:t>
            </w:r>
          </w:p>
        </w:tc>
      </w:tr>
      <w:tr>
        <w:trPr>
          <w:trHeight w:val="20"/>
        </w:trPr>
        <w:tc>
          <w:tcPr>
            <w:tcW w:w="20" w:type="dxa"/>
            <w:vAlign w:val="bottom"/>
            <w:shd w:val="clear" w:color="auto" w:fill="A6A6A6"/>
          </w:tcPr>
          <w:p>
            <w:pPr>
              <w:spacing w:after="0" w:line="20" w:lineRule="exact"/>
              <w:rPr>
                <w:sz w:val="1"/>
                <w:szCs w:val="1"/>
                <w:color w:val="auto"/>
              </w:rPr>
            </w:pPr>
          </w:p>
        </w:tc>
        <w:tc>
          <w:tcPr>
            <w:tcW w:w="5860" w:type="dxa"/>
            <w:vAlign w:val="bottom"/>
            <w:shd w:val="clear" w:color="auto" w:fill="A6A6A6"/>
          </w:tcPr>
          <w:p>
            <w:pPr>
              <w:spacing w:after="0" w:line="20" w:lineRule="exact"/>
              <w:rPr>
                <w:sz w:val="1"/>
                <w:szCs w:val="1"/>
                <w:color w:val="auto"/>
              </w:rPr>
            </w:pPr>
          </w:p>
        </w:tc>
        <w:tc>
          <w:tcPr>
            <w:tcW w:w="52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color w:val="004483"/>
              </w:rPr>
              <w:t>2024 and thereafter</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20"/>
        </w:trPr>
        <w:tc>
          <w:tcPr>
            <w:tcW w:w="20" w:type="dxa"/>
            <w:vAlign w:val="bottom"/>
            <w:shd w:val="clear" w:color="auto" w:fill="A6A6A6"/>
          </w:tcPr>
          <w:p>
            <w:pPr>
              <w:spacing w:after="0" w:line="20" w:lineRule="exact"/>
              <w:rPr>
                <w:sz w:val="1"/>
                <w:szCs w:val="1"/>
                <w:color w:val="auto"/>
              </w:rPr>
            </w:pPr>
          </w:p>
        </w:tc>
        <w:tc>
          <w:tcPr>
            <w:tcW w:w="5860" w:type="dxa"/>
            <w:vAlign w:val="bottom"/>
            <w:shd w:val="clear" w:color="auto" w:fill="A6A6A6"/>
          </w:tcPr>
          <w:p>
            <w:pPr>
              <w:spacing w:after="0" w:line="20" w:lineRule="exact"/>
              <w:rPr>
                <w:sz w:val="1"/>
                <w:szCs w:val="1"/>
                <w:color w:val="auto"/>
              </w:rPr>
            </w:pPr>
          </w:p>
        </w:tc>
        <w:tc>
          <w:tcPr>
            <w:tcW w:w="52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5"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Senior Unsecured Notes contain covenants that limit our ability and/or our guarantor subsidiaries' ability to create or permit to exist certain liens; enter into sale and leaseback transactions; and consolidate, merge, or transfer all or substantially all of our assets. The Company’s Senior Unsecured Notes are fully, unconditionally, jointly, and severally guaranteed by each of our subsidiaries that are guarantors under the Revolving Credit Facility and Term Loan Agreement.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We previously leased one of our cement plants from the City of Sugar Creek, Missouri. The city of Sugar Creek issued industrial revenue bonds to partly finance improvements to the cement plant. The lease payments due to the City of Sugar Creek under the cement plant lease, which was entered into upon the sale of the industrial revenue bonds, were equal in amount to the payments required to be made by the City of Sugar Creek to the holders of the industrial revenue bonds. Because we held all outstanding industrial revenue bonds, no debt was reflected on our financial statements in connection with our lease of the cement plant. Upon expiration of the lease in December 2020, we exercised our option and purchased the cement plant for a nominal amount.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 SEGMENT INFORMATION</w:t>
      </w:r>
    </w:p>
    <w:p>
      <w:pPr>
        <w:spacing w:after="0" w:line="11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Operating segments are defined as components of an enterprise that engage in business activities that earn revenue, incur expenses, and prepare separate financial information that is evaluated regularly by our chief operating decision maker in order to allocate resources and assess performance. On September 18, 2020, we sold our Oil and Gas Proppants business, which had been reported as an operating segment. The Oil and Gas Proppants business was determined to meet the discontinued operations accounting criteria; therefore, this segment is no longer separately reported in our reportable segment footnote for any of the periods presented. Certain expenses of the Oil and Gas Proppants business that related to assets not included in the sale, namely real property and equipment in south Texas, real property in Illinois, and certain other assets, are included in Other when reconciling segment operating earnings to consolidated operating earnings. See Footnote (C) for more information about the sale of the Oil and Gas Proppants business.</w:t>
      </w:r>
    </w:p>
    <w:p>
      <w:pPr>
        <w:spacing w:after="0" w:line="74"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We are a leading supplier of heavy construction materials and light building materials in the United States. 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across many United States markets, which provides us with regional economic diversification.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97" w:right="359" w:bottom="1440" w:gutter="0" w:footer="0" w:header="0"/>
        </w:sectPr>
      </w:pPr>
    </w:p>
    <w:bookmarkStart w:id="21" w:name="page22"/>
    <w:bookmarkEnd w:id="21"/>
    <w:p>
      <w:pPr>
        <w:ind w:right="420"/>
        <w:spacing w:after="0" w:line="283" w:lineRule="auto"/>
        <w:rPr>
          <w:sz w:val="20"/>
          <w:szCs w:val="20"/>
          <w:color w:val="auto"/>
        </w:rPr>
      </w:pPr>
      <w:r>
        <w:rPr>
          <w:rFonts w:ascii="Arial" w:cs="Arial" w:eastAsia="Arial" w:hAnsi="Arial"/>
          <w:sz w:val="18"/>
          <w:szCs w:val="18"/>
          <w:color w:val="auto"/>
        </w:rPr>
        <w:t>Our remaining businesses are organized into two sectors within which there are four reportable business segments. The Heavy Materials sector includes the Cement and Concrete and Aggregates segments. The Light Materials sector includes the Gypsum Wallboard and Recycled Paperboard segments.</w:t>
      </w:r>
    </w:p>
    <w:p>
      <w:pPr>
        <w:spacing w:after="0" w:line="59"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Our operations are conducted in the U.S. and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69" w:lineRule="exact"/>
        <w:rPr>
          <w:sz w:val="20"/>
          <w:szCs w:val="20"/>
          <w:color w:val="auto"/>
        </w:rPr>
      </w:pPr>
    </w:p>
    <w:p>
      <w:pPr>
        <w:ind w:right="200"/>
        <w:spacing w:after="0" w:line="293" w:lineRule="auto"/>
        <w:rPr>
          <w:sz w:val="20"/>
          <w:szCs w:val="20"/>
          <w:color w:val="auto"/>
        </w:rPr>
      </w:pPr>
      <w:r>
        <w:rPr>
          <w:rFonts w:ascii="Arial" w:cs="Arial" w:eastAsia="Arial" w:hAnsi="Arial"/>
          <w:sz w:val="17"/>
          <w:szCs w:val="17"/>
          <w:color w:val="auto"/>
        </w:rPr>
        <w:t>We operate eight modern cement plants (one of which is operated through a joint venture located in Buda, Texas), one slag grinding facility, and 29 cement distribution terminals. Our cement companies focus on the U.S. heartland and operate as an integrated network selling product primarily in Colorado, Illinois, Indiana, Iowa, Kentucky, Missouri, Nebraska, Nevada, Ohio, Oklahoma, and Texas. We operate 20 readymix concrete batch plants and three aggregates processing plants in markets that are complementary to our cement network. On April 17, 2020 we sold our Concrete and Aggregates companies in northern California. See Footnote (C) for more information about the sale.</w:t>
      </w:r>
    </w:p>
    <w:p>
      <w:pPr>
        <w:spacing w:after="0" w:line="53" w:lineRule="exact"/>
        <w:rPr>
          <w:sz w:val="20"/>
          <w:szCs w:val="20"/>
          <w:color w:val="auto"/>
        </w:rPr>
      </w:pPr>
    </w:p>
    <w:p>
      <w:pPr>
        <w:ind w:right="820"/>
        <w:spacing w:after="0" w:line="302" w:lineRule="auto"/>
        <w:rPr>
          <w:sz w:val="20"/>
          <w:szCs w:val="20"/>
          <w:color w:val="auto"/>
        </w:rPr>
      </w:pPr>
      <w:r>
        <w:rPr>
          <w:rFonts w:ascii="Arial" w:cs="Arial" w:eastAsia="Arial" w:hAnsi="Arial"/>
          <w:sz w:val="18"/>
          <w:szCs w:val="18"/>
          <w:color w:val="auto"/>
        </w:rPr>
        <w:t>We operate five gypsum wallboard plants and a recycled paperboard mill. We distribute gypsum wallboard and recycled paperboard throughout the continental U.S., with the exception of the Northeast.</w:t>
      </w:r>
    </w:p>
    <w:p>
      <w:pPr>
        <w:spacing w:after="0" w:line="42" w:lineRule="exact"/>
        <w:rPr>
          <w:sz w:val="20"/>
          <w:szCs w:val="20"/>
          <w:color w:val="auto"/>
        </w:rPr>
      </w:pPr>
    </w:p>
    <w:p>
      <w:pPr>
        <w:ind w:right="240"/>
        <w:spacing w:after="0" w:line="283" w:lineRule="auto"/>
        <w:rPr>
          <w:sz w:val="20"/>
          <w:szCs w:val="20"/>
          <w:color w:val="auto"/>
        </w:rPr>
      </w:pPr>
      <w:r>
        <w:rPr>
          <w:rFonts w:ascii="Arial" w:cs="Arial" w:eastAsia="Arial" w:hAnsi="Arial"/>
          <w:sz w:val="18"/>
          <w:szCs w:val="18"/>
          <w:color w:val="auto"/>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spacing w:after="0" w:line="59" w:lineRule="exact"/>
        <w:rPr>
          <w:sz w:val="20"/>
          <w:szCs w:val="20"/>
          <w:color w:val="auto"/>
        </w:rPr>
      </w:pPr>
    </w:p>
    <w:p>
      <w:pPr>
        <w:ind w:right="340"/>
        <w:spacing w:after="0" w:line="302" w:lineRule="auto"/>
        <w:rPr>
          <w:sz w:val="20"/>
          <w:szCs w:val="20"/>
          <w:color w:val="auto"/>
        </w:rPr>
      </w:pPr>
      <w:r>
        <w:rPr>
          <w:rFonts w:ascii="Arial" w:cs="Arial" w:eastAsia="Arial" w:hAnsi="Arial"/>
          <w:sz w:val="18"/>
          <w:szCs w:val="18"/>
          <w:color w:val="auto"/>
        </w:rPr>
        <w:t>The following table sets forth certain financial information relating to our operations by segment. We do not allocate interest or taxes at the segment level; these costs are disclosed at the consolidated company level.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40" w:type="dxa"/>
            <w:vAlign w:val="bottom"/>
            <w:shd w:val="clear" w:color="auto" w:fill="004483"/>
          </w:tcPr>
          <w:p>
            <w:pPr>
              <w:spacing w:after="0"/>
              <w:rPr>
                <w:sz w:val="19"/>
                <w:szCs w:val="19"/>
                <w:color w:val="auto"/>
              </w:rPr>
            </w:pPr>
          </w:p>
        </w:tc>
        <w:tc>
          <w:tcPr>
            <w:tcW w:w="2720" w:type="dxa"/>
            <w:vAlign w:val="bottom"/>
            <w:gridSpan w:val="6"/>
            <w:shd w:val="clear" w:color="auto" w:fill="004483"/>
          </w:tcPr>
          <w:p>
            <w:pPr>
              <w:ind w:left="60"/>
              <w:spacing w:after="0"/>
              <w:rPr>
                <w:sz w:val="20"/>
                <w:szCs w:val="20"/>
                <w:color w:val="auto"/>
              </w:rPr>
            </w:pPr>
            <w:r>
              <w:rPr>
                <w:rFonts w:ascii="Times New Roman" w:cs="Times New Roman" w:eastAsia="Times New Roman" w:hAnsi="Times New Roman"/>
                <w:sz w:val="13"/>
                <w:szCs w:val="13"/>
                <w:b w:val="1"/>
                <w:bCs w:val="1"/>
                <w:color w:val="FFFFFF"/>
              </w:rPr>
              <w:t>For the Three Months Ended December 31,</w:t>
            </w:r>
          </w:p>
        </w:tc>
        <w:tc>
          <w:tcPr>
            <w:tcW w:w="120" w:type="dxa"/>
            <w:vAlign w:val="bottom"/>
          </w:tcPr>
          <w:p>
            <w:pPr>
              <w:spacing w:after="0"/>
              <w:rPr>
                <w:sz w:val="19"/>
                <w:szCs w:val="19"/>
                <w:color w:val="auto"/>
              </w:rPr>
            </w:pPr>
          </w:p>
        </w:tc>
        <w:tc>
          <w:tcPr>
            <w:tcW w:w="160" w:type="dxa"/>
            <w:vAlign w:val="bottom"/>
            <w:shd w:val="clear" w:color="auto" w:fill="004483"/>
          </w:tcPr>
          <w:p>
            <w:pPr>
              <w:spacing w:after="0"/>
              <w:rPr>
                <w:sz w:val="19"/>
                <w:szCs w:val="19"/>
                <w:color w:val="auto"/>
              </w:rPr>
            </w:pPr>
          </w:p>
        </w:tc>
        <w:tc>
          <w:tcPr>
            <w:tcW w:w="2720" w:type="dxa"/>
            <w:vAlign w:val="bottom"/>
            <w:gridSpan w:val="7"/>
            <w:shd w:val="clear" w:color="auto" w:fill="004483"/>
          </w:tcPr>
          <w:p>
            <w:pPr>
              <w:ind w:left="100"/>
              <w:spacing w:after="0"/>
              <w:rPr>
                <w:sz w:val="20"/>
                <w:szCs w:val="20"/>
                <w:color w:val="auto"/>
              </w:rPr>
            </w:pPr>
            <w:r>
              <w:rPr>
                <w:rFonts w:ascii="Times New Roman" w:cs="Times New Roman" w:eastAsia="Times New Roman" w:hAnsi="Times New Roman"/>
                <w:sz w:val="13"/>
                <w:szCs w:val="13"/>
                <w:b w:val="1"/>
                <w:bCs w:val="1"/>
                <w:color w:val="FFFFFF"/>
              </w:rPr>
              <w:t>For the Nine Months Ended December 31,</w:t>
            </w:r>
          </w:p>
        </w:tc>
      </w:tr>
      <w:tr>
        <w:trPr>
          <w:trHeight w:val="143"/>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5360" w:type="dxa"/>
            <w:vAlign w:val="bottom"/>
            <w:tcBorders>
              <w:bottom w:val="single" w:sz="8" w:color="004483"/>
            </w:tcBorders>
          </w:tcPr>
          <w:p>
            <w:pPr>
              <w:spacing w:after="0"/>
              <w:rPr>
                <w:sz w:val="13"/>
                <w:szCs w:val="13"/>
                <w:color w:val="auto"/>
              </w:rPr>
            </w:pPr>
          </w:p>
        </w:tc>
        <w:tc>
          <w:tcPr>
            <w:tcW w:w="140" w:type="dxa"/>
            <w:vAlign w:val="bottom"/>
            <w:tcBorders>
              <w:bottom w:val="single" w:sz="8" w:color="004483"/>
            </w:tcBorders>
          </w:tcPr>
          <w:p>
            <w:pPr>
              <w:spacing w:after="0"/>
              <w:rPr>
                <w:sz w:val="13"/>
                <w:szCs w:val="13"/>
                <w:color w:val="auto"/>
              </w:rPr>
            </w:pPr>
          </w:p>
        </w:tc>
        <w:tc>
          <w:tcPr>
            <w:tcW w:w="112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400" w:type="dxa"/>
            <w:vAlign w:val="bottom"/>
            <w:tcBorders>
              <w:bottom w:val="single" w:sz="8" w:color="004483"/>
            </w:tcBorders>
          </w:tcPr>
          <w:p>
            <w:pPr>
              <w:spacing w:after="0"/>
              <w:rPr>
                <w:sz w:val="13"/>
                <w:szCs w:val="13"/>
                <w:color w:val="auto"/>
              </w:rPr>
            </w:pPr>
          </w:p>
        </w:tc>
        <w:tc>
          <w:tcPr>
            <w:tcW w:w="2580" w:type="dxa"/>
            <w:vAlign w:val="bottom"/>
            <w:tcBorders>
              <w:bottom w:val="single" w:sz="8" w:color="004483"/>
            </w:tcBorders>
            <w:gridSpan w:val="7"/>
          </w:tcPr>
          <w:p>
            <w:pPr>
              <w:ind w:left="420"/>
              <w:spacing w:after="0"/>
              <w:rPr>
                <w:sz w:val="20"/>
                <w:szCs w:val="20"/>
                <w:color w:val="auto"/>
              </w:rPr>
            </w:pPr>
            <w:r>
              <w:rPr>
                <w:rFonts w:ascii="Times New Roman" w:cs="Times New Roman" w:eastAsia="Times New Roman" w:hAnsi="Times New Roman"/>
                <w:sz w:val="13"/>
                <w:szCs w:val="13"/>
                <w:color w:val="auto"/>
              </w:rPr>
              <w:t>(dollars in thousands)</w:t>
            </w:r>
          </w:p>
        </w:tc>
        <w:tc>
          <w:tcPr>
            <w:tcW w:w="20" w:type="dxa"/>
            <w:vAlign w:val="bottom"/>
            <w:tcBorders>
              <w:bottom w:val="single" w:sz="8" w:color="004483"/>
            </w:tcBorders>
          </w:tcPr>
          <w:p>
            <w:pPr>
              <w:spacing w:after="0"/>
              <w:rPr>
                <w:sz w:val="13"/>
                <w:szCs w:val="13"/>
                <w:color w:val="auto"/>
              </w:rPr>
            </w:pPr>
          </w:p>
        </w:tc>
        <w:tc>
          <w:tcPr>
            <w:tcW w:w="320" w:type="dxa"/>
            <w:vAlign w:val="bottom"/>
            <w:tcBorders>
              <w:bottom w:val="single" w:sz="8" w:color="004483"/>
            </w:tcBorders>
          </w:tcPr>
          <w:p>
            <w:pPr>
              <w:spacing w:after="0"/>
              <w:rPr>
                <w:sz w:val="13"/>
                <w:szCs w:val="13"/>
                <w:color w:val="auto"/>
              </w:rPr>
            </w:pPr>
          </w:p>
        </w:tc>
        <w:tc>
          <w:tcPr>
            <w:tcW w:w="94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r>
      <w:tr>
        <w:trPr>
          <w:trHeight w:val="206"/>
        </w:trPr>
        <w:tc>
          <w:tcPr>
            <w:tcW w:w="20" w:type="dxa"/>
            <w:vAlign w:val="bottom"/>
          </w:tcPr>
          <w:p>
            <w:pPr>
              <w:spacing w:after="0"/>
              <w:rPr>
                <w:sz w:val="17"/>
                <w:szCs w:val="17"/>
                <w:color w:val="auto"/>
              </w:rPr>
            </w:pPr>
          </w:p>
        </w:tc>
        <w:tc>
          <w:tcPr>
            <w:tcW w:w="53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004483"/>
              </w:rPr>
              <w:t>Revenue -</w:t>
            </w:r>
          </w:p>
        </w:tc>
        <w:tc>
          <w:tcPr>
            <w:tcW w:w="14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40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536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277EBF"/>
              </w:rPr>
              <w:t>Cement</w:t>
            </w:r>
          </w:p>
        </w:tc>
        <w:tc>
          <w:tcPr>
            <w:tcW w:w="1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234,092</w:t>
            </w:r>
          </w:p>
        </w:tc>
        <w:tc>
          <w:tcPr>
            <w:tcW w:w="120" w:type="dxa"/>
            <w:vAlign w:val="bottom"/>
          </w:tcPr>
          <w:p>
            <w:pPr>
              <w:spacing w:after="0"/>
              <w:rPr>
                <w:sz w:val="17"/>
                <w:szCs w:val="17"/>
                <w:color w:val="auto"/>
              </w:rPr>
            </w:pPr>
          </w:p>
        </w:tc>
        <w:tc>
          <w:tcPr>
            <w:tcW w:w="520" w:type="dxa"/>
            <w:vAlign w:val="bottom"/>
            <w:tcBorders>
              <w:bottom w:val="single" w:sz="8" w:color="A6A6A6"/>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183,031</w:t>
            </w:r>
          </w:p>
        </w:tc>
        <w:tc>
          <w:tcPr>
            <w:tcW w:w="100" w:type="dxa"/>
            <w:vAlign w:val="bottom"/>
          </w:tcPr>
          <w:p>
            <w:pPr>
              <w:spacing w:after="0"/>
              <w:rPr>
                <w:sz w:val="17"/>
                <w:szCs w:val="17"/>
                <w:color w:val="auto"/>
              </w:rPr>
            </w:pPr>
          </w:p>
        </w:tc>
        <w:tc>
          <w:tcPr>
            <w:tcW w:w="28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773,565</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gridSpan w:val="2"/>
          </w:tcPr>
          <w:p>
            <w:pPr>
              <w:jc w:val="right"/>
              <w:ind w:right="205"/>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605,357</w:t>
            </w: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AAC6"/>
              </w:rPr>
              <w:t>Concrete and Aggregates</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43,530</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47,147</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134,020</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142,896</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77943C"/>
              </w:rPr>
              <w:t>Gypsum Wallboard</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135,658</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125,070</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397,018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380,454</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AEB949"/>
              </w:rPr>
              <w:t>Paperboard</w:t>
            </w:r>
          </w:p>
        </w:tc>
        <w:tc>
          <w:tcPr>
            <w:tcW w:w="1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39,602</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004483"/>
            </w:tcBorders>
          </w:tcPr>
          <w:p>
            <w:pPr>
              <w:spacing w:after="0"/>
              <w:rPr>
                <w:sz w:val="18"/>
                <w:szCs w:val="18"/>
                <w:color w:val="auto"/>
              </w:rPr>
            </w:pPr>
          </w:p>
        </w:tc>
        <w:tc>
          <w:tcPr>
            <w:tcW w:w="8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37,813</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122,417</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9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122,360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452,882</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393,061</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1,427,020</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1,251,067</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Less: Intersegment Revenue</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(21,105)</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(21,775)</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(68,077)</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(66,454)</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Less: Joint Venture Revenue</w:t>
            </w:r>
          </w:p>
        </w:tc>
        <w:tc>
          <w:tcPr>
            <w:tcW w:w="1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(27,110)</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004483"/>
            </w:tcBorders>
          </w:tcPr>
          <w:p>
            <w:pPr>
              <w:spacing w:after="0"/>
              <w:rPr>
                <w:sz w:val="18"/>
                <w:szCs w:val="18"/>
                <w:color w:val="auto"/>
              </w:rPr>
            </w:pPr>
          </w:p>
        </w:tc>
        <w:tc>
          <w:tcPr>
            <w:tcW w:w="8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(28,382)</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(79,603)</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9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(85,775)</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404,667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004483"/>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342,904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1,279,340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004483"/>
            </w:tcBorders>
          </w:tcPr>
          <w:p>
            <w:pPr>
              <w:spacing w:after="0"/>
              <w:rPr>
                <w:sz w:val="18"/>
                <w:szCs w:val="18"/>
                <w:color w:val="auto"/>
              </w:rPr>
            </w:pPr>
          </w:p>
        </w:tc>
        <w:tc>
          <w:tcPr>
            <w:tcW w:w="320" w:type="dxa"/>
            <w:vAlign w:val="bottom"/>
            <w:tcBorders>
              <w:bottom w:val="single" w:sz="8" w:color="004483"/>
            </w:tcBorders>
          </w:tcPr>
          <w:p>
            <w:pPr>
              <w:jc w:val="right"/>
              <w:ind w:right="2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1,098,838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tcBorders>
              <w:bottom w:val="single" w:sz="8" w:color="004483"/>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60" w:type="dxa"/>
            <w:vAlign w:val="bottom"/>
            <w:tcBorders>
              <w:bottom w:val="single" w:sz="8" w:color="004483"/>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gridSpan w:val="6"/>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gridSpan w:val="7"/>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40" w:type="dxa"/>
            <w:vAlign w:val="bottom"/>
            <w:shd w:val="clear" w:color="auto" w:fill="004483"/>
          </w:tcPr>
          <w:p>
            <w:pPr>
              <w:spacing w:after="0"/>
              <w:rPr>
                <w:sz w:val="19"/>
                <w:szCs w:val="19"/>
                <w:color w:val="auto"/>
              </w:rPr>
            </w:pPr>
          </w:p>
        </w:tc>
        <w:tc>
          <w:tcPr>
            <w:tcW w:w="2720" w:type="dxa"/>
            <w:vAlign w:val="bottom"/>
            <w:gridSpan w:val="6"/>
            <w:shd w:val="clear" w:color="auto" w:fill="004483"/>
          </w:tcPr>
          <w:p>
            <w:pPr>
              <w:ind w:left="60"/>
              <w:spacing w:after="0"/>
              <w:rPr>
                <w:sz w:val="20"/>
                <w:szCs w:val="20"/>
                <w:color w:val="auto"/>
              </w:rPr>
            </w:pPr>
            <w:r>
              <w:rPr>
                <w:rFonts w:ascii="Times New Roman" w:cs="Times New Roman" w:eastAsia="Times New Roman" w:hAnsi="Times New Roman"/>
                <w:sz w:val="13"/>
                <w:szCs w:val="13"/>
                <w:b w:val="1"/>
                <w:bCs w:val="1"/>
                <w:color w:val="FFFFFF"/>
              </w:rPr>
              <w:t>For the Three Months Ended December 31,</w:t>
            </w:r>
          </w:p>
        </w:tc>
        <w:tc>
          <w:tcPr>
            <w:tcW w:w="120" w:type="dxa"/>
            <w:vAlign w:val="bottom"/>
          </w:tcPr>
          <w:p>
            <w:pPr>
              <w:spacing w:after="0"/>
              <w:rPr>
                <w:sz w:val="19"/>
                <w:szCs w:val="19"/>
                <w:color w:val="auto"/>
              </w:rPr>
            </w:pPr>
          </w:p>
        </w:tc>
        <w:tc>
          <w:tcPr>
            <w:tcW w:w="160" w:type="dxa"/>
            <w:vAlign w:val="bottom"/>
            <w:shd w:val="clear" w:color="auto" w:fill="004483"/>
          </w:tcPr>
          <w:p>
            <w:pPr>
              <w:spacing w:after="0"/>
              <w:rPr>
                <w:sz w:val="19"/>
                <w:szCs w:val="19"/>
                <w:color w:val="auto"/>
              </w:rPr>
            </w:pPr>
          </w:p>
        </w:tc>
        <w:tc>
          <w:tcPr>
            <w:tcW w:w="2720" w:type="dxa"/>
            <w:vAlign w:val="bottom"/>
            <w:gridSpan w:val="7"/>
            <w:shd w:val="clear" w:color="auto" w:fill="004483"/>
          </w:tcPr>
          <w:p>
            <w:pPr>
              <w:ind w:left="100"/>
              <w:spacing w:after="0"/>
              <w:rPr>
                <w:sz w:val="20"/>
                <w:szCs w:val="20"/>
                <w:color w:val="auto"/>
              </w:rPr>
            </w:pPr>
            <w:r>
              <w:rPr>
                <w:rFonts w:ascii="Times New Roman" w:cs="Times New Roman" w:eastAsia="Times New Roman" w:hAnsi="Times New Roman"/>
                <w:sz w:val="13"/>
                <w:szCs w:val="13"/>
                <w:b w:val="1"/>
                <w:bCs w:val="1"/>
                <w:color w:val="FFFFFF"/>
              </w:rPr>
              <w:t>For the Nine Months Ended December 31,</w:t>
            </w:r>
          </w:p>
        </w:tc>
      </w:tr>
      <w:tr>
        <w:trPr>
          <w:trHeight w:val="143"/>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5360" w:type="dxa"/>
            <w:vAlign w:val="bottom"/>
            <w:tcBorders>
              <w:bottom w:val="single" w:sz="8" w:color="004483"/>
            </w:tcBorders>
          </w:tcPr>
          <w:p>
            <w:pPr>
              <w:spacing w:after="0"/>
              <w:rPr>
                <w:sz w:val="13"/>
                <w:szCs w:val="13"/>
                <w:color w:val="auto"/>
              </w:rPr>
            </w:pPr>
          </w:p>
        </w:tc>
        <w:tc>
          <w:tcPr>
            <w:tcW w:w="140" w:type="dxa"/>
            <w:vAlign w:val="bottom"/>
            <w:tcBorders>
              <w:bottom w:val="single" w:sz="8" w:color="004483"/>
            </w:tcBorders>
          </w:tcPr>
          <w:p>
            <w:pPr>
              <w:spacing w:after="0"/>
              <w:rPr>
                <w:sz w:val="13"/>
                <w:szCs w:val="13"/>
                <w:color w:val="auto"/>
              </w:rPr>
            </w:pPr>
          </w:p>
        </w:tc>
        <w:tc>
          <w:tcPr>
            <w:tcW w:w="112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400" w:type="dxa"/>
            <w:vAlign w:val="bottom"/>
            <w:tcBorders>
              <w:bottom w:val="single" w:sz="8" w:color="004483"/>
            </w:tcBorders>
          </w:tcPr>
          <w:p>
            <w:pPr>
              <w:spacing w:after="0"/>
              <w:rPr>
                <w:sz w:val="13"/>
                <w:szCs w:val="13"/>
                <w:color w:val="auto"/>
              </w:rPr>
            </w:pPr>
          </w:p>
        </w:tc>
        <w:tc>
          <w:tcPr>
            <w:tcW w:w="2580" w:type="dxa"/>
            <w:vAlign w:val="bottom"/>
            <w:tcBorders>
              <w:bottom w:val="single" w:sz="8" w:color="004483"/>
            </w:tcBorders>
            <w:gridSpan w:val="7"/>
          </w:tcPr>
          <w:p>
            <w:pPr>
              <w:ind w:left="420"/>
              <w:spacing w:after="0"/>
              <w:rPr>
                <w:sz w:val="20"/>
                <w:szCs w:val="20"/>
                <w:color w:val="auto"/>
              </w:rPr>
            </w:pPr>
            <w:r>
              <w:rPr>
                <w:rFonts w:ascii="Times New Roman" w:cs="Times New Roman" w:eastAsia="Times New Roman" w:hAnsi="Times New Roman"/>
                <w:sz w:val="13"/>
                <w:szCs w:val="13"/>
                <w:color w:val="auto"/>
              </w:rPr>
              <w:t>(dollars in thousands)</w:t>
            </w:r>
          </w:p>
        </w:tc>
        <w:tc>
          <w:tcPr>
            <w:tcW w:w="20" w:type="dxa"/>
            <w:vAlign w:val="bottom"/>
            <w:tcBorders>
              <w:bottom w:val="single" w:sz="8" w:color="004483"/>
            </w:tcBorders>
          </w:tcPr>
          <w:p>
            <w:pPr>
              <w:spacing w:after="0"/>
              <w:rPr>
                <w:sz w:val="13"/>
                <w:szCs w:val="13"/>
                <w:color w:val="auto"/>
              </w:rPr>
            </w:pPr>
          </w:p>
        </w:tc>
        <w:tc>
          <w:tcPr>
            <w:tcW w:w="320" w:type="dxa"/>
            <w:vAlign w:val="bottom"/>
            <w:tcBorders>
              <w:bottom w:val="single" w:sz="8" w:color="004483"/>
            </w:tcBorders>
          </w:tcPr>
          <w:p>
            <w:pPr>
              <w:spacing w:after="0"/>
              <w:rPr>
                <w:sz w:val="13"/>
                <w:szCs w:val="13"/>
                <w:color w:val="auto"/>
              </w:rPr>
            </w:pPr>
          </w:p>
        </w:tc>
        <w:tc>
          <w:tcPr>
            <w:tcW w:w="94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r>
      <w:tr>
        <w:trPr>
          <w:trHeight w:val="206"/>
        </w:trPr>
        <w:tc>
          <w:tcPr>
            <w:tcW w:w="20" w:type="dxa"/>
            <w:vAlign w:val="bottom"/>
          </w:tcPr>
          <w:p>
            <w:pPr>
              <w:spacing w:after="0"/>
              <w:rPr>
                <w:sz w:val="17"/>
                <w:szCs w:val="17"/>
                <w:color w:val="auto"/>
              </w:rPr>
            </w:pPr>
          </w:p>
        </w:tc>
        <w:tc>
          <w:tcPr>
            <w:tcW w:w="53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004483"/>
              </w:rPr>
              <w:t>Intersegment Revenue -</w:t>
            </w:r>
          </w:p>
        </w:tc>
        <w:tc>
          <w:tcPr>
            <w:tcW w:w="14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40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536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277EBF"/>
              </w:rPr>
              <w:t>Cement</w:t>
            </w:r>
          </w:p>
        </w:tc>
        <w:tc>
          <w:tcPr>
            <w:tcW w:w="1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5,241</w:t>
            </w:r>
          </w:p>
        </w:tc>
        <w:tc>
          <w:tcPr>
            <w:tcW w:w="120" w:type="dxa"/>
            <w:vAlign w:val="bottom"/>
          </w:tcPr>
          <w:p>
            <w:pPr>
              <w:spacing w:after="0"/>
              <w:rPr>
                <w:sz w:val="17"/>
                <w:szCs w:val="17"/>
                <w:color w:val="auto"/>
              </w:rPr>
            </w:pPr>
          </w:p>
        </w:tc>
        <w:tc>
          <w:tcPr>
            <w:tcW w:w="520" w:type="dxa"/>
            <w:vAlign w:val="bottom"/>
            <w:tcBorders>
              <w:bottom w:val="single" w:sz="8" w:color="A6A6A6"/>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6,174</w:t>
            </w:r>
          </w:p>
        </w:tc>
        <w:tc>
          <w:tcPr>
            <w:tcW w:w="100" w:type="dxa"/>
            <w:vAlign w:val="bottom"/>
          </w:tcPr>
          <w:p>
            <w:pPr>
              <w:spacing w:after="0"/>
              <w:rPr>
                <w:sz w:val="17"/>
                <w:szCs w:val="17"/>
                <w:color w:val="auto"/>
              </w:rPr>
            </w:pPr>
          </w:p>
        </w:tc>
        <w:tc>
          <w:tcPr>
            <w:tcW w:w="28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17,539</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gridSpan w:val="2"/>
          </w:tcPr>
          <w:p>
            <w:pPr>
              <w:jc w:val="right"/>
              <w:ind w:right="205"/>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17,130</w:t>
            </w: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AAC6"/>
              </w:rPr>
              <w:t>Concrete and Aggregates</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AEB949"/>
              </w:rPr>
              <w:t>Paperboard</w:t>
            </w:r>
          </w:p>
        </w:tc>
        <w:tc>
          <w:tcPr>
            <w:tcW w:w="1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15,864</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004483"/>
            </w:tcBorders>
          </w:tcPr>
          <w:p>
            <w:pPr>
              <w:spacing w:after="0"/>
              <w:rPr>
                <w:sz w:val="18"/>
                <w:szCs w:val="18"/>
                <w:color w:val="auto"/>
              </w:rPr>
            </w:pPr>
          </w:p>
        </w:tc>
        <w:tc>
          <w:tcPr>
            <w:tcW w:w="8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15,251</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50,432</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9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48,190</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5360" w:type="dxa"/>
            <w:vAlign w:val="bottom"/>
            <w:tcBorders>
              <w:bottom w:val="single" w:sz="8" w:color="A6A6A6"/>
            </w:tcBorders>
          </w:tcPr>
          <w:p>
            <w:pPr>
              <w:spacing w:after="0"/>
              <w:rPr>
                <w:sz w:val="21"/>
                <w:szCs w:val="21"/>
                <w:color w:val="auto"/>
              </w:rPr>
            </w:pPr>
          </w:p>
        </w:tc>
        <w:tc>
          <w:tcPr>
            <w:tcW w:w="1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21,105</w:t>
            </w:r>
          </w:p>
        </w:tc>
        <w:tc>
          <w:tcPr>
            <w:tcW w:w="12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400" w:type="dxa"/>
            <w:vAlign w:val="bottom"/>
            <w:tcBorders>
              <w:bottom w:val="single" w:sz="8" w:color="004483"/>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21,775</w:t>
            </w:r>
          </w:p>
        </w:tc>
        <w:tc>
          <w:tcPr>
            <w:tcW w:w="10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1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68,077</w:t>
            </w:r>
          </w:p>
        </w:tc>
        <w:tc>
          <w:tcPr>
            <w:tcW w:w="10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20" w:type="dxa"/>
            <w:vAlign w:val="bottom"/>
            <w:tcBorders>
              <w:bottom w:val="single" w:sz="8" w:color="A6A6A6"/>
            </w:tcBorders>
          </w:tcPr>
          <w:p>
            <w:pPr>
              <w:spacing w:after="0"/>
              <w:rPr>
                <w:sz w:val="21"/>
                <w:szCs w:val="21"/>
                <w:color w:val="auto"/>
              </w:rPr>
            </w:pPr>
          </w:p>
        </w:tc>
        <w:tc>
          <w:tcPr>
            <w:tcW w:w="320" w:type="dxa"/>
            <w:vAlign w:val="bottom"/>
            <w:tcBorders>
              <w:bottom w:val="single" w:sz="8" w:color="004483"/>
            </w:tcBorders>
          </w:tcPr>
          <w:p>
            <w:pPr>
              <w:jc w:val="right"/>
              <w:ind w:right="2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66,454</w:t>
            </w:r>
          </w:p>
        </w:tc>
        <w:tc>
          <w:tcPr>
            <w:tcW w:w="100" w:type="dxa"/>
            <w:vAlign w:val="bottom"/>
          </w:tcPr>
          <w:p>
            <w:pPr>
              <w:spacing w:after="0"/>
              <w:rPr>
                <w:sz w:val="21"/>
                <w:szCs w:val="21"/>
                <w:color w:val="auto"/>
              </w:rPr>
            </w:pPr>
          </w:p>
        </w:tc>
      </w:tr>
      <w:tr>
        <w:trPr>
          <w:trHeight w:val="190"/>
        </w:trPr>
        <w:tc>
          <w:tcPr>
            <w:tcW w:w="20" w:type="dxa"/>
            <w:vAlign w:val="bottom"/>
          </w:tcPr>
          <w:p>
            <w:pPr>
              <w:spacing w:after="0"/>
              <w:rPr>
                <w:sz w:val="16"/>
                <w:szCs w:val="16"/>
                <w:color w:val="auto"/>
              </w:rPr>
            </w:pPr>
          </w:p>
        </w:tc>
        <w:tc>
          <w:tcPr>
            <w:tcW w:w="53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004483"/>
              </w:rPr>
              <w:t>Cement Sales Volume (M tons) -</w:t>
            </w:r>
          </w:p>
        </w:tc>
        <w:tc>
          <w:tcPr>
            <w:tcW w:w="140" w:type="dxa"/>
            <w:vAlign w:val="bottom"/>
            <w:tcBorders>
              <w:bottom w:val="single" w:sz="8" w:color="A6A6A6"/>
            </w:tcBorders>
          </w:tcPr>
          <w:p>
            <w:pPr>
              <w:spacing w:after="0"/>
              <w:rPr>
                <w:sz w:val="16"/>
                <w:szCs w:val="16"/>
                <w:color w:val="auto"/>
              </w:rPr>
            </w:pPr>
          </w:p>
        </w:tc>
        <w:tc>
          <w:tcPr>
            <w:tcW w:w="112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400" w:type="dxa"/>
            <w:vAlign w:val="bottom"/>
            <w:tcBorders>
              <w:bottom w:val="single" w:sz="8" w:color="A6A6A6"/>
            </w:tcBorders>
          </w:tcPr>
          <w:p>
            <w:pPr>
              <w:spacing w:after="0"/>
              <w:rPr>
                <w:sz w:val="16"/>
                <w:szCs w:val="16"/>
                <w:color w:val="auto"/>
              </w:rPr>
            </w:pPr>
          </w:p>
        </w:tc>
        <w:tc>
          <w:tcPr>
            <w:tcW w:w="8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112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20" w:type="dxa"/>
            <w:vAlign w:val="bottom"/>
            <w:tcBorders>
              <w:bottom w:val="single" w:sz="8" w:color="A6A6A6"/>
            </w:tcBorders>
          </w:tcPr>
          <w:p>
            <w:pPr>
              <w:spacing w:after="0"/>
              <w:rPr>
                <w:sz w:val="16"/>
                <w:szCs w:val="16"/>
                <w:color w:val="auto"/>
              </w:rPr>
            </w:pPr>
          </w:p>
        </w:tc>
        <w:tc>
          <w:tcPr>
            <w:tcW w:w="320" w:type="dxa"/>
            <w:vAlign w:val="bottom"/>
            <w:tcBorders>
              <w:bottom w:val="single" w:sz="8" w:color="A6A6A6"/>
            </w:tcBorders>
          </w:tcPr>
          <w:p>
            <w:pPr>
              <w:spacing w:after="0"/>
              <w:rPr>
                <w:sz w:val="16"/>
                <w:szCs w:val="16"/>
                <w:color w:val="auto"/>
              </w:rPr>
            </w:pPr>
          </w:p>
        </w:tc>
        <w:tc>
          <w:tcPr>
            <w:tcW w:w="94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536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Wholly Owned</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5,429</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4,046</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Joint Venture</w:t>
            </w:r>
          </w:p>
        </w:tc>
        <w:tc>
          <w:tcPr>
            <w:tcW w:w="1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004483"/>
            </w:tcBorders>
          </w:tcPr>
          <w:p>
            <w:pPr>
              <w:spacing w:after="0"/>
              <w:rPr>
                <w:sz w:val="18"/>
                <w:szCs w:val="18"/>
                <w:color w:val="auto"/>
              </w:rPr>
            </w:pPr>
          </w:p>
        </w:tc>
        <w:tc>
          <w:tcPr>
            <w:tcW w:w="8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9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004483"/>
            </w:tcBorders>
          </w:tcPr>
          <w:p>
            <w:pPr>
              <w:spacing w:after="0"/>
              <w:rPr>
                <w:sz w:val="18"/>
                <w:szCs w:val="18"/>
                <w:color w:val="auto"/>
              </w:rPr>
            </w:pPr>
          </w:p>
        </w:tc>
        <w:tc>
          <w:tcPr>
            <w:tcW w:w="8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9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4,767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79"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shd w:val="clear" w:color="auto" w:fill="004483"/>
          </w:tcPr>
          <w:p>
            <w:pPr>
              <w:spacing w:after="0"/>
              <w:rPr>
                <w:sz w:val="19"/>
                <w:szCs w:val="19"/>
                <w:color w:val="auto"/>
              </w:rPr>
            </w:pPr>
          </w:p>
        </w:tc>
        <w:tc>
          <w:tcPr>
            <w:tcW w:w="2720" w:type="dxa"/>
            <w:vAlign w:val="bottom"/>
            <w:gridSpan w:val="7"/>
            <w:shd w:val="clear" w:color="auto" w:fill="004483"/>
          </w:tcPr>
          <w:p>
            <w:pPr>
              <w:ind w:left="60"/>
              <w:spacing w:after="0"/>
              <w:rPr>
                <w:sz w:val="20"/>
                <w:szCs w:val="20"/>
                <w:color w:val="auto"/>
              </w:rPr>
            </w:pPr>
            <w:r>
              <w:rPr>
                <w:rFonts w:ascii="Times New Roman" w:cs="Times New Roman" w:eastAsia="Times New Roman" w:hAnsi="Times New Roman"/>
                <w:sz w:val="13"/>
                <w:szCs w:val="13"/>
                <w:b w:val="1"/>
                <w:bCs w:val="1"/>
                <w:color w:val="FFFFFF"/>
              </w:rPr>
              <w:t>For the Three Months Ended December 31,</w:t>
            </w:r>
          </w:p>
        </w:tc>
        <w:tc>
          <w:tcPr>
            <w:tcW w:w="120" w:type="dxa"/>
            <w:vAlign w:val="bottom"/>
          </w:tcPr>
          <w:p>
            <w:pPr>
              <w:spacing w:after="0"/>
              <w:rPr>
                <w:sz w:val="19"/>
                <w:szCs w:val="19"/>
                <w:color w:val="auto"/>
              </w:rPr>
            </w:pPr>
          </w:p>
        </w:tc>
        <w:tc>
          <w:tcPr>
            <w:tcW w:w="120" w:type="dxa"/>
            <w:vAlign w:val="bottom"/>
            <w:shd w:val="clear" w:color="auto" w:fill="004483"/>
          </w:tcPr>
          <w:p>
            <w:pPr>
              <w:spacing w:after="0"/>
              <w:rPr>
                <w:sz w:val="19"/>
                <w:szCs w:val="19"/>
                <w:color w:val="auto"/>
              </w:rPr>
            </w:pPr>
          </w:p>
        </w:tc>
        <w:tc>
          <w:tcPr>
            <w:tcW w:w="2760" w:type="dxa"/>
            <w:vAlign w:val="bottom"/>
            <w:gridSpan w:val="11"/>
            <w:shd w:val="clear" w:color="auto" w:fill="004483"/>
          </w:tcPr>
          <w:p>
            <w:pPr>
              <w:ind w:left="140"/>
              <w:spacing w:after="0"/>
              <w:rPr>
                <w:sz w:val="20"/>
                <w:szCs w:val="20"/>
                <w:color w:val="auto"/>
              </w:rPr>
            </w:pPr>
            <w:r>
              <w:rPr>
                <w:rFonts w:ascii="Times New Roman" w:cs="Times New Roman" w:eastAsia="Times New Roman" w:hAnsi="Times New Roman"/>
                <w:sz w:val="13"/>
                <w:szCs w:val="13"/>
                <w:b w:val="1"/>
                <w:bCs w:val="1"/>
                <w:color w:val="FFFFFF"/>
              </w:rPr>
              <w:t>For the Nine Months Ended December 31,</w:t>
            </w:r>
          </w:p>
        </w:tc>
      </w:tr>
      <w:tr>
        <w:trPr>
          <w:trHeight w:val="143"/>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gridSpan w:val="4"/>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524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140" w:type="dxa"/>
            <w:vAlign w:val="bottom"/>
            <w:tcBorders>
              <w:bottom w:val="single" w:sz="8" w:color="004483"/>
            </w:tcBorders>
          </w:tcPr>
          <w:p>
            <w:pPr>
              <w:spacing w:after="0"/>
              <w:rPr>
                <w:sz w:val="13"/>
                <w:szCs w:val="13"/>
                <w:color w:val="auto"/>
              </w:rPr>
            </w:pPr>
          </w:p>
        </w:tc>
        <w:tc>
          <w:tcPr>
            <w:tcW w:w="1920" w:type="dxa"/>
            <w:vAlign w:val="bottom"/>
            <w:tcBorders>
              <w:bottom w:val="single" w:sz="8" w:color="004483"/>
            </w:tcBorders>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(dollars in thousands)</w:t>
            </w:r>
          </w:p>
        </w:tc>
        <w:tc>
          <w:tcPr>
            <w:tcW w:w="280" w:type="dxa"/>
            <w:vAlign w:val="bottom"/>
            <w:tcBorders>
              <w:bottom w:val="single" w:sz="8" w:color="004483"/>
            </w:tcBorders>
          </w:tcPr>
          <w:p>
            <w:pPr>
              <w:spacing w:after="0"/>
              <w:rPr>
                <w:sz w:val="13"/>
                <w:szCs w:val="13"/>
                <w:color w:val="auto"/>
              </w:rPr>
            </w:pPr>
          </w:p>
        </w:tc>
        <w:tc>
          <w:tcPr>
            <w:tcW w:w="42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1900" w:type="dxa"/>
            <w:vAlign w:val="bottom"/>
            <w:tcBorders>
              <w:bottom w:val="single" w:sz="8" w:color="004483"/>
            </w:tcBorders>
            <w:gridSpan w:val="9"/>
          </w:tcPr>
          <w:p>
            <w:pPr>
              <w:jc w:val="right"/>
              <w:ind w:right="45"/>
              <w:spacing w:after="0"/>
              <w:rPr>
                <w:sz w:val="20"/>
                <w:szCs w:val="20"/>
                <w:color w:val="auto"/>
              </w:rPr>
            </w:pPr>
            <w:r>
              <w:rPr>
                <w:rFonts w:ascii="Times New Roman" w:cs="Times New Roman" w:eastAsia="Times New Roman" w:hAnsi="Times New Roman"/>
                <w:sz w:val="13"/>
                <w:szCs w:val="13"/>
                <w:color w:val="auto"/>
              </w:rPr>
              <w:t>(dollars in thousands)</w:t>
            </w:r>
          </w:p>
        </w:tc>
        <w:tc>
          <w:tcPr>
            <w:tcW w:w="76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r>
      <w:tr>
        <w:trPr>
          <w:trHeight w:val="206"/>
        </w:trPr>
        <w:tc>
          <w:tcPr>
            <w:tcW w:w="20" w:type="dxa"/>
            <w:vAlign w:val="bottom"/>
          </w:tcPr>
          <w:p>
            <w:pPr>
              <w:spacing w:after="0"/>
              <w:rPr>
                <w:sz w:val="17"/>
                <w:szCs w:val="17"/>
                <w:color w:val="auto"/>
              </w:rPr>
            </w:pPr>
          </w:p>
        </w:tc>
        <w:tc>
          <w:tcPr>
            <w:tcW w:w="536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Earnings -</w:t>
            </w:r>
          </w:p>
        </w:tc>
        <w:tc>
          <w:tcPr>
            <w:tcW w:w="14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60" w:type="dxa"/>
            <w:vAlign w:val="bottom"/>
            <w:tcBorders>
              <w:bottom w:val="single" w:sz="8" w:color="A6A6A6"/>
            </w:tcBorders>
          </w:tcPr>
          <w:p>
            <w:pPr>
              <w:spacing w:after="0"/>
              <w:rPr>
                <w:sz w:val="17"/>
                <w:szCs w:val="17"/>
                <w:color w:val="auto"/>
              </w:rPr>
            </w:pPr>
          </w:p>
        </w:tc>
        <w:tc>
          <w:tcPr>
            <w:tcW w:w="280" w:type="dxa"/>
            <w:vAlign w:val="bottom"/>
            <w:tcBorders>
              <w:bottom w:val="single" w:sz="8" w:color="A6A6A6"/>
            </w:tcBorders>
          </w:tcPr>
          <w:p>
            <w:pPr>
              <w:spacing w:after="0"/>
              <w:rPr>
                <w:sz w:val="17"/>
                <w:szCs w:val="17"/>
                <w:color w:val="auto"/>
              </w:rPr>
            </w:pPr>
          </w:p>
        </w:tc>
        <w:tc>
          <w:tcPr>
            <w:tcW w:w="42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spacing w:after="0"/>
              <w:rPr>
                <w:sz w:val="17"/>
                <w:szCs w:val="17"/>
                <w:color w:val="auto"/>
              </w:rPr>
            </w:pPr>
          </w:p>
        </w:tc>
        <w:tc>
          <w:tcPr>
            <w:tcW w:w="2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277EBF"/>
              </w:rPr>
              <w:t>Cement</w:t>
            </w:r>
          </w:p>
        </w:tc>
        <w:tc>
          <w:tcPr>
            <w:tcW w:w="1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70,434</w:t>
            </w:r>
          </w:p>
        </w:tc>
        <w:tc>
          <w:tcPr>
            <w:tcW w:w="120" w:type="dxa"/>
            <w:vAlign w:val="bottom"/>
          </w:tcPr>
          <w:p>
            <w:pPr>
              <w:spacing w:after="0"/>
              <w:rPr>
                <w:sz w:val="17"/>
                <w:szCs w:val="17"/>
                <w:color w:val="auto"/>
              </w:rPr>
            </w:pPr>
          </w:p>
        </w:tc>
        <w:tc>
          <w:tcPr>
            <w:tcW w:w="680" w:type="dxa"/>
            <w:vAlign w:val="bottom"/>
            <w:tcBorders>
              <w:bottom w:val="single" w:sz="8" w:color="A6A6A6"/>
            </w:tcBorders>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54,180</w:t>
            </w:r>
          </w:p>
        </w:tc>
        <w:tc>
          <w:tcPr>
            <w:tcW w:w="100" w:type="dxa"/>
            <w:vAlign w:val="bottom"/>
          </w:tcPr>
          <w:p>
            <w:pPr>
              <w:spacing w:after="0"/>
              <w:rPr>
                <w:sz w:val="17"/>
                <w:szCs w:val="17"/>
                <w:color w:val="auto"/>
              </w:rPr>
            </w:pPr>
          </w:p>
        </w:tc>
        <w:tc>
          <w:tcPr>
            <w:tcW w:w="24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6A6A6"/>
            </w:tcBorders>
            <w:gridSpan w:val="5"/>
          </w:tcPr>
          <w:p>
            <w:pPr>
              <w:jc w:val="right"/>
              <w:spacing w:after="0"/>
              <w:rPr>
                <w:sz w:val="20"/>
                <w:szCs w:val="20"/>
                <w:color w:val="auto"/>
              </w:rPr>
            </w:pPr>
            <w:r>
              <w:rPr>
                <w:rFonts w:ascii="Times New Roman" w:cs="Times New Roman" w:eastAsia="Times New Roman" w:hAnsi="Times New Roman"/>
                <w:sz w:val="16"/>
                <w:szCs w:val="16"/>
                <w:color w:val="auto"/>
              </w:rPr>
              <w:t>210,802</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20" w:type="dxa"/>
            <w:vAlign w:val="bottom"/>
            <w:tcBorders>
              <w:bottom w:val="single" w:sz="8" w:color="A6A6A6"/>
            </w:tcBorders>
            <w:gridSpan w:val="2"/>
          </w:tcPr>
          <w:p>
            <w:pPr>
              <w:jc w:val="right"/>
              <w:ind w:right="385"/>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156,827</w:t>
            </w: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00AAC6"/>
              </w:rPr>
              <w:t>Concrete and Aggregates</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5,075</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gridSpan w:val="5"/>
          </w:tcPr>
          <w:p>
            <w:pPr>
              <w:jc w:val="right"/>
              <w:spacing w:after="0"/>
              <w:rPr>
                <w:sz w:val="20"/>
                <w:szCs w:val="20"/>
                <w:color w:val="auto"/>
              </w:rPr>
            </w:pPr>
            <w:r>
              <w:rPr>
                <w:rFonts w:ascii="Times New Roman" w:cs="Times New Roman" w:eastAsia="Times New Roman" w:hAnsi="Times New Roman"/>
                <w:sz w:val="16"/>
                <w:szCs w:val="16"/>
                <w:color w:val="auto"/>
              </w:rPr>
              <w:t>15,748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15,023</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77943C"/>
              </w:rPr>
              <w:t>Gypsum Wallboard</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40,792</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38,484</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gridSpan w:val="5"/>
          </w:tcPr>
          <w:p>
            <w:pPr>
              <w:jc w:val="right"/>
              <w:spacing w:after="0"/>
              <w:rPr>
                <w:sz w:val="20"/>
                <w:szCs w:val="20"/>
                <w:color w:val="auto"/>
              </w:rPr>
            </w:pPr>
            <w:r>
              <w:rPr>
                <w:rFonts w:ascii="Times New Roman" w:cs="Times New Roman" w:eastAsia="Times New Roman" w:hAnsi="Times New Roman"/>
                <w:sz w:val="16"/>
                <w:szCs w:val="16"/>
                <w:color w:val="auto"/>
              </w:rPr>
              <w:t>119,723</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114,872</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AEB949"/>
              </w:rPr>
              <w:t>Paperboard</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7,161</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9,021</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gridSpan w:val="5"/>
          </w:tcPr>
          <w:p>
            <w:pPr>
              <w:jc w:val="right"/>
              <w:spacing w:after="0"/>
              <w:rPr>
                <w:sz w:val="20"/>
                <w:szCs w:val="20"/>
                <w:color w:val="auto"/>
              </w:rPr>
            </w:pPr>
            <w:r>
              <w:rPr>
                <w:rFonts w:ascii="Times New Roman" w:cs="Times New Roman" w:eastAsia="Times New Roman" w:hAnsi="Times New Roman"/>
                <w:sz w:val="16"/>
                <w:szCs w:val="16"/>
                <w:color w:val="auto"/>
              </w:rPr>
              <w:t>20,708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29,060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7A1C30"/>
              </w:rPr>
              <w:t>Other</w:t>
            </w:r>
          </w:p>
        </w:tc>
        <w:tc>
          <w:tcPr>
            <w:tcW w:w="1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004483"/>
            </w:tcBorders>
          </w:tcPr>
          <w:p>
            <w:pPr>
              <w:spacing w:after="0"/>
              <w:rPr>
                <w:sz w:val="18"/>
                <w:szCs w:val="18"/>
                <w:color w:val="auto"/>
              </w:rPr>
            </w:pPr>
          </w:p>
        </w:tc>
        <w:tc>
          <w:tcPr>
            <w:tcW w:w="700" w:type="dxa"/>
            <w:vAlign w:val="bottom"/>
            <w:tcBorders>
              <w:bottom w:val="single" w:sz="8" w:color="004483"/>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780" w:type="dxa"/>
            <w:vAlign w:val="bottom"/>
            <w:tcBorders>
              <w:bottom w:val="single" w:sz="8" w:color="004483"/>
            </w:tcBorders>
          </w:tcPr>
          <w:p>
            <w:pPr>
              <w:spacing w:after="0"/>
              <w:rPr>
                <w:sz w:val="18"/>
                <w:szCs w:val="18"/>
                <w:color w:val="auto"/>
              </w:rPr>
            </w:pPr>
          </w:p>
        </w:tc>
        <w:tc>
          <w:tcPr>
            <w:tcW w:w="20" w:type="dxa"/>
            <w:vAlign w:val="bottom"/>
            <w:tcBorders>
              <w:bottom w:val="single" w:sz="8" w:color="004483"/>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260" w:type="dxa"/>
            <w:vAlign w:val="bottom"/>
            <w:tcBorders>
              <w:bottom w:val="single" w:sz="8" w:color="004483"/>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(2,976)</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480"/>
              <w:spacing w:after="0"/>
              <w:rPr>
                <w:sz w:val="20"/>
                <w:szCs w:val="20"/>
                <w:color w:val="auto"/>
              </w:rPr>
            </w:pPr>
            <w:r>
              <w:rPr>
                <w:rFonts w:ascii="Times New Roman" w:cs="Times New Roman" w:eastAsia="Times New Roman" w:hAnsi="Times New Roman"/>
                <w:sz w:val="16"/>
                <w:szCs w:val="16"/>
                <w:color w:val="004483"/>
              </w:rPr>
              <w:t>Sub-Total</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123,462</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103,903</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gridSpan w:val="5"/>
          </w:tcPr>
          <w:p>
            <w:pPr>
              <w:jc w:val="right"/>
              <w:spacing w:after="0"/>
              <w:rPr>
                <w:sz w:val="20"/>
                <w:szCs w:val="20"/>
                <w:color w:val="auto"/>
              </w:rPr>
            </w:pPr>
            <w:r>
              <w:rPr>
                <w:rFonts w:ascii="Times New Roman" w:cs="Times New Roman" w:eastAsia="Times New Roman" w:hAnsi="Times New Roman"/>
                <w:sz w:val="16"/>
                <w:szCs w:val="16"/>
                <w:color w:val="auto"/>
              </w:rPr>
              <w:t>366,981</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312,806</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004483"/>
              </w:rPr>
              <w:t>Corporate General and Administrative Expense</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(11,327)</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(13,794)</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gridSpan w:val="5"/>
          </w:tcPr>
          <w:p>
            <w:pPr>
              <w:jc w:val="right"/>
              <w:spacing w:after="0"/>
              <w:rPr>
                <w:sz w:val="20"/>
                <w:szCs w:val="20"/>
                <w:color w:val="auto"/>
              </w:rPr>
            </w:pPr>
            <w:r>
              <w:rPr>
                <w:rFonts w:ascii="Times New Roman" w:cs="Times New Roman" w:eastAsia="Times New Roman" w:hAnsi="Times New Roman"/>
                <w:sz w:val="16"/>
                <w:szCs w:val="16"/>
                <w:color w:val="auto"/>
              </w:rPr>
              <w:t>(40,225)</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(48,506)</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004483"/>
              </w:rPr>
              <w:t>Gain on Sale of Businesses</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gridSpan w:val="5"/>
          </w:tcPr>
          <w:p>
            <w:pPr>
              <w:jc w:val="right"/>
              <w:spacing w:after="0"/>
              <w:rPr>
                <w:sz w:val="20"/>
                <w:szCs w:val="20"/>
                <w:color w:val="auto"/>
              </w:rPr>
            </w:pPr>
            <w:r>
              <w:rPr>
                <w:rFonts w:ascii="Times New Roman" w:cs="Times New Roman" w:eastAsia="Times New Roman" w:hAnsi="Times New Roman"/>
                <w:sz w:val="16"/>
                <w:szCs w:val="16"/>
                <w:color w:val="auto"/>
              </w:rPr>
              <w:t>51,973</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17385E"/>
              </w:rPr>
              <w:t>Impairment Losses</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(25,131)</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(25,131)</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004483"/>
              </w:rPr>
              <w:t>Other Non-Operating Income</w:t>
            </w:r>
          </w:p>
        </w:tc>
        <w:tc>
          <w:tcPr>
            <w:tcW w:w="1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004483"/>
            </w:tcBorders>
          </w:tcPr>
          <w:p>
            <w:pPr>
              <w:spacing w:after="0"/>
              <w:rPr>
                <w:sz w:val="18"/>
                <w:szCs w:val="18"/>
                <w:color w:val="auto"/>
              </w:rPr>
            </w:pPr>
          </w:p>
        </w:tc>
        <w:tc>
          <w:tcPr>
            <w:tcW w:w="700" w:type="dxa"/>
            <w:vAlign w:val="bottom"/>
            <w:tcBorders>
              <w:bottom w:val="single" w:sz="8" w:color="004483"/>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780" w:type="dxa"/>
            <w:vAlign w:val="bottom"/>
            <w:tcBorders>
              <w:bottom w:val="single" w:sz="8" w:color="004483"/>
            </w:tcBorders>
          </w:tcPr>
          <w:p>
            <w:pPr>
              <w:spacing w:after="0"/>
              <w:rPr>
                <w:sz w:val="18"/>
                <w:szCs w:val="18"/>
                <w:color w:val="auto"/>
              </w:rPr>
            </w:pPr>
          </w:p>
        </w:tc>
        <w:tc>
          <w:tcPr>
            <w:tcW w:w="380" w:type="dxa"/>
            <w:vAlign w:val="bottom"/>
            <w:tcBorders>
              <w:bottom w:val="single" w:sz="8" w:color="004483"/>
            </w:tcBorders>
            <w:gridSpan w:val="4"/>
          </w:tcPr>
          <w:p>
            <w:pPr>
              <w:jc w:val="right"/>
              <w:spacing w:after="0"/>
              <w:rPr>
                <w:sz w:val="20"/>
                <w:szCs w:val="20"/>
                <w:color w:val="auto"/>
              </w:rPr>
            </w:pPr>
            <w:r>
              <w:rPr>
                <w:rFonts w:ascii="Times New Roman" w:cs="Times New Roman" w:eastAsia="Times New Roman" w:hAnsi="Times New Roman"/>
                <w:sz w:val="16"/>
                <w:szCs w:val="16"/>
                <w:color w:val="auto"/>
                <w:w w:val="94"/>
              </w:rPr>
              <w:t>1,898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004483"/>
              </w:rPr>
              <w:t>Earnings Before Interest and Income Taxes</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114,432</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65,700</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gridSpan w:val="5"/>
          </w:tcPr>
          <w:p>
            <w:pPr>
              <w:jc w:val="right"/>
              <w:spacing w:after="0"/>
              <w:rPr>
                <w:sz w:val="20"/>
                <w:szCs w:val="20"/>
                <w:color w:val="auto"/>
              </w:rPr>
            </w:pPr>
            <w:r>
              <w:rPr>
                <w:rFonts w:ascii="Times New Roman" w:cs="Times New Roman" w:eastAsia="Times New Roman" w:hAnsi="Times New Roman"/>
                <w:sz w:val="16"/>
                <w:szCs w:val="16"/>
                <w:color w:val="auto"/>
              </w:rPr>
              <w:t>380,627</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240,614</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004483"/>
              </w:rPr>
              <w:t>Interest Expense, net</w:t>
            </w:r>
          </w:p>
        </w:tc>
        <w:tc>
          <w:tcPr>
            <w:tcW w:w="1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(9,360)</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004483"/>
            </w:tcBorders>
          </w:tcPr>
          <w:p>
            <w:pPr>
              <w:spacing w:after="0"/>
              <w:rPr>
                <w:sz w:val="18"/>
                <w:szCs w:val="18"/>
                <w:color w:val="auto"/>
              </w:rPr>
            </w:pPr>
          </w:p>
        </w:tc>
        <w:tc>
          <w:tcPr>
            <w:tcW w:w="700" w:type="dxa"/>
            <w:vAlign w:val="bottom"/>
            <w:tcBorders>
              <w:bottom w:val="single" w:sz="8" w:color="004483"/>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(9,543)</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160" w:type="dxa"/>
            <w:vAlign w:val="bottom"/>
            <w:tcBorders>
              <w:bottom w:val="single" w:sz="8" w:color="004483"/>
            </w:tcBorders>
            <w:gridSpan w:val="5"/>
          </w:tcPr>
          <w:p>
            <w:pPr>
              <w:jc w:val="right"/>
              <w:spacing w:after="0"/>
              <w:rPr>
                <w:sz w:val="20"/>
                <w:szCs w:val="20"/>
                <w:color w:val="auto"/>
              </w:rPr>
            </w:pPr>
            <w:r>
              <w:rPr>
                <w:rFonts w:ascii="Times New Roman" w:cs="Times New Roman" w:eastAsia="Times New Roman" w:hAnsi="Times New Roman"/>
                <w:sz w:val="16"/>
                <w:szCs w:val="16"/>
                <w:color w:val="auto"/>
              </w:rPr>
              <w:t>(35,957)</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(28,526)</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004483"/>
              </w:rPr>
              <w:t>Earnings from Continuing Operations Before Income Taxes</w:t>
            </w:r>
          </w:p>
        </w:tc>
        <w:tc>
          <w:tcPr>
            <w:tcW w:w="1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105,072</w:t>
            </w:r>
          </w:p>
        </w:tc>
        <w:tc>
          <w:tcPr>
            <w:tcW w:w="12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560" w:type="dxa"/>
            <w:vAlign w:val="bottom"/>
            <w:tcBorders>
              <w:bottom w:val="single" w:sz="8" w:color="004483"/>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004483"/>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56,157</w:t>
            </w:r>
          </w:p>
        </w:tc>
        <w:tc>
          <w:tcPr>
            <w:tcW w:w="10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bottom w:val="single" w:sz="8" w:color="004483"/>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344,670</w:t>
            </w:r>
          </w:p>
        </w:tc>
        <w:tc>
          <w:tcPr>
            <w:tcW w:w="10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20" w:type="dxa"/>
            <w:vAlign w:val="bottom"/>
            <w:tcBorders>
              <w:bottom w:val="single" w:sz="8" w:color="A6A6A6"/>
            </w:tcBorders>
          </w:tcPr>
          <w:p>
            <w:pPr>
              <w:spacing w:after="0"/>
              <w:rPr>
                <w:sz w:val="21"/>
                <w:szCs w:val="21"/>
                <w:color w:val="auto"/>
              </w:rPr>
            </w:pPr>
          </w:p>
        </w:tc>
        <w:tc>
          <w:tcPr>
            <w:tcW w:w="500" w:type="dxa"/>
            <w:vAlign w:val="bottom"/>
            <w:tcBorders>
              <w:bottom w:val="single" w:sz="8" w:color="004483"/>
            </w:tcBorders>
          </w:tcPr>
          <w:p>
            <w:pPr>
              <w:jc w:val="right"/>
              <w:ind w:right="3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212,088</w:t>
            </w:r>
          </w:p>
        </w:tc>
        <w:tc>
          <w:tcPr>
            <w:tcW w:w="100" w:type="dxa"/>
            <w:vAlign w:val="bottom"/>
          </w:tcPr>
          <w:p>
            <w:pPr>
              <w:spacing w:after="0"/>
              <w:rPr>
                <w:sz w:val="21"/>
                <w:szCs w:val="21"/>
                <w:color w:val="auto"/>
              </w:rPr>
            </w:pPr>
          </w:p>
        </w:tc>
      </w:tr>
      <w:tr>
        <w:trPr>
          <w:trHeight w:val="190"/>
        </w:trPr>
        <w:tc>
          <w:tcPr>
            <w:tcW w:w="20" w:type="dxa"/>
            <w:vAlign w:val="bottom"/>
          </w:tcPr>
          <w:p>
            <w:pPr>
              <w:spacing w:after="0"/>
              <w:rPr>
                <w:sz w:val="16"/>
                <w:szCs w:val="16"/>
                <w:color w:val="auto"/>
              </w:rPr>
            </w:pPr>
          </w:p>
        </w:tc>
        <w:tc>
          <w:tcPr>
            <w:tcW w:w="536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Cement Operating Earnings -</w:t>
            </w:r>
          </w:p>
        </w:tc>
        <w:tc>
          <w:tcPr>
            <w:tcW w:w="140" w:type="dxa"/>
            <w:vAlign w:val="bottom"/>
            <w:tcBorders>
              <w:bottom w:val="single" w:sz="8" w:color="A6A6A6"/>
            </w:tcBorders>
          </w:tcPr>
          <w:p>
            <w:pPr>
              <w:spacing w:after="0"/>
              <w:rPr>
                <w:sz w:val="16"/>
                <w:szCs w:val="16"/>
                <w:color w:val="auto"/>
              </w:rPr>
            </w:pPr>
          </w:p>
        </w:tc>
        <w:tc>
          <w:tcPr>
            <w:tcW w:w="112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560" w:type="dxa"/>
            <w:vAlign w:val="bottom"/>
            <w:tcBorders>
              <w:bottom w:val="single" w:sz="8" w:color="A6A6A6"/>
            </w:tcBorders>
          </w:tcPr>
          <w:p>
            <w:pPr>
              <w:spacing w:after="0"/>
              <w:rPr>
                <w:sz w:val="16"/>
                <w:szCs w:val="16"/>
                <w:color w:val="auto"/>
              </w:rPr>
            </w:pPr>
          </w:p>
        </w:tc>
        <w:tc>
          <w:tcPr>
            <w:tcW w:w="280" w:type="dxa"/>
            <w:vAlign w:val="bottom"/>
            <w:tcBorders>
              <w:bottom w:val="single" w:sz="8" w:color="A6A6A6"/>
            </w:tcBorders>
          </w:tcPr>
          <w:p>
            <w:pPr>
              <w:spacing w:after="0"/>
              <w:rPr>
                <w:sz w:val="16"/>
                <w:szCs w:val="16"/>
                <w:color w:val="auto"/>
              </w:rPr>
            </w:pPr>
          </w:p>
        </w:tc>
        <w:tc>
          <w:tcPr>
            <w:tcW w:w="42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780" w:type="dxa"/>
            <w:vAlign w:val="bottom"/>
            <w:tcBorders>
              <w:bottom w:val="single" w:sz="8" w:color="A6A6A6"/>
            </w:tcBorders>
          </w:tcPr>
          <w:p>
            <w:pPr>
              <w:spacing w:after="0"/>
              <w:rPr>
                <w:sz w:val="16"/>
                <w:szCs w:val="16"/>
                <w:color w:val="auto"/>
              </w:rPr>
            </w:pPr>
          </w:p>
        </w:tc>
        <w:tc>
          <w:tcPr>
            <w:tcW w:w="20" w:type="dxa"/>
            <w:vAlign w:val="bottom"/>
            <w:tcBorders>
              <w:bottom w:val="single" w:sz="8" w:color="A6A6A6"/>
            </w:tcBorders>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180" w:type="dxa"/>
            <w:vAlign w:val="bottom"/>
            <w:tcBorders>
              <w:bottom w:val="single" w:sz="8" w:color="A6A6A6"/>
            </w:tcBorders>
          </w:tcPr>
          <w:p>
            <w:pPr>
              <w:spacing w:after="0"/>
              <w:rPr>
                <w:sz w:val="16"/>
                <w:szCs w:val="16"/>
                <w:color w:val="auto"/>
              </w:rPr>
            </w:pPr>
          </w:p>
        </w:tc>
        <w:tc>
          <w:tcPr>
            <w:tcW w:w="8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20" w:type="dxa"/>
            <w:vAlign w:val="bottom"/>
            <w:tcBorders>
              <w:bottom w:val="single" w:sz="8" w:color="A6A6A6"/>
            </w:tcBorders>
          </w:tcPr>
          <w:p>
            <w:pPr>
              <w:spacing w:after="0"/>
              <w:rPr>
                <w:sz w:val="16"/>
                <w:szCs w:val="16"/>
                <w:color w:val="auto"/>
              </w:rPr>
            </w:pPr>
          </w:p>
        </w:tc>
        <w:tc>
          <w:tcPr>
            <w:tcW w:w="500" w:type="dxa"/>
            <w:vAlign w:val="bottom"/>
            <w:tcBorders>
              <w:bottom w:val="single" w:sz="8" w:color="A6A6A6"/>
            </w:tcBorders>
          </w:tcPr>
          <w:p>
            <w:pPr>
              <w:spacing w:after="0"/>
              <w:rPr>
                <w:sz w:val="16"/>
                <w:szCs w:val="16"/>
                <w:color w:val="auto"/>
              </w:rPr>
            </w:pPr>
          </w:p>
        </w:tc>
        <w:tc>
          <w:tcPr>
            <w:tcW w:w="7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004483"/>
              </w:rPr>
              <w:t>Wholly Owned</w:t>
            </w:r>
          </w:p>
        </w:tc>
        <w:tc>
          <w:tcPr>
            <w:tcW w:w="1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60,351</w:t>
            </w:r>
          </w:p>
        </w:tc>
        <w:tc>
          <w:tcPr>
            <w:tcW w:w="120" w:type="dxa"/>
            <w:vAlign w:val="bottom"/>
          </w:tcPr>
          <w:p>
            <w:pPr>
              <w:spacing w:after="0"/>
              <w:rPr>
                <w:sz w:val="18"/>
                <w:szCs w:val="18"/>
                <w:color w:val="auto"/>
              </w:rPr>
            </w:pPr>
          </w:p>
        </w:tc>
        <w:tc>
          <w:tcPr>
            <w:tcW w:w="680" w:type="dxa"/>
            <w:vAlign w:val="bottom"/>
            <w:tcBorders>
              <w:bottom w:val="single" w:sz="8" w:color="A6A6A6"/>
            </w:tcBorders>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43,480</w:t>
            </w:r>
          </w:p>
        </w:tc>
        <w:tc>
          <w:tcPr>
            <w:tcW w:w="100" w:type="dxa"/>
            <w:vAlign w:val="bottom"/>
          </w:tcPr>
          <w:p>
            <w:pPr>
              <w:spacing w:after="0"/>
              <w:rPr>
                <w:sz w:val="18"/>
                <w:szCs w:val="18"/>
                <w:color w:val="auto"/>
              </w:rPr>
            </w:pPr>
          </w:p>
        </w:tc>
        <w:tc>
          <w:tcPr>
            <w:tcW w:w="24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6A6A6"/>
            </w:tcBorders>
            <w:gridSpan w:val="5"/>
          </w:tcPr>
          <w:p>
            <w:pPr>
              <w:jc w:val="right"/>
              <w:spacing w:after="0"/>
              <w:rPr>
                <w:sz w:val="20"/>
                <w:szCs w:val="20"/>
                <w:color w:val="auto"/>
              </w:rPr>
            </w:pPr>
            <w:r>
              <w:rPr>
                <w:rFonts w:ascii="Times New Roman" w:cs="Times New Roman" w:eastAsia="Times New Roman" w:hAnsi="Times New Roman"/>
                <w:sz w:val="16"/>
                <w:szCs w:val="16"/>
                <w:color w:val="auto"/>
              </w:rPr>
              <w:t>182,346</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gridSpan w:val="2"/>
          </w:tcPr>
          <w:p>
            <w:pPr>
              <w:jc w:val="right"/>
              <w:ind w:right="385"/>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124,338</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004483"/>
              </w:rPr>
              <w:t>Joint Venture</w:t>
            </w:r>
          </w:p>
        </w:tc>
        <w:tc>
          <w:tcPr>
            <w:tcW w:w="1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10,083</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004483"/>
            </w:tcBorders>
          </w:tcPr>
          <w:p>
            <w:pPr>
              <w:spacing w:after="0"/>
              <w:rPr>
                <w:sz w:val="18"/>
                <w:szCs w:val="18"/>
                <w:color w:val="auto"/>
              </w:rPr>
            </w:pPr>
          </w:p>
        </w:tc>
        <w:tc>
          <w:tcPr>
            <w:tcW w:w="700" w:type="dxa"/>
            <w:vAlign w:val="bottom"/>
            <w:tcBorders>
              <w:bottom w:val="single" w:sz="8" w:color="004483"/>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10,700</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160" w:type="dxa"/>
            <w:vAlign w:val="bottom"/>
            <w:tcBorders>
              <w:bottom w:val="single" w:sz="8" w:color="004483"/>
            </w:tcBorders>
            <w:gridSpan w:val="5"/>
          </w:tcPr>
          <w:p>
            <w:pPr>
              <w:jc w:val="right"/>
              <w:spacing w:after="0"/>
              <w:rPr>
                <w:sz w:val="20"/>
                <w:szCs w:val="20"/>
                <w:color w:val="auto"/>
              </w:rPr>
            </w:pPr>
            <w:r>
              <w:rPr>
                <w:rFonts w:ascii="Times New Roman" w:cs="Times New Roman" w:eastAsia="Times New Roman" w:hAnsi="Times New Roman"/>
                <w:sz w:val="16"/>
                <w:szCs w:val="16"/>
                <w:color w:val="auto"/>
              </w:rPr>
              <w:t>28,456</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32,489</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5240" w:type="dxa"/>
            <w:vAlign w:val="bottom"/>
            <w:tcBorders>
              <w:bottom w:val="single" w:sz="8" w:color="A6A6A6"/>
            </w:tcBorders>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1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70,434</w:t>
            </w:r>
          </w:p>
        </w:tc>
        <w:tc>
          <w:tcPr>
            <w:tcW w:w="12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560" w:type="dxa"/>
            <w:vAlign w:val="bottom"/>
            <w:tcBorders>
              <w:bottom w:val="single" w:sz="8" w:color="004483"/>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004483"/>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54,180</w:t>
            </w:r>
          </w:p>
        </w:tc>
        <w:tc>
          <w:tcPr>
            <w:tcW w:w="10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bottom w:val="single" w:sz="8" w:color="004483"/>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210,802</w:t>
            </w:r>
          </w:p>
        </w:tc>
        <w:tc>
          <w:tcPr>
            <w:tcW w:w="10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20" w:type="dxa"/>
            <w:vAlign w:val="bottom"/>
            <w:tcBorders>
              <w:bottom w:val="single" w:sz="8" w:color="A6A6A6"/>
            </w:tcBorders>
          </w:tcPr>
          <w:p>
            <w:pPr>
              <w:spacing w:after="0"/>
              <w:rPr>
                <w:sz w:val="21"/>
                <w:szCs w:val="21"/>
                <w:color w:val="auto"/>
              </w:rPr>
            </w:pPr>
          </w:p>
        </w:tc>
        <w:tc>
          <w:tcPr>
            <w:tcW w:w="500" w:type="dxa"/>
            <w:vAlign w:val="bottom"/>
            <w:tcBorders>
              <w:bottom w:val="single" w:sz="8" w:color="004483"/>
            </w:tcBorders>
          </w:tcPr>
          <w:p>
            <w:pPr>
              <w:jc w:val="right"/>
              <w:ind w:right="3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156,827</w:t>
            </w:r>
          </w:p>
        </w:tc>
        <w:tc>
          <w:tcPr>
            <w:tcW w:w="100" w:type="dxa"/>
            <w:vAlign w:val="bottom"/>
          </w:tcPr>
          <w:p>
            <w:pPr>
              <w:spacing w:after="0"/>
              <w:rPr>
                <w:sz w:val="21"/>
                <w:szCs w:val="21"/>
                <w:color w:val="auto"/>
              </w:rPr>
            </w:pPr>
          </w:p>
        </w:tc>
      </w:tr>
      <w:tr>
        <w:trPr>
          <w:trHeight w:val="190"/>
        </w:trPr>
        <w:tc>
          <w:tcPr>
            <w:tcW w:w="20" w:type="dxa"/>
            <w:vAlign w:val="bottom"/>
          </w:tcPr>
          <w:p>
            <w:pPr>
              <w:spacing w:after="0"/>
              <w:rPr>
                <w:sz w:val="16"/>
                <w:szCs w:val="16"/>
                <w:color w:val="auto"/>
              </w:rPr>
            </w:pPr>
          </w:p>
        </w:tc>
        <w:tc>
          <w:tcPr>
            <w:tcW w:w="536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Capital Expenditures -</w:t>
            </w:r>
          </w:p>
        </w:tc>
        <w:tc>
          <w:tcPr>
            <w:tcW w:w="140" w:type="dxa"/>
            <w:vAlign w:val="bottom"/>
            <w:tcBorders>
              <w:bottom w:val="single" w:sz="8" w:color="A6A6A6"/>
            </w:tcBorders>
          </w:tcPr>
          <w:p>
            <w:pPr>
              <w:spacing w:after="0"/>
              <w:rPr>
                <w:sz w:val="16"/>
                <w:szCs w:val="16"/>
                <w:color w:val="auto"/>
              </w:rPr>
            </w:pPr>
          </w:p>
        </w:tc>
        <w:tc>
          <w:tcPr>
            <w:tcW w:w="112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560" w:type="dxa"/>
            <w:vAlign w:val="bottom"/>
            <w:tcBorders>
              <w:bottom w:val="single" w:sz="8" w:color="A6A6A6"/>
            </w:tcBorders>
          </w:tcPr>
          <w:p>
            <w:pPr>
              <w:spacing w:after="0"/>
              <w:rPr>
                <w:sz w:val="16"/>
                <w:szCs w:val="16"/>
                <w:color w:val="auto"/>
              </w:rPr>
            </w:pPr>
          </w:p>
        </w:tc>
        <w:tc>
          <w:tcPr>
            <w:tcW w:w="280" w:type="dxa"/>
            <w:vAlign w:val="bottom"/>
            <w:tcBorders>
              <w:bottom w:val="single" w:sz="8" w:color="A6A6A6"/>
            </w:tcBorders>
          </w:tcPr>
          <w:p>
            <w:pPr>
              <w:spacing w:after="0"/>
              <w:rPr>
                <w:sz w:val="16"/>
                <w:szCs w:val="16"/>
                <w:color w:val="auto"/>
              </w:rPr>
            </w:pPr>
          </w:p>
        </w:tc>
        <w:tc>
          <w:tcPr>
            <w:tcW w:w="42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780" w:type="dxa"/>
            <w:vAlign w:val="bottom"/>
            <w:tcBorders>
              <w:bottom w:val="single" w:sz="8" w:color="A6A6A6"/>
            </w:tcBorders>
          </w:tcPr>
          <w:p>
            <w:pPr>
              <w:spacing w:after="0"/>
              <w:rPr>
                <w:sz w:val="16"/>
                <w:szCs w:val="16"/>
                <w:color w:val="auto"/>
              </w:rPr>
            </w:pPr>
          </w:p>
        </w:tc>
        <w:tc>
          <w:tcPr>
            <w:tcW w:w="20" w:type="dxa"/>
            <w:vAlign w:val="bottom"/>
            <w:tcBorders>
              <w:bottom w:val="single" w:sz="8" w:color="A6A6A6"/>
            </w:tcBorders>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180" w:type="dxa"/>
            <w:vAlign w:val="bottom"/>
            <w:tcBorders>
              <w:bottom w:val="single" w:sz="8" w:color="A6A6A6"/>
            </w:tcBorders>
          </w:tcPr>
          <w:p>
            <w:pPr>
              <w:spacing w:after="0"/>
              <w:rPr>
                <w:sz w:val="16"/>
                <w:szCs w:val="16"/>
                <w:color w:val="auto"/>
              </w:rPr>
            </w:pPr>
          </w:p>
        </w:tc>
        <w:tc>
          <w:tcPr>
            <w:tcW w:w="8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20" w:type="dxa"/>
            <w:vAlign w:val="bottom"/>
            <w:tcBorders>
              <w:bottom w:val="single" w:sz="8" w:color="A6A6A6"/>
            </w:tcBorders>
          </w:tcPr>
          <w:p>
            <w:pPr>
              <w:spacing w:after="0"/>
              <w:rPr>
                <w:sz w:val="16"/>
                <w:szCs w:val="16"/>
                <w:color w:val="auto"/>
              </w:rPr>
            </w:pPr>
          </w:p>
        </w:tc>
        <w:tc>
          <w:tcPr>
            <w:tcW w:w="500" w:type="dxa"/>
            <w:vAlign w:val="bottom"/>
            <w:tcBorders>
              <w:bottom w:val="single" w:sz="8" w:color="A6A6A6"/>
            </w:tcBorders>
          </w:tcPr>
          <w:p>
            <w:pPr>
              <w:spacing w:after="0"/>
              <w:rPr>
                <w:sz w:val="16"/>
                <w:szCs w:val="16"/>
                <w:color w:val="auto"/>
              </w:rPr>
            </w:pPr>
          </w:p>
        </w:tc>
        <w:tc>
          <w:tcPr>
            <w:tcW w:w="7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277EBF"/>
              </w:rPr>
              <w:t>Cement</w:t>
            </w:r>
          </w:p>
        </w:tc>
        <w:tc>
          <w:tcPr>
            <w:tcW w:w="1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120" w:type="dxa"/>
            <w:vAlign w:val="bottom"/>
          </w:tcPr>
          <w:p>
            <w:pPr>
              <w:spacing w:after="0"/>
              <w:rPr>
                <w:sz w:val="18"/>
                <w:szCs w:val="18"/>
                <w:color w:val="auto"/>
              </w:rPr>
            </w:pPr>
          </w:p>
        </w:tc>
        <w:tc>
          <w:tcPr>
            <w:tcW w:w="680" w:type="dxa"/>
            <w:vAlign w:val="bottom"/>
            <w:tcBorders>
              <w:bottom w:val="single" w:sz="8" w:color="A6A6A6"/>
            </w:tcBorders>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7,379</w:t>
            </w:r>
          </w:p>
        </w:tc>
        <w:tc>
          <w:tcPr>
            <w:tcW w:w="100" w:type="dxa"/>
            <w:vAlign w:val="bottom"/>
          </w:tcPr>
          <w:p>
            <w:pPr>
              <w:spacing w:after="0"/>
              <w:rPr>
                <w:sz w:val="18"/>
                <w:szCs w:val="18"/>
                <w:color w:val="auto"/>
              </w:rPr>
            </w:pPr>
          </w:p>
        </w:tc>
        <w:tc>
          <w:tcPr>
            <w:tcW w:w="24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6A6A6"/>
            </w:tcBorders>
            <w:gridSpan w:val="5"/>
          </w:tcPr>
          <w:p>
            <w:pPr>
              <w:jc w:val="right"/>
              <w:spacing w:after="0"/>
              <w:rPr>
                <w:sz w:val="20"/>
                <w:szCs w:val="20"/>
                <w:color w:val="auto"/>
              </w:rPr>
            </w:pPr>
            <w:r>
              <w:rPr>
                <w:rFonts w:ascii="Times New Roman" w:cs="Times New Roman" w:eastAsia="Times New Roman" w:hAnsi="Times New Roman"/>
                <w:sz w:val="16"/>
                <w:szCs w:val="16"/>
                <w:color w:val="auto"/>
              </w:rPr>
              <w:t>20,767</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gridSpan w:val="2"/>
          </w:tcPr>
          <w:p>
            <w:pPr>
              <w:jc w:val="right"/>
              <w:ind w:right="385"/>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26,125</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00AAC6"/>
              </w:rPr>
              <w:t>Concrete and Aggregates</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3,233</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gridSpan w:val="4"/>
          </w:tcPr>
          <w:p>
            <w:pPr>
              <w:jc w:val="right"/>
              <w:spacing w:after="0"/>
              <w:rPr>
                <w:sz w:val="20"/>
                <w:szCs w:val="20"/>
                <w:color w:val="auto"/>
              </w:rPr>
            </w:pPr>
            <w:r>
              <w:rPr>
                <w:rFonts w:ascii="Times New Roman" w:cs="Times New Roman" w:eastAsia="Times New Roman" w:hAnsi="Times New Roman"/>
                <w:sz w:val="16"/>
                <w:szCs w:val="16"/>
                <w:color w:val="auto"/>
                <w:w w:val="94"/>
              </w:rPr>
              <w:t>2,933</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9,324</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77943C"/>
              </w:rPr>
              <w:t>Gypsum Wallboard</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gridSpan w:val="5"/>
          </w:tcPr>
          <w:p>
            <w:pPr>
              <w:jc w:val="right"/>
              <w:spacing w:after="0"/>
              <w:rPr>
                <w:sz w:val="20"/>
                <w:szCs w:val="20"/>
                <w:color w:val="auto"/>
              </w:rPr>
            </w:pPr>
            <w:r>
              <w:rPr>
                <w:rFonts w:ascii="Times New Roman" w:cs="Times New Roman" w:eastAsia="Times New Roman" w:hAnsi="Times New Roman"/>
                <w:sz w:val="16"/>
                <w:szCs w:val="16"/>
                <w:color w:val="auto"/>
              </w:rPr>
              <w:t>11,073</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8,647</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AEB949"/>
              </w:rPr>
              <w:t>Paperboard</w:t>
            </w:r>
          </w:p>
        </w:tc>
        <w:tc>
          <w:tcPr>
            <w:tcW w:w="1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004483"/>
            </w:tcBorders>
          </w:tcPr>
          <w:p>
            <w:pPr>
              <w:spacing w:after="0"/>
              <w:rPr>
                <w:sz w:val="18"/>
                <w:szCs w:val="18"/>
                <w:color w:val="auto"/>
              </w:rPr>
            </w:pPr>
          </w:p>
        </w:tc>
        <w:tc>
          <w:tcPr>
            <w:tcW w:w="700" w:type="dxa"/>
            <w:vAlign w:val="bottom"/>
            <w:tcBorders>
              <w:bottom w:val="single" w:sz="8" w:color="004483"/>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12,885</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160" w:type="dxa"/>
            <w:vAlign w:val="bottom"/>
            <w:tcBorders>
              <w:bottom w:val="single" w:sz="8" w:color="004483"/>
            </w:tcBorders>
            <w:gridSpan w:val="5"/>
          </w:tcPr>
          <w:p>
            <w:pPr>
              <w:jc w:val="right"/>
              <w:spacing w:after="0"/>
              <w:rPr>
                <w:sz w:val="20"/>
                <w:szCs w:val="20"/>
                <w:color w:val="auto"/>
              </w:rPr>
            </w:pPr>
            <w:r>
              <w:rPr>
                <w:rFonts w:ascii="Times New Roman" w:cs="Times New Roman" w:eastAsia="Times New Roman" w:hAnsi="Times New Roman"/>
                <w:sz w:val="16"/>
                <w:szCs w:val="16"/>
                <w:color w:val="auto"/>
              </w:rPr>
              <w:t>10,768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42,484</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5240" w:type="dxa"/>
            <w:vAlign w:val="bottom"/>
            <w:tcBorders>
              <w:bottom w:val="single" w:sz="8" w:color="A6A6A6"/>
            </w:tcBorders>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1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4,865</w:t>
            </w:r>
          </w:p>
        </w:tc>
        <w:tc>
          <w:tcPr>
            <w:tcW w:w="12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560" w:type="dxa"/>
            <w:vAlign w:val="bottom"/>
            <w:tcBorders>
              <w:bottom w:val="single" w:sz="8" w:color="004483"/>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004483"/>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23,770</w:t>
            </w:r>
          </w:p>
        </w:tc>
        <w:tc>
          <w:tcPr>
            <w:tcW w:w="10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bottom w:val="single" w:sz="8" w:color="004483"/>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45,541</w:t>
            </w:r>
          </w:p>
        </w:tc>
        <w:tc>
          <w:tcPr>
            <w:tcW w:w="10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20" w:type="dxa"/>
            <w:vAlign w:val="bottom"/>
            <w:tcBorders>
              <w:bottom w:val="single" w:sz="8" w:color="A6A6A6"/>
            </w:tcBorders>
          </w:tcPr>
          <w:p>
            <w:pPr>
              <w:spacing w:after="0"/>
              <w:rPr>
                <w:sz w:val="21"/>
                <w:szCs w:val="21"/>
                <w:color w:val="auto"/>
              </w:rPr>
            </w:pPr>
          </w:p>
        </w:tc>
        <w:tc>
          <w:tcPr>
            <w:tcW w:w="500" w:type="dxa"/>
            <w:vAlign w:val="bottom"/>
            <w:tcBorders>
              <w:bottom w:val="single" w:sz="8" w:color="004483"/>
            </w:tcBorders>
          </w:tcPr>
          <w:p>
            <w:pPr>
              <w:jc w:val="right"/>
              <w:ind w:right="3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86,580</w:t>
            </w:r>
          </w:p>
        </w:tc>
        <w:tc>
          <w:tcPr>
            <w:tcW w:w="100" w:type="dxa"/>
            <w:vAlign w:val="bottom"/>
          </w:tcPr>
          <w:p>
            <w:pPr>
              <w:spacing w:after="0"/>
              <w:rPr>
                <w:sz w:val="21"/>
                <w:szCs w:val="21"/>
                <w:color w:val="auto"/>
              </w:rPr>
            </w:pPr>
          </w:p>
        </w:tc>
      </w:tr>
      <w:tr>
        <w:trPr>
          <w:trHeight w:val="190"/>
        </w:trPr>
        <w:tc>
          <w:tcPr>
            <w:tcW w:w="20" w:type="dxa"/>
            <w:vAlign w:val="bottom"/>
          </w:tcPr>
          <w:p>
            <w:pPr>
              <w:spacing w:after="0"/>
              <w:rPr>
                <w:sz w:val="16"/>
                <w:szCs w:val="16"/>
                <w:color w:val="auto"/>
              </w:rPr>
            </w:pPr>
          </w:p>
        </w:tc>
        <w:tc>
          <w:tcPr>
            <w:tcW w:w="536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Depreciation, Depletion, and Amortization -</w:t>
            </w:r>
          </w:p>
        </w:tc>
        <w:tc>
          <w:tcPr>
            <w:tcW w:w="140" w:type="dxa"/>
            <w:vAlign w:val="bottom"/>
            <w:tcBorders>
              <w:bottom w:val="single" w:sz="8" w:color="A6A6A6"/>
            </w:tcBorders>
          </w:tcPr>
          <w:p>
            <w:pPr>
              <w:spacing w:after="0"/>
              <w:rPr>
                <w:sz w:val="16"/>
                <w:szCs w:val="16"/>
                <w:color w:val="auto"/>
              </w:rPr>
            </w:pPr>
          </w:p>
        </w:tc>
        <w:tc>
          <w:tcPr>
            <w:tcW w:w="112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560" w:type="dxa"/>
            <w:vAlign w:val="bottom"/>
            <w:tcBorders>
              <w:bottom w:val="single" w:sz="8" w:color="A6A6A6"/>
            </w:tcBorders>
          </w:tcPr>
          <w:p>
            <w:pPr>
              <w:spacing w:after="0"/>
              <w:rPr>
                <w:sz w:val="16"/>
                <w:szCs w:val="16"/>
                <w:color w:val="auto"/>
              </w:rPr>
            </w:pPr>
          </w:p>
        </w:tc>
        <w:tc>
          <w:tcPr>
            <w:tcW w:w="280" w:type="dxa"/>
            <w:vAlign w:val="bottom"/>
            <w:tcBorders>
              <w:bottom w:val="single" w:sz="8" w:color="A6A6A6"/>
            </w:tcBorders>
          </w:tcPr>
          <w:p>
            <w:pPr>
              <w:spacing w:after="0"/>
              <w:rPr>
                <w:sz w:val="16"/>
                <w:szCs w:val="16"/>
                <w:color w:val="auto"/>
              </w:rPr>
            </w:pPr>
          </w:p>
        </w:tc>
        <w:tc>
          <w:tcPr>
            <w:tcW w:w="42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780" w:type="dxa"/>
            <w:vAlign w:val="bottom"/>
            <w:tcBorders>
              <w:bottom w:val="single" w:sz="8" w:color="A6A6A6"/>
            </w:tcBorders>
          </w:tcPr>
          <w:p>
            <w:pPr>
              <w:spacing w:after="0"/>
              <w:rPr>
                <w:sz w:val="16"/>
                <w:szCs w:val="16"/>
                <w:color w:val="auto"/>
              </w:rPr>
            </w:pPr>
          </w:p>
        </w:tc>
        <w:tc>
          <w:tcPr>
            <w:tcW w:w="20" w:type="dxa"/>
            <w:vAlign w:val="bottom"/>
            <w:tcBorders>
              <w:bottom w:val="single" w:sz="8" w:color="A6A6A6"/>
            </w:tcBorders>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180" w:type="dxa"/>
            <w:vAlign w:val="bottom"/>
            <w:tcBorders>
              <w:bottom w:val="single" w:sz="8" w:color="A6A6A6"/>
            </w:tcBorders>
          </w:tcPr>
          <w:p>
            <w:pPr>
              <w:spacing w:after="0"/>
              <w:rPr>
                <w:sz w:val="16"/>
                <w:szCs w:val="16"/>
                <w:color w:val="auto"/>
              </w:rPr>
            </w:pPr>
          </w:p>
        </w:tc>
        <w:tc>
          <w:tcPr>
            <w:tcW w:w="8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20" w:type="dxa"/>
            <w:vAlign w:val="bottom"/>
            <w:tcBorders>
              <w:bottom w:val="single" w:sz="8" w:color="A6A6A6"/>
            </w:tcBorders>
          </w:tcPr>
          <w:p>
            <w:pPr>
              <w:spacing w:after="0"/>
              <w:rPr>
                <w:sz w:val="16"/>
                <w:szCs w:val="16"/>
                <w:color w:val="auto"/>
              </w:rPr>
            </w:pPr>
          </w:p>
        </w:tc>
        <w:tc>
          <w:tcPr>
            <w:tcW w:w="500" w:type="dxa"/>
            <w:vAlign w:val="bottom"/>
            <w:tcBorders>
              <w:bottom w:val="single" w:sz="8" w:color="A6A6A6"/>
            </w:tcBorders>
          </w:tcPr>
          <w:p>
            <w:pPr>
              <w:spacing w:after="0"/>
              <w:rPr>
                <w:sz w:val="16"/>
                <w:szCs w:val="16"/>
                <w:color w:val="auto"/>
              </w:rPr>
            </w:pPr>
          </w:p>
        </w:tc>
        <w:tc>
          <w:tcPr>
            <w:tcW w:w="7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277EBF"/>
              </w:rPr>
              <w:t>Cement</w:t>
            </w:r>
          </w:p>
        </w:tc>
        <w:tc>
          <w:tcPr>
            <w:tcW w:w="1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19,337</w:t>
            </w:r>
          </w:p>
        </w:tc>
        <w:tc>
          <w:tcPr>
            <w:tcW w:w="120" w:type="dxa"/>
            <w:vAlign w:val="bottom"/>
          </w:tcPr>
          <w:p>
            <w:pPr>
              <w:spacing w:after="0"/>
              <w:rPr>
                <w:sz w:val="18"/>
                <w:szCs w:val="18"/>
                <w:color w:val="auto"/>
              </w:rPr>
            </w:pPr>
          </w:p>
        </w:tc>
        <w:tc>
          <w:tcPr>
            <w:tcW w:w="680" w:type="dxa"/>
            <w:vAlign w:val="bottom"/>
            <w:tcBorders>
              <w:bottom w:val="single" w:sz="8" w:color="A6A6A6"/>
            </w:tcBorders>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14,189</w:t>
            </w:r>
          </w:p>
        </w:tc>
        <w:tc>
          <w:tcPr>
            <w:tcW w:w="100" w:type="dxa"/>
            <w:vAlign w:val="bottom"/>
          </w:tcPr>
          <w:p>
            <w:pPr>
              <w:spacing w:after="0"/>
              <w:rPr>
                <w:sz w:val="18"/>
                <w:szCs w:val="18"/>
                <w:color w:val="auto"/>
              </w:rPr>
            </w:pPr>
          </w:p>
        </w:tc>
        <w:tc>
          <w:tcPr>
            <w:tcW w:w="24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6A6A6"/>
            </w:tcBorders>
            <w:gridSpan w:val="5"/>
          </w:tcPr>
          <w:p>
            <w:pPr>
              <w:jc w:val="right"/>
              <w:spacing w:after="0"/>
              <w:rPr>
                <w:sz w:val="20"/>
                <w:szCs w:val="20"/>
                <w:color w:val="auto"/>
              </w:rPr>
            </w:pPr>
            <w:r>
              <w:rPr>
                <w:rFonts w:ascii="Times New Roman" w:cs="Times New Roman" w:eastAsia="Times New Roman" w:hAnsi="Times New Roman"/>
                <w:sz w:val="16"/>
                <w:szCs w:val="16"/>
                <w:color w:val="auto"/>
              </w:rPr>
              <w:t>57,838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gridSpan w:val="2"/>
          </w:tcPr>
          <w:p>
            <w:pPr>
              <w:jc w:val="right"/>
              <w:ind w:right="385"/>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42,275</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00AAC6"/>
              </w:rPr>
              <w:t>Concrete and Aggregates</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3,105</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gridSpan w:val="4"/>
          </w:tcPr>
          <w:p>
            <w:pPr>
              <w:jc w:val="right"/>
              <w:spacing w:after="0"/>
              <w:rPr>
                <w:sz w:val="20"/>
                <w:szCs w:val="20"/>
                <w:color w:val="auto"/>
              </w:rPr>
            </w:pPr>
            <w:r>
              <w:rPr>
                <w:rFonts w:ascii="Times New Roman" w:cs="Times New Roman" w:eastAsia="Times New Roman" w:hAnsi="Times New Roman"/>
                <w:sz w:val="16"/>
                <w:szCs w:val="16"/>
                <w:color w:val="auto"/>
                <w:w w:val="94"/>
              </w:rPr>
              <w:t>8,110</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8,050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77943C"/>
              </w:rPr>
              <w:t>Gypsum Wallboard</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5,340</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5,050</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gridSpan w:val="5"/>
          </w:tcPr>
          <w:p>
            <w:pPr>
              <w:jc w:val="right"/>
              <w:spacing w:after="0"/>
              <w:rPr>
                <w:sz w:val="20"/>
                <w:szCs w:val="20"/>
                <w:color w:val="auto"/>
              </w:rPr>
            </w:pPr>
            <w:r>
              <w:rPr>
                <w:rFonts w:ascii="Times New Roman" w:cs="Times New Roman" w:eastAsia="Times New Roman" w:hAnsi="Times New Roman"/>
                <w:sz w:val="16"/>
                <w:szCs w:val="16"/>
                <w:color w:val="auto"/>
              </w:rPr>
              <w:t>16,201</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15,149</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AEB949"/>
              </w:rPr>
              <w:t>Paperboard</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3,509</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gridSpan w:val="5"/>
          </w:tcPr>
          <w:p>
            <w:pPr>
              <w:jc w:val="right"/>
              <w:spacing w:after="0"/>
              <w:rPr>
                <w:sz w:val="20"/>
                <w:szCs w:val="20"/>
                <w:color w:val="auto"/>
              </w:rPr>
            </w:pPr>
            <w:r>
              <w:rPr>
                <w:rFonts w:ascii="Times New Roman" w:cs="Times New Roman" w:eastAsia="Times New Roman" w:hAnsi="Times New Roman"/>
                <w:sz w:val="16"/>
                <w:szCs w:val="16"/>
                <w:color w:val="auto"/>
              </w:rPr>
              <w:t>10,205</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6,610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004483"/>
              </w:rPr>
              <w:t>Corporate and Other</w:t>
            </w:r>
          </w:p>
        </w:tc>
        <w:tc>
          <w:tcPr>
            <w:tcW w:w="1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004483"/>
            </w:tcBorders>
          </w:tcPr>
          <w:p>
            <w:pPr>
              <w:spacing w:after="0"/>
              <w:rPr>
                <w:sz w:val="18"/>
                <w:szCs w:val="18"/>
                <w:color w:val="auto"/>
              </w:rPr>
            </w:pPr>
          </w:p>
        </w:tc>
        <w:tc>
          <w:tcPr>
            <w:tcW w:w="700" w:type="dxa"/>
            <w:vAlign w:val="bottom"/>
            <w:tcBorders>
              <w:bottom w:val="single" w:sz="8" w:color="004483"/>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780" w:type="dxa"/>
            <w:vAlign w:val="bottom"/>
            <w:tcBorders>
              <w:bottom w:val="single" w:sz="8" w:color="004483"/>
            </w:tcBorders>
          </w:tcPr>
          <w:p>
            <w:pPr>
              <w:spacing w:after="0"/>
              <w:rPr>
                <w:sz w:val="18"/>
                <w:szCs w:val="18"/>
                <w:color w:val="auto"/>
              </w:rPr>
            </w:pPr>
          </w:p>
        </w:tc>
        <w:tc>
          <w:tcPr>
            <w:tcW w:w="380" w:type="dxa"/>
            <w:vAlign w:val="bottom"/>
            <w:tcBorders>
              <w:bottom w:val="single" w:sz="8" w:color="004483"/>
            </w:tcBorders>
            <w:gridSpan w:val="4"/>
          </w:tcPr>
          <w:p>
            <w:pPr>
              <w:jc w:val="right"/>
              <w:spacing w:after="0"/>
              <w:rPr>
                <w:sz w:val="20"/>
                <w:szCs w:val="20"/>
                <w:color w:val="auto"/>
              </w:rPr>
            </w:pPr>
            <w:r>
              <w:rPr>
                <w:rFonts w:ascii="Times New Roman" w:cs="Times New Roman" w:eastAsia="Times New Roman" w:hAnsi="Times New Roman"/>
                <w:sz w:val="16"/>
                <w:szCs w:val="16"/>
                <w:color w:val="auto"/>
                <w:w w:val="94"/>
              </w:rPr>
              <w:t>3,704</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5240" w:type="dxa"/>
            <w:vAlign w:val="bottom"/>
            <w:tcBorders>
              <w:bottom w:val="single" w:sz="8" w:color="A6A6A6"/>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32,080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Borders>
              <w:bottom w:val="single" w:sz="8" w:color="004483"/>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004483"/>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25,166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bottom w:val="single" w:sz="8" w:color="004483"/>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96,058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Borders>
              <w:bottom w:val="single" w:sz="8" w:color="004483"/>
            </w:tcBorders>
          </w:tcPr>
          <w:p>
            <w:pPr>
              <w:jc w:val="right"/>
              <w:ind w:right="3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73,857</w:t>
            </w:r>
          </w:p>
        </w:tc>
        <w:tc>
          <w:tcPr>
            <w:tcW w:w="10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Discontinued Operations</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54"/>
        </w:trPr>
        <w:tc>
          <w:tcPr>
            <w:tcW w:w="20" w:type="dxa"/>
            <w:vAlign w:val="bottom"/>
          </w:tcPr>
          <w:p>
            <w:pPr>
              <w:spacing w:after="0"/>
              <w:rPr>
                <w:sz w:val="22"/>
                <w:szCs w:val="22"/>
                <w:color w:val="auto"/>
              </w:rPr>
            </w:pPr>
          </w:p>
        </w:tc>
        <w:tc>
          <w:tcPr>
            <w:tcW w:w="5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4483"/>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86</w:t>
            </w:r>
          </w:p>
        </w:tc>
        <w:tc>
          <w:tcPr>
            <w:tcW w:w="10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gridSpan w:val="2"/>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w:t>
            </w:r>
          </w:p>
        </w:tc>
        <w:tc>
          <w:tcPr>
            <w:tcW w:w="100" w:type="dxa"/>
            <w:vAlign w:val="bottom"/>
          </w:tcPr>
          <w:p>
            <w:pPr>
              <w:spacing w:after="0"/>
              <w:rPr>
                <w:sz w:val="22"/>
                <w:szCs w:val="22"/>
                <w:color w:val="auto"/>
              </w:rPr>
            </w:pPr>
          </w:p>
        </w:tc>
      </w:tr>
      <w:tr>
        <w:trPr>
          <w:trHeight w:val="235"/>
        </w:trPr>
        <w:tc>
          <w:tcPr>
            <w:tcW w:w="20" w:type="dxa"/>
            <w:vAlign w:val="bottom"/>
          </w:tcPr>
          <w:p>
            <w:pPr>
              <w:spacing w:after="0"/>
              <w:rPr>
                <w:sz w:val="20"/>
                <w:szCs w:val="20"/>
                <w:color w:val="auto"/>
              </w:rPr>
            </w:pPr>
          </w:p>
        </w:tc>
        <w:tc>
          <w:tcPr>
            <w:tcW w:w="5360" w:type="dxa"/>
            <w:vAlign w:val="bottom"/>
            <w:tcBorders>
              <w:top w:val="single" w:sz="8" w:color="A6A6A6"/>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004483"/>
              </w:rPr>
              <w:t>Depreciation, Depletion, and Amortization</w:t>
            </w:r>
          </w:p>
        </w:tc>
        <w:tc>
          <w:tcPr>
            <w:tcW w:w="14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0"/>
                <w:szCs w:val="20"/>
                <w:color w:val="auto"/>
              </w:rPr>
            </w:pPr>
          </w:p>
        </w:tc>
        <w:tc>
          <w:tcPr>
            <w:tcW w:w="120" w:type="dxa"/>
            <w:vAlign w:val="bottom"/>
            <w:tcBorders>
              <w:top w:val="single" w:sz="8" w:color="A6A6A6"/>
            </w:tcBorders>
          </w:tcPr>
          <w:p>
            <w:pPr>
              <w:spacing w:after="0"/>
              <w:rPr>
                <w:sz w:val="20"/>
                <w:szCs w:val="20"/>
                <w:color w:val="auto"/>
              </w:rPr>
            </w:pPr>
          </w:p>
        </w:tc>
        <w:tc>
          <w:tcPr>
            <w:tcW w:w="560" w:type="dxa"/>
            <w:vAlign w:val="bottom"/>
            <w:tcBorders>
              <w:top w:val="single" w:sz="8" w:color="004483"/>
              <w:bottom w:val="single" w:sz="8" w:color="004483"/>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004483"/>
              <w:bottom w:val="single" w:sz="8" w:color="004483"/>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3,445</w:t>
            </w:r>
          </w:p>
        </w:tc>
        <w:tc>
          <w:tcPr>
            <w:tcW w:w="100" w:type="dxa"/>
            <w:vAlign w:val="bottom"/>
          </w:tcPr>
          <w:p>
            <w:pPr>
              <w:spacing w:after="0"/>
              <w:rPr>
                <w:sz w:val="20"/>
                <w:szCs w:val="20"/>
                <w:color w:val="auto"/>
              </w:rPr>
            </w:pPr>
          </w:p>
        </w:tc>
        <w:tc>
          <w:tcPr>
            <w:tcW w:w="120" w:type="dxa"/>
            <w:vAlign w:val="bottom"/>
            <w:tcBorders>
              <w:top w:val="single" w:sz="8" w:color="A6A6A6"/>
            </w:tcBorders>
          </w:tcPr>
          <w:p>
            <w:pPr>
              <w:spacing w:after="0"/>
              <w:rPr>
                <w:sz w:val="20"/>
                <w:szCs w:val="20"/>
                <w:color w:val="auto"/>
              </w:rPr>
            </w:pPr>
          </w:p>
        </w:tc>
        <w:tc>
          <w:tcPr>
            <w:tcW w:w="12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004483"/>
              <w:bottom w:val="single" w:sz="8" w:color="004483"/>
            </w:tcBorders>
          </w:tcPr>
          <w:p>
            <w:pPr>
              <w:spacing w:after="0"/>
              <w:rPr>
                <w:sz w:val="20"/>
                <w:szCs w:val="20"/>
                <w:color w:val="auto"/>
              </w:rPr>
            </w:pPr>
          </w:p>
        </w:tc>
        <w:tc>
          <w:tcPr>
            <w:tcW w:w="380" w:type="dxa"/>
            <w:vAlign w:val="bottom"/>
            <w:tcBorders>
              <w:top w:val="single" w:sz="8" w:color="004483"/>
              <w:bottom w:val="single" w:sz="8" w:color="004483"/>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221</w:t>
            </w:r>
          </w:p>
        </w:tc>
        <w:tc>
          <w:tcPr>
            <w:tcW w:w="100" w:type="dxa"/>
            <w:vAlign w:val="bottom"/>
          </w:tcPr>
          <w:p>
            <w:pPr>
              <w:spacing w:after="0"/>
              <w:rPr>
                <w:sz w:val="20"/>
                <w:szCs w:val="20"/>
                <w:color w:val="auto"/>
              </w:rPr>
            </w:pPr>
          </w:p>
        </w:tc>
        <w:tc>
          <w:tcPr>
            <w:tcW w:w="120" w:type="dxa"/>
            <w:vAlign w:val="bottom"/>
            <w:tcBorders>
              <w:top w:val="single" w:sz="8" w:color="A6A6A6"/>
            </w:tcBorders>
          </w:tcPr>
          <w:p>
            <w:pPr>
              <w:spacing w:after="0"/>
              <w:rPr>
                <w:sz w:val="20"/>
                <w:szCs w:val="20"/>
                <w:color w:val="auto"/>
              </w:rPr>
            </w:pPr>
          </w:p>
        </w:tc>
        <w:tc>
          <w:tcPr>
            <w:tcW w:w="20" w:type="dxa"/>
            <w:vAlign w:val="bottom"/>
            <w:tcBorders>
              <w:top w:val="single" w:sz="8" w:color="004483"/>
            </w:tcBorders>
          </w:tcPr>
          <w:p>
            <w:pPr>
              <w:spacing w:after="0"/>
              <w:rPr>
                <w:sz w:val="20"/>
                <w:szCs w:val="20"/>
                <w:color w:val="auto"/>
              </w:rPr>
            </w:pPr>
          </w:p>
        </w:tc>
        <w:tc>
          <w:tcPr>
            <w:tcW w:w="500" w:type="dxa"/>
            <w:vAlign w:val="bottom"/>
            <w:tcBorders>
              <w:top w:val="single" w:sz="8" w:color="004483"/>
              <w:bottom w:val="single" w:sz="8" w:color="004483"/>
            </w:tcBorders>
          </w:tcPr>
          <w:p>
            <w:pPr>
              <w:jc w:val="right"/>
              <w:ind w:right="3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11,087</w:t>
            </w:r>
          </w:p>
        </w:tc>
        <w:tc>
          <w:tcPr>
            <w:tcW w:w="10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bottom w:val="single" w:sz="8" w:color="004483"/>
            </w:tcBorders>
            <w:shd w:val="clear" w:color="auto" w:fill="004483"/>
          </w:tcPr>
          <w:p>
            <w:pPr>
              <w:spacing w:after="0"/>
              <w:rPr>
                <w:sz w:val="18"/>
                <w:szCs w:val="18"/>
                <w:color w:val="auto"/>
              </w:rPr>
            </w:pPr>
          </w:p>
        </w:tc>
        <w:tc>
          <w:tcPr>
            <w:tcW w:w="100" w:type="dxa"/>
            <w:vAlign w:val="bottom"/>
            <w:tcBorders>
              <w:bottom w:val="single" w:sz="8" w:color="004483"/>
            </w:tcBorders>
            <w:shd w:val="clear" w:color="auto" w:fill="004483"/>
          </w:tcPr>
          <w:p>
            <w:pPr>
              <w:spacing w:after="0"/>
              <w:rPr>
                <w:sz w:val="18"/>
                <w:szCs w:val="18"/>
                <w:color w:val="auto"/>
              </w:rPr>
            </w:pPr>
          </w:p>
        </w:tc>
        <w:tc>
          <w:tcPr>
            <w:tcW w:w="120" w:type="dxa"/>
            <w:vAlign w:val="bottom"/>
            <w:tcBorders>
              <w:bottom w:val="single" w:sz="8" w:color="004483"/>
            </w:tcBorders>
            <w:shd w:val="clear" w:color="auto" w:fill="004483"/>
          </w:tcPr>
          <w:p>
            <w:pPr>
              <w:spacing w:after="0"/>
              <w:rPr>
                <w:sz w:val="18"/>
                <w:szCs w:val="18"/>
                <w:color w:val="auto"/>
              </w:rPr>
            </w:pPr>
          </w:p>
        </w:tc>
        <w:tc>
          <w:tcPr>
            <w:tcW w:w="120" w:type="dxa"/>
            <w:vAlign w:val="bottom"/>
            <w:tcBorders>
              <w:bottom w:val="single" w:sz="8" w:color="004483"/>
            </w:tcBorders>
            <w:shd w:val="clear" w:color="auto" w:fill="004483"/>
          </w:tcPr>
          <w:p>
            <w:pPr>
              <w:spacing w:after="0"/>
              <w:rPr>
                <w:sz w:val="18"/>
                <w:szCs w:val="18"/>
                <w:color w:val="auto"/>
              </w:rPr>
            </w:pPr>
          </w:p>
        </w:tc>
        <w:tc>
          <w:tcPr>
            <w:tcW w:w="780" w:type="dxa"/>
            <w:vAlign w:val="bottom"/>
            <w:tcBorders>
              <w:bottom w:val="single" w:sz="8" w:color="004483"/>
            </w:tcBorders>
            <w:shd w:val="clear" w:color="auto" w:fill="004483"/>
          </w:tcPr>
          <w:p>
            <w:pPr>
              <w:jc w:val="right"/>
              <w:spacing w:after="0"/>
              <w:rPr>
                <w:sz w:val="20"/>
                <w:szCs w:val="20"/>
                <w:color w:val="auto"/>
              </w:rPr>
            </w:pPr>
            <w:r>
              <w:rPr>
                <w:rFonts w:ascii="Times New Roman" w:cs="Times New Roman" w:eastAsia="Times New Roman" w:hAnsi="Times New Roman"/>
                <w:sz w:val="13"/>
                <w:szCs w:val="13"/>
                <w:b w:val="1"/>
                <w:bCs w:val="1"/>
                <w:color w:val="FFFFFF"/>
              </w:rPr>
              <w:t>December 31,</w:t>
            </w:r>
          </w:p>
        </w:tc>
        <w:tc>
          <w:tcPr>
            <w:tcW w:w="20" w:type="dxa"/>
            <w:vAlign w:val="bottom"/>
            <w:tcBorders>
              <w:bottom w:val="single" w:sz="8" w:color="004483"/>
            </w:tcBorders>
            <w:shd w:val="clear" w:color="auto" w:fill="004483"/>
          </w:tcPr>
          <w:p>
            <w:pPr>
              <w:spacing w:after="0"/>
              <w:rPr>
                <w:sz w:val="18"/>
                <w:szCs w:val="18"/>
                <w:color w:val="auto"/>
              </w:rPr>
            </w:pPr>
          </w:p>
        </w:tc>
        <w:tc>
          <w:tcPr>
            <w:tcW w:w="100" w:type="dxa"/>
            <w:vAlign w:val="bottom"/>
            <w:tcBorders>
              <w:bottom w:val="single" w:sz="8" w:color="004483"/>
            </w:tcBorders>
            <w:shd w:val="clear" w:color="auto" w:fill="004483"/>
          </w:tcPr>
          <w:p>
            <w:pPr>
              <w:spacing w:after="0"/>
              <w:rPr>
                <w:sz w:val="18"/>
                <w:szCs w:val="18"/>
                <w:color w:val="auto"/>
              </w:rPr>
            </w:pPr>
          </w:p>
        </w:tc>
        <w:tc>
          <w:tcPr>
            <w:tcW w:w="180" w:type="dxa"/>
            <w:vAlign w:val="bottom"/>
            <w:tcBorders>
              <w:bottom w:val="single" w:sz="8" w:color="004483"/>
            </w:tcBorders>
            <w:shd w:val="clear" w:color="auto" w:fill="004483"/>
          </w:tcPr>
          <w:p>
            <w:pPr>
              <w:spacing w:after="0"/>
              <w:rPr>
                <w:sz w:val="18"/>
                <w:szCs w:val="18"/>
                <w:color w:val="auto"/>
              </w:rPr>
            </w:pPr>
          </w:p>
        </w:tc>
        <w:tc>
          <w:tcPr>
            <w:tcW w:w="80" w:type="dxa"/>
            <w:vAlign w:val="bottom"/>
            <w:tcBorders>
              <w:bottom w:val="single" w:sz="8" w:color="004483"/>
            </w:tcBorders>
            <w:shd w:val="clear" w:color="auto" w:fill="004483"/>
          </w:tcPr>
          <w:p>
            <w:pPr>
              <w:spacing w:after="0"/>
              <w:rPr>
                <w:sz w:val="18"/>
                <w:szCs w:val="18"/>
                <w:color w:val="auto"/>
              </w:rPr>
            </w:pPr>
          </w:p>
        </w:tc>
        <w:tc>
          <w:tcPr>
            <w:tcW w:w="100" w:type="dxa"/>
            <w:vAlign w:val="bottom"/>
            <w:tcBorders>
              <w:bottom w:val="single" w:sz="8" w:color="004483"/>
            </w:tcBorders>
            <w:shd w:val="clear" w:color="auto" w:fill="004483"/>
          </w:tcPr>
          <w:p>
            <w:pPr>
              <w:spacing w:after="0"/>
              <w:rPr>
                <w:sz w:val="18"/>
                <w:szCs w:val="18"/>
                <w:color w:val="auto"/>
              </w:rPr>
            </w:pPr>
          </w:p>
        </w:tc>
        <w:tc>
          <w:tcPr>
            <w:tcW w:w="120" w:type="dxa"/>
            <w:vAlign w:val="bottom"/>
            <w:tcBorders>
              <w:bottom w:val="single" w:sz="8" w:color="004483"/>
            </w:tcBorders>
            <w:shd w:val="clear" w:color="auto" w:fill="004483"/>
          </w:tcPr>
          <w:p>
            <w:pPr>
              <w:spacing w:after="0"/>
              <w:rPr>
                <w:sz w:val="18"/>
                <w:szCs w:val="18"/>
                <w:color w:val="auto"/>
              </w:rPr>
            </w:pPr>
          </w:p>
        </w:tc>
        <w:tc>
          <w:tcPr>
            <w:tcW w:w="20" w:type="dxa"/>
            <w:vAlign w:val="bottom"/>
            <w:tcBorders>
              <w:bottom w:val="single" w:sz="8" w:color="004483"/>
            </w:tcBorders>
            <w:shd w:val="clear" w:color="auto" w:fill="004483"/>
          </w:tcPr>
          <w:p>
            <w:pPr>
              <w:spacing w:after="0"/>
              <w:rPr>
                <w:sz w:val="18"/>
                <w:szCs w:val="18"/>
                <w:color w:val="auto"/>
              </w:rPr>
            </w:pPr>
          </w:p>
        </w:tc>
        <w:tc>
          <w:tcPr>
            <w:tcW w:w="500" w:type="dxa"/>
            <w:vAlign w:val="bottom"/>
            <w:tcBorders>
              <w:bottom w:val="single" w:sz="8" w:color="004483"/>
            </w:tcBorders>
            <w:shd w:val="clear" w:color="auto" w:fill="004483"/>
          </w:tcPr>
          <w:p>
            <w:pPr>
              <w:spacing w:after="0"/>
              <w:rPr>
                <w:sz w:val="18"/>
                <w:szCs w:val="18"/>
                <w:color w:val="auto"/>
              </w:rPr>
            </w:pPr>
          </w:p>
        </w:tc>
        <w:tc>
          <w:tcPr>
            <w:tcW w:w="860" w:type="dxa"/>
            <w:vAlign w:val="bottom"/>
            <w:tcBorders>
              <w:bottom w:val="single" w:sz="8" w:color="004483"/>
            </w:tcBorders>
            <w:gridSpan w:val="2"/>
            <w:shd w:val="clear" w:color="auto" w:fill="004483"/>
          </w:tcPr>
          <w:p>
            <w:pPr>
              <w:ind w:left="200"/>
              <w:spacing w:after="0"/>
              <w:rPr>
                <w:sz w:val="20"/>
                <w:szCs w:val="20"/>
                <w:color w:val="auto"/>
              </w:rPr>
            </w:pPr>
            <w:r>
              <w:rPr>
                <w:rFonts w:ascii="Times New Roman" w:cs="Times New Roman" w:eastAsia="Times New Roman" w:hAnsi="Times New Roman"/>
                <w:sz w:val="13"/>
                <w:szCs w:val="13"/>
                <w:b w:val="1"/>
                <w:bCs w:val="1"/>
                <w:color w:val="FFFFFF"/>
              </w:rPr>
              <w:t>March 31,</w:t>
            </w:r>
          </w:p>
        </w:tc>
      </w:tr>
      <w:tr>
        <w:trPr>
          <w:trHeight w:val="143"/>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524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140" w:type="dxa"/>
            <w:vAlign w:val="bottom"/>
            <w:tcBorders>
              <w:bottom w:val="single" w:sz="8" w:color="004483"/>
            </w:tcBorders>
          </w:tcPr>
          <w:p>
            <w:pPr>
              <w:spacing w:after="0"/>
              <w:rPr>
                <w:sz w:val="13"/>
                <w:szCs w:val="13"/>
                <w:color w:val="auto"/>
              </w:rPr>
            </w:pPr>
          </w:p>
        </w:tc>
        <w:tc>
          <w:tcPr>
            <w:tcW w:w="112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560" w:type="dxa"/>
            <w:vAlign w:val="bottom"/>
            <w:tcBorders>
              <w:bottom w:val="single" w:sz="8" w:color="004483"/>
            </w:tcBorders>
          </w:tcPr>
          <w:p>
            <w:pPr>
              <w:spacing w:after="0"/>
              <w:rPr>
                <w:sz w:val="13"/>
                <w:szCs w:val="13"/>
                <w:color w:val="auto"/>
              </w:rPr>
            </w:pPr>
          </w:p>
        </w:tc>
        <w:tc>
          <w:tcPr>
            <w:tcW w:w="280" w:type="dxa"/>
            <w:vAlign w:val="bottom"/>
            <w:tcBorders>
              <w:bottom w:val="single" w:sz="8" w:color="004483"/>
            </w:tcBorders>
          </w:tcPr>
          <w:p>
            <w:pPr>
              <w:spacing w:after="0"/>
              <w:rPr>
                <w:sz w:val="13"/>
                <w:szCs w:val="13"/>
                <w:color w:val="auto"/>
              </w:rPr>
            </w:pPr>
          </w:p>
        </w:tc>
        <w:tc>
          <w:tcPr>
            <w:tcW w:w="420" w:type="dxa"/>
            <w:vAlign w:val="bottom"/>
            <w:tcBorders>
              <w:bottom w:val="single" w:sz="8" w:color="004483"/>
            </w:tcBorders>
          </w:tcPr>
          <w:p>
            <w:pPr>
              <w:spacing w:after="0"/>
              <w:rPr>
                <w:sz w:val="13"/>
                <w:szCs w:val="13"/>
                <w:color w:val="auto"/>
              </w:rPr>
            </w:pPr>
          </w:p>
        </w:tc>
        <w:tc>
          <w:tcPr>
            <w:tcW w:w="10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1900" w:type="dxa"/>
            <w:vAlign w:val="bottom"/>
            <w:tcBorders>
              <w:bottom w:val="single" w:sz="8" w:color="004483"/>
            </w:tcBorders>
            <w:gridSpan w:val="9"/>
          </w:tcPr>
          <w:p>
            <w:pPr>
              <w:jc w:val="right"/>
              <w:ind w:right="365"/>
              <w:spacing w:after="0"/>
              <w:rPr>
                <w:sz w:val="20"/>
                <w:szCs w:val="20"/>
                <w:color w:val="auto"/>
              </w:rPr>
            </w:pPr>
            <w:r>
              <w:rPr>
                <w:rFonts w:ascii="Times New Roman" w:cs="Times New Roman" w:eastAsia="Times New Roman" w:hAnsi="Times New Roman"/>
                <w:sz w:val="13"/>
                <w:szCs w:val="13"/>
                <w:color w:val="auto"/>
              </w:rPr>
              <w:t>(dollars in thousands)</w:t>
            </w:r>
          </w:p>
        </w:tc>
        <w:tc>
          <w:tcPr>
            <w:tcW w:w="76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r>
      <w:tr>
        <w:trPr>
          <w:trHeight w:val="206"/>
        </w:trPr>
        <w:tc>
          <w:tcPr>
            <w:tcW w:w="20" w:type="dxa"/>
            <w:vAlign w:val="bottom"/>
          </w:tcPr>
          <w:p>
            <w:pPr>
              <w:spacing w:after="0"/>
              <w:rPr>
                <w:sz w:val="17"/>
                <w:szCs w:val="17"/>
                <w:color w:val="auto"/>
              </w:rPr>
            </w:pPr>
          </w:p>
        </w:tc>
        <w:tc>
          <w:tcPr>
            <w:tcW w:w="536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b w:val="1"/>
                <w:bCs w:val="1"/>
                <w:color w:val="004483"/>
              </w:rPr>
              <w:t>Identifiable Assets</w:t>
            </w:r>
          </w:p>
        </w:tc>
        <w:tc>
          <w:tcPr>
            <w:tcW w:w="14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60" w:type="dxa"/>
            <w:vAlign w:val="bottom"/>
            <w:tcBorders>
              <w:bottom w:val="single" w:sz="8" w:color="A6A6A6"/>
            </w:tcBorders>
          </w:tcPr>
          <w:p>
            <w:pPr>
              <w:spacing w:after="0"/>
              <w:rPr>
                <w:sz w:val="17"/>
                <w:szCs w:val="17"/>
                <w:color w:val="auto"/>
              </w:rPr>
            </w:pPr>
          </w:p>
        </w:tc>
        <w:tc>
          <w:tcPr>
            <w:tcW w:w="280" w:type="dxa"/>
            <w:vAlign w:val="bottom"/>
            <w:tcBorders>
              <w:bottom w:val="single" w:sz="8" w:color="A6A6A6"/>
            </w:tcBorders>
          </w:tcPr>
          <w:p>
            <w:pPr>
              <w:spacing w:after="0"/>
              <w:rPr>
                <w:sz w:val="17"/>
                <w:szCs w:val="17"/>
                <w:color w:val="auto"/>
              </w:rPr>
            </w:pPr>
          </w:p>
        </w:tc>
        <w:tc>
          <w:tcPr>
            <w:tcW w:w="42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spacing w:after="0"/>
              <w:rPr>
                <w:sz w:val="17"/>
                <w:szCs w:val="17"/>
                <w:color w:val="auto"/>
              </w:rPr>
            </w:pPr>
          </w:p>
        </w:tc>
        <w:tc>
          <w:tcPr>
            <w:tcW w:w="2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8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277EBF"/>
              </w:rPr>
              <w:t>Cement</w:t>
            </w:r>
          </w:p>
        </w:tc>
        <w:tc>
          <w:tcPr>
            <w:tcW w:w="14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6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1,907,191</w:t>
            </w:r>
          </w:p>
        </w:tc>
        <w:tc>
          <w:tcPr>
            <w:tcW w:w="2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6A6A6"/>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6A6A6"/>
            </w:tcBorders>
          </w:tcPr>
          <w:p>
            <w:pPr>
              <w:spacing w:after="0"/>
              <w:rPr>
                <w:sz w:val="17"/>
                <w:szCs w:val="17"/>
                <w:color w:val="auto"/>
              </w:rPr>
            </w:pPr>
          </w:p>
        </w:tc>
        <w:tc>
          <w:tcPr>
            <w:tcW w:w="2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1,980,306</w:t>
            </w: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00AAC6"/>
              </w:rPr>
              <w:t>Concrete and Aggregates</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99,495</w:t>
            </w:r>
          </w:p>
        </w:tc>
        <w:tc>
          <w:tcPr>
            <w:tcW w:w="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136,041</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77943C"/>
              </w:rPr>
              <w:t>Gypsum Wallboard</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358,530</w:t>
            </w:r>
          </w:p>
        </w:tc>
        <w:tc>
          <w:tcPr>
            <w:tcW w:w="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375,946</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AEB949"/>
              </w:rPr>
              <w:t>Paperboard</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190,024</w:t>
            </w:r>
          </w:p>
        </w:tc>
        <w:tc>
          <w:tcPr>
            <w:tcW w:w="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183,288</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004483"/>
              </w:rPr>
              <w:t>Assets of Discontinued Operations</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13,831</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gridSpan w:val="2"/>
          </w:tcPr>
          <w:p>
            <w:pPr>
              <w:ind w:left="240"/>
              <w:spacing w:after="0"/>
              <w:rPr>
                <w:sz w:val="20"/>
                <w:szCs w:val="20"/>
                <w:color w:val="auto"/>
              </w:rPr>
            </w:pPr>
            <w:r>
              <w:rPr>
                <w:rFonts w:ascii="Times New Roman" w:cs="Times New Roman" w:eastAsia="Times New Roman" w:hAnsi="Times New Roman"/>
                <w:sz w:val="16"/>
                <w:szCs w:val="16"/>
                <w:color w:val="004483"/>
              </w:rPr>
              <w:t>Other, net</w:t>
            </w:r>
          </w:p>
        </w:tc>
        <w:tc>
          <w:tcPr>
            <w:tcW w:w="1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20" w:type="dxa"/>
            <w:vAlign w:val="bottom"/>
            <w:tcBorders>
              <w:bottom w:val="single" w:sz="8" w:color="004483"/>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78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169,798</w:t>
            </w:r>
          </w:p>
        </w:tc>
        <w:tc>
          <w:tcPr>
            <w:tcW w:w="20" w:type="dxa"/>
            <w:vAlign w:val="bottom"/>
            <w:tcBorders>
              <w:bottom w:val="single" w:sz="8" w:color="004483"/>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 w:type="dxa"/>
            <w:vAlign w:val="bottom"/>
            <w:tcBorders>
              <w:bottom w:val="single" w:sz="8" w:color="004483"/>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20" w:type="dxa"/>
            <w:vAlign w:val="bottom"/>
            <w:tcBorders>
              <w:bottom w:val="single" w:sz="8" w:color="004483"/>
            </w:tcBorders>
          </w:tcPr>
          <w:p>
            <w:pPr>
              <w:spacing w:after="0"/>
              <w:rPr>
                <w:sz w:val="18"/>
                <w:szCs w:val="18"/>
                <w:color w:val="auto"/>
              </w:rPr>
            </w:pPr>
          </w:p>
        </w:tc>
        <w:tc>
          <w:tcPr>
            <w:tcW w:w="50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271,608</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bottom w:val="single" w:sz="8" w:color="004483"/>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004483"/>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78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2,725,038</w:t>
            </w:r>
          </w:p>
        </w:tc>
        <w:tc>
          <w:tcPr>
            <w:tcW w:w="20" w:type="dxa"/>
            <w:vAlign w:val="bottom"/>
            <w:tcBorders>
              <w:bottom w:val="single" w:sz="8" w:color="004483"/>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4483"/>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004483"/>
            </w:tcBorders>
          </w:tcPr>
          <w:p>
            <w:pPr>
              <w:spacing w:after="0"/>
              <w:rPr>
                <w:sz w:val="18"/>
                <w:szCs w:val="18"/>
                <w:color w:val="auto"/>
              </w:rPr>
            </w:pPr>
          </w:p>
        </w:tc>
        <w:tc>
          <w:tcPr>
            <w:tcW w:w="20" w:type="dxa"/>
            <w:vAlign w:val="bottom"/>
            <w:tcBorders>
              <w:bottom w:val="single" w:sz="8" w:color="004483"/>
            </w:tcBorders>
          </w:tcPr>
          <w:p>
            <w:pPr>
              <w:spacing w:after="0"/>
              <w:rPr>
                <w:sz w:val="18"/>
                <w:szCs w:val="18"/>
                <w:color w:val="auto"/>
              </w:rPr>
            </w:pPr>
          </w:p>
        </w:tc>
        <w:tc>
          <w:tcPr>
            <w:tcW w:w="50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2,961,020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20" w:type="dxa"/>
            <w:vAlign w:val="bottom"/>
            <w:tcBorders>
              <w:bottom w:val="single" w:sz="8" w:color="004483"/>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The Capital Expenditures for the nine months ended December 31, 2019 disclosed above differs from the Capital Expenditures on the Unaudited Consolidated Statement of Cash Flows, as it includes $2.7 million of capital expenditures that were accrued at December 31, 2019 and therefore not included in the Statement of Cash Flows. See Footnote (B) for more information.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23" w:name="page24"/>
    <w:bookmarkEnd w:id="23"/>
    <w:p>
      <w:pPr>
        <w:ind w:right="200"/>
        <w:spacing w:after="0" w:line="276" w:lineRule="auto"/>
        <w:rPr>
          <w:sz w:val="20"/>
          <w:szCs w:val="20"/>
          <w:color w:val="auto"/>
        </w:rPr>
      </w:pPr>
      <w:r>
        <w:rPr>
          <w:rFonts w:ascii="Arial" w:cs="Arial" w:eastAsia="Arial" w:hAnsi="Arial"/>
          <w:sz w:val="18"/>
          <w:szCs w:val="18"/>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We account for intersegment sales at market prices. Corporate assets consist primarily of cash and cash equivalents, general office assets, and miscellaneous other assets.</w:t>
      </w:r>
    </w:p>
    <w:p>
      <w:pPr>
        <w:spacing w:after="0" w:line="67" w:lineRule="exact"/>
        <w:rPr>
          <w:sz w:val="20"/>
          <w:szCs w:val="20"/>
          <w:color w:val="auto"/>
        </w:rPr>
      </w:pPr>
    </w:p>
    <w:p>
      <w:pPr>
        <w:ind w:right="160"/>
        <w:spacing w:after="0" w:line="283" w:lineRule="auto"/>
        <w:rPr>
          <w:sz w:val="20"/>
          <w:szCs w:val="20"/>
          <w:color w:val="auto"/>
        </w:rPr>
      </w:pPr>
      <w:r>
        <w:rPr>
          <w:rFonts w:ascii="Arial" w:cs="Arial" w:eastAsia="Arial" w:hAnsi="Arial"/>
          <w:sz w:val="18"/>
          <w:szCs w:val="18"/>
          <w:color w:val="auto"/>
        </w:rPr>
        <w:t>The basis used to disclose Identifiable Assets; Capital Expenditures; and Depreciation, Depletion, and Amortization conforms with the equity method, and is similar to how we disclose these accounts in our Unaudited Consolidated Balance Sheets and Unaudited Consolidated Statements of Earnings.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segment breakdown of Goodwill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40" w:type="dxa"/>
            <w:vAlign w:val="bottom"/>
            <w:tcBorders>
              <w:bottom w:val="single" w:sz="8" w:color="004483"/>
            </w:tcBorders>
            <w:shd w:val="clear" w:color="auto" w:fill="004483"/>
          </w:tcPr>
          <w:p>
            <w:pPr>
              <w:spacing w:after="0"/>
              <w:rPr>
                <w:sz w:val="18"/>
                <w:szCs w:val="18"/>
                <w:color w:val="auto"/>
              </w:rPr>
            </w:pPr>
          </w:p>
        </w:tc>
        <w:tc>
          <w:tcPr>
            <w:tcW w:w="1400" w:type="dxa"/>
            <w:vAlign w:val="bottom"/>
            <w:tcBorders>
              <w:bottom w:val="single" w:sz="8" w:color="004483"/>
            </w:tcBorders>
            <w:gridSpan w:val="3"/>
            <w:shd w:val="clear" w:color="auto" w:fill="004483"/>
          </w:tcPr>
          <w:p>
            <w:pPr>
              <w:ind w:left="360"/>
              <w:spacing w:after="0"/>
              <w:rPr>
                <w:sz w:val="20"/>
                <w:szCs w:val="20"/>
                <w:color w:val="auto"/>
              </w:rPr>
            </w:pPr>
            <w:r>
              <w:rPr>
                <w:rFonts w:ascii="Times New Roman" w:cs="Times New Roman" w:eastAsia="Times New Roman" w:hAnsi="Times New Roman"/>
                <w:sz w:val="13"/>
                <w:szCs w:val="13"/>
                <w:b w:val="1"/>
                <w:bCs w:val="1"/>
                <w:color w:val="FFFFFF"/>
              </w:rPr>
              <w:t>December 31,</w:t>
            </w:r>
          </w:p>
        </w:tc>
        <w:tc>
          <w:tcPr>
            <w:tcW w:w="700" w:type="dxa"/>
            <w:vAlign w:val="bottom"/>
            <w:tcBorders>
              <w:bottom w:val="single" w:sz="8" w:color="004483"/>
            </w:tcBorders>
            <w:shd w:val="clear" w:color="auto" w:fill="004483"/>
          </w:tcPr>
          <w:p>
            <w:pPr>
              <w:spacing w:after="0"/>
              <w:rPr>
                <w:sz w:val="18"/>
                <w:szCs w:val="18"/>
                <w:color w:val="auto"/>
              </w:rPr>
            </w:pPr>
          </w:p>
        </w:tc>
        <w:tc>
          <w:tcPr>
            <w:tcW w:w="980" w:type="dxa"/>
            <w:vAlign w:val="bottom"/>
            <w:tcBorders>
              <w:bottom w:val="single" w:sz="8" w:color="004483"/>
            </w:tcBorders>
            <w:gridSpan w:val="2"/>
            <w:shd w:val="clear" w:color="auto" w:fill="004483"/>
          </w:tcPr>
          <w:p>
            <w:pPr>
              <w:ind w:left="320"/>
              <w:spacing w:after="0"/>
              <w:rPr>
                <w:sz w:val="20"/>
                <w:szCs w:val="20"/>
                <w:color w:val="auto"/>
              </w:rPr>
            </w:pPr>
            <w:r>
              <w:rPr>
                <w:rFonts w:ascii="Times New Roman" w:cs="Times New Roman" w:eastAsia="Times New Roman" w:hAnsi="Times New Roman"/>
                <w:sz w:val="13"/>
                <w:szCs w:val="13"/>
                <w:b w:val="1"/>
                <w:bCs w:val="1"/>
                <w:color w:val="FFFFFF"/>
              </w:rPr>
              <w:t>March 31,</w:t>
            </w:r>
          </w:p>
        </w:tc>
      </w:tr>
      <w:tr>
        <w:trPr>
          <w:trHeight w:val="143"/>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4660" w:type="dxa"/>
            <w:vAlign w:val="bottom"/>
            <w:tcBorders>
              <w:bottom w:val="single" w:sz="8" w:color="004483"/>
            </w:tcBorders>
          </w:tcPr>
          <w:p>
            <w:pPr>
              <w:spacing w:after="0"/>
              <w:rPr>
                <w:sz w:val="13"/>
                <w:szCs w:val="13"/>
                <w:color w:val="auto"/>
              </w:rPr>
            </w:pPr>
          </w:p>
        </w:tc>
        <w:tc>
          <w:tcPr>
            <w:tcW w:w="3040" w:type="dxa"/>
            <w:vAlign w:val="bottom"/>
            <w:tcBorders>
              <w:bottom w:val="single" w:sz="8" w:color="004483"/>
            </w:tcBorders>
          </w:tcPr>
          <w:p>
            <w:pPr>
              <w:spacing w:after="0"/>
              <w:rPr>
                <w:sz w:val="13"/>
                <w:szCs w:val="13"/>
                <w:color w:val="auto"/>
              </w:rPr>
            </w:pPr>
          </w:p>
        </w:tc>
        <w:tc>
          <w:tcPr>
            <w:tcW w:w="440" w:type="dxa"/>
            <w:vAlign w:val="bottom"/>
            <w:tcBorders>
              <w:bottom w:val="single" w:sz="8" w:color="004483"/>
            </w:tcBorders>
          </w:tcPr>
          <w:p>
            <w:pPr>
              <w:spacing w:after="0"/>
              <w:rPr>
                <w:sz w:val="13"/>
                <w:szCs w:val="13"/>
                <w:color w:val="auto"/>
              </w:rPr>
            </w:pPr>
          </w:p>
        </w:tc>
        <w:tc>
          <w:tcPr>
            <w:tcW w:w="2100" w:type="dxa"/>
            <w:vAlign w:val="bottom"/>
            <w:tcBorders>
              <w:bottom w:val="single" w:sz="8" w:color="004483"/>
            </w:tcBorders>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(dollars in thousands)</w:t>
            </w:r>
          </w:p>
        </w:tc>
        <w:tc>
          <w:tcPr>
            <w:tcW w:w="88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46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277EBF"/>
              </w:rPr>
              <w:t>Cement</w:t>
            </w:r>
          </w:p>
        </w:tc>
        <w:tc>
          <w:tcPr>
            <w:tcW w:w="3480" w:type="dxa"/>
            <w:vAlign w:val="bottom"/>
            <w:tcBorders>
              <w:bottom w:val="single" w:sz="8" w:color="A6A6A6"/>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203,342</w:t>
            </w: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tcPr>
          <w:p>
            <w:pPr>
              <w:jc w:val="right"/>
              <w:ind w:right="5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205,797</w:t>
            </w: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46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AAC6"/>
              </w:rPr>
              <w:t>Concrete and Aggregates</w:t>
            </w:r>
          </w:p>
        </w:tc>
        <w:tc>
          <w:tcPr>
            <w:tcW w:w="304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6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77943C"/>
              </w:rPr>
              <w:t>Gypsum Wallboard</w:t>
            </w:r>
          </w:p>
        </w:tc>
        <w:tc>
          <w:tcPr>
            <w:tcW w:w="304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116,618</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116,618</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6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AEB949"/>
              </w:rPr>
              <w:t>Paperboard</w:t>
            </w:r>
          </w:p>
        </w:tc>
        <w:tc>
          <w:tcPr>
            <w:tcW w:w="3040" w:type="dxa"/>
            <w:vAlign w:val="bottom"/>
            <w:tcBorders>
              <w:bottom w:val="single" w:sz="8" w:color="A6A6A6"/>
            </w:tcBorders>
          </w:tcPr>
          <w:p>
            <w:pPr>
              <w:spacing w:after="0"/>
              <w:rPr>
                <w:sz w:val="18"/>
                <w:szCs w:val="18"/>
                <w:color w:val="auto"/>
              </w:rPr>
            </w:pPr>
          </w:p>
        </w:tc>
        <w:tc>
          <w:tcPr>
            <w:tcW w:w="4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7,538</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004483"/>
            </w:tcBorders>
          </w:tcPr>
          <w:p>
            <w:pPr>
              <w:spacing w:after="0"/>
              <w:rPr>
                <w:sz w:val="18"/>
                <w:szCs w:val="18"/>
                <w:color w:val="auto"/>
              </w:rPr>
            </w:pPr>
          </w:p>
        </w:tc>
        <w:tc>
          <w:tcPr>
            <w:tcW w:w="88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7,538</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40" w:type="dxa"/>
            <w:vAlign w:val="bottom"/>
            <w:tcBorders>
              <w:bottom w:val="single" w:sz="8" w:color="004483"/>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329,137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004483"/>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331,592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6" w:lineRule="exact"/>
        <w:rPr>
          <w:sz w:val="20"/>
          <w:szCs w:val="20"/>
          <w:color w:val="auto"/>
        </w:rPr>
      </w:pPr>
    </w:p>
    <w:p>
      <w:pPr>
        <w:ind w:right="380"/>
        <w:spacing w:after="0" w:line="302" w:lineRule="auto"/>
        <w:rPr>
          <w:sz w:val="20"/>
          <w:szCs w:val="20"/>
          <w:color w:val="auto"/>
        </w:rPr>
      </w:pPr>
      <w:r>
        <w:rPr>
          <w:rFonts w:ascii="Arial" w:cs="Arial" w:eastAsia="Arial" w:hAnsi="Arial"/>
          <w:sz w:val="18"/>
          <w:szCs w:val="18"/>
          <w:color w:val="auto"/>
        </w:rPr>
        <w:t>Summarized financial information for the Joint Venture that is not consolidated is set out below; this includes the total amount for the Joint Venture and not our 50% interest in those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40" w:type="dxa"/>
            <w:vAlign w:val="bottom"/>
            <w:shd w:val="clear" w:color="auto" w:fill="004483"/>
          </w:tcPr>
          <w:p>
            <w:pPr>
              <w:spacing w:after="0"/>
              <w:rPr>
                <w:sz w:val="19"/>
                <w:szCs w:val="19"/>
                <w:color w:val="auto"/>
              </w:rPr>
            </w:pPr>
          </w:p>
        </w:tc>
        <w:tc>
          <w:tcPr>
            <w:tcW w:w="2720" w:type="dxa"/>
            <w:vAlign w:val="bottom"/>
            <w:gridSpan w:val="5"/>
            <w:shd w:val="clear" w:color="auto" w:fill="004483"/>
          </w:tcPr>
          <w:p>
            <w:pPr>
              <w:ind w:left="60"/>
              <w:spacing w:after="0"/>
              <w:rPr>
                <w:sz w:val="20"/>
                <w:szCs w:val="20"/>
                <w:color w:val="auto"/>
              </w:rPr>
            </w:pPr>
            <w:r>
              <w:rPr>
                <w:rFonts w:ascii="Times New Roman" w:cs="Times New Roman" w:eastAsia="Times New Roman" w:hAnsi="Times New Roman"/>
                <w:sz w:val="13"/>
                <w:szCs w:val="13"/>
                <w:b w:val="1"/>
                <w:bCs w:val="1"/>
                <w:color w:val="FFFFFF"/>
              </w:rPr>
              <w:t>For the Three Months Ended December 31,</w:t>
            </w:r>
          </w:p>
        </w:tc>
        <w:tc>
          <w:tcPr>
            <w:tcW w:w="120" w:type="dxa"/>
            <w:vAlign w:val="bottom"/>
          </w:tcPr>
          <w:p>
            <w:pPr>
              <w:spacing w:after="0"/>
              <w:rPr>
                <w:sz w:val="19"/>
                <w:szCs w:val="19"/>
                <w:color w:val="auto"/>
              </w:rPr>
            </w:pPr>
          </w:p>
        </w:tc>
        <w:tc>
          <w:tcPr>
            <w:tcW w:w="160" w:type="dxa"/>
            <w:vAlign w:val="bottom"/>
            <w:shd w:val="clear" w:color="auto" w:fill="004483"/>
          </w:tcPr>
          <w:p>
            <w:pPr>
              <w:spacing w:after="0"/>
              <w:rPr>
                <w:sz w:val="19"/>
                <w:szCs w:val="19"/>
                <w:color w:val="auto"/>
              </w:rPr>
            </w:pPr>
          </w:p>
        </w:tc>
        <w:tc>
          <w:tcPr>
            <w:tcW w:w="2720" w:type="dxa"/>
            <w:vAlign w:val="bottom"/>
            <w:gridSpan w:val="5"/>
            <w:shd w:val="clear" w:color="auto" w:fill="004483"/>
          </w:tcPr>
          <w:p>
            <w:pPr>
              <w:ind w:left="100"/>
              <w:spacing w:after="0"/>
              <w:rPr>
                <w:sz w:val="20"/>
                <w:szCs w:val="20"/>
                <w:color w:val="auto"/>
              </w:rPr>
            </w:pPr>
            <w:r>
              <w:rPr>
                <w:rFonts w:ascii="Times New Roman" w:cs="Times New Roman" w:eastAsia="Times New Roman" w:hAnsi="Times New Roman"/>
                <w:sz w:val="13"/>
                <w:szCs w:val="13"/>
                <w:b w:val="1"/>
                <w:bCs w:val="1"/>
                <w:color w:val="FFFFFF"/>
              </w:rPr>
              <w:t>For the Nine Months Ended December 31,</w:t>
            </w:r>
          </w:p>
        </w:tc>
      </w:tr>
      <w:tr>
        <w:trPr>
          <w:trHeight w:val="143"/>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5360" w:type="dxa"/>
            <w:vAlign w:val="bottom"/>
            <w:tcBorders>
              <w:bottom w:val="single" w:sz="8" w:color="004483"/>
            </w:tcBorders>
          </w:tcPr>
          <w:p>
            <w:pPr>
              <w:spacing w:after="0"/>
              <w:rPr>
                <w:sz w:val="13"/>
                <w:szCs w:val="13"/>
                <w:color w:val="auto"/>
              </w:rPr>
            </w:pPr>
          </w:p>
        </w:tc>
        <w:tc>
          <w:tcPr>
            <w:tcW w:w="140" w:type="dxa"/>
            <w:vAlign w:val="bottom"/>
            <w:tcBorders>
              <w:bottom w:val="single" w:sz="8" w:color="004483"/>
            </w:tcBorders>
          </w:tcPr>
          <w:p>
            <w:pPr>
              <w:spacing w:after="0"/>
              <w:rPr>
                <w:sz w:val="13"/>
                <w:szCs w:val="13"/>
                <w:color w:val="auto"/>
              </w:rPr>
            </w:pPr>
          </w:p>
        </w:tc>
        <w:tc>
          <w:tcPr>
            <w:tcW w:w="1960" w:type="dxa"/>
            <w:vAlign w:val="bottom"/>
            <w:tcBorders>
              <w:bottom w:val="single" w:sz="8" w:color="004483"/>
            </w:tcBorders>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(dollars in thousands)</w:t>
            </w:r>
          </w:p>
        </w:tc>
        <w:tc>
          <w:tcPr>
            <w:tcW w:w="66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160" w:type="dxa"/>
            <w:vAlign w:val="bottom"/>
            <w:tcBorders>
              <w:bottom w:val="single" w:sz="8" w:color="004483"/>
            </w:tcBorders>
          </w:tcPr>
          <w:p>
            <w:pPr>
              <w:spacing w:after="0"/>
              <w:rPr>
                <w:sz w:val="13"/>
                <w:szCs w:val="13"/>
                <w:color w:val="auto"/>
              </w:rPr>
            </w:pPr>
          </w:p>
        </w:tc>
        <w:tc>
          <w:tcPr>
            <w:tcW w:w="1920" w:type="dxa"/>
            <w:vAlign w:val="bottom"/>
            <w:tcBorders>
              <w:bottom w:val="single" w:sz="8" w:color="004483"/>
            </w:tcBorders>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(dollars in thousands)</w:t>
            </w:r>
          </w:p>
        </w:tc>
        <w:tc>
          <w:tcPr>
            <w:tcW w:w="70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53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Revenue</w:t>
            </w:r>
          </w:p>
        </w:tc>
        <w:tc>
          <w:tcPr>
            <w:tcW w:w="1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54,220</w:t>
            </w:r>
          </w:p>
        </w:tc>
        <w:tc>
          <w:tcPr>
            <w:tcW w:w="120" w:type="dxa"/>
            <w:vAlign w:val="bottom"/>
          </w:tcPr>
          <w:p>
            <w:pPr>
              <w:spacing w:after="0"/>
              <w:rPr>
                <w:sz w:val="17"/>
                <w:szCs w:val="17"/>
                <w:color w:val="auto"/>
              </w:rPr>
            </w:pPr>
          </w:p>
        </w:tc>
        <w:tc>
          <w:tcPr>
            <w:tcW w:w="720" w:type="dxa"/>
            <w:vAlign w:val="bottom"/>
            <w:tcBorders>
              <w:bottom w:val="single" w:sz="8" w:color="A6A6A6"/>
            </w:tcBorders>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56,767</w:t>
            </w:r>
          </w:p>
        </w:tc>
        <w:tc>
          <w:tcPr>
            <w:tcW w:w="100" w:type="dxa"/>
            <w:vAlign w:val="bottom"/>
          </w:tcPr>
          <w:p>
            <w:pPr>
              <w:spacing w:after="0"/>
              <w:rPr>
                <w:sz w:val="17"/>
                <w:szCs w:val="17"/>
                <w:color w:val="auto"/>
              </w:rPr>
            </w:pPr>
          </w:p>
        </w:tc>
        <w:tc>
          <w:tcPr>
            <w:tcW w:w="280" w:type="dxa"/>
            <w:vAlign w:val="bottom"/>
            <w:tcBorders>
              <w:bottom w:val="single" w:sz="8" w:color="A6A6A6"/>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159,207</w:t>
            </w:r>
          </w:p>
        </w:tc>
        <w:tc>
          <w:tcPr>
            <w:tcW w:w="100" w:type="dxa"/>
            <w:vAlign w:val="bottom"/>
          </w:tcPr>
          <w:p>
            <w:pPr>
              <w:spacing w:after="0"/>
              <w:rPr>
                <w:sz w:val="17"/>
                <w:szCs w:val="17"/>
                <w:color w:val="auto"/>
              </w:rPr>
            </w:pPr>
          </w:p>
        </w:tc>
        <w:tc>
          <w:tcPr>
            <w:tcW w:w="700" w:type="dxa"/>
            <w:vAlign w:val="bottom"/>
            <w:tcBorders>
              <w:bottom w:val="single" w:sz="8" w:color="A6A6A6"/>
            </w:tcBorders>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172,385</w:t>
            </w: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Gross Margin</w:t>
            </w:r>
          </w:p>
        </w:tc>
        <w:tc>
          <w:tcPr>
            <w:tcW w:w="1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22,045</w:t>
            </w:r>
          </w:p>
        </w:tc>
        <w:tc>
          <w:tcPr>
            <w:tcW w:w="120" w:type="dxa"/>
            <w:vAlign w:val="bottom"/>
          </w:tcPr>
          <w:p>
            <w:pPr>
              <w:spacing w:after="0"/>
              <w:rPr>
                <w:sz w:val="18"/>
                <w:szCs w:val="18"/>
                <w:color w:val="auto"/>
              </w:rPr>
            </w:pPr>
          </w:p>
        </w:tc>
        <w:tc>
          <w:tcPr>
            <w:tcW w:w="720" w:type="dxa"/>
            <w:vAlign w:val="bottom"/>
            <w:tcBorders>
              <w:bottom w:val="single" w:sz="8" w:color="A6A6A6"/>
            </w:tcBorders>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22,749</w:t>
            </w:r>
          </w:p>
        </w:tc>
        <w:tc>
          <w:tcPr>
            <w:tcW w:w="100" w:type="dxa"/>
            <w:vAlign w:val="bottom"/>
          </w:tcPr>
          <w:p>
            <w:pPr>
              <w:spacing w:after="0"/>
              <w:rPr>
                <w:sz w:val="18"/>
                <w:szCs w:val="18"/>
                <w:color w:val="auto"/>
              </w:rPr>
            </w:pPr>
          </w:p>
        </w:tc>
        <w:tc>
          <w:tcPr>
            <w:tcW w:w="280" w:type="dxa"/>
            <w:vAlign w:val="bottom"/>
            <w:tcBorders>
              <w:bottom w:val="single" w:sz="8" w:color="A6A6A6"/>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61,814</w:t>
            </w:r>
          </w:p>
        </w:tc>
        <w:tc>
          <w:tcPr>
            <w:tcW w:w="100" w:type="dxa"/>
            <w:vAlign w:val="bottom"/>
          </w:tcPr>
          <w:p>
            <w:pPr>
              <w:spacing w:after="0"/>
              <w:rPr>
                <w:sz w:val="18"/>
                <w:szCs w:val="18"/>
                <w:color w:val="auto"/>
              </w:rPr>
            </w:pPr>
          </w:p>
        </w:tc>
        <w:tc>
          <w:tcPr>
            <w:tcW w:w="700" w:type="dxa"/>
            <w:vAlign w:val="bottom"/>
            <w:tcBorders>
              <w:bottom w:val="single" w:sz="8" w:color="A6A6A6"/>
            </w:tcBorders>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68,806</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Earnings Before Income Taxes</w:t>
            </w:r>
          </w:p>
        </w:tc>
        <w:tc>
          <w:tcPr>
            <w:tcW w:w="1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21,920</w:t>
            </w:r>
          </w:p>
        </w:tc>
        <w:tc>
          <w:tcPr>
            <w:tcW w:w="120" w:type="dxa"/>
            <w:vAlign w:val="bottom"/>
          </w:tcPr>
          <w:p>
            <w:pPr>
              <w:spacing w:after="0"/>
              <w:rPr>
                <w:sz w:val="18"/>
                <w:szCs w:val="18"/>
                <w:color w:val="auto"/>
              </w:rPr>
            </w:pPr>
          </w:p>
        </w:tc>
        <w:tc>
          <w:tcPr>
            <w:tcW w:w="720" w:type="dxa"/>
            <w:vAlign w:val="bottom"/>
            <w:tcBorders>
              <w:bottom w:val="single" w:sz="8" w:color="A6A6A6"/>
            </w:tcBorders>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21,402</w:t>
            </w:r>
          </w:p>
        </w:tc>
        <w:tc>
          <w:tcPr>
            <w:tcW w:w="100" w:type="dxa"/>
            <w:vAlign w:val="bottom"/>
          </w:tcPr>
          <w:p>
            <w:pPr>
              <w:spacing w:after="0"/>
              <w:rPr>
                <w:sz w:val="18"/>
                <w:szCs w:val="18"/>
                <w:color w:val="auto"/>
              </w:rPr>
            </w:pPr>
          </w:p>
        </w:tc>
        <w:tc>
          <w:tcPr>
            <w:tcW w:w="280" w:type="dxa"/>
            <w:vAlign w:val="bottom"/>
            <w:tcBorders>
              <w:bottom w:val="single" w:sz="8" w:color="A6A6A6"/>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58,665</w:t>
            </w:r>
          </w:p>
        </w:tc>
        <w:tc>
          <w:tcPr>
            <w:tcW w:w="100" w:type="dxa"/>
            <w:vAlign w:val="bottom"/>
          </w:tcPr>
          <w:p>
            <w:pPr>
              <w:spacing w:after="0"/>
              <w:rPr>
                <w:sz w:val="18"/>
                <w:szCs w:val="18"/>
                <w:color w:val="auto"/>
              </w:rPr>
            </w:pPr>
          </w:p>
        </w:tc>
        <w:tc>
          <w:tcPr>
            <w:tcW w:w="700" w:type="dxa"/>
            <w:vAlign w:val="bottom"/>
            <w:tcBorders>
              <w:bottom w:val="single" w:sz="8" w:color="A6A6A6"/>
            </w:tcBorders>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64,979</w:t>
            </w:r>
          </w:p>
        </w:tc>
        <w:tc>
          <w:tcPr>
            <w:tcW w:w="100" w:type="dxa"/>
            <w:vAlign w:val="bottom"/>
          </w:tcPr>
          <w:p>
            <w:pPr>
              <w:spacing w:after="0"/>
              <w:rPr>
                <w:sz w:val="18"/>
                <w:szCs w:val="18"/>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40" w:type="dxa"/>
            <w:vAlign w:val="bottom"/>
            <w:tcBorders>
              <w:bottom w:val="single" w:sz="8" w:color="004483"/>
            </w:tcBorders>
            <w:shd w:val="clear" w:color="auto" w:fill="004483"/>
          </w:tcPr>
          <w:p>
            <w:pPr>
              <w:spacing w:after="0"/>
              <w:rPr>
                <w:sz w:val="18"/>
                <w:szCs w:val="18"/>
                <w:color w:val="auto"/>
              </w:rPr>
            </w:pPr>
          </w:p>
        </w:tc>
        <w:tc>
          <w:tcPr>
            <w:tcW w:w="1220" w:type="dxa"/>
            <w:vAlign w:val="bottom"/>
            <w:tcBorders>
              <w:bottom w:val="single" w:sz="8" w:color="004483"/>
            </w:tcBorders>
            <w:gridSpan w:val="2"/>
            <w:shd w:val="clear" w:color="auto" w:fill="004483"/>
          </w:tcPr>
          <w:p>
            <w:pPr>
              <w:ind w:left="360"/>
              <w:spacing w:after="0"/>
              <w:rPr>
                <w:sz w:val="20"/>
                <w:szCs w:val="20"/>
                <w:color w:val="auto"/>
              </w:rPr>
            </w:pPr>
            <w:r>
              <w:rPr>
                <w:rFonts w:ascii="Times New Roman" w:cs="Times New Roman" w:eastAsia="Times New Roman" w:hAnsi="Times New Roman"/>
                <w:sz w:val="13"/>
                <w:szCs w:val="13"/>
                <w:b w:val="1"/>
                <w:bCs w:val="1"/>
                <w:color w:val="FFFFFF"/>
              </w:rPr>
              <w:t>December 31,</w:t>
            </w:r>
          </w:p>
        </w:tc>
        <w:tc>
          <w:tcPr>
            <w:tcW w:w="880" w:type="dxa"/>
            <w:vAlign w:val="bottom"/>
            <w:tcBorders>
              <w:bottom w:val="single" w:sz="8" w:color="004483"/>
            </w:tcBorders>
            <w:shd w:val="clear" w:color="auto" w:fill="004483"/>
          </w:tcPr>
          <w:p>
            <w:pPr>
              <w:spacing w:after="0"/>
              <w:rPr>
                <w:sz w:val="18"/>
                <w:szCs w:val="18"/>
                <w:color w:val="auto"/>
              </w:rPr>
            </w:pPr>
          </w:p>
        </w:tc>
        <w:tc>
          <w:tcPr>
            <w:tcW w:w="980" w:type="dxa"/>
            <w:vAlign w:val="bottom"/>
            <w:tcBorders>
              <w:bottom w:val="single" w:sz="8" w:color="004483"/>
            </w:tcBorders>
            <w:gridSpan w:val="2"/>
            <w:shd w:val="clear" w:color="auto" w:fill="004483"/>
          </w:tcPr>
          <w:p>
            <w:pPr>
              <w:ind w:left="320"/>
              <w:spacing w:after="0"/>
              <w:rPr>
                <w:sz w:val="20"/>
                <w:szCs w:val="20"/>
                <w:color w:val="auto"/>
              </w:rPr>
            </w:pPr>
            <w:r>
              <w:rPr>
                <w:rFonts w:ascii="Times New Roman" w:cs="Times New Roman" w:eastAsia="Times New Roman" w:hAnsi="Times New Roman"/>
                <w:sz w:val="13"/>
                <w:szCs w:val="13"/>
                <w:b w:val="1"/>
                <w:bCs w:val="1"/>
                <w:color w:val="FFFFFF"/>
              </w:rPr>
              <w:t>March 31,</w:t>
            </w:r>
          </w:p>
        </w:tc>
      </w:tr>
      <w:tr>
        <w:trPr>
          <w:trHeight w:val="143"/>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4480" w:type="dxa"/>
            <w:vAlign w:val="bottom"/>
            <w:tcBorders>
              <w:bottom w:val="single" w:sz="8" w:color="004483"/>
            </w:tcBorders>
          </w:tcPr>
          <w:p>
            <w:pPr>
              <w:spacing w:after="0"/>
              <w:rPr>
                <w:sz w:val="13"/>
                <w:szCs w:val="13"/>
                <w:color w:val="auto"/>
              </w:rPr>
            </w:pPr>
          </w:p>
        </w:tc>
        <w:tc>
          <w:tcPr>
            <w:tcW w:w="3220" w:type="dxa"/>
            <w:vAlign w:val="bottom"/>
            <w:tcBorders>
              <w:bottom w:val="single" w:sz="8" w:color="004483"/>
            </w:tcBorders>
          </w:tcPr>
          <w:p>
            <w:pPr>
              <w:spacing w:after="0"/>
              <w:rPr>
                <w:sz w:val="13"/>
                <w:szCs w:val="13"/>
                <w:color w:val="auto"/>
              </w:rPr>
            </w:pPr>
          </w:p>
        </w:tc>
        <w:tc>
          <w:tcPr>
            <w:tcW w:w="440" w:type="dxa"/>
            <w:vAlign w:val="bottom"/>
            <w:tcBorders>
              <w:bottom w:val="single" w:sz="8" w:color="004483"/>
            </w:tcBorders>
          </w:tcPr>
          <w:p>
            <w:pPr>
              <w:spacing w:after="0"/>
              <w:rPr>
                <w:sz w:val="13"/>
                <w:szCs w:val="13"/>
                <w:color w:val="auto"/>
              </w:rPr>
            </w:pPr>
          </w:p>
        </w:tc>
        <w:tc>
          <w:tcPr>
            <w:tcW w:w="2100" w:type="dxa"/>
            <w:vAlign w:val="bottom"/>
            <w:tcBorders>
              <w:bottom w:val="single" w:sz="8" w:color="004483"/>
            </w:tcBorders>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(dollars in thousands)</w:t>
            </w:r>
          </w:p>
        </w:tc>
        <w:tc>
          <w:tcPr>
            <w:tcW w:w="88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448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Current Assets</w:t>
            </w:r>
          </w:p>
        </w:tc>
        <w:tc>
          <w:tcPr>
            <w:tcW w:w="3660" w:type="dxa"/>
            <w:vAlign w:val="bottom"/>
            <w:tcBorders>
              <w:bottom w:val="single" w:sz="8" w:color="A6A6A6"/>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68,449</w:t>
            </w:r>
          </w:p>
        </w:tc>
        <w:tc>
          <w:tcPr>
            <w:tcW w:w="100" w:type="dxa"/>
            <w:vAlign w:val="bottom"/>
          </w:tcPr>
          <w:p>
            <w:pPr>
              <w:spacing w:after="0"/>
              <w:rPr>
                <w:sz w:val="17"/>
                <w:szCs w:val="17"/>
                <w:color w:val="auto"/>
              </w:rPr>
            </w:pPr>
          </w:p>
        </w:tc>
        <w:tc>
          <w:tcPr>
            <w:tcW w:w="880" w:type="dxa"/>
            <w:vAlign w:val="bottom"/>
            <w:tcBorders>
              <w:bottom w:val="single" w:sz="8" w:color="A6A6A6"/>
            </w:tcBorders>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77,331</w:t>
            </w: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448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Non-Current Assets</w:t>
            </w:r>
          </w:p>
        </w:tc>
        <w:tc>
          <w:tcPr>
            <w:tcW w:w="3660" w:type="dxa"/>
            <w:vAlign w:val="bottom"/>
            <w:tcBorders>
              <w:bottom w:val="single" w:sz="8" w:color="A6A6A6"/>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107,211</w:t>
            </w:r>
          </w:p>
        </w:tc>
        <w:tc>
          <w:tcPr>
            <w:tcW w:w="100" w:type="dxa"/>
            <w:vAlign w:val="bottom"/>
          </w:tcPr>
          <w:p>
            <w:pPr>
              <w:spacing w:after="0"/>
              <w:rPr>
                <w:sz w:val="18"/>
                <w:szCs w:val="18"/>
                <w:color w:val="auto"/>
              </w:rPr>
            </w:pPr>
          </w:p>
        </w:tc>
        <w:tc>
          <w:tcPr>
            <w:tcW w:w="880" w:type="dxa"/>
            <w:vAlign w:val="bottom"/>
            <w:tcBorders>
              <w:bottom w:val="single" w:sz="8" w:color="A6A6A6"/>
            </w:tcBorders>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93,093</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48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Current Liabilities</w:t>
            </w:r>
          </w:p>
        </w:tc>
        <w:tc>
          <w:tcPr>
            <w:tcW w:w="3660" w:type="dxa"/>
            <w:vAlign w:val="bottom"/>
            <w:tcBorders>
              <w:bottom w:val="single" w:sz="8" w:color="A6A6A6"/>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16,883</w:t>
            </w:r>
          </w:p>
        </w:tc>
        <w:tc>
          <w:tcPr>
            <w:tcW w:w="100" w:type="dxa"/>
            <w:vAlign w:val="bottom"/>
          </w:tcPr>
          <w:p>
            <w:pPr>
              <w:spacing w:after="0"/>
              <w:rPr>
                <w:sz w:val="18"/>
                <w:szCs w:val="18"/>
                <w:color w:val="auto"/>
              </w:rPr>
            </w:pPr>
          </w:p>
        </w:tc>
        <w:tc>
          <w:tcPr>
            <w:tcW w:w="880" w:type="dxa"/>
            <w:vAlign w:val="bottom"/>
            <w:tcBorders>
              <w:bottom w:val="single" w:sz="8" w:color="A6A6A6"/>
            </w:tcBorders>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17,197</w:t>
            </w:r>
          </w:p>
        </w:tc>
        <w:tc>
          <w:tcPr>
            <w:tcW w:w="100" w:type="dxa"/>
            <w:vAlign w:val="bottom"/>
          </w:tcPr>
          <w:p>
            <w:pPr>
              <w:spacing w:after="0"/>
              <w:rPr>
                <w:sz w:val="18"/>
                <w:szCs w:val="18"/>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 INTEREST EXPENSE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components are included in Interest Expense, net: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40" w:type="dxa"/>
            <w:vAlign w:val="bottom"/>
            <w:shd w:val="clear" w:color="auto" w:fill="004483"/>
          </w:tcPr>
          <w:p>
            <w:pPr>
              <w:spacing w:after="0"/>
              <w:rPr>
                <w:sz w:val="19"/>
                <w:szCs w:val="19"/>
                <w:color w:val="auto"/>
              </w:rPr>
            </w:pPr>
          </w:p>
        </w:tc>
        <w:tc>
          <w:tcPr>
            <w:tcW w:w="2720" w:type="dxa"/>
            <w:vAlign w:val="bottom"/>
            <w:gridSpan w:val="6"/>
            <w:shd w:val="clear" w:color="auto" w:fill="004483"/>
          </w:tcPr>
          <w:p>
            <w:pPr>
              <w:ind w:left="60"/>
              <w:spacing w:after="0"/>
              <w:rPr>
                <w:sz w:val="20"/>
                <w:szCs w:val="20"/>
                <w:color w:val="auto"/>
              </w:rPr>
            </w:pPr>
            <w:r>
              <w:rPr>
                <w:rFonts w:ascii="Times New Roman" w:cs="Times New Roman" w:eastAsia="Times New Roman" w:hAnsi="Times New Roman"/>
                <w:sz w:val="13"/>
                <w:szCs w:val="13"/>
                <w:b w:val="1"/>
                <w:bCs w:val="1"/>
                <w:color w:val="FFFFFF"/>
              </w:rPr>
              <w:t>For the Three Months Ended December 31,</w:t>
            </w:r>
          </w:p>
        </w:tc>
        <w:tc>
          <w:tcPr>
            <w:tcW w:w="120" w:type="dxa"/>
            <w:vAlign w:val="bottom"/>
          </w:tcPr>
          <w:p>
            <w:pPr>
              <w:spacing w:after="0"/>
              <w:rPr>
                <w:sz w:val="19"/>
                <w:szCs w:val="19"/>
                <w:color w:val="auto"/>
              </w:rPr>
            </w:pPr>
          </w:p>
        </w:tc>
        <w:tc>
          <w:tcPr>
            <w:tcW w:w="160" w:type="dxa"/>
            <w:vAlign w:val="bottom"/>
            <w:shd w:val="clear" w:color="auto" w:fill="004483"/>
          </w:tcPr>
          <w:p>
            <w:pPr>
              <w:spacing w:after="0"/>
              <w:rPr>
                <w:sz w:val="19"/>
                <w:szCs w:val="19"/>
                <w:color w:val="auto"/>
              </w:rPr>
            </w:pPr>
          </w:p>
        </w:tc>
        <w:tc>
          <w:tcPr>
            <w:tcW w:w="2720" w:type="dxa"/>
            <w:vAlign w:val="bottom"/>
            <w:gridSpan w:val="6"/>
            <w:shd w:val="clear" w:color="auto" w:fill="004483"/>
          </w:tcPr>
          <w:p>
            <w:pPr>
              <w:ind w:left="100"/>
              <w:spacing w:after="0"/>
              <w:rPr>
                <w:sz w:val="20"/>
                <w:szCs w:val="20"/>
                <w:color w:val="auto"/>
              </w:rPr>
            </w:pPr>
            <w:r>
              <w:rPr>
                <w:rFonts w:ascii="Times New Roman" w:cs="Times New Roman" w:eastAsia="Times New Roman" w:hAnsi="Times New Roman"/>
                <w:sz w:val="13"/>
                <w:szCs w:val="13"/>
                <w:b w:val="1"/>
                <w:bCs w:val="1"/>
                <w:color w:val="FFFFFF"/>
              </w:rPr>
              <w:t>For the Nine Months Ended December 31,</w:t>
            </w:r>
          </w:p>
        </w:tc>
      </w:tr>
      <w:tr>
        <w:trPr>
          <w:trHeight w:val="143"/>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5360" w:type="dxa"/>
            <w:vAlign w:val="bottom"/>
            <w:tcBorders>
              <w:bottom w:val="single" w:sz="8" w:color="004483"/>
            </w:tcBorders>
          </w:tcPr>
          <w:p>
            <w:pPr>
              <w:spacing w:after="0"/>
              <w:rPr>
                <w:sz w:val="13"/>
                <w:szCs w:val="13"/>
                <w:color w:val="auto"/>
              </w:rPr>
            </w:pPr>
          </w:p>
        </w:tc>
        <w:tc>
          <w:tcPr>
            <w:tcW w:w="140" w:type="dxa"/>
            <w:vAlign w:val="bottom"/>
            <w:tcBorders>
              <w:bottom w:val="single" w:sz="8" w:color="004483"/>
            </w:tcBorders>
          </w:tcPr>
          <w:p>
            <w:pPr>
              <w:spacing w:after="0"/>
              <w:rPr>
                <w:sz w:val="13"/>
                <w:szCs w:val="13"/>
                <w:color w:val="auto"/>
              </w:rPr>
            </w:pPr>
          </w:p>
        </w:tc>
        <w:tc>
          <w:tcPr>
            <w:tcW w:w="2000" w:type="dxa"/>
            <w:vAlign w:val="bottom"/>
            <w:tcBorders>
              <w:bottom w:val="single" w:sz="8" w:color="004483"/>
            </w:tcBorders>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(dollars in thousands)</w:t>
            </w:r>
          </w:p>
        </w:tc>
        <w:tc>
          <w:tcPr>
            <w:tcW w:w="62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004483"/>
            </w:tcBorders>
          </w:tcPr>
          <w:p>
            <w:pPr>
              <w:spacing w:after="0"/>
              <w:rPr>
                <w:sz w:val="13"/>
                <w:szCs w:val="13"/>
                <w:color w:val="auto"/>
              </w:rPr>
            </w:pPr>
          </w:p>
        </w:tc>
        <w:tc>
          <w:tcPr>
            <w:tcW w:w="160" w:type="dxa"/>
            <w:vAlign w:val="bottom"/>
            <w:tcBorders>
              <w:bottom w:val="single" w:sz="8" w:color="004483"/>
            </w:tcBorders>
          </w:tcPr>
          <w:p>
            <w:pPr>
              <w:spacing w:after="0"/>
              <w:rPr>
                <w:sz w:val="13"/>
                <w:szCs w:val="13"/>
                <w:color w:val="auto"/>
              </w:rPr>
            </w:pPr>
          </w:p>
        </w:tc>
        <w:tc>
          <w:tcPr>
            <w:tcW w:w="1960" w:type="dxa"/>
            <w:vAlign w:val="bottom"/>
            <w:tcBorders>
              <w:bottom w:val="single" w:sz="8" w:color="004483"/>
            </w:tcBorders>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(dollars in thousands)</w:t>
            </w:r>
          </w:p>
        </w:tc>
        <w:tc>
          <w:tcPr>
            <w:tcW w:w="66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004483"/>
              </w:rPr>
              <w:t>Interest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c>
          <w:tcPr>
            <w:tcW w:w="7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7"/>
                <w:szCs w:val="17"/>
                <w:color w:val="auto"/>
              </w:rPr>
            </w:pPr>
          </w:p>
        </w:tc>
        <w:tc>
          <w:tcPr>
            <w:tcW w:w="62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360" w:type="dxa"/>
            <w:vAlign w:val="bottom"/>
            <w:tcBorders>
              <w:top w:val="single" w:sz="8" w:color="A6A6A6"/>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Interest Expense</w:t>
            </w:r>
          </w:p>
        </w:tc>
        <w:tc>
          <w:tcPr>
            <w:tcW w:w="140" w:type="dxa"/>
            <w:vAlign w:val="bottom"/>
            <w:tcBorders>
              <w:top w:val="single" w:sz="8" w:color="A6A6A6"/>
              <w:bottom w:val="single" w:sz="8" w:color="A6A6A6"/>
            </w:tcBorders>
          </w:tcPr>
          <w:p>
            <w:pPr>
              <w:spacing w:after="0"/>
              <w:rPr>
                <w:sz w:val="18"/>
                <w:szCs w:val="18"/>
                <w:color w:val="auto"/>
              </w:rPr>
            </w:pPr>
          </w:p>
        </w:tc>
        <w:tc>
          <w:tcPr>
            <w:tcW w:w="112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8,449</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640" w:type="dxa"/>
            <w:vAlign w:val="bottom"/>
            <w:tcBorders>
              <w:top w:val="single" w:sz="8" w:color="A6A6A6"/>
              <w:bottom w:val="single" w:sz="8" w:color="A6A6A6"/>
            </w:tcBorders>
          </w:tcPr>
          <w:p>
            <w:pPr>
              <w:spacing w:after="0"/>
              <w:rPr>
                <w:sz w:val="18"/>
                <w:szCs w:val="18"/>
                <w:color w:val="auto"/>
              </w:rPr>
            </w:pPr>
          </w:p>
        </w:tc>
        <w:tc>
          <w:tcPr>
            <w:tcW w:w="62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9,250</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112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33,141</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620" w:type="dxa"/>
            <w:vAlign w:val="bottom"/>
            <w:tcBorders>
              <w:top w:val="single" w:sz="8" w:color="A6A6A6"/>
              <w:bottom w:val="single" w:sz="8" w:color="A6A6A6"/>
            </w:tcBorders>
          </w:tcPr>
          <w:p>
            <w:pPr>
              <w:spacing w:after="0"/>
              <w:rPr>
                <w:sz w:val="18"/>
                <w:szCs w:val="18"/>
                <w:color w:val="auto"/>
              </w:rPr>
            </w:pPr>
          </w:p>
        </w:tc>
        <w:tc>
          <w:tcPr>
            <w:tcW w:w="66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27,682</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Other Expenses</w:t>
            </w:r>
          </w:p>
        </w:tc>
        <w:tc>
          <w:tcPr>
            <w:tcW w:w="14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640" w:type="dxa"/>
            <w:vAlign w:val="bottom"/>
            <w:tcBorders>
              <w:bottom w:val="single" w:sz="8" w:color="004483"/>
            </w:tcBorders>
          </w:tcPr>
          <w:p>
            <w:pPr>
              <w:spacing w:after="0"/>
              <w:rPr>
                <w:sz w:val="18"/>
                <w:szCs w:val="18"/>
                <w:color w:val="auto"/>
              </w:rPr>
            </w:pPr>
          </w:p>
        </w:tc>
        <w:tc>
          <w:tcPr>
            <w:tcW w:w="6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620" w:type="dxa"/>
            <w:vAlign w:val="bottom"/>
            <w:tcBorders>
              <w:bottom w:val="single" w:sz="8" w:color="004483"/>
            </w:tcBorders>
          </w:tcPr>
          <w:p>
            <w:pPr>
              <w:spacing w:after="0"/>
              <w:rPr>
                <w:sz w:val="18"/>
                <w:szCs w:val="18"/>
                <w:color w:val="auto"/>
              </w:rPr>
            </w:pPr>
          </w:p>
        </w:tc>
        <w:tc>
          <w:tcPr>
            <w:tcW w:w="6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Expense, net</w:t>
            </w:r>
          </w:p>
        </w:tc>
        <w:tc>
          <w:tcPr>
            <w:tcW w:w="14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bottom w:val="single" w:sz="8" w:color="004483"/>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35,957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bottom w:val="single" w:sz="8" w:color="004483"/>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28,526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Interest Income includes interest earned on investments of excess cash. Components of Interest Expense include interest associated with the Revolving Credit Facility, Term Loan, Senior Unsecured Notes, Private Placement Unsecured Notes (which were repaid in October 2019), and commitment fees based on the unused portion of the Revolving Credit Facility. Other Expenses include amortization of debt issuance costs and Revolving Credit Facility costs.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79" w:right="33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(Q) COMMITMENTS AND CONTINGENCIES</w:t>
      </w:r>
    </w:p>
    <w:p>
      <w:pPr>
        <w:spacing w:after="0" w:line="11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December 31, 2020, we had contingent liabilities under these outstanding letters of credit of approximately $5.0 million.</w:t>
      </w:r>
    </w:p>
    <w:p>
      <w:pPr>
        <w:spacing w:after="0" w:line="6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In the ordinary course of business, we execute contracts involving indemnifications that are standard in the industry and indemnifications specific to a transaction such as the sale of a business. These indemnifications may include claims relating to any of the following: environmental and tax matters; intellectual property rights; governmental regulations and employment-related matters; customer, supplier, and other commercial contractual relationships; construction contracts and financial matters. While the maximum amount to which the Company may be exposed under such agreements cannot be estimated, management believes these indemnifications will not have a material adverse effect on our consolidated financial position, results of operations, or cash flows. We currently have no outstanding guarantees.</w:t>
      </w:r>
    </w:p>
    <w:p>
      <w:pPr>
        <w:spacing w:after="0" w:line="57"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We are currently contingently liable for performance under $23.6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past experience, no material claims have been made against these financial instruments.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 FAIR VALUE OF FINANCIAL INSTRUMENTS</w:t>
      </w:r>
    </w:p>
    <w:p>
      <w:pPr>
        <w:spacing w:after="0" w:line="114" w:lineRule="exact"/>
        <w:rPr>
          <w:sz w:val="20"/>
          <w:szCs w:val="20"/>
          <w:color w:val="auto"/>
        </w:rPr>
      </w:pPr>
    </w:p>
    <w:p>
      <w:pPr>
        <w:ind w:right="300"/>
        <w:spacing w:after="0" w:line="302" w:lineRule="auto"/>
        <w:rPr>
          <w:sz w:val="20"/>
          <w:szCs w:val="20"/>
          <w:color w:val="auto"/>
        </w:rPr>
      </w:pPr>
      <w:r>
        <w:rPr>
          <w:rFonts w:ascii="Arial" w:cs="Arial" w:eastAsia="Arial" w:hAnsi="Arial"/>
          <w:sz w:val="18"/>
          <w:szCs w:val="18"/>
          <w:color w:val="auto"/>
        </w:rPr>
        <w:t>The fair value of our long-term debt has been estimated based upon our current incremental borrowing rates for similar types of borrowing arrangements. The fair value of our Senior Unsecured Notes at December 31, 2020 is as follows:</w:t>
      </w:r>
    </w:p>
    <w:p>
      <w:pPr>
        <w:spacing w:after="0" w:line="24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Fair Value</w:t>
      </w:r>
    </w:p>
    <w:p>
      <w:pPr>
        <w:spacing w:after="0" w:line="1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70650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tabs>
          <w:tab w:leader="none" w:pos="8920" w:val="left"/>
          <w:tab w:leader="none" w:pos="10580" w:val="left"/>
        </w:tabs>
        <w:rPr>
          <w:sz w:val="20"/>
          <w:szCs w:val="20"/>
          <w:color w:val="auto"/>
        </w:rPr>
      </w:pPr>
      <w:r>
        <w:rPr>
          <w:rFonts w:ascii="Times New Roman" w:cs="Times New Roman" w:eastAsia="Times New Roman" w:hAnsi="Times New Roman"/>
          <w:sz w:val="16"/>
          <w:szCs w:val="16"/>
          <w:color w:val="004483"/>
        </w:rPr>
        <w:t>4.500% Senior Unsecured Notes Due 2026</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363,564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70650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43"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The estimated fair value of our long-term debt was based on quoted prices of similar debt instruments with similar terms that are publicly traded (level 2 input). The carrying values of cash, restricted cash, cash equivalents, accounts and notes receivable, accounts payable, and accrued liabilities approximate their fair values at December 31, 2020, due to the short-term maturities of these assets and liabilities. The fair value of our Term Loan also approximates its carrying value at December 31, 2020.</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25" w:name="page26"/>
    <w:bookmarkEnd w:id="25"/>
    <w:p>
      <w:pPr>
        <w:spacing w:after="0"/>
        <w:rPr>
          <w:sz w:val="20"/>
          <w:szCs w:val="20"/>
          <w:color w:val="auto"/>
        </w:rPr>
      </w:pPr>
      <w:r>
        <w:rPr>
          <w:rFonts w:ascii="Arial" w:cs="Arial" w:eastAsia="Arial" w:hAnsi="Arial"/>
          <w:sz w:val="23"/>
          <w:szCs w:val="23"/>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335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35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37"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We are a leading supplier of heavy construction materials and light building materials in the United States. 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across many United States markets, which provides us with regional economic diversification.</w:t>
      </w:r>
    </w:p>
    <w:p>
      <w:pPr>
        <w:spacing w:after="0" w:line="67" w:lineRule="exact"/>
        <w:rPr>
          <w:sz w:val="20"/>
          <w:szCs w:val="20"/>
          <w:color w:val="auto"/>
        </w:rPr>
      </w:pPr>
    </w:p>
    <w:p>
      <w:pPr>
        <w:ind w:right="80"/>
        <w:spacing w:after="0" w:line="297" w:lineRule="auto"/>
        <w:rPr>
          <w:sz w:val="20"/>
          <w:szCs w:val="20"/>
          <w:color w:val="auto"/>
        </w:rPr>
      </w:pPr>
      <w:r>
        <w:rPr>
          <w:rFonts w:ascii="Arial" w:cs="Arial" w:eastAsia="Arial" w:hAnsi="Arial"/>
          <w:sz w:val="17"/>
          <w:szCs w:val="17"/>
          <w:color w:val="auto"/>
        </w:rPr>
        <w:t>On September 18, 2020, we sold our Oil and Gas Proppants business, which had been reported as an operating segment, resulting in a gain of approximately $9.2 million. Because the sale of the Oil and Gas Proppants business was determined to meet the discontinued operations accounting criteria, this segment is no longer separately reported in our reportable segment footnote for any of the periods presented. See Footnote (C) in the Unaudited Consolidated Financial Statements for more information about the sale of the Oil and Gas Proppants business.</w:t>
      </w:r>
    </w:p>
    <w:p>
      <w:pPr>
        <w:spacing w:after="0" w:line="51"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color w:val="auto"/>
        </w:rPr>
        <w:t>Our remaining businesses are organized into two sectors: Heavy Materials, which includes the Cement and Concrete and Aggregates segments; and Light Materials, which includes the Gypsum Wallboard and Recycled Paperboard segments. Financial results and other information for the three and nine months ended December 31, 2020 and 2019, respectively, are presented on a consolidated basis and by these business segments – Cement, Concrete and Aggregates, Gypsum Wallboard, and Recycled Paperboard.</w:t>
      </w:r>
    </w:p>
    <w:p>
      <w:pPr>
        <w:spacing w:after="0" w:line="67" w:lineRule="exact"/>
        <w:rPr>
          <w:sz w:val="20"/>
          <w:szCs w:val="20"/>
          <w:color w:val="auto"/>
        </w:rPr>
      </w:pPr>
    </w:p>
    <w:p>
      <w:pPr>
        <w:ind w:right="260"/>
        <w:spacing w:after="0" w:line="273" w:lineRule="auto"/>
        <w:rPr>
          <w:sz w:val="20"/>
          <w:szCs w:val="20"/>
          <w:color w:val="auto"/>
        </w:rPr>
      </w:pPr>
      <w:r>
        <w:rPr>
          <w:rFonts w:ascii="Arial" w:cs="Arial" w:eastAsia="Arial" w:hAnsi="Arial"/>
          <w:sz w:val="18"/>
          <w:szCs w:val="18"/>
          <w:color w:val="auto"/>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the segments within the Company for making operating decisions and assessing performance.</w:t>
      </w:r>
    </w:p>
    <w:p>
      <w:pPr>
        <w:spacing w:after="0" w:line="69"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All our business activities are conducted in the United States. These activities include the mining of limestone for the manufacture,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69"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Demand for our products is generally cyclical and seasonal, depending on economic conditions and geographic locations. We distribute our products throughout most of the United States, except the Northeast, which provides us with regional economic diversification. However, general economic downturns or localized downturns in the regions where we have operations may have a material adverse effect on our business, financial condition, and results of operations.</w:t>
      </w:r>
    </w:p>
    <w:p>
      <w:pPr>
        <w:spacing w:after="0" w:line="67"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On August 2, 2019, we acquired the assets of a readymix concrete and aggregates business in Northern Nevada (the ConAgg Acquisition). The purchase price (Purchase Price) of the ConAgg Acquisition was approximately $30.4 million. The Purchase Price and expenses incurred in connection with the ConAgg Acquisition were funded through operating cash flows and borrowings under our Revolving Credit Facility. The ConAgg Acquisition’s assets and operating results are included in our Concrete and Aggregates segment reporting from August 2, 2019 through March 31, 2020, and for the nine months ended December 31, 2020.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26" w:name="page27"/>
    <w:bookmarkEnd w:id="26"/>
    <w:p>
      <w:pPr>
        <w:ind w:right="20"/>
        <w:spacing w:after="0" w:line="268" w:lineRule="auto"/>
        <w:rPr>
          <w:sz w:val="20"/>
          <w:szCs w:val="20"/>
          <w:color w:val="auto"/>
        </w:rPr>
      </w:pPr>
      <w:r>
        <w:rPr>
          <w:rFonts w:ascii="Arial" w:cs="Arial" w:eastAsia="Arial" w:hAnsi="Arial"/>
          <w:sz w:val="18"/>
          <w:szCs w:val="18"/>
          <w:color w:val="auto"/>
        </w:rPr>
        <w:t>On March 6, 2020, we acquired the assets of Kosmos Cement Company (Kosmos), a joint venture between CEMEX S.A.B. de C.V. and Buzzi Unicem S.p.A. for approximately $669 million (the Kosmos Acquisition). The Kosmos Acquisition included (i) a cement plant located in Louisville, Kentucky, (ii) a limestone quarry located in Battletown, Kentucky, (iii) cement distribution terminals located in Indianapolis, Indiana; Cincinnati, Ohio; Pittsburgh, Pennsylvania; Charleston, West Virginia; Ceredo, West Virginia; Mt. Vernon, Indiana; and Lexington, Kentucky, and (iv) certain other properties and assets used by Kosmos in connection with the foregoing (collectively, the Kosmos Business). We also assumed certain liabilities and obligations of Kosmos relating to the Kosmos Business, including contractual obligations, reclamation obligations, and various other liabilities and obligations arising out of or relating to the Kosmos Business. We funded the payment of the purchase price and expenses incurred in connection with the transaction through a combination of cash on hand and a syndicated term loan facility. The Kosmos Business’ assets and operating results are included in our Cement segment reporting from March 6, 2020 through March 31, 2020, and for the nine months ended December 31, 2020.</w:t>
      </w:r>
    </w:p>
    <w:p>
      <w:pPr>
        <w:spacing w:after="0" w:line="75"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On April 17, 2020, we sold our Western Aggregates LLC (Western) and Mathews Readymix LLC (Mathews) businesses for an aggregate purchase price of $93.5 million, resulting in a gain of $52.0 million. Western and Mathews were part of our Concrete and Aggregates operating segment, and their results of operations were included in our financial statements for the period from April 1, 2020 through April 17, 2020.</w:t>
      </w:r>
    </w:p>
    <w:p>
      <w:pPr>
        <w:spacing w:after="0" w:line="43"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As previously announced on May 30, 2019, the Company plans to separate its Heavy Materials and Light Materials businesses into two independent, publicly traded corporations by means of a tax-free spin-off to Eagle shareholders. We remain committed to the separation and continue to make preparations to ensure that the two businesses are well-positioned for the separation, although the timing of the separation remains uncertain given the effects of the COVID-19 pandemic.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 AND OUTLOOK</w:t>
      </w:r>
    </w:p>
    <w:p>
      <w:pPr>
        <w:spacing w:after="0" w:line="10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To date, we have not been materially affected by the extraordinary and wide-ranging actions taken by international, federal, state, and local public health and governmental authorities to contain and combat the spread of COVID-19.</w:t>
      </w:r>
    </w:p>
    <w:p>
      <w:pPr>
        <w:spacing w:after="0" w:line="42"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Our third quarter results reflected another strong quarter for Eagle. Our end markets have remained resilient despite the COVID-related uncertainty. Our regional construction markets continued to outperform the national average, and sales volume performance in both of our major business lines continued to remain strong – our wallboard shipments were up 9%, and our organic cement sales volume was flat.</w:t>
      </w:r>
    </w:p>
    <w:p>
      <w:pPr>
        <w:spacing w:after="0" w:line="41"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For the short term, we are well positioned to manage our cost structure and meet our customer needs. Our substantial raw material reserves support our low-cost producer position and during the early summer, we implemented cement price increases across all of our markets. We also implemented a wallboard price increase in November 2020 and have recently implemented another price increase in early January 2021.</w:t>
      </w:r>
    </w:p>
    <w:p>
      <w:pPr>
        <w:spacing w:after="0" w:line="8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For the intermediate term, we continue to closely monitor the disruptions caused by the COVID-19 pandemic, including the new cases reaching record highs both nationally and in many states in January 2021, new strains of the virus, the timing and effectiveness of the current vaccination campaign, and any responses designed to contain its spread and their possible impact on our business and our customers. While recent economic data has been more constructive than many expected earlier this year, the extent to which the spread of COVID-19 will impact the national and local economies in which we operate, and ultimately our businesses, will depend on numerous factors, which are highly uncertain and difficult to predict; therefore, we continue to prepare for a broad range of economic outcomes.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79" w:right="33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2020 COMPARED WITH THREE MONTHS ENDED DECEMBER 31, 2019</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shd w:val="clear" w:color="auto" w:fill="004483"/>
          </w:tcPr>
          <w:p>
            <w:pPr>
              <w:spacing w:after="0"/>
              <w:rPr>
                <w:sz w:val="19"/>
                <w:szCs w:val="19"/>
                <w:color w:val="auto"/>
              </w:rPr>
            </w:pPr>
          </w:p>
        </w:tc>
        <w:tc>
          <w:tcPr>
            <w:tcW w:w="3080" w:type="dxa"/>
            <w:vAlign w:val="bottom"/>
            <w:gridSpan w:val="6"/>
            <w:shd w:val="clear" w:color="auto" w:fill="004483"/>
          </w:tcPr>
          <w:p>
            <w:pPr>
              <w:ind w:left="180"/>
              <w:spacing w:after="0"/>
              <w:rPr>
                <w:sz w:val="20"/>
                <w:szCs w:val="20"/>
                <w:color w:val="auto"/>
              </w:rPr>
            </w:pPr>
            <w:r>
              <w:rPr>
                <w:rFonts w:ascii="Times New Roman" w:cs="Times New Roman" w:eastAsia="Times New Roman" w:hAnsi="Times New Roman"/>
                <w:sz w:val="13"/>
                <w:szCs w:val="13"/>
                <w:b w:val="1"/>
                <w:bCs w:val="1"/>
                <w:color w:val="FFFFFF"/>
              </w:rPr>
              <w:t>For the Three Months Ended December 31,</w:t>
            </w:r>
          </w:p>
        </w:tc>
        <w:tc>
          <w:tcPr>
            <w:tcW w:w="15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60" w:type="dxa"/>
            <w:vAlign w:val="bottom"/>
            <w:tcBorders>
              <w:bottom w:val="single" w:sz="8" w:color="004483"/>
            </w:tcBorders>
          </w:tcPr>
          <w:p>
            <w:pPr>
              <w:spacing w:after="0"/>
              <w:rPr>
                <w:sz w:val="13"/>
                <w:szCs w:val="13"/>
                <w:color w:val="auto"/>
              </w:rPr>
            </w:pPr>
          </w:p>
        </w:tc>
        <w:tc>
          <w:tcPr>
            <w:tcW w:w="1200" w:type="dxa"/>
            <w:vAlign w:val="bottom"/>
            <w:tcBorders>
              <w:bottom w:val="single" w:sz="8" w:color="004483"/>
            </w:tcBorders>
          </w:tcPr>
          <w:p>
            <w:pPr>
              <w:spacing w:after="0"/>
              <w:rPr>
                <w:sz w:val="13"/>
                <w:szCs w:val="13"/>
                <w:color w:val="auto"/>
              </w:rPr>
            </w:pPr>
          </w:p>
        </w:tc>
        <w:tc>
          <w:tcPr>
            <w:tcW w:w="280" w:type="dxa"/>
            <w:vAlign w:val="bottom"/>
            <w:tcBorders>
              <w:bottom w:val="single" w:sz="8" w:color="004483"/>
            </w:tcBorders>
          </w:tcPr>
          <w:p>
            <w:pPr>
              <w:spacing w:after="0"/>
              <w:rPr>
                <w:sz w:val="13"/>
                <w:szCs w:val="13"/>
                <w:color w:val="auto"/>
              </w:rPr>
            </w:pPr>
          </w:p>
        </w:tc>
        <w:tc>
          <w:tcPr>
            <w:tcW w:w="2360" w:type="dxa"/>
            <w:vAlign w:val="bottom"/>
            <w:tcBorders>
              <w:bottom w:val="single" w:sz="8" w:color="004483"/>
            </w:tcBorders>
            <w:gridSpan w:val="4"/>
          </w:tcPr>
          <w:p>
            <w:pPr>
              <w:jc w:val="right"/>
              <w:spacing w:after="0"/>
              <w:rPr>
                <w:sz w:val="20"/>
                <w:szCs w:val="20"/>
                <w:color w:val="auto"/>
              </w:rPr>
            </w:pPr>
            <w:r>
              <w:rPr>
                <w:rFonts w:ascii="Times New Roman" w:cs="Times New Roman" w:eastAsia="Times New Roman" w:hAnsi="Times New Roman"/>
                <w:sz w:val="13"/>
                <w:szCs w:val="13"/>
                <w:color w:val="auto"/>
              </w:rPr>
              <w:t>(dollars in thousands, except per share)</w:t>
            </w:r>
          </w:p>
        </w:tc>
        <w:tc>
          <w:tcPr>
            <w:tcW w:w="62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004483"/>
            </w:tcBorders>
          </w:tcPr>
          <w:p>
            <w:pPr>
              <w:spacing w:after="0"/>
              <w:rPr>
                <w:sz w:val="13"/>
                <w:szCs w:val="13"/>
                <w:color w:val="auto"/>
              </w:rPr>
            </w:pPr>
          </w:p>
        </w:tc>
        <w:tc>
          <w:tcPr>
            <w:tcW w:w="20" w:type="dxa"/>
            <w:vAlign w:val="bottom"/>
            <w:tcBorders>
              <w:bottom w:val="single" w:sz="8" w:color="004483"/>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004483"/>
              </w:rPr>
              <w:t>Revenue</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404,667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342,904</w:t>
            </w:r>
          </w:p>
        </w:tc>
        <w:tc>
          <w:tcPr>
            <w:tcW w:w="1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004483"/>
              </w:rPr>
              <w:t>Cost of Goods Sold</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(291,288)</w:t>
            </w:r>
          </w:p>
        </w:tc>
        <w:tc>
          <w:tcPr>
            <w:tcW w:w="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(249,701)</w:t>
            </w:r>
          </w:p>
        </w:tc>
        <w:tc>
          <w:tcPr>
            <w:tcW w:w="100" w:type="dxa"/>
            <w:vAlign w:val="bottom"/>
            <w:vMerge w:val="continue"/>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12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80" w:type="dxa"/>
            <w:vAlign w:val="bottom"/>
            <w:shd w:val="clear" w:color="auto" w:fill="004483"/>
          </w:tcPr>
          <w:p>
            <w:pPr>
              <w:spacing w:after="0" w:line="20" w:lineRule="exact"/>
              <w:rPr>
                <w:sz w:val="1"/>
                <w:szCs w:val="1"/>
                <w:color w:val="auto"/>
              </w:rPr>
            </w:pPr>
          </w:p>
        </w:tc>
        <w:tc>
          <w:tcPr>
            <w:tcW w:w="6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004483"/>
              </w:rPr>
              <w:t>Gross Profit</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93,203</w:t>
            </w:r>
          </w:p>
        </w:tc>
        <w:tc>
          <w:tcPr>
            <w:tcW w:w="1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004483"/>
              </w:rPr>
              <w:t>Equity in Earnings of Unconsolidated Joint Venture</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10,700</w:t>
            </w:r>
          </w:p>
        </w:tc>
        <w:tc>
          <w:tcPr>
            <w:tcW w:w="1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Borders>
              <w:top w:val="single" w:sz="8" w:color="A6A6A6"/>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Corporate General and Administrative</w:t>
            </w:r>
          </w:p>
        </w:tc>
        <w:tc>
          <w:tcPr>
            <w:tcW w:w="1200" w:type="dxa"/>
            <w:vAlign w:val="bottom"/>
            <w:tcBorders>
              <w:top w:val="single" w:sz="8" w:color="A6A6A6"/>
              <w:bottom w:val="single" w:sz="8" w:color="A6A6A6"/>
            </w:tcBorders>
          </w:tcPr>
          <w:p>
            <w:pPr>
              <w:spacing w:after="0"/>
              <w:rPr>
                <w:sz w:val="18"/>
                <w:szCs w:val="18"/>
                <w:color w:val="auto"/>
              </w:rPr>
            </w:pPr>
          </w:p>
        </w:tc>
        <w:tc>
          <w:tcPr>
            <w:tcW w:w="280" w:type="dxa"/>
            <w:vAlign w:val="bottom"/>
            <w:tcBorders>
              <w:top w:val="single" w:sz="8" w:color="A6A6A6"/>
              <w:bottom w:val="single" w:sz="8" w:color="A6A6A6"/>
            </w:tcBorders>
          </w:tcPr>
          <w:p>
            <w:pPr>
              <w:spacing w:after="0"/>
              <w:rPr>
                <w:sz w:val="18"/>
                <w:szCs w:val="18"/>
                <w:color w:val="auto"/>
              </w:rPr>
            </w:pPr>
          </w:p>
        </w:tc>
        <w:tc>
          <w:tcPr>
            <w:tcW w:w="122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(11,327)</w:t>
            </w:r>
          </w:p>
        </w:tc>
        <w:tc>
          <w:tcPr>
            <w:tcW w:w="10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880" w:type="dxa"/>
            <w:vAlign w:val="bottom"/>
            <w:tcBorders>
              <w:top w:val="single" w:sz="8" w:color="A6A6A6"/>
              <w:bottom w:val="single" w:sz="8" w:color="A6A6A6"/>
            </w:tcBorders>
          </w:tcPr>
          <w:p>
            <w:pPr>
              <w:spacing w:after="0"/>
              <w:rPr>
                <w:sz w:val="18"/>
                <w:szCs w:val="18"/>
                <w:color w:val="auto"/>
              </w:rPr>
            </w:pPr>
          </w:p>
        </w:tc>
        <w:tc>
          <w:tcPr>
            <w:tcW w:w="62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(13,794)</w:t>
            </w:r>
          </w:p>
        </w:tc>
        <w:tc>
          <w:tcPr>
            <w:tcW w:w="100" w:type="dxa"/>
            <w:vAlign w:val="bottom"/>
          </w:tcPr>
          <w:p>
            <w:pPr>
              <w:spacing w:after="0"/>
              <w:rPr>
                <w:sz w:val="18"/>
                <w:szCs w:val="18"/>
                <w:color w:val="auto"/>
              </w:rPr>
            </w:pPr>
          </w:p>
        </w:tc>
        <w:tc>
          <w:tcPr>
            <w:tcW w:w="1420" w:type="dxa"/>
            <w:vAlign w:val="bottom"/>
            <w:tcBorders>
              <w:top w:val="single" w:sz="8" w:color="A6A6A6"/>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Impairment Losses</w:t>
            </w:r>
          </w:p>
        </w:tc>
        <w:tc>
          <w:tcPr>
            <w:tcW w:w="120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(25,131)</w:t>
            </w:r>
          </w:p>
        </w:tc>
        <w:tc>
          <w:tcPr>
            <w:tcW w:w="100" w:type="dxa"/>
            <w:vAlign w:val="bottom"/>
          </w:tcPr>
          <w:p>
            <w:pPr>
              <w:spacing w:after="0"/>
              <w:rPr>
                <w:sz w:val="18"/>
                <w:szCs w:val="18"/>
                <w:color w:val="auto"/>
              </w:rPr>
            </w:pPr>
          </w:p>
        </w:tc>
        <w:tc>
          <w:tcPr>
            <w:tcW w:w="142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004483"/>
              </w:rPr>
              <w:t>Other Non-Operating Income</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004483"/>
              </w:rPr>
              <w:t>Interest Expense, net</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(9,360)</w:t>
            </w:r>
          </w:p>
        </w:tc>
        <w:tc>
          <w:tcPr>
            <w:tcW w:w="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(9,543)</w:t>
            </w:r>
          </w:p>
        </w:tc>
        <w:tc>
          <w:tcPr>
            <w:tcW w:w="100" w:type="dxa"/>
            <w:vAlign w:val="bottom"/>
            <w:vMerge w:val="continue"/>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12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80" w:type="dxa"/>
            <w:vAlign w:val="bottom"/>
            <w:shd w:val="clear" w:color="auto" w:fill="004483"/>
          </w:tcPr>
          <w:p>
            <w:pPr>
              <w:spacing w:after="0" w:line="20" w:lineRule="exact"/>
              <w:rPr>
                <w:sz w:val="1"/>
                <w:szCs w:val="1"/>
                <w:color w:val="auto"/>
              </w:rPr>
            </w:pPr>
          </w:p>
        </w:tc>
        <w:tc>
          <w:tcPr>
            <w:tcW w:w="6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004483"/>
              </w:rPr>
              <w:t>Earnings from Continuing Operations Before Income Taxes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56,157</w:t>
            </w:r>
          </w:p>
        </w:tc>
        <w:tc>
          <w:tcPr>
            <w:tcW w:w="1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004483"/>
              </w:rPr>
              <w:t>Income Tax Expense</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(23,879)</w:t>
            </w:r>
          </w:p>
        </w:tc>
        <w:tc>
          <w:tcPr>
            <w:tcW w:w="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(12,683)</w:t>
            </w:r>
          </w:p>
        </w:tc>
        <w:tc>
          <w:tcPr>
            <w:tcW w:w="100" w:type="dxa"/>
            <w:vAlign w:val="bottom"/>
            <w:vMerge w:val="continue"/>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12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80" w:type="dxa"/>
            <w:vAlign w:val="bottom"/>
            <w:shd w:val="clear" w:color="auto" w:fill="004483"/>
          </w:tcPr>
          <w:p>
            <w:pPr>
              <w:spacing w:after="0" w:line="20" w:lineRule="exact"/>
              <w:rPr>
                <w:sz w:val="1"/>
                <w:szCs w:val="1"/>
                <w:color w:val="auto"/>
              </w:rPr>
            </w:pPr>
          </w:p>
        </w:tc>
        <w:tc>
          <w:tcPr>
            <w:tcW w:w="6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b w:val="1"/>
                <w:bCs w:val="1"/>
                <w:color w:val="004483"/>
              </w:rPr>
              <w:t>Net Earnings from Continuing Operations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81,193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43,474</w:t>
            </w:r>
          </w:p>
        </w:tc>
        <w:tc>
          <w:tcPr>
            <w:tcW w:w="1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A6A6A6"/>
          </w:tcPr>
          <w:p>
            <w:pPr>
              <w:spacing w:after="0" w:line="20" w:lineRule="exact"/>
              <w:rPr>
                <w:sz w:val="1"/>
                <w:szCs w:val="1"/>
                <w:color w:val="auto"/>
              </w:rPr>
            </w:pPr>
          </w:p>
        </w:tc>
        <w:tc>
          <w:tcPr>
            <w:tcW w:w="1480" w:type="dxa"/>
            <w:vAlign w:val="bottom"/>
            <w:gridSpan w:val="2"/>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004483"/>
              </w:rPr>
              <w:t>Net Earnings (Loss) from Discontinued Operations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(158,106)</w:t>
            </w:r>
          </w:p>
        </w:tc>
        <w:tc>
          <w:tcPr>
            <w:tcW w:w="100" w:type="dxa"/>
            <w:vAlign w:val="bottom"/>
            <w:vMerge w:val="continue"/>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top w:val="single" w:sz="8" w:color="A6A6A6"/>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004483"/>
              </w:rPr>
              <w:t>Net Earnings</w:t>
            </w:r>
          </w:p>
        </w:tc>
        <w:tc>
          <w:tcPr>
            <w:tcW w:w="1200" w:type="dxa"/>
            <w:vAlign w:val="bottom"/>
            <w:tcBorders>
              <w:top w:val="single" w:sz="8" w:color="A6A6A6"/>
              <w:bottom w:val="single" w:sz="8" w:color="A6A6A6"/>
            </w:tcBorders>
          </w:tcPr>
          <w:p>
            <w:pPr>
              <w:spacing w:after="0"/>
              <w:rPr>
                <w:sz w:val="21"/>
                <w:szCs w:val="21"/>
                <w:color w:val="auto"/>
              </w:rPr>
            </w:pPr>
          </w:p>
        </w:tc>
        <w:tc>
          <w:tcPr>
            <w:tcW w:w="280" w:type="dxa"/>
            <w:vAlign w:val="bottom"/>
            <w:tcBorders>
              <w:top w:val="single" w:sz="8" w:color="004483"/>
              <w:bottom w:val="single" w:sz="8" w:color="004483"/>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81,193</w:t>
            </w:r>
          </w:p>
        </w:tc>
        <w:tc>
          <w:tcPr>
            <w:tcW w:w="100" w:type="dxa"/>
            <w:vAlign w:val="bottom"/>
          </w:tcPr>
          <w:p>
            <w:pPr>
              <w:spacing w:after="0"/>
              <w:rPr>
                <w:sz w:val="21"/>
                <w:szCs w:val="21"/>
                <w:color w:val="auto"/>
              </w:rPr>
            </w:pPr>
          </w:p>
        </w:tc>
        <w:tc>
          <w:tcPr>
            <w:tcW w:w="160" w:type="dxa"/>
            <w:vAlign w:val="bottom"/>
            <w:tcBorders>
              <w:top w:val="single" w:sz="8" w:color="A6A6A6"/>
              <w:bottom w:val="single" w:sz="8" w:color="A6A6A6"/>
            </w:tcBorders>
          </w:tcPr>
          <w:p>
            <w:pPr>
              <w:spacing w:after="0"/>
              <w:rPr>
                <w:sz w:val="21"/>
                <w:szCs w:val="21"/>
                <w:color w:val="auto"/>
              </w:rPr>
            </w:pPr>
          </w:p>
        </w:tc>
        <w:tc>
          <w:tcPr>
            <w:tcW w:w="880" w:type="dxa"/>
            <w:vAlign w:val="bottom"/>
            <w:tcBorders>
              <w:top w:val="single" w:sz="8" w:color="004483"/>
              <w:bottom w:val="single" w:sz="8" w:color="004483"/>
            </w:tcBorders>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(114,632)</w:t>
            </w:r>
          </w:p>
        </w:tc>
        <w:tc>
          <w:tcPr>
            <w:tcW w:w="100" w:type="dxa"/>
            <w:vAlign w:val="bottom"/>
          </w:tcPr>
          <w:p>
            <w:pPr>
              <w:spacing w:after="0"/>
              <w:rPr>
                <w:sz w:val="21"/>
                <w:szCs w:val="21"/>
                <w:color w:val="auto"/>
              </w:rPr>
            </w:pPr>
          </w:p>
        </w:tc>
        <w:tc>
          <w:tcPr>
            <w:tcW w:w="140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Diluted Earnings per Share from Continuing Operations</w:t>
            </w:r>
          </w:p>
        </w:tc>
        <w:tc>
          <w:tcPr>
            <w:tcW w:w="1200" w:type="dxa"/>
            <w:vAlign w:val="bottom"/>
          </w:tcPr>
          <w:p>
            <w:pPr>
              <w:spacing w:after="0"/>
              <w:rPr>
                <w:sz w:val="18"/>
                <w:szCs w:val="18"/>
                <w:color w:val="auto"/>
              </w:rPr>
            </w:pPr>
          </w:p>
        </w:tc>
        <w:tc>
          <w:tcPr>
            <w:tcW w:w="280" w:type="dxa"/>
            <w:vAlign w:val="bottom"/>
            <w:tcBorders>
              <w:bottom w:val="single" w:sz="8" w:color="004483"/>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004483"/>
            </w:tcBorders>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1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A6A6A6"/>
            </w:tcBorders>
          </w:tcPr>
          <w:p>
            <w:pPr>
              <w:spacing w:after="0" w:line="20" w:lineRule="exact"/>
              <w:rPr>
                <w:sz w:val="1"/>
                <w:szCs w:val="1"/>
                <w:color w:val="auto"/>
              </w:rPr>
            </w:pPr>
          </w:p>
        </w:tc>
        <w:tc>
          <w:tcPr>
            <w:tcW w:w="1200" w:type="dxa"/>
            <w:vAlign w:val="bottom"/>
            <w:tcBorders>
              <w:top w:val="single" w:sz="8" w:color="A6A6A6"/>
            </w:tcBorders>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12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6A6A6"/>
            </w:tcBorders>
          </w:tcPr>
          <w:p>
            <w:pPr>
              <w:spacing w:after="0" w:line="20" w:lineRule="exact"/>
              <w:rPr>
                <w:sz w:val="1"/>
                <w:szCs w:val="1"/>
                <w:color w:val="auto"/>
              </w:rPr>
            </w:pPr>
          </w:p>
        </w:tc>
        <w:tc>
          <w:tcPr>
            <w:tcW w:w="880" w:type="dxa"/>
            <w:vAlign w:val="bottom"/>
            <w:shd w:val="clear" w:color="auto" w:fill="004483"/>
          </w:tcPr>
          <w:p>
            <w:pPr>
              <w:spacing w:after="0" w:line="20" w:lineRule="exact"/>
              <w:rPr>
                <w:sz w:val="1"/>
                <w:szCs w:val="1"/>
                <w:color w:val="auto"/>
              </w:rPr>
            </w:pPr>
          </w:p>
        </w:tc>
        <w:tc>
          <w:tcPr>
            <w:tcW w:w="6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30"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Revenue increased by $61.8 million, or 18%, to $404.7 million for the three months ended December 31, 2020. The Kosmos Acquisition contributed $45.4 million of Revenue for the three months ended December 31, 2020, while Western and Mathews contributed $7.9 million of Revenue for the three months ended December 31, 2019. Excluding the acquisition and dispositions, Revenue improved by $24.3 million, or 7%. The increase was due to higher gross sales prices and Sales Volume, which positively affected Revenue by approximately $7.7 million and $16.6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30"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Cost of Goods Sold increased by $41.6 million, or 17%, to $291.3 million for the three months ended December 31, 2020. The Kosmos Acquisition contributed $32.1 million to Cost of Goods Sold for the three months ended December 31, 2020, while Western and Mathews contributed $6.7 million to Cost of Goods Sold for the three months ended December 31, 2019. Excluding the acquisition and dispositions, Cost of Goods Sold increased by $16.2 million, or 7%. The increase in Cost of Goods Sold was due to Sales Volume and operating costs of approximately $10.5 million and $5.7 million, respectively. The increase in operating costs was primarily related to our Cement and Recycled Paperboard segments. See discussion of individual operating segments below.</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30"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Gross Profit increased 22% to $113.4 million during the three months ended December 31, 2020. Excluding the acquisition and dispositions, Gross Profit rose by $8.1 million, or 9%. The improvement in Gross Profit was primarily due to higher gross sales prices and Sales Volume, partially offset by increased operating costs. The gross margin percentage increased to 28% from 27%, primarily because of higher gross sales prices, partially offset by increased operating costs.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403"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EQUITY IN EARNINGS OF UNCONSOLIDATED JOINT VENTURE</w:t>
      </w:r>
    </w:p>
    <w:p>
      <w:pPr>
        <w:spacing w:after="0" w:line="130"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Equity in Earnings of our Unconsolidated Joint Venture decreased $0.6 million, or 6%, for the three months ended December 31, 2020. The decline was primarily due to lower Sales Volume and increased operating costs, which adversely affected earnings by approximately $0.7 million and $0.4 million, respectively, partially offset by higher net sales prices, which increased operating earnings by approximately $0.5 million.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GENERAL AND ADMINISTRATIVE</w:t>
      </w:r>
    </w:p>
    <w:p>
      <w:pPr>
        <w:spacing w:after="0" w:line="130" w:lineRule="exact"/>
        <w:rPr>
          <w:sz w:val="20"/>
          <w:szCs w:val="20"/>
          <w:color w:val="auto"/>
        </w:rPr>
      </w:pPr>
    </w:p>
    <w:p>
      <w:pPr>
        <w:ind w:right="180"/>
        <w:spacing w:after="0" w:line="273" w:lineRule="auto"/>
        <w:rPr>
          <w:sz w:val="20"/>
          <w:szCs w:val="20"/>
          <w:color w:val="auto"/>
        </w:rPr>
      </w:pPr>
      <w:r>
        <w:rPr>
          <w:rFonts w:ascii="Arial" w:cs="Arial" w:eastAsia="Arial" w:hAnsi="Arial"/>
          <w:sz w:val="18"/>
          <w:szCs w:val="18"/>
          <w:color w:val="auto"/>
        </w:rPr>
        <w:t>Corporate General and Administrative Expense declined by approximately $2.5 million, or 18%, for the three months ended December 31, 2020. The decrease was primarily because of lower legal and professional expenses of approximately $3.6 million, partially offset by higher salary and incentive compensation of $1.0 million. The lower legal and professional fees related to amounts spent in the prior fiscal year in connection with our strategic portfolio review, as well as costs incurred related to the Kosmos Acquisition and the sale of Western and Mathews. The increase in salary and incentive compensation costs were primarily due to higher earnings during the fiscal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LOSSES</w:t>
      </w:r>
    </w:p>
    <w:p>
      <w:pPr>
        <w:spacing w:after="0" w:line="130"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Impairment Losses for the three months ended December 31, 2019 relate to certain assets of our Oil and Gas Proppants business that were impaired during the quarter ended December 31, 2019, but were not included in the sale of the business in September 2020. These impairment charges primarily relate to real estate and right-of-use assets.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(LOSS)</w:t>
      </w:r>
    </w:p>
    <w:p>
      <w:pPr>
        <w:spacing w:after="0" w:line="130" w:lineRule="exact"/>
        <w:rPr>
          <w:sz w:val="20"/>
          <w:szCs w:val="20"/>
          <w:color w:val="auto"/>
        </w:rPr>
      </w:pPr>
    </w:p>
    <w:p>
      <w:pPr>
        <w:ind w:right="500"/>
        <w:spacing w:after="0" w:line="302" w:lineRule="auto"/>
        <w:rPr>
          <w:sz w:val="20"/>
          <w:szCs w:val="20"/>
          <w:color w:val="auto"/>
        </w:rPr>
      </w:pPr>
      <w:r>
        <w:rPr>
          <w:rFonts w:ascii="Arial" w:cs="Arial" w:eastAsia="Arial" w:hAnsi="Arial"/>
          <w:sz w:val="18"/>
          <w:szCs w:val="18"/>
          <w:color w:val="auto"/>
        </w:rPr>
        <w:t>Other Non-Operating Income (Loss) consists of a variety of items that are unrelated to segment operations and include non-inventoried aggregates income, asset sales, and other miscellaneous income and cost items.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Interest Expense, net decreased by approximately $0.1 million, or 2%, during the three months ended December 31, 2020. The decrease in Interest Expense, net was primarily due to lower interest on borrowings under our Revolving Credit Facility of approximately $4.8 million. This decrease was partially offset by an increase in interest on our Term Loan and amortization of related debt issuances costs of $4.0 million and $0.7 million, respectively. The increase in debt issuance costs was related to the issuance of the Term Loan in March 2020 and the amendment of both the Revolving Credit Facility and the Term Loan in April 2020. The lower interest expense on our Revolving Credit Facility was due to our repaying all outstanding amounts during the three months ended December 31,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FROM CONTINUING OPERATIONS BEFORE INCOME TAXES</w:t>
      </w:r>
    </w:p>
    <w:p>
      <w:pPr>
        <w:spacing w:after="0" w:line="130" w:lineRule="exact"/>
        <w:rPr>
          <w:sz w:val="20"/>
          <w:szCs w:val="20"/>
          <w:color w:val="auto"/>
        </w:rPr>
      </w:pPr>
    </w:p>
    <w:p>
      <w:pPr>
        <w:jc w:val="both"/>
        <w:ind w:right="100"/>
        <w:spacing w:after="0" w:line="283" w:lineRule="auto"/>
        <w:rPr>
          <w:sz w:val="20"/>
          <w:szCs w:val="20"/>
          <w:color w:val="auto"/>
        </w:rPr>
      </w:pPr>
      <w:r>
        <w:rPr>
          <w:rFonts w:ascii="Arial" w:cs="Arial" w:eastAsia="Arial" w:hAnsi="Arial"/>
          <w:sz w:val="18"/>
          <w:szCs w:val="18"/>
          <w:color w:val="auto"/>
        </w:rPr>
        <w:t>Earnings from Continuing Operations Before Income Taxes increased to $105.1 million during the three months ended December 31, 2020, primarily as a result of higher Gross Profit and Other Non-operating Income, and lower Corporate General and Administrative Expense. This was partially offset by lower Equity in Earnings of Unconsolidated Joint Venture.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17"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Income Tax Expense was $ 23.9 million for the three months ended December 31, 2020 compared with Income Tax Expense of $12.7 million for the three months ended December 31, 2019. The effective tax rate was flat from the prior period at 23%.</w:t>
      </w: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60"/>
          </w:cols>
          <w:pgMar w:left="320" w:top="597" w:right="4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NET EARNINGS FROM CONTINUING OPERATIONS AND DILUTED EARNINGS PER SHARE FROM CONTINUING OPERATIONS</w:t>
      </w:r>
    </w:p>
    <w:p>
      <w:pPr>
        <w:spacing w:after="0" w:line="130" w:lineRule="exact"/>
        <w:rPr>
          <w:sz w:val="20"/>
          <w:szCs w:val="20"/>
          <w:color w:val="auto"/>
        </w:rPr>
      </w:pPr>
    </w:p>
    <w:p>
      <w:pPr>
        <w:ind w:right="240"/>
        <w:spacing w:after="0" w:line="302" w:lineRule="auto"/>
        <w:rPr>
          <w:sz w:val="20"/>
          <w:szCs w:val="20"/>
          <w:color w:val="auto"/>
        </w:rPr>
      </w:pPr>
      <w:r>
        <w:rPr>
          <w:rFonts w:ascii="Arial" w:cs="Arial" w:eastAsia="Arial" w:hAnsi="Arial"/>
          <w:sz w:val="18"/>
          <w:szCs w:val="18"/>
          <w:color w:val="auto"/>
        </w:rPr>
        <w:t>Net Earnings from Continuing Operations increased 87% to $81.2 million for the three months ended December 31, 2020. Diluted Earnings per Share from Continuing Operations also increased 87% to $1.94 per share.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(LOSS) FROM DISCONTINUED OPERATIONS</w:t>
      </w:r>
    </w:p>
    <w:p>
      <w:pPr>
        <w:spacing w:after="0" w:line="130"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There was no Net Earnings from Discontinued Operations during the three months ended December 31, 2020, compared with a Net Loss from Discontinued Operations of $158.1 million for the three months ended December 31, 2019. The Net Loss from Discontinued Operations in fiscal 2020 was primarily related to the impairment of the operating facilities, quarries, and certain lease right-of-use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Net Earnings increased 171% to $81.2 million for the three months ended December 31, 2020.</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DECEMBER 31, 2020 COMPARED WITH NINE MONTHS ENDED DECEMBER 31, 2019</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shd w:val="clear" w:color="auto" w:fill="004483"/>
          </w:tcPr>
          <w:p>
            <w:pPr>
              <w:spacing w:after="0"/>
              <w:rPr>
                <w:sz w:val="19"/>
                <w:szCs w:val="19"/>
                <w:color w:val="auto"/>
              </w:rPr>
            </w:pPr>
          </w:p>
        </w:tc>
        <w:tc>
          <w:tcPr>
            <w:tcW w:w="3080" w:type="dxa"/>
            <w:vAlign w:val="bottom"/>
            <w:gridSpan w:val="6"/>
            <w:shd w:val="clear" w:color="auto" w:fill="004483"/>
          </w:tcPr>
          <w:p>
            <w:pPr>
              <w:ind w:left="220"/>
              <w:spacing w:after="0"/>
              <w:rPr>
                <w:sz w:val="20"/>
                <w:szCs w:val="20"/>
                <w:color w:val="auto"/>
              </w:rPr>
            </w:pPr>
            <w:r>
              <w:rPr>
                <w:rFonts w:ascii="Times New Roman" w:cs="Times New Roman" w:eastAsia="Times New Roman" w:hAnsi="Times New Roman"/>
                <w:sz w:val="13"/>
                <w:szCs w:val="13"/>
                <w:b w:val="1"/>
                <w:bCs w:val="1"/>
                <w:color w:val="FFFFFF"/>
              </w:rPr>
              <w:t>For the Nine Months Ended December 31,</w:t>
            </w:r>
          </w:p>
        </w:tc>
        <w:tc>
          <w:tcPr>
            <w:tcW w:w="15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60" w:type="dxa"/>
            <w:vAlign w:val="bottom"/>
            <w:tcBorders>
              <w:bottom w:val="single" w:sz="8" w:color="004483"/>
            </w:tcBorders>
          </w:tcPr>
          <w:p>
            <w:pPr>
              <w:spacing w:after="0"/>
              <w:rPr>
                <w:sz w:val="13"/>
                <w:szCs w:val="13"/>
                <w:color w:val="auto"/>
              </w:rPr>
            </w:pPr>
          </w:p>
        </w:tc>
        <w:tc>
          <w:tcPr>
            <w:tcW w:w="1200" w:type="dxa"/>
            <w:vAlign w:val="bottom"/>
            <w:tcBorders>
              <w:bottom w:val="single" w:sz="8" w:color="004483"/>
            </w:tcBorders>
          </w:tcPr>
          <w:p>
            <w:pPr>
              <w:spacing w:after="0"/>
              <w:rPr>
                <w:sz w:val="13"/>
                <w:szCs w:val="13"/>
                <w:color w:val="auto"/>
              </w:rPr>
            </w:pPr>
          </w:p>
        </w:tc>
        <w:tc>
          <w:tcPr>
            <w:tcW w:w="280" w:type="dxa"/>
            <w:vAlign w:val="bottom"/>
            <w:tcBorders>
              <w:bottom w:val="single" w:sz="8" w:color="004483"/>
            </w:tcBorders>
          </w:tcPr>
          <w:p>
            <w:pPr>
              <w:spacing w:after="0"/>
              <w:rPr>
                <w:sz w:val="13"/>
                <w:szCs w:val="13"/>
                <w:color w:val="auto"/>
              </w:rPr>
            </w:pPr>
          </w:p>
        </w:tc>
        <w:tc>
          <w:tcPr>
            <w:tcW w:w="2320" w:type="dxa"/>
            <w:vAlign w:val="bottom"/>
            <w:tcBorders>
              <w:bottom w:val="single" w:sz="8" w:color="004483"/>
            </w:tcBorders>
            <w:gridSpan w:val="4"/>
          </w:tcPr>
          <w:p>
            <w:pPr>
              <w:jc w:val="right"/>
              <w:spacing w:after="0"/>
              <w:rPr>
                <w:sz w:val="20"/>
                <w:szCs w:val="20"/>
                <w:color w:val="auto"/>
              </w:rPr>
            </w:pPr>
            <w:r>
              <w:rPr>
                <w:rFonts w:ascii="Times New Roman" w:cs="Times New Roman" w:eastAsia="Times New Roman" w:hAnsi="Times New Roman"/>
                <w:sz w:val="13"/>
                <w:szCs w:val="13"/>
                <w:color w:val="auto"/>
              </w:rPr>
              <w:t>(dollars in thousands, except per share)</w:t>
            </w:r>
          </w:p>
        </w:tc>
        <w:tc>
          <w:tcPr>
            <w:tcW w:w="66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004483"/>
            </w:tcBorders>
          </w:tcPr>
          <w:p>
            <w:pPr>
              <w:spacing w:after="0"/>
              <w:rPr>
                <w:sz w:val="13"/>
                <w:szCs w:val="13"/>
                <w:color w:val="auto"/>
              </w:rPr>
            </w:pPr>
          </w:p>
        </w:tc>
        <w:tc>
          <w:tcPr>
            <w:tcW w:w="20" w:type="dxa"/>
            <w:vAlign w:val="bottom"/>
            <w:tcBorders>
              <w:bottom w:val="single" w:sz="8" w:color="004483"/>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004483"/>
              </w:rPr>
              <w:t>Revenue</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1,279,340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1,098,838</w:t>
            </w:r>
          </w:p>
        </w:tc>
        <w:tc>
          <w:tcPr>
            <w:tcW w:w="1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004483"/>
              </w:rPr>
              <w:t>Cost of Goods Sold</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(940,815)</w:t>
            </w:r>
          </w:p>
        </w:tc>
        <w:tc>
          <w:tcPr>
            <w:tcW w:w="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(818,521)</w:t>
            </w:r>
          </w:p>
        </w:tc>
        <w:tc>
          <w:tcPr>
            <w:tcW w:w="100" w:type="dxa"/>
            <w:vAlign w:val="bottom"/>
            <w:vMerge w:val="continue"/>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12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40" w:type="dxa"/>
            <w:vAlign w:val="bottom"/>
            <w:shd w:val="clear" w:color="auto" w:fill="004483"/>
          </w:tcPr>
          <w:p>
            <w:pPr>
              <w:spacing w:after="0" w:line="20" w:lineRule="exact"/>
              <w:rPr>
                <w:sz w:val="1"/>
                <w:szCs w:val="1"/>
                <w:color w:val="auto"/>
              </w:rPr>
            </w:pPr>
          </w:p>
        </w:tc>
        <w:tc>
          <w:tcPr>
            <w:tcW w:w="66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004483"/>
              </w:rPr>
              <w:t>Gross Profit</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338,525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280,317</w:t>
            </w:r>
          </w:p>
        </w:tc>
        <w:tc>
          <w:tcPr>
            <w:tcW w:w="1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Borders>
              <w:top w:val="single" w:sz="8" w:color="A6A6A6"/>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Equity in Earnings of Unconsolidated Joint Venture</w:t>
            </w:r>
          </w:p>
        </w:tc>
        <w:tc>
          <w:tcPr>
            <w:tcW w:w="1200" w:type="dxa"/>
            <w:vAlign w:val="bottom"/>
            <w:tcBorders>
              <w:top w:val="single" w:sz="8" w:color="A6A6A6"/>
              <w:bottom w:val="single" w:sz="8" w:color="A6A6A6"/>
            </w:tcBorders>
          </w:tcPr>
          <w:p>
            <w:pPr>
              <w:spacing w:after="0"/>
              <w:rPr>
                <w:sz w:val="18"/>
                <w:szCs w:val="18"/>
                <w:color w:val="auto"/>
              </w:rPr>
            </w:pPr>
          </w:p>
        </w:tc>
        <w:tc>
          <w:tcPr>
            <w:tcW w:w="280" w:type="dxa"/>
            <w:vAlign w:val="bottom"/>
            <w:tcBorders>
              <w:top w:val="single" w:sz="8" w:color="A6A6A6"/>
              <w:bottom w:val="single" w:sz="8" w:color="A6A6A6"/>
            </w:tcBorders>
          </w:tcPr>
          <w:p>
            <w:pPr>
              <w:spacing w:after="0"/>
              <w:rPr>
                <w:sz w:val="18"/>
                <w:szCs w:val="18"/>
                <w:color w:val="auto"/>
              </w:rPr>
            </w:pPr>
          </w:p>
        </w:tc>
        <w:tc>
          <w:tcPr>
            <w:tcW w:w="122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28,456</w:t>
            </w:r>
          </w:p>
        </w:tc>
        <w:tc>
          <w:tcPr>
            <w:tcW w:w="10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840" w:type="dxa"/>
            <w:vAlign w:val="bottom"/>
            <w:tcBorders>
              <w:top w:val="single" w:sz="8" w:color="A6A6A6"/>
              <w:bottom w:val="single" w:sz="8" w:color="A6A6A6"/>
            </w:tcBorders>
          </w:tcPr>
          <w:p>
            <w:pPr>
              <w:spacing w:after="0"/>
              <w:rPr>
                <w:sz w:val="18"/>
                <w:szCs w:val="18"/>
                <w:color w:val="auto"/>
              </w:rPr>
            </w:pPr>
          </w:p>
        </w:tc>
        <w:tc>
          <w:tcPr>
            <w:tcW w:w="66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32,489</w:t>
            </w:r>
          </w:p>
        </w:tc>
        <w:tc>
          <w:tcPr>
            <w:tcW w:w="100" w:type="dxa"/>
            <w:vAlign w:val="bottom"/>
          </w:tcPr>
          <w:p>
            <w:pPr>
              <w:spacing w:after="0"/>
              <w:rPr>
                <w:sz w:val="18"/>
                <w:szCs w:val="18"/>
                <w:color w:val="auto"/>
              </w:rPr>
            </w:pPr>
          </w:p>
        </w:tc>
        <w:tc>
          <w:tcPr>
            <w:tcW w:w="1420" w:type="dxa"/>
            <w:vAlign w:val="bottom"/>
            <w:tcBorders>
              <w:top w:val="single" w:sz="8" w:color="A6A6A6"/>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Corporate General and Administrative</w:t>
            </w:r>
          </w:p>
        </w:tc>
        <w:tc>
          <w:tcPr>
            <w:tcW w:w="120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(40,225)</w:t>
            </w:r>
          </w:p>
        </w:tc>
        <w:tc>
          <w:tcPr>
            <w:tcW w:w="10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(48,506)</w:t>
            </w:r>
          </w:p>
        </w:tc>
        <w:tc>
          <w:tcPr>
            <w:tcW w:w="100" w:type="dxa"/>
            <w:vAlign w:val="bottom"/>
          </w:tcPr>
          <w:p>
            <w:pPr>
              <w:spacing w:after="0"/>
              <w:rPr>
                <w:sz w:val="18"/>
                <w:szCs w:val="18"/>
                <w:color w:val="auto"/>
              </w:rPr>
            </w:pPr>
          </w:p>
        </w:tc>
        <w:tc>
          <w:tcPr>
            <w:tcW w:w="142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Gain on Sale of Businesses</w:t>
            </w:r>
          </w:p>
        </w:tc>
        <w:tc>
          <w:tcPr>
            <w:tcW w:w="120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51,973</w:t>
            </w:r>
          </w:p>
        </w:tc>
        <w:tc>
          <w:tcPr>
            <w:tcW w:w="10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2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Impairment Losses</w:t>
            </w:r>
          </w:p>
        </w:tc>
        <w:tc>
          <w:tcPr>
            <w:tcW w:w="120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12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spacing w:after="0"/>
              <w:rPr>
                <w:sz w:val="18"/>
                <w:szCs w:val="18"/>
                <w:color w:val="auto"/>
              </w:rPr>
            </w:pPr>
          </w:p>
        </w:tc>
        <w:tc>
          <w:tcPr>
            <w:tcW w:w="66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(25,131)</w:t>
            </w:r>
          </w:p>
        </w:tc>
        <w:tc>
          <w:tcPr>
            <w:tcW w:w="100" w:type="dxa"/>
            <w:vAlign w:val="bottom"/>
          </w:tcPr>
          <w:p>
            <w:pPr>
              <w:spacing w:after="0"/>
              <w:rPr>
                <w:sz w:val="18"/>
                <w:szCs w:val="18"/>
                <w:color w:val="auto"/>
              </w:rPr>
            </w:pPr>
          </w:p>
        </w:tc>
        <w:tc>
          <w:tcPr>
            <w:tcW w:w="1420" w:type="dxa"/>
            <w:vAlign w:val="bottom"/>
            <w:tcBorders>
              <w:bottom w:val="single" w:sz="8" w:color="A6A6A6"/>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004483"/>
              </w:rPr>
              <w:t>Other Non-Operating Income</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1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004483"/>
              </w:rPr>
              <w:t>Interest Expense, net</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(35,957)</w:t>
            </w:r>
          </w:p>
        </w:tc>
        <w:tc>
          <w:tcPr>
            <w:tcW w:w="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(28,526)</w:t>
            </w:r>
          </w:p>
        </w:tc>
        <w:tc>
          <w:tcPr>
            <w:tcW w:w="100" w:type="dxa"/>
            <w:vAlign w:val="bottom"/>
            <w:vMerge w:val="continue"/>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12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40" w:type="dxa"/>
            <w:vAlign w:val="bottom"/>
            <w:shd w:val="clear" w:color="auto" w:fill="004483"/>
          </w:tcPr>
          <w:p>
            <w:pPr>
              <w:spacing w:after="0" w:line="20" w:lineRule="exact"/>
              <w:rPr>
                <w:sz w:val="1"/>
                <w:szCs w:val="1"/>
                <w:color w:val="auto"/>
              </w:rPr>
            </w:pPr>
          </w:p>
        </w:tc>
        <w:tc>
          <w:tcPr>
            <w:tcW w:w="66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004483"/>
              </w:rPr>
              <w:t>Earnings from Continuing Operations Before Income Taxes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344,670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212,088</w:t>
            </w:r>
          </w:p>
        </w:tc>
        <w:tc>
          <w:tcPr>
            <w:tcW w:w="1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004483"/>
              </w:rPr>
              <w:t>Income Tax Expense</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(76,515)</w:t>
            </w:r>
          </w:p>
        </w:tc>
        <w:tc>
          <w:tcPr>
            <w:tcW w:w="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(50,217)</w:t>
            </w:r>
          </w:p>
        </w:tc>
        <w:tc>
          <w:tcPr>
            <w:tcW w:w="100" w:type="dxa"/>
            <w:vAlign w:val="bottom"/>
            <w:vMerge w:val="continue"/>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12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40" w:type="dxa"/>
            <w:vAlign w:val="bottom"/>
            <w:shd w:val="clear" w:color="auto" w:fill="004483"/>
          </w:tcPr>
          <w:p>
            <w:pPr>
              <w:spacing w:after="0" w:line="20" w:lineRule="exact"/>
              <w:rPr>
                <w:sz w:val="1"/>
                <w:szCs w:val="1"/>
                <w:color w:val="auto"/>
              </w:rPr>
            </w:pPr>
          </w:p>
        </w:tc>
        <w:tc>
          <w:tcPr>
            <w:tcW w:w="66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b w:val="1"/>
                <w:bCs w:val="1"/>
                <w:color w:val="004483"/>
              </w:rPr>
              <w:t>Net Earnings from Continuing Operations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268,155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161,871</w:t>
            </w:r>
          </w:p>
        </w:tc>
        <w:tc>
          <w:tcPr>
            <w:tcW w:w="1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66%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A6A6A6"/>
          </w:tcPr>
          <w:p>
            <w:pPr>
              <w:spacing w:after="0" w:line="20" w:lineRule="exact"/>
              <w:rPr>
                <w:sz w:val="1"/>
                <w:szCs w:val="1"/>
                <w:color w:val="auto"/>
              </w:rPr>
            </w:pPr>
          </w:p>
        </w:tc>
        <w:tc>
          <w:tcPr>
            <w:tcW w:w="1480" w:type="dxa"/>
            <w:vAlign w:val="bottom"/>
            <w:gridSpan w:val="2"/>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20" w:type="dxa"/>
            <w:vAlign w:val="bottom"/>
            <w:gridSpan w:val="2"/>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004483"/>
              </w:rPr>
              <w:t>Net Earnings (Loss) from Discontinued Operations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(163,406)</w:t>
            </w:r>
          </w:p>
        </w:tc>
        <w:tc>
          <w:tcPr>
            <w:tcW w:w="100" w:type="dxa"/>
            <w:vAlign w:val="bottom"/>
            <w:vMerge w:val="continue"/>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103%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060" w:type="dxa"/>
            <w:vAlign w:val="bottom"/>
            <w:tcBorders>
              <w:top w:val="single" w:sz="8" w:color="A6A6A6"/>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004483"/>
              </w:rPr>
              <w:t>Net Earnings</w:t>
            </w:r>
          </w:p>
        </w:tc>
        <w:tc>
          <w:tcPr>
            <w:tcW w:w="1200" w:type="dxa"/>
            <w:vAlign w:val="bottom"/>
            <w:tcBorders>
              <w:top w:val="single" w:sz="8" w:color="A6A6A6"/>
              <w:bottom w:val="single" w:sz="8" w:color="A6A6A6"/>
            </w:tcBorders>
          </w:tcPr>
          <w:p>
            <w:pPr>
              <w:spacing w:after="0"/>
              <w:rPr>
                <w:sz w:val="21"/>
                <w:szCs w:val="21"/>
                <w:color w:val="auto"/>
              </w:rPr>
            </w:pPr>
          </w:p>
        </w:tc>
        <w:tc>
          <w:tcPr>
            <w:tcW w:w="280" w:type="dxa"/>
            <w:vAlign w:val="bottom"/>
            <w:tcBorders>
              <w:top w:val="single" w:sz="8" w:color="004483"/>
              <w:bottom w:val="single" w:sz="8" w:color="004483"/>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273,433</w:t>
            </w:r>
          </w:p>
        </w:tc>
        <w:tc>
          <w:tcPr>
            <w:tcW w:w="100" w:type="dxa"/>
            <w:vAlign w:val="bottom"/>
          </w:tcPr>
          <w:p>
            <w:pPr>
              <w:spacing w:after="0"/>
              <w:rPr>
                <w:sz w:val="21"/>
                <w:szCs w:val="21"/>
                <w:color w:val="auto"/>
              </w:rPr>
            </w:pPr>
          </w:p>
        </w:tc>
        <w:tc>
          <w:tcPr>
            <w:tcW w:w="160" w:type="dxa"/>
            <w:vAlign w:val="bottom"/>
            <w:tcBorders>
              <w:top w:val="single" w:sz="8" w:color="A6A6A6"/>
              <w:bottom w:val="single" w:sz="8" w:color="A6A6A6"/>
            </w:tcBorders>
          </w:tcPr>
          <w:p>
            <w:pPr>
              <w:spacing w:after="0"/>
              <w:rPr>
                <w:sz w:val="21"/>
                <w:szCs w:val="21"/>
                <w:color w:val="auto"/>
              </w:rPr>
            </w:pPr>
          </w:p>
        </w:tc>
        <w:tc>
          <w:tcPr>
            <w:tcW w:w="840" w:type="dxa"/>
            <w:vAlign w:val="bottom"/>
            <w:tcBorders>
              <w:top w:val="single" w:sz="8" w:color="004483"/>
              <w:bottom w:val="single" w:sz="8" w:color="004483"/>
            </w:tcBorders>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004483"/>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(1,535)</w:t>
            </w:r>
          </w:p>
        </w:tc>
        <w:tc>
          <w:tcPr>
            <w:tcW w:w="100" w:type="dxa"/>
            <w:vAlign w:val="bottom"/>
          </w:tcPr>
          <w:p>
            <w:pPr>
              <w:spacing w:after="0"/>
              <w:rPr>
                <w:sz w:val="21"/>
                <w:szCs w:val="21"/>
                <w:color w:val="auto"/>
              </w:rPr>
            </w:pPr>
          </w:p>
        </w:tc>
        <w:tc>
          <w:tcPr>
            <w:tcW w:w="140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17913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Diluted Earnings per Share from Continuing Operations</w:t>
            </w:r>
          </w:p>
        </w:tc>
        <w:tc>
          <w:tcPr>
            <w:tcW w:w="1200" w:type="dxa"/>
            <w:vAlign w:val="bottom"/>
          </w:tcPr>
          <w:p>
            <w:pPr>
              <w:spacing w:after="0"/>
              <w:rPr>
                <w:sz w:val="18"/>
                <w:szCs w:val="18"/>
                <w:color w:val="auto"/>
              </w:rPr>
            </w:pPr>
          </w:p>
        </w:tc>
        <w:tc>
          <w:tcPr>
            <w:tcW w:w="280" w:type="dxa"/>
            <w:vAlign w:val="bottom"/>
            <w:tcBorders>
              <w:bottom w:val="single" w:sz="8" w:color="004483"/>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004483"/>
            </w:tcBorders>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3.81</w:t>
            </w:r>
          </w:p>
        </w:tc>
        <w:tc>
          <w:tcPr>
            <w:tcW w:w="1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A6A6A6"/>
            </w:tcBorders>
          </w:tcPr>
          <w:p>
            <w:pPr>
              <w:spacing w:after="0" w:line="20" w:lineRule="exact"/>
              <w:rPr>
                <w:sz w:val="1"/>
                <w:szCs w:val="1"/>
                <w:color w:val="auto"/>
              </w:rPr>
            </w:pPr>
          </w:p>
        </w:tc>
        <w:tc>
          <w:tcPr>
            <w:tcW w:w="1200" w:type="dxa"/>
            <w:vAlign w:val="bottom"/>
            <w:tcBorders>
              <w:top w:val="single" w:sz="8" w:color="A6A6A6"/>
            </w:tcBorders>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12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6A6A6"/>
            </w:tcBorders>
          </w:tcPr>
          <w:p>
            <w:pPr>
              <w:spacing w:after="0" w:line="20" w:lineRule="exact"/>
              <w:rPr>
                <w:sz w:val="1"/>
                <w:szCs w:val="1"/>
                <w:color w:val="auto"/>
              </w:rPr>
            </w:pPr>
          </w:p>
        </w:tc>
        <w:tc>
          <w:tcPr>
            <w:tcW w:w="840" w:type="dxa"/>
            <w:vAlign w:val="bottom"/>
            <w:shd w:val="clear" w:color="auto" w:fill="004483"/>
          </w:tcPr>
          <w:p>
            <w:pPr>
              <w:spacing w:after="0" w:line="20" w:lineRule="exact"/>
              <w:rPr>
                <w:sz w:val="1"/>
                <w:szCs w:val="1"/>
                <w:color w:val="auto"/>
              </w:rPr>
            </w:pPr>
          </w:p>
        </w:tc>
        <w:tc>
          <w:tcPr>
            <w:tcW w:w="66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6A6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30"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Revenue increased by $180.5 million, or 16%, to $1,279.3 million for the nine months ended December 31, 2020. The Kosmos Acquisition and ConAgg Acquisition contributed $154.8 million of Revenue for the nine months ended December 31, 2020, while Western and Mathews contributed $25.2 million of Revenue for the nine months ended December 31, 2019. Excluding the acquisitions and dispositions, Revenue improved by $50.9 million, or 5%. The increase was due to higher Sales Volume and gross sales prices, which positively affected Revenue by approximately $36.9 million and $14.0 million, respectively.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97"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COST OF GOODS SOLD</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Cost of Goods Sold increased by $122.3 million, or 15%, to $940.8 million for the nine months ended December 31, 2020. The Kosmos and ConAgg Acquisitions contributed $115.4 million of Cost of Goods Sold for the nine months ended December 31, 2020, while Western and Mathews contributed $21.5 million of Cost of Goods Sold for the nine months ended December 31, 2019. Excluding the acquisitions and dispositions, Cost of Goods Sold increased by $28.4 million, or 4%. The increase in Cost of Goods Sold was due to higher Sales Volume and operating costs of $23.4 million and $5.0 million. The increase in operating costs were primarily in the Concrete and Recycled Paperboard segments. See discussion of individual operating segments below.</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30" w:lineRule="exact"/>
        <w:rPr>
          <w:sz w:val="20"/>
          <w:szCs w:val="20"/>
          <w:color w:val="auto"/>
        </w:rPr>
      </w:pPr>
    </w:p>
    <w:p>
      <w:pPr>
        <w:jc w:val="both"/>
        <w:ind w:right="40"/>
        <w:spacing w:after="0" w:line="276" w:lineRule="auto"/>
        <w:rPr>
          <w:sz w:val="20"/>
          <w:szCs w:val="20"/>
          <w:color w:val="auto"/>
        </w:rPr>
      </w:pPr>
      <w:r>
        <w:rPr>
          <w:rFonts w:ascii="Arial" w:cs="Arial" w:eastAsia="Arial" w:hAnsi="Arial"/>
          <w:sz w:val="18"/>
          <w:szCs w:val="18"/>
          <w:color w:val="auto"/>
        </w:rPr>
        <w:t>Gross Profit increased 21% to $338.5 million during the nine months ended December 31, 2020. Excluding the acquisitions and dispositions, Gross Profit increased by $22.5 million, or 8%. The increase in Gross Profit was primarily related to higher gross sales prices and increased Sales Volume, partially offset by higher operating expenses. The gross margin percentage increased to 27% from 26%, primarily because of higher gross sales prices, partially offset by higher 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OF UNCONSOLIDATED JOINT VENTURE</w:t>
      </w:r>
    </w:p>
    <w:p>
      <w:pPr>
        <w:spacing w:after="0" w:line="130"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Equity in Earnings of our Unconsolidated Joint Venture decreased $4.0 million, or 12%, for the nine months ended December 31, 2020. The decline was primarily due to lower net sales prices and Sales Volume, which adversely affected earnings by approximately $0.8 million and $2.3 million, respectively, as well as increased operating costs, which decreased operating earnings by approximately $1.0 million. The increase in operating costs was primarily related to maintenance, which increased by approximately $1.1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GENERAL AND ADMINISTRATIVE</w:t>
      </w:r>
    </w:p>
    <w:p>
      <w:pPr>
        <w:spacing w:after="0" w:line="130"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Corporate General and Administrative Expense declined by approximately $8.3 million, or 17%, for the nine months ended December 31, 2020. The decrease was primarily because of lower salary and incentive compensation costs of approximately $4.2 million and legal and professional costs of $4.1 million. The lower salary and incentive compensation costs were primarily due to the acceleration of stock compensation costs of $5.3 million upon the retirement of our Chief Executive Officer in the first quarter of fiscal 2020, while the lower legal and professional fees related to higher amounts spent in the prior year in connection with our strategic portfolio review. The lower fees were partially offset by increased professional costs associated with the Kosmos Acquisition, and the sales of Mathews and Western, and our Oil and Gas Proppants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LOSSES</w:t>
      </w:r>
    </w:p>
    <w:p>
      <w:pPr>
        <w:spacing w:after="0" w:line="130"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Impairment Losses for the nine months ended December 31, 2019 relate to certain assets of our Oil and Gas Proppants business that were impaired during the quarter ended December 31, 2019, but were not included in the sale of the business in September 2020. These impairment charges primarily relate to real estate and right-of-use assets.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OF BUSINESSES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On April 17, 2020 we sold Western and Mathews for approximately $93.5 million resulting in a gain on sale of approximately $52.0 million.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See Footnote (C) to the Unaudited Consolidated Financial Statements for more information regarding the sale.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(LOSS)</w:t>
      </w:r>
    </w:p>
    <w:p>
      <w:pPr>
        <w:spacing w:after="0" w:line="130" w:lineRule="exact"/>
        <w:rPr>
          <w:sz w:val="20"/>
          <w:szCs w:val="20"/>
          <w:color w:val="auto"/>
        </w:rPr>
      </w:pPr>
    </w:p>
    <w:p>
      <w:pPr>
        <w:ind w:right="480"/>
        <w:spacing w:after="0" w:line="302" w:lineRule="auto"/>
        <w:rPr>
          <w:sz w:val="20"/>
          <w:szCs w:val="20"/>
          <w:color w:val="auto"/>
        </w:rPr>
      </w:pPr>
      <w:r>
        <w:rPr>
          <w:rFonts w:ascii="Arial" w:cs="Arial" w:eastAsia="Arial" w:hAnsi="Arial"/>
          <w:sz w:val="18"/>
          <w:szCs w:val="18"/>
          <w:color w:val="auto"/>
        </w:rPr>
        <w:t>Other Non-Operating Income (Loss) consists of a variety of items that are unrelated to segment operations and include non-inventoried aggregates income, asset sales, and other miscellaneous income and cost items.</w:t>
      </w:r>
    </w:p>
    <w:p>
      <w:pPr>
        <w:spacing w:after="0" w:line="3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40"/>
          </w:cols>
          <w:pgMar w:left="320" w:top="597"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INTEREST EXPENSE, NET</w:t>
      </w:r>
    </w:p>
    <w:p>
      <w:pPr>
        <w:spacing w:after="0" w:line="130"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Interest Expense, net increased by approximately $7.5 million, or 26%, during the nine months ended December 31, 2020. The increase in Interest Expense, net was primarily due to higher interest on borrowings under our Term Loan of approximately $13.6 million and amortization of related debt issuance costs of $2.0 million. These increases were partially offset by lower interest on our Revolving Credit Facility of approximately $7.1 million and our Unsecured Private Placement Notes, which were paid in full in fiscal 2020, of $1.1 million. The higher debt issuance costs were related to the issuance of the Term Loan in March 2020 and the amendment of both the Revolving Credit Facility and the Term Loan in April 2020. The lower interest expense on our Revolving Credit Facility was due to reducing the balance throughout fiscal 2021, before repaying the remaining balance during the current quarter.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FROM CONTINUING OPERATIONS BEFORE INCOME TAXES</w:t>
      </w:r>
    </w:p>
    <w:p>
      <w:pPr>
        <w:spacing w:after="0" w:line="130" w:lineRule="exact"/>
        <w:rPr>
          <w:sz w:val="20"/>
          <w:szCs w:val="20"/>
          <w:color w:val="auto"/>
        </w:rPr>
      </w:pPr>
    </w:p>
    <w:p>
      <w:pPr>
        <w:jc w:val="both"/>
        <w:ind w:right="200"/>
        <w:spacing w:after="0" w:line="283" w:lineRule="auto"/>
        <w:rPr>
          <w:sz w:val="20"/>
          <w:szCs w:val="20"/>
          <w:color w:val="auto"/>
        </w:rPr>
      </w:pPr>
      <w:r>
        <w:rPr>
          <w:rFonts w:ascii="Arial" w:cs="Arial" w:eastAsia="Arial" w:hAnsi="Arial"/>
          <w:sz w:val="18"/>
          <w:szCs w:val="18"/>
          <w:color w:val="auto"/>
        </w:rPr>
        <w:t>Earnings from Continuing Operations Before Income Taxes increased to $344.7 million during the nine months ended December 31, 2020, primarily as a result of higher Gross Profit and Gain on Sale of Businesses, and lower Corporate General and Administrative Expense. This was partially offset by lower Equity in Earnings of Unconsolidated Joint Venture and increased Interest Expense, net.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17"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Income Tax Expense for the nine months ended December 31, 2020 increased to $76.5 million from $50.2 million for the nine months ended December 31, 2019. The effective tax rate decreased to 22% from 24% in the prior-year period. The decrease in the effective tax rate was primarily due to a benefit recognized in the current year related to the reversal of all of our uncertain tax positions during the nine months ended December 31,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FROM CONTINUING OPERATIONS AND DILUTED EARNINGS PER SHARE FROM CONTINUING OPERATIONS</w:t>
      </w:r>
    </w:p>
    <w:p>
      <w:pPr>
        <w:spacing w:after="0" w:line="130" w:lineRule="exact"/>
        <w:rPr>
          <w:sz w:val="20"/>
          <w:szCs w:val="20"/>
          <w:color w:val="auto"/>
        </w:rPr>
      </w:pPr>
    </w:p>
    <w:p>
      <w:pPr>
        <w:ind w:right="180"/>
        <w:spacing w:after="0" w:line="302" w:lineRule="auto"/>
        <w:rPr>
          <w:sz w:val="20"/>
          <w:szCs w:val="20"/>
          <w:color w:val="auto"/>
        </w:rPr>
      </w:pPr>
      <w:r>
        <w:rPr>
          <w:rFonts w:ascii="Arial" w:cs="Arial" w:eastAsia="Arial" w:hAnsi="Arial"/>
          <w:sz w:val="18"/>
          <w:szCs w:val="18"/>
          <w:color w:val="auto"/>
        </w:rPr>
        <w:t>Net Earnings from Continuing Operations increased 66% to $268.2 million for the nine months ended December 31, 2020. Diluted Earnings per Share increased 69% to $6.43 per share.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(LOSS) FROM DISCONTINUED OPERATIONS</w:t>
      </w:r>
    </w:p>
    <w:p>
      <w:pPr>
        <w:spacing w:after="0" w:line="13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Net Earnings from Discontinued Operations increased to $5.3 million during the nine months ended December 30, 2020, compared with a Net Loss from Discontinued Operations of $163.4 million for the nine months ended December 31, 2019. The improvement was due primarily to the impairment of the operating facilities, quarries and certain lease right-of-use assets of the Oil and Gas Proppants business during fiscal 2020, and the recording of a $9.2 million gain on sale in September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Net Earnings increased to $273.4 million for the nine months ended December 31, 2020.</w:t>
      </w:r>
    </w:p>
    <w:p>
      <w:pPr>
        <w:spacing w:after="0" w:line="247" w:lineRule="exact"/>
        <w:rPr>
          <w:sz w:val="20"/>
          <w:szCs w:val="20"/>
          <w:color w:val="auto"/>
        </w:rPr>
      </w:pPr>
    </w:p>
    <w:p>
      <w:pPr>
        <w:ind w:right="340"/>
        <w:spacing w:after="0" w:line="316" w:lineRule="auto"/>
        <w:rPr>
          <w:sz w:val="20"/>
          <w:szCs w:val="20"/>
          <w:color w:val="auto"/>
        </w:rPr>
      </w:pPr>
      <w:r>
        <w:rPr>
          <w:rFonts w:ascii="Arial" w:cs="Arial" w:eastAsia="Arial" w:hAnsi="Arial"/>
          <w:sz w:val="18"/>
          <w:szCs w:val="18"/>
          <w:b w:val="1"/>
          <w:bCs w:val="1"/>
          <w:color w:val="auto"/>
        </w:rPr>
        <w:t>THREE AND NINE MONTHS ENDED DECEMBER 31, 2020 COMPARED WITH THREE AND NINE MONTHS ENDED DECEMBER 31, 2019 BY SEGMENT</w:t>
      </w:r>
    </w:p>
    <w:p>
      <w:pPr>
        <w:spacing w:after="0" w:line="20" w:lineRule="exact"/>
        <w:rPr>
          <w:sz w:val="20"/>
          <w:szCs w:val="20"/>
          <w:color w:val="auto"/>
        </w:rPr>
      </w:pPr>
    </w:p>
    <w:p>
      <w:pPr>
        <w:ind w:right="140"/>
        <w:spacing w:after="0" w:line="334" w:lineRule="auto"/>
        <w:rPr>
          <w:sz w:val="20"/>
          <w:szCs w:val="20"/>
          <w:color w:val="auto"/>
        </w:rPr>
      </w:pPr>
      <w:r>
        <w:rPr>
          <w:rFonts w:ascii="Arial" w:cs="Arial" w:eastAsia="Arial" w:hAnsi="Arial"/>
          <w:sz w:val="17"/>
          <w:szCs w:val="17"/>
          <w:color w:val="auto"/>
        </w:rPr>
        <w:t>The following presents results within our two business sectors for the three and nine months ended December 31, 2020 and 2019. Revenue and operating results are organized by sector and discussed by individual business segment within each respective business sector.</w:t>
      </w: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Heavy Materials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CEMENT </w:t>
      </w:r>
      <w:r>
        <w:rPr>
          <w:rFonts w:ascii="Arial" w:cs="Arial" w:eastAsia="Arial" w:hAnsi="Arial"/>
          <w:sz w:val="30"/>
          <w:szCs w:val="30"/>
          <w:b w:val="1"/>
          <w:bCs w:val="1"/>
          <w:color w:val="auto"/>
          <w:vertAlign w:val="superscript"/>
        </w:rPr>
        <w:t>(1)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7"/>
            <w:shd w:val="clear" w:color="auto" w:fill="004483"/>
          </w:tcPr>
          <w:p>
            <w:pPr>
              <w:jc w:val="center"/>
              <w:ind w:right="140"/>
              <w:spacing w:after="0"/>
              <w:rPr>
                <w:sz w:val="20"/>
                <w:szCs w:val="20"/>
                <w:color w:val="auto"/>
              </w:rPr>
            </w:pPr>
            <w:r>
              <w:rPr>
                <w:rFonts w:ascii="Times New Roman" w:cs="Times New Roman" w:eastAsia="Times New Roman" w:hAnsi="Times New Roman"/>
                <w:sz w:val="13"/>
                <w:szCs w:val="13"/>
                <w:b w:val="1"/>
                <w:bCs w:val="1"/>
                <w:color w:val="FFFFFF"/>
                <w:w w:val="95"/>
              </w:rPr>
              <w:t>For the Three Months Ended December</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7"/>
            <w:shd w:val="clear" w:color="auto" w:fill="004483"/>
          </w:tcPr>
          <w:p>
            <w:pPr>
              <w:jc w:val="center"/>
              <w:ind w:right="120"/>
              <w:spacing w:after="0"/>
              <w:rPr>
                <w:sz w:val="20"/>
                <w:szCs w:val="20"/>
                <w:color w:val="auto"/>
              </w:rPr>
            </w:pPr>
            <w:r>
              <w:rPr>
                <w:rFonts w:ascii="Times New Roman" w:cs="Times New Roman" w:eastAsia="Times New Roman" w:hAnsi="Times New Roman"/>
                <w:sz w:val="13"/>
                <w:szCs w:val="13"/>
                <w:b w:val="1"/>
                <w:bCs w:val="1"/>
                <w:color w:val="FFFFFF"/>
                <w:w w:val="96"/>
              </w:rPr>
              <w:t>For the Nine Months Ended December</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bottom w:val="single" w:sz="8" w:color="auto"/>
            </w:tcBorders>
            <w:shd w:val="clear" w:color="auto" w:fill="004483"/>
          </w:tcPr>
          <w:p>
            <w:pPr>
              <w:spacing w:after="0"/>
              <w:rPr>
                <w:sz w:val="13"/>
                <w:szCs w:val="13"/>
                <w:color w:val="auto"/>
              </w:rPr>
            </w:pPr>
          </w:p>
        </w:tc>
        <w:tc>
          <w:tcPr>
            <w:tcW w:w="940" w:type="dxa"/>
            <w:vAlign w:val="bottom"/>
            <w:tcBorders>
              <w:bottom w:val="single" w:sz="8" w:color="auto"/>
            </w:tcBorders>
            <w:gridSpan w:val="3"/>
            <w:shd w:val="clear" w:color="auto" w:fill="004483"/>
          </w:tcPr>
          <w:p>
            <w:pPr>
              <w:jc w:val="center"/>
              <w:ind w:left="623"/>
              <w:spacing w:after="0"/>
              <w:rPr>
                <w:sz w:val="20"/>
                <w:szCs w:val="20"/>
                <w:color w:val="auto"/>
              </w:rPr>
            </w:pPr>
            <w:r>
              <w:rPr>
                <w:rFonts w:ascii="Times New Roman" w:cs="Times New Roman" w:eastAsia="Times New Roman" w:hAnsi="Times New Roman"/>
                <w:sz w:val="13"/>
                <w:szCs w:val="13"/>
                <w:b w:val="1"/>
                <w:bCs w:val="1"/>
                <w:color w:val="FFFFFF"/>
                <w:w w:val="98"/>
              </w:rPr>
              <w:t>31,</w:t>
            </w:r>
          </w:p>
        </w:tc>
        <w:tc>
          <w:tcPr>
            <w:tcW w:w="260" w:type="dxa"/>
            <w:vAlign w:val="bottom"/>
            <w:tcBorders>
              <w:bottom w:val="single" w:sz="8" w:color="auto"/>
            </w:tcBorders>
            <w:shd w:val="clear" w:color="auto" w:fill="004483"/>
          </w:tcPr>
          <w:p>
            <w:pPr>
              <w:spacing w:after="0"/>
              <w:rPr>
                <w:sz w:val="13"/>
                <w:szCs w:val="13"/>
                <w:color w:val="auto"/>
              </w:rPr>
            </w:pPr>
          </w:p>
        </w:tc>
        <w:tc>
          <w:tcPr>
            <w:tcW w:w="720" w:type="dxa"/>
            <w:vAlign w:val="bottom"/>
            <w:tcBorders>
              <w:bottom w:val="single" w:sz="8" w:color="auto"/>
            </w:tcBorders>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00" w:type="dxa"/>
            <w:vAlign w:val="bottom"/>
          </w:tcPr>
          <w:p>
            <w:pPr>
              <w:spacing w:after="0"/>
              <w:rPr>
                <w:sz w:val="13"/>
                <w:szCs w:val="13"/>
                <w:color w:val="auto"/>
              </w:rPr>
            </w:pPr>
          </w:p>
        </w:tc>
        <w:tc>
          <w:tcPr>
            <w:tcW w:w="280" w:type="dxa"/>
            <w:vAlign w:val="bottom"/>
            <w:tcBorders>
              <w:bottom w:val="single" w:sz="8" w:color="auto"/>
            </w:tcBorders>
            <w:shd w:val="clear" w:color="auto" w:fill="004483"/>
          </w:tcPr>
          <w:p>
            <w:pPr>
              <w:spacing w:after="0"/>
              <w:rPr>
                <w:sz w:val="13"/>
                <w:szCs w:val="13"/>
                <w:color w:val="auto"/>
              </w:rPr>
            </w:pPr>
          </w:p>
        </w:tc>
        <w:tc>
          <w:tcPr>
            <w:tcW w:w="940" w:type="dxa"/>
            <w:vAlign w:val="bottom"/>
            <w:tcBorders>
              <w:bottom w:val="single" w:sz="8" w:color="auto"/>
            </w:tcBorders>
            <w:gridSpan w:val="3"/>
            <w:shd w:val="clear" w:color="auto" w:fill="004483"/>
          </w:tcPr>
          <w:p>
            <w:pPr>
              <w:jc w:val="center"/>
              <w:ind w:left="623"/>
              <w:spacing w:after="0"/>
              <w:rPr>
                <w:sz w:val="20"/>
                <w:szCs w:val="20"/>
                <w:color w:val="auto"/>
              </w:rPr>
            </w:pPr>
            <w:r>
              <w:rPr>
                <w:rFonts w:ascii="Times New Roman" w:cs="Times New Roman" w:eastAsia="Times New Roman" w:hAnsi="Times New Roman"/>
                <w:sz w:val="13"/>
                <w:szCs w:val="13"/>
                <w:b w:val="1"/>
                <w:bCs w:val="1"/>
                <w:color w:val="FFFFFF"/>
                <w:w w:val="98"/>
              </w:rPr>
              <w:t>31,</w:t>
            </w:r>
          </w:p>
        </w:tc>
        <w:tc>
          <w:tcPr>
            <w:tcW w:w="260" w:type="dxa"/>
            <w:vAlign w:val="bottom"/>
            <w:tcBorders>
              <w:bottom w:val="single" w:sz="8" w:color="auto"/>
            </w:tcBorders>
            <w:shd w:val="clear" w:color="auto" w:fill="004483"/>
          </w:tcPr>
          <w:p>
            <w:pPr>
              <w:spacing w:after="0"/>
              <w:rPr>
                <w:sz w:val="13"/>
                <w:szCs w:val="13"/>
                <w:color w:val="auto"/>
              </w:rPr>
            </w:pPr>
          </w:p>
        </w:tc>
        <w:tc>
          <w:tcPr>
            <w:tcW w:w="720" w:type="dxa"/>
            <w:vAlign w:val="bottom"/>
            <w:tcBorders>
              <w:bottom w:val="single" w:sz="8" w:color="auto"/>
            </w:tcBorders>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2"/>
                <w:szCs w:val="12"/>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2"/>
                <w:szCs w:val="12"/>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980" w:type="dxa"/>
            <w:vAlign w:val="bottom"/>
            <w:tcBorders>
              <w:bottom w:val="single" w:sz="8" w:color="17385E"/>
            </w:tcBorders>
          </w:tcPr>
          <w:p>
            <w:pPr>
              <w:spacing w:after="0"/>
              <w:rPr>
                <w:sz w:val="13"/>
                <w:szCs w:val="13"/>
                <w:color w:val="auto"/>
              </w:rPr>
            </w:pPr>
          </w:p>
        </w:tc>
        <w:tc>
          <w:tcPr>
            <w:tcW w:w="280" w:type="dxa"/>
            <w:vAlign w:val="bottom"/>
            <w:tcBorders>
              <w:bottom w:val="single" w:sz="8" w:color="17385E"/>
            </w:tcBorders>
          </w:tcPr>
          <w:p>
            <w:pPr>
              <w:spacing w:after="0"/>
              <w:rPr>
                <w:sz w:val="13"/>
                <w:szCs w:val="13"/>
                <w:color w:val="auto"/>
              </w:rPr>
            </w:pPr>
          </w:p>
        </w:tc>
        <w:tc>
          <w:tcPr>
            <w:tcW w:w="2180" w:type="dxa"/>
            <w:vAlign w:val="bottom"/>
            <w:tcBorders>
              <w:bottom w:val="single" w:sz="8" w:color="17385E"/>
            </w:tcBorders>
            <w:gridSpan w:val="6"/>
          </w:tcPr>
          <w:p>
            <w:pPr>
              <w:jc w:val="center"/>
              <w:spacing w:after="0"/>
              <w:rPr>
                <w:sz w:val="20"/>
                <w:szCs w:val="20"/>
                <w:color w:val="auto"/>
              </w:rPr>
            </w:pPr>
            <w:r>
              <w:rPr>
                <w:rFonts w:ascii="Times New Roman" w:cs="Times New Roman" w:eastAsia="Times New Roman" w:hAnsi="Times New Roman"/>
                <w:sz w:val="13"/>
                <w:szCs w:val="13"/>
                <w:color w:val="auto"/>
                <w:w w:val="95"/>
              </w:rPr>
              <w:t>(in thousands, except per ton information)</w:t>
            </w:r>
          </w:p>
        </w:tc>
        <w:tc>
          <w:tcPr>
            <w:tcW w:w="120" w:type="dxa"/>
            <w:vAlign w:val="bottom"/>
          </w:tcPr>
          <w:p>
            <w:pPr>
              <w:spacing w:after="0"/>
              <w:rPr>
                <w:sz w:val="13"/>
                <w:szCs w:val="13"/>
                <w:color w:val="auto"/>
              </w:rPr>
            </w:pPr>
          </w:p>
        </w:tc>
        <w:tc>
          <w:tcPr>
            <w:tcW w:w="920" w:type="dxa"/>
            <w:vAlign w:val="bottom"/>
            <w:tcBorders>
              <w:bottom w:val="single" w:sz="8" w:color="17385E"/>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17385E"/>
            </w:tcBorders>
          </w:tcPr>
          <w:p>
            <w:pPr>
              <w:spacing w:after="0"/>
              <w:rPr>
                <w:sz w:val="13"/>
                <w:szCs w:val="13"/>
                <w:color w:val="auto"/>
              </w:rPr>
            </w:pPr>
          </w:p>
        </w:tc>
        <w:tc>
          <w:tcPr>
            <w:tcW w:w="2200" w:type="dxa"/>
            <w:vAlign w:val="bottom"/>
            <w:tcBorders>
              <w:bottom w:val="single" w:sz="8" w:color="17385E"/>
            </w:tcBorders>
            <w:gridSpan w:val="6"/>
          </w:tcPr>
          <w:p>
            <w:pPr>
              <w:jc w:val="center"/>
              <w:spacing w:after="0"/>
              <w:rPr>
                <w:sz w:val="20"/>
                <w:szCs w:val="20"/>
                <w:color w:val="auto"/>
              </w:rPr>
            </w:pPr>
            <w:r>
              <w:rPr>
                <w:rFonts w:ascii="Times New Roman" w:cs="Times New Roman" w:eastAsia="Times New Roman" w:hAnsi="Times New Roman"/>
                <w:sz w:val="13"/>
                <w:szCs w:val="13"/>
                <w:color w:val="auto"/>
                <w:w w:val="96"/>
              </w:rPr>
              <w:t>(in thousands, except per ton information)</w:t>
            </w:r>
          </w:p>
        </w:tc>
        <w:tc>
          <w:tcPr>
            <w:tcW w:w="120" w:type="dxa"/>
            <w:vAlign w:val="bottom"/>
          </w:tcPr>
          <w:p>
            <w:pPr>
              <w:spacing w:after="0"/>
              <w:rPr>
                <w:sz w:val="13"/>
                <w:szCs w:val="13"/>
                <w:color w:val="auto"/>
              </w:rPr>
            </w:pPr>
          </w:p>
        </w:tc>
        <w:tc>
          <w:tcPr>
            <w:tcW w:w="920" w:type="dxa"/>
            <w:vAlign w:val="bottom"/>
            <w:tcBorders>
              <w:bottom w:val="single" w:sz="8" w:color="17385E"/>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004483"/>
              </w:rPr>
              <w:t>Gross Revenue, including Intersegment and Joint Venture</w:t>
            </w:r>
          </w:p>
        </w:tc>
        <w:tc>
          <w:tcPr>
            <w:tcW w:w="540" w:type="dxa"/>
            <w:vAlign w:val="bottom"/>
            <w:gridSpan w:val="2"/>
          </w:tcPr>
          <w:p>
            <w:pPr>
              <w:jc w:val="right"/>
              <w:ind w:right="10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183,031</w:t>
            </w:r>
          </w:p>
        </w:tc>
        <w:tc>
          <w:tcPr>
            <w:tcW w:w="1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80" w:type="dxa"/>
            <w:vAlign w:val="bottom"/>
            <w:gridSpan w:val="2"/>
          </w:tcPr>
          <w:p>
            <w:pPr>
              <w:jc w:val="right"/>
              <w:ind w:right="12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773,565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605,357</w:t>
            </w: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004483"/>
              </w:rPr>
              <w:t>Less Intersegment Revenue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(5,241)</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(6,174)</w:t>
            </w:r>
          </w:p>
        </w:tc>
        <w:tc>
          <w:tcPr>
            <w:tcW w:w="12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(17,539)</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(17,130)</w:t>
            </w:r>
          </w:p>
        </w:tc>
        <w:tc>
          <w:tcPr>
            <w:tcW w:w="120" w:type="dxa"/>
            <w:vAlign w:val="bottom"/>
            <w:vMerge w:val="continue"/>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004483"/>
              </w:rPr>
              <w:t>Less Joint Venture Revenue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(27,110)</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(28,382)</w:t>
            </w:r>
          </w:p>
        </w:tc>
        <w:tc>
          <w:tcPr>
            <w:tcW w:w="120" w:type="dxa"/>
            <w:vAlign w:val="bottom"/>
            <w:vMerge w:val="continue"/>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(79,603)</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(85,775)</w:t>
            </w:r>
          </w:p>
        </w:tc>
        <w:tc>
          <w:tcPr>
            <w:tcW w:w="12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26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004483"/>
              </w:rPr>
              <w:t>Gross Revenue, as reported</w:t>
            </w:r>
          </w:p>
        </w:tc>
        <w:tc>
          <w:tcPr>
            <w:tcW w:w="280" w:type="dxa"/>
            <w:vAlign w:val="bottom"/>
          </w:tcPr>
          <w:p>
            <w:pPr>
              <w:spacing w:after="0"/>
              <w:rPr>
                <w:sz w:val="18"/>
                <w:szCs w:val="18"/>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148,475</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676,423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502,452</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004483"/>
              </w:rPr>
              <w:t>Freight and Delivery Costs Billed to Customers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(15,077)</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(11,063)</w:t>
            </w:r>
          </w:p>
        </w:tc>
        <w:tc>
          <w:tcPr>
            <w:tcW w:w="120" w:type="dxa"/>
            <w:vAlign w:val="bottom"/>
            <w:vMerge w:val="continue"/>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(50,896)</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(39,434)</w:t>
            </w:r>
          </w:p>
        </w:tc>
        <w:tc>
          <w:tcPr>
            <w:tcW w:w="120" w:type="dxa"/>
            <w:vAlign w:val="bottom"/>
            <w:vMerge w:val="continue"/>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26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004483"/>
              </w:rPr>
              <w:t>Net Revenue</w:t>
            </w:r>
          </w:p>
        </w:tc>
        <w:tc>
          <w:tcPr>
            <w:tcW w:w="280" w:type="dxa"/>
            <w:vAlign w:val="bottom"/>
          </w:tcPr>
          <w:p>
            <w:pPr>
              <w:spacing w:after="0"/>
              <w:rPr>
                <w:sz w:val="18"/>
                <w:szCs w:val="18"/>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137,412</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625,527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463,018</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6A6A6"/>
              <w:bottom w:val="single" w:sz="8" w:color="A6A6A6"/>
            </w:tcBorders>
          </w:tcPr>
          <w:p>
            <w:pPr>
              <w:spacing w:after="0"/>
              <w:rPr>
                <w:sz w:val="18"/>
                <w:szCs w:val="18"/>
                <w:color w:val="auto"/>
              </w:rPr>
            </w:pPr>
          </w:p>
        </w:tc>
        <w:tc>
          <w:tcPr>
            <w:tcW w:w="28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6A6A6"/>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28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6A6A6"/>
              <w:bottom w:val="single" w:sz="8" w:color="A6A6A6"/>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004483"/>
              </w:rPr>
              <w:t>Sales Volume (M Tons)</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4,767</w:t>
            </w: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A6A6A6"/>
          </w:tcPr>
          <w:p>
            <w:pPr>
              <w:spacing w:after="0" w:line="20" w:lineRule="exact"/>
              <w:rPr>
                <w:sz w:val="1"/>
                <w:szCs w:val="1"/>
                <w:color w:val="auto"/>
              </w:rPr>
            </w:pPr>
          </w:p>
        </w:tc>
        <w:tc>
          <w:tcPr>
            <w:tcW w:w="54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tcPr>
          <w:p>
            <w:pPr>
              <w:spacing w:after="0" w:line="211" w:lineRule="exact"/>
              <w:rPr>
                <w:sz w:val="20"/>
                <w:szCs w:val="20"/>
                <w:color w:val="auto"/>
              </w:rPr>
            </w:pPr>
            <w:r>
              <w:rPr>
                <w:rFonts w:ascii="Times New Roman" w:cs="Times New Roman" w:eastAsia="Times New Roman" w:hAnsi="Times New Roman"/>
                <w:sz w:val="15"/>
                <w:szCs w:val="15"/>
                <w:color w:val="004483"/>
              </w:rPr>
              <w:t xml:space="preserve">Average Net Sales Price, per ton </w:t>
            </w:r>
            <w:r>
              <w:rPr>
                <w:rFonts w:ascii="Times New Roman" w:cs="Times New Roman" w:eastAsia="Times New Roman" w:hAnsi="Times New Roman"/>
                <w:sz w:val="24"/>
                <w:szCs w:val="24"/>
                <w:color w:val="004483"/>
                <w:vertAlign w:val="superscript"/>
              </w:rPr>
              <w:t>(2)</w:t>
            </w:r>
          </w:p>
        </w:tc>
        <w:tc>
          <w:tcPr>
            <w:tcW w:w="540" w:type="dxa"/>
            <w:vAlign w:val="bottom"/>
            <w:gridSpan w:val="2"/>
          </w:tcPr>
          <w:p>
            <w:pPr>
              <w:jc w:val="right"/>
              <w:ind w:right="10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110.09</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80" w:type="dxa"/>
            <w:vAlign w:val="bottom"/>
            <w:gridSpan w:val="2"/>
          </w:tcPr>
          <w:p>
            <w:pPr>
              <w:jc w:val="right"/>
              <w:ind w:right="12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109.69</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A6A6A6"/>
          </w:tcPr>
          <w:p>
            <w:pPr>
              <w:spacing w:after="0" w:line="20" w:lineRule="exact"/>
              <w:rPr>
                <w:sz w:val="1"/>
                <w:szCs w:val="1"/>
                <w:color w:val="auto"/>
              </w:rPr>
            </w:pPr>
          </w:p>
        </w:tc>
        <w:tc>
          <w:tcPr>
            <w:tcW w:w="54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004483"/>
              </w:rPr>
              <w:t>Operating Margin, per ton</w:t>
            </w:r>
          </w:p>
        </w:tc>
        <w:tc>
          <w:tcPr>
            <w:tcW w:w="540" w:type="dxa"/>
            <w:vAlign w:val="bottom"/>
            <w:gridSpan w:val="2"/>
          </w:tcPr>
          <w:p>
            <w:pPr>
              <w:jc w:val="right"/>
              <w:ind w:right="10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37.65</w:t>
            </w:r>
          </w:p>
        </w:tc>
        <w:tc>
          <w:tcPr>
            <w:tcW w:w="1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80" w:type="dxa"/>
            <w:vAlign w:val="bottom"/>
            <w:gridSpan w:val="2"/>
          </w:tcPr>
          <w:p>
            <w:pPr>
              <w:jc w:val="right"/>
              <w:ind w:right="12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A6A6A6"/>
          </w:tcPr>
          <w:p>
            <w:pPr>
              <w:spacing w:after="0" w:line="20" w:lineRule="exact"/>
              <w:rPr>
                <w:sz w:val="1"/>
                <w:szCs w:val="1"/>
                <w:color w:val="auto"/>
              </w:rPr>
            </w:pPr>
          </w:p>
        </w:tc>
        <w:tc>
          <w:tcPr>
            <w:tcW w:w="54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004483"/>
              </w:rPr>
              <w:t>Operating Earnings</w:t>
            </w:r>
          </w:p>
        </w:tc>
        <w:tc>
          <w:tcPr>
            <w:tcW w:w="540" w:type="dxa"/>
            <w:vAlign w:val="bottom"/>
            <w:gridSpan w:val="2"/>
          </w:tcPr>
          <w:p>
            <w:pPr>
              <w:jc w:val="right"/>
              <w:ind w:right="10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54,180</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80" w:type="dxa"/>
            <w:vAlign w:val="bottom"/>
            <w:gridSpan w:val="2"/>
          </w:tcPr>
          <w:p>
            <w:pPr>
              <w:jc w:val="right"/>
              <w:ind w:right="12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156,827</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240" w:hanging="233"/>
        <w:spacing w:after="0"/>
        <w:tabs>
          <w:tab w:leader="none" w:pos="24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Total of wholly owned subsidiaries and proportionately consolidated 50% interest of the Joint Venture’s results.</w:t>
      </w:r>
    </w:p>
    <w:p>
      <w:pPr>
        <w:spacing w:after="0" w:line="21" w:lineRule="exact"/>
        <w:rPr>
          <w:rFonts w:ascii="Arial" w:cs="Arial" w:eastAsia="Arial" w:hAnsi="Arial"/>
          <w:sz w:val="15"/>
          <w:szCs w:val="15"/>
          <w:color w:val="auto"/>
        </w:rPr>
      </w:pPr>
    </w:p>
    <w:p>
      <w:pPr>
        <w:ind w:left="240" w:hanging="233"/>
        <w:spacing w:after="0"/>
        <w:tabs>
          <w:tab w:leader="none" w:pos="240" w:val="left"/>
        </w:tabs>
        <w:numPr>
          <w:ilvl w:val="0"/>
          <w:numId w:val="8"/>
        </w:numPr>
        <w:rPr>
          <w:rFonts w:ascii="Arial" w:cs="Arial" w:eastAsia="Arial" w:hAnsi="Arial"/>
          <w:sz w:val="15"/>
          <w:szCs w:val="15"/>
          <w:color w:val="auto"/>
        </w:rPr>
      </w:pPr>
      <w:r>
        <w:rPr>
          <w:rFonts w:ascii="Arial" w:cs="Arial" w:eastAsia="Arial" w:hAnsi="Arial"/>
          <w:sz w:val="15"/>
          <w:szCs w:val="15"/>
          <w:color w:val="auto"/>
        </w:rPr>
        <w:t>Net of freight per ton, including Joint Venture.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2020</w:t>
      </w:r>
    </w:p>
    <w:p>
      <w:pPr>
        <w:spacing w:after="0" w:line="128" w:lineRule="exact"/>
        <w:rPr>
          <w:sz w:val="20"/>
          <w:szCs w:val="20"/>
          <w:color w:val="auto"/>
        </w:rPr>
      </w:pPr>
    </w:p>
    <w:p>
      <w:pPr>
        <w:ind w:right="380"/>
        <w:spacing w:after="0" w:line="302" w:lineRule="auto"/>
        <w:rPr>
          <w:sz w:val="20"/>
          <w:szCs w:val="20"/>
          <w:color w:val="auto"/>
        </w:rPr>
      </w:pPr>
      <w:r>
        <w:rPr>
          <w:rFonts w:ascii="Arial" w:cs="Arial" w:eastAsia="Arial" w:hAnsi="Arial"/>
          <w:sz w:val="18"/>
          <w:szCs w:val="18"/>
          <w:color w:val="auto"/>
        </w:rPr>
        <w:t>Cement Revenue was $234.1 million, a 28% increase, for the three months ended December 31, 2020. Organic Cement Revenue, which excludes the Kosmos Acquisition, increased approximately $5.7 million, primarily related to higher gross sales prices.</w:t>
      </w:r>
    </w:p>
    <w:p>
      <w:pPr>
        <w:spacing w:after="0" w:line="42"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Cement Operating Earnings increased 30% to $70.4 million for the three months ended December 31, 2020. Excluding $13.3 million of Operating Earnings related to the Kosmos Acquisition, Operating Earnings increased $2.9 million, or 5%. The improvement was due to higher gross sales prices, which increased Operating Earnings by $6.6 million. This was partially offset by higher operating costs, which negatively affected Operating Earnings by approximately $3.9 million. The increase in operating costs was primarily due to higher maintenance costs of $1.5 million and raw materials of $1.5 million. The operating margin remained consistent at 30% during the quarter.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31, 2020</w:t>
      </w:r>
    </w:p>
    <w:p>
      <w:pPr>
        <w:spacing w:after="0" w:line="128" w:lineRule="exact"/>
        <w:rPr>
          <w:sz w:val="20"/>
          <w:szCs w:val="20"/>
          <w:color w:val="auto"/>
        </w:rPr>
      </w:pPr>
    </w:p>
    <w:p>
      <w:pPr>
        <w:ind w:right="180"/>
        <w:spacing w:after="0" w:line="283" w:lineRule="auto"/>
        <w:rPr>
          <w:sz w:val="20"/>
          <w:szCs w:val="20"/>
          <w:color w:val="auto"/>
        </w:rPr>
      </w:pPr>
      <w:r>
        <w:rPr>
          <w:rFonts w:ascii="Arial" w:cs="Arial" w:eastAsia="Arial" w:hAnsi="Arial"/>
          <w:sz w:val="18"/>
          <w:szCs w:val="18"/>
          <w:color w:val="auto"/>
        </w:rPr>
        <w:t>Cement Revenue was $773.6 million, a 28% increase, for the nine months ended December 31, 2020. Organic Cement Revenue increased approximately $28.0 million, and was primarily due to higher gross sales prices and Sales Volume, which improved Cement Revenue by approximately $15.9 million and $12.1 million, respectively.</w:t>
      </w:r>
    </w:p>
    <w:p>
      <w:pPr>
        <w:spacing w:after="0" w:line="5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Cement Operating Earnings increased 34% to $210.8 million for the nine months ended December 31, 2020. Excluding $38.3 million of Operating Earnings related to the Kosmos Acquisition, Operating Earnings increased $15.7 million, or 10%. The increase was due to higher gross sales prices and Sales Volume, which positively affected Operating Earnings by approximately $15.9 million and $1.5 million, respectively. This was partially offset by higher operating costs, which reduced Operating Earnings by $1.5 million. The increase in operating costs was primarily increased maintenance costs of $6.6 million, partially offset by lower energy costs of $5.2 million. The operating margin increased to 27% from 26%, primarily because of higher gross sales prices.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CONCRETE AND AGGREGATES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00" w:type="dxa"/>
            <w:vAlign w:val="bottom"/>
            <w:gridSpan w:val="7"/>
            <w:shd w:val="clear" w:color="auto" w:fill="004483"/>
          </w:tcPr>
          <w:p>
            <w:pPr>
              <w:jc w:val="center"/>
              <w:ind w:right="140"/>
              <w:spacing w:after="0"/>
              <w:rPr>
                <w:sz w:val="20"/>
                <w:szCs w:val="20"/>
                <w:color w:val="auto"/>
              </w:rPr>
            </w:pPr>
            <w:r>
              <w:rPr>
                <w:rFonts w:ascii="Times New Roman" w:cs="Times New Roman" w:eastAsia="Times New Roman" w:hAnsi="Times New Roman"/>
                <w:sz w:val="13"/>
                <w:szCs w:val="13"/>
                <w:b w:val="1"/>
                <w:bCs w:val="1"/>
                <w:color w:val="FFFFFF"/>
                <w:w w:val="95"/>
              </w:rPr>
              <w:t>For the Three Months Ended December</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7"/>
            <w:shd w:val="clear" w:color="auto" w:fill="004483"/>
          </w:tcPr>
          <w:p>
            <w:pPr>
              <w:jc w:val="center"/>
              <w:ind w:right="120"/>
              <w:spacing w:after="0"/>
              <w:rPr>
                <w:sz w:val="20"/>
                <w:szCs w:val="20"/>
                <w:color w:val="auto"/>
              </w:rPr>
            </w:pPr>
            <w:r>
              <w:rPr>
                <w:rFonts w:ascii="Times New Roman" w:cs="Times New Roman" w:eastAsia="Times New Roman" w:hAnsi="Times New Roman"/>
                <w:sz w:val="13"/>
                <w:szCs w:val="13"/>
                <w:b w:val="1"/>
                <w:bCs w:val="1"/>
                <w:color w:val="FFFFFF"/>
                <w:w w:val="96"/>
              </w:rPr>
              <w:t>For the Nine Months Ended December</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Borders>
              <w:bottom w:val="single" w:sz="8" w:color="auto"/>
            </w:tcBorders>
            <w:shd w:val="clear" w:color="auto" w:fill="004483"/>
          </w:tcPr>
          <w:p>
            <w:pPr>
              <w:spacing w:after="0"/>
              <w:rPr>
                <w:sz w:val="13"/>
                <w:szCs w:val="13"/>
                <w:color w:val="auto"/>
              </w:rPr>
            </w:pPr>
          </w:p>
        </w:tc>
        <w:tc>
          <w:tcPr>
            <w:tcW w:w="880" w:type="dxa"/>
            <w:vAlign w:val="bottom"/>
            <w:tcBorders>
              <w:bottom w:val="single" w:sz="8" w:color="auto"/>
            </w:tcBorders>
            <w:shd w:val="clear" w:color="auto" w:fill="004483"/>
          </w:tcPr>
          <w:p>
            <w:pPr>
              <w:spacing w:after="0"/>
              <w:rPr>
                <w:sz w:val="13"/>
                <w:szCs w:val="13"/>
                <w:color w:val="auto"/>
              </w:rPr>
            </w:pPr>
          </w:p>
        </w:tc>
        <w:tc>
          <w:tcPr>
            <w:tcW w:w="220" w:type="dxa"/>
            <w:vAlign w:val="bottom"/>
            <w:tcBorders>
              <w:bottom w:val="single" w:sz="8" w:color="auto"/>
            </w:tcBorders>
            <w:gridSpan w:val="2"/>
            <w:shd w:val="clear" w:color="auto" w:fill="004483"/>
          </w:tcPr>
          <w:p>
            <w:pPr>
              <w:jc w:val="center"/>
              <w:spacing w:after="0"/>
              <w:rPr>
                <w:sz w:val="20"/>
                <w:szCs w:val="20"/>
                <w:color w:val="auto"/>
              </w:rPr>
            </w:pPr>
            <w:r>
              <w:rPr>
                <w:rFonts w:ascii="Times New Roman" w:cs="Times New Roman" w:eastAsia="Times New Roman" w:hAnsi="Times New Roman"/>
                <w:sz w:val="13"/>
                <w:szCs w:val="13"/>
                <w:b w:val="1"/>
                <w:bCs w:val="1"/>
                <w:color w:val="FFFFFF"/>
                <w:w w:val="98"/>
              </w:rPr>
              <w:t>31,</w:t>
            </w:r>
          </w:p>
        </w:tc>
        <w:tc>
          <w:tcPr>
            <w:tcW w:w="300" w:type="dxa"/>
            <w:vAlign w:val="bottom"/>
            <w:tcBorders>
              <w:bottom w:val="single" w:sz="8" w:color="auto"/>
            </w:tcBorders>
            <w:shd w:val="clear" w:color="auto" w:fill="004483"/>
          </w:tcPr>
          <w:p>
            <w:pPr>
              <w:spacing w:after="0"/>
              <w:rPr>
                <w:sz w:val="13"/>
                <w:szCs w:val="13"/>
                <w:color w:val="auto"/>
              </w:rPr>
            </w:pPr>
          </w:p>
        </w:tc>
        <w:tc>
          <w:tcPr>
            <w:tcW w:w="680" w:type="dxa"/>
            <w:vAlign w:val="bottom"/>
            <w:tcBorders>
              <w:bottom w:val="single" w:sz="8" w:color="auto"/>
            </w:tcBorders>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00" w:type="dxa"/>
            <w:vAlign w:val="bottom"/>
          </w:tcPr>
          <w:p>
            <w:pPr>
              <w:spacing w:after="0"/>
              <w:rPr>
                <w:sz w:val="13"/>
                <w:szCs w:val="13"/>
                <w:color w:val="auto"/>
              </w:rPr>
            </w:pPr>
          </w:p>
        </w:tc>
        <w:tc>
          <w:tcPr>
            <w:tcW w:w="120" w:type="dxa"/>
            <w:vAlign w:val="bottom"/>
            <w:tcBorders>
              <w:bottom w:val="single" w:sz="8" w:color="auto"/>
            </w:tcBorders>
            <w:shd w:val="clear" w:color="auto" w:fill="004483"/>
          </w:tcPr>
          <w:p>
            <w:pPr>
              <w:spacing w:after="0"/>
              <w:rPr>
                <w:sz w:val="13"/>
                <w:szCs w:val="13"/>
                <w:color w:val="auto"/>
              </w:rPr>
            </w:pPr>
          </w:p>
        </w:tc>
        <w:tc>
          <w:tcPr>
            <w:tcW w:w="1100" w:type="dxa"/>
            <w:vAlign w:val="bottom"/>
            <w:tcBorders>
              <w:bottom w:val="single" w:sz="8" w:color="auto"/>
            </w:tcBorders>
            <w:gridSpan w:val="3"/>
            <w:shd w:val="clear" w:color="auto" w:fill="004483"/>
          </w:tcPr>
          <w:p>
            <w:pPr>
              <w:jc w:val="center"/>
              <w:ind w:left="784"/>
              <w:spacing w:after="0"/>
              <w:rPr>
                <w:sz w:val="20"/>
                <w:szCs w:val="20"/>
                <w:color w:val="auto"/>
              </w:rPr>
            </w:pPr>
            <w:r>
              <w:rPr>
                <w:rFonts w:ascii="Times New Roman" w:cs="Times New Roman" w:eastAsia="Times New Roman" w:hAnsi="Times New Roman"/>
                <w:sz w:val="13"/>
                <w:szCs w:val="13"/>
                <w:b w:val="1"/>
                <w:bCs w:val="1"/>
                <w:color w:val="FFFFFF"/>
                <w:w w:val="98"/>
              </w:rPr>
              <w:t>31,</w:t>
            </w:r>
          </w:p>
        </w:tc>
        <w:tc>
          <w:tcPr>
            <w:tcW w:w="260" w:type="dxa"/>
            <w:vAlign w:val="bottom"/>
            <w:tcBorders>
              <w:bottom w:val="single" w:sz="8" w:color="auto"/>
            </w:tcBorders>
            <w:shd w:val="clear" w:color="auto" w:fill="004483"/>
          </w:tcPr>
          <w:p>
            <w:pPr>
              <w:spacing w:after="0"/>
              <w:rPr>
                <w:sz w:val="13"/>
                <w:szCs w:val="13"/>
                <w:color w:val="auto"/>
              </w:rPr>
            </w:pPr>
          </w:p>
        </w:tc>
        <w:tc>
          <w:tcPr>
            <w:tcW w:w="720" w:type="dxa"/>
            <w:vAlign w:val="bottom"/>
            <w:tcBorders>
              <w:bottom w:val="single" w:sz="8" w:color="auto"/>
            </w:tcBorders>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2"/>
                <w:szCs w:val="12"/>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2"/>
                <w:szCs w:val="12"/>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00" w:type="dxa"/>
            <w:vAlign w:val="bottom"/>
            <w:tcBorders>
              <w:bottom w:val="single" w:sz="8" w:color="17385E"/>
            </w:tcBorders>
          </w:tcPr>
          <w:p>
            <w:pPr>
              <w:spacing w:after="0"/>
              <w:rPr>
                <w:sz w:val="13"/>
                <w:szCs w:val="13"/>
                <w:color w:val="auto"/>
              </w:rPr>
            </w:pPr>
          </w:p>
        </w:tc>
        <w:tc>
          <w:tcPr>
            <w:tcW w:w="860" w:type="dxa"/>
            <w:vAlign w:val="bottom"/>
            <w:tcBorders>
              <w:bottom w:val="single" w:sz="8" w:color="17385E"/>
            </w:tcBorders>
          </w:tcPr>
          <w:p>
            <w:pPr>
              <w:spacing w:after="0"/>
              <w:rPr>
                <w:sz w:val="13"/>
                <w:szCs w:val="13"/>
                <w:color w:val="auto"/>
              </w:rPr>
            </w:pPr>
          </w:p>
        </w:tc>
        <w:tc>
          <w:tcPr>
            <w:tcW w:w="100" w:type="dxa"/>
            <w:vAlign w:val="bottom"/>
            <w:tcBorders>
              <w:bottom w:val="single" w:sz="8" w:color="17385E"/>
            </w:tcBorders>
          </w:tcPr>
          <w:p>
            <w:pPr>
              <w:spacing w:after="0"/>
              <w:rPr>
                <w:sz w:val="13"/>
                <w:szCs w:val="13"/>
                <w:color w:val="auto"/>
              </w:rPr>
            </w:pPr>
          </w:p>
        </w:tc>
        <w:tc>
          <w:tcPr>
            <w:tcW w:w="2080" w:type="dxa"/>
            <w:vAlign w:val="bottom"/>
            <w:tcBorders>
              <w:bottom w:val="single" w:sz="8" w:color="17385E"/>
            </w:tcBorders>
            <w:gridSpan w:val="5"/>
          </w:tcPr>
          <w:p>
            <w:pPr>
              <w:jc w:val="center"/>
              <w:ind w:right="42"/>
              <w:spacing w:after="0"/>
              <w:rPr>
                <w:sz w:val="20"/>
                <w:szCs w:val="20"/>
                <w:color w:val="auto"/>
              </w:rPr>
            </w:pPr>
            <w:r>
              <w:rPr>
                <w:rFonts w:ascii="Times New Roman" w:cs="Times New Roman" w:eastAsia="Times New Roman" w:hAnsi="Times New Roman"/>
                <w:sz w:val="13"/>
                <w:szCs w:val="13"/>
                <w:color w:val="auto"/>
                <w:w w:val="95"/>
              </w:rPr>
              <w:t>(in thousands, except net sales prices)</w:t>
            </w:r>
          </w:p>
        </w:tc>
        <w:tc>
          <w:tcPr>
            <w:tcW w:w="120" w:type="dxa"/>
            <w:vAlign w:val="bottom"/>
          </w:tcPr>
          <w:p>
            <w:pPr>
              <w:spacing w:after="0"/>
              <w:rPr>
                <w:sz w:val="13"/>
                <w:szCs w:val="13"/>
                <w:color w:val="auto"/>
              </w:rPr>
            </w:pPr>
          </w:p>
        </w:tc>
        <w:tc>
          <w:tcPr>
            <w:tcW w:w="920" w:type="dxa"/>
            <w:vAlign w:val="bottom"/>
            <w:tcBorders>
              <w:bottom w:val="single" w:sz="8" w:color="17385E"/>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17385E"/>
            </w:tcBorders>
          </w:tcPr>
          <w:p>
            <w:pPr>
              <w:spacing w:after="0"/>
              <w:rPr>
                <w:sz w:val="13"/>
                <w:szCs w:val="13"/>
                <w:color w:val="auto"/>
              </w:rPr>
            </w:pPr>
          </w:p>
        </w:tc>
        <w:tc>
          <w:tcPr>
            <w:tcW w:w="120" w:type="dxa"/>
            <w:vAlign w:val="bottom"/>
            <w:tcBorders>
              <w:bottom w:val="single" w:sz="8" w:color="17385E"/>
            </w:tcBorders>
          </w:tcPr>
          <w:p>
            <w:pPr>
              <w:spacing w:after="0"/>
              <w:rPr>
                <w:sz w:val="13"/>
                <w:szCs w:val="13"/>
                <w:color w:val="auto"/>
              </w:rPr>
            </w:pPr>
          </w:p>
        </w:tc>
        <w:tc>
          <w:tcPr>
            <w:tcW w:w="2080" w:type="dxa"/>
            <w:vAlign w:val="bottom"/>
            <w:tcBorders>
              <w:bottom w:val="single" w:sz="8" w:color="17385E"/>
            </w:tcBorders>
            <w:gridSpan w:val="5"/>
          </w:tcPr>
          <w:p>
            <w:pPr>
              <w:jc w:val="center"/>
              <w:ind w:right="42"/>
              <w:spacing w:after="0"/>
              <w:rPr>
                <w:sz w:val="20"/>
                <w:szCs w:val="20"/>
                <w:color w:val="auto"/>
              </w:rPr>
            </w:pPr>
            <w:r>
              <w:rPr>
                <w:rFonts w:ascii="Times New Roman" w:cs="Times New Roman" w:eastAsia="Times New Roman" w:hAnsi="Times New Roman"/>
                <w:sz w:val="13"/>
                <w:szCs w:val="13"/>
                <w:color w:val="auto"/>
                <w:w w:val="95"/>
              </w:rPr>
              <w:t>(in thousands, except net sales prices)</w:t>
            </w:r>
          </w:p>
        </w:tc>
        <w:tc>
          <w:tcPr>
            <w:tcW w:w="120" w:type="dxa"/>
            <w:vAlign w:val="bottom"/>
          </w:tcPr>
          <w:p>
            <w:pPr>
              <w:spacing w:after="0"/>
              <w:rPr>
                <w:sz w:val="13"/>
                <w:szCs w:val="13"/>
                <w:color w:val="auto"/>
              </w:rPr>
            </w:pPr>
          </w:p>
        </w:tc>
        <w:tc>
          <w:tcPr>
            <w:tcW w:w="920" w:type="dxa"/>
            <w:vAlign w:val="bottom"/>
            <w:tcBorders>
              <w:bottom w:val="single" w:sz="8" w:color="17385E"/>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004483"/>
              </w:rPr>
              <w:t>Gross Revenue, including Intersegment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43,530</w:t>
            </w: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47,147</w:t>
            </w:r>
          </w:p>
        </w:tc>
        <w:tc>
          <w:tcPr>
            <w:tcW w:w="1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142,896</w:t>
            </w:r>
          </w:p>
        </w:tc>
        <w:tc>
          <w:tcPr>
            <w:tcW w:w="1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tcBorders>
              <w:top w:val="single" w:sz="8" w:color="A6A6A6"/>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Less Intersegment Revenue</w:t>
            </w:r>
          </w:p>
        </w:tc>
        <w:tc>
          <w:tcPr>
            <w:tcW w:w="860" w:type="dxa"/>
            <w:vAlign w:val="bottom"/>
            <w:tcBorders>
              <w:top w:val="single" w:sz="8" w:color="A6A6A6"/>
              <w:bottom w:val="single" w:sz="8" w:color="A6A6A6"/>
            </w:tcBorders>
          </w:tcPr>
          <w:p>
            <w:pPr>
              <w:spacing w:after="0"/>
              <w:rPr>
                <w:sz w:val="18"/>
                <w:szCs w:val="18"/>
                <w:color w:val="auto"/>
              </w:rPr>
            </w:pPr>
          </w:p>
        </w:tc>
        <w:tc>
          <w:tcPr>
            <w:tcW w:w="100" w:type="dxa"/>
            <w:vAlign w:val="bottom"/>
            <w:tcBorders>
              <w:top w:val="single" w:sz="8" w:color="A6A6A6"/>
              <w:bottom w:val="single" w:sz="8" w:color="004483"/>
            </w:tcBorders>
          </w:tcPr>
          <w:p>
            <w:pPr>
              <w:spacing w:after="0"/>
              <w:rPr>
                <w:sz w:val="18"/>
                <w:szCs w:val="18"/>
                <w:color w:val="auto"/>
              </w:rPr>
            </w:pPr>
          </w:p>
        </w:tc>
        <w:tc>
          <w:tcPr>
            <w:tcW w:w="880" w:type="dxa"/>
            <w:vAlign w:val="bottom"/>
            <w:tcBorders>
              <w:top w:val="single" w:sz="8" w:color="A6A6A6"/>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300" w:type="dxa"/>
            <w:vAlign w:val="bottom"/>
            <w:tcBorders>
              <w:top w:val="single" w:sz="8" w:color="A6A6A6"/>
              <w:bottom w:val="single" w:sz="8" w:color="004483"/>
            </w:tcBorders>
          </w:tcPr>
          <w:p>
            <w:pPr>
              <w:spacing w:after="0"/>
              <w:rPr>
                <w:sz w:val="18"/>
                <w:szCs w:val="18"/>
                <w:color w:val="auto"/>
              </w:rPr>
            </w:pPr>
          </w:p>
        </w:tc>
        <w:tc>
          <w:tcPr>
            <w:tcW w:w="680" w:type="dxa"/>
            <w:vAlign w:val="bottom"/>
            <w:tcBorders>
              <w:top w:val="single" w:sz="8" w:color="A6A6A6"/>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8"/>
                <w:szCs w:val="18"/>
                <w:color w:val="auto"/>
              </w:rPr>
            </w:pPr>
          </w:p>
        </w:tc>
        <w:tc>
          <w:tcPr>
            <w:tcW w:w="92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004483"/>
            </w:tcBorders>
          </w:tcPr>
          <w:p>
            <w:pPr>
              <w:spacing w:after="0"/>
              <w:rPr>
                <w:sz w:val="18"/>
                <w:szCs w:val="18"/>
                <w:color w:val="auto"/>
              </w:rPr>
            </w:pPr>
          </w:p>
        </w:tc>
        <w:tc>
          <w:tcPr>
            <w:tcW w:w="880" w:type="dxa"/>
            <w:vAlign w:val="bottom"/>
            <w:tcBorders>
              <w:top w:val="single" w:sz="8" w:color="A6A6A6"/>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004483"/>
            </w:tcBorders>
          </w:tcPr>
          <w:p>
            <w:pPr>
              <w:spacing w:after="0"/>
              <w:rPr>
                <w:sz w:val="18"/>
                <w:szCs w:val="18"/>
                <w:color w:val="auto"/>
              </w:rPr>
            </w:pPr>
          </w:p>
        </w:tc>
        <w:tc>
          <w:tcPr>
            <w:tcW w:w="720" w:type="dxa"/>
            <w:vAlign w:val="bottom"/>
            <w:tcBorders>
              <w:top w:val="single" w:sz="8" w:color="A6A6A6"/>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120" w:type="dxa"/>
            <w:vAlign w:val="bottom"/>
          </w:tcPr>
          <w:p>
            <w:pPr>
              <w:spacing w:after="0"/>
              <w:rPr>
                <w:sz w:val="18"/>
                <w:szCs w:val="18"/>
                <w:color w:val="auto"/>
              </w:rPr>
            </w:pPr>
          </w:p>
        </w:tc>
        <w:tc>
          <w:tcPr>
            <w:tcW w:w="92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004483"/>
              </w:rPr>
              <w:t>Gross Revenue, as reported</w:t>
            </w:r>
          </w:p>
        </w:tc>
        <w:tc>
          <w:tcPr>
            <w:tcW w:w="8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46,797</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141,762</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A6A6A6"/>
              <w:bottom w:val="single" w:sz="8" w:color="A6A6A6"/>
            </w:tcBorders>
          </w:tcPr>
          <w:p>
            <w:pPr>
              <w:spacing w:after="0"/>
              <w:rPr>
                <w:sz w:val="18"/>
                <w:szCs w:val="18"/>
                <w:color w:val="auto"/>
              </w:rPr>
            </w:pPr>
          </w:p>
        </w:tc>
        <w:tc>
          <w:tcPr>
            <w:tcW w:w="860" w:type="dxa"/>
            <w:vAlign w:val="bottom"/>
            <w:tcBorders>
              <w:top w:val="single" w:sz="8" w:color="A6A6A6"/>
              <w:bottom w:val="single" w:sz="8" w:color="A6A6A6"/>
            </w:tcBorders>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88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300" w:type="dxa"/>
            <w:vAlign w:val="bottom"/>
            <w:tcBorders>
              <w:top w:val="single" w:sz="8" w:color="A6A6A6"/>
              <w:bottom w:val="single" w:sz="8" w:color="A6A6A6"/>
            </w:tcBorders>
          </w:tcPr>
          <w:p>
            <w:pPr>
              <w:spacing w:after="0"/>
              <w:rPr>
                <w:sz w:val="18"/>
                <w:szCs w:val="18"/>
                <w:color w:val="auto"/>
              </w:rPr>
            </w:pPr>
          </w:p>
        </w:tc>
        <w:tc>
          <w:tcPr>
            <w:tcW w:w="68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6A6A6"/>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88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6A6A6"/>
              <w:bottom w:val="single" w:sz="8" w:color="A6A6A6"/>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0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Sales Volume:</w:t>
            </w:r>
          </w:p>
        </w:tc>
        <w:tc>
          <w:tcPr>
            <w:tcW w:w="86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68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6A6A6"/>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60" w:type="dxa"/>
            <w:vAlign w:val="bottom"/>
            <w:tcBorders>
              <w:bottom w:val="single" w:sz="8" w:color="A6A6A6"/>
            </w:tcBorders>
          </w:tcPr>
          <w:p>
            <w:pPr>
              <w:spacing w:after="0"/>
              <w:rPr>
                <w:sz w:val="17"/>
                <w:szCs w:val="17"/>
                <w:color w:val="auto"/>
              </w:rPr>
            </w:pPr>
          </w:p>
        </w:tc>
        <w:tc>
          <w:tcPr>
            <w:tcW w:w="72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6A6A6"/>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tcPr>
          <w:p>
            <w:pPr>
              <w:ind w:left="240"/>
              <w:spacing w:after="0"/>
              <w:rPr>
                <w:sz w:val="20"/>
                <w:szCs w:val="20"/>
                <w:color w:val="auto"/>
              </w:rPr>
            </w:pPr>
            <w:r>
              <w:rPr>
                <w:rFonts w:ascii="Times New Roman" w:cs="Times New Roman" w:eastAsia="Times New Roman" w:hAnsi="Times New Roman"/>
                <w:sz w:val="16"/>
                <w:szCs w:val="16"/>
                <w:color w:val="004483"/>
              </w:rPr>
              <w:t>M Cubic Yards of Concrete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tcBorders>
              <w:top w:val="single" w:sz="8" w:color="A6A6A6"/>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M Tons of Aggregate</w:t>
            </w:r>
          </w:p>
        </w:tc>
        <w:tc>
          <w:tcPr>
            <w:tcW w:w="860" w:type="dxa"/>
            <w:vAlign w:val="bottom"/>
            <w:tcBorders>
              <w:top w:val="single" w:sz="8" w:color="A6A6A6"/>
              <w:bottom w:val="single" w:sz="8" w:color="A6A6A6"/>
            </w:tcBorders>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88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300" w:type="dxa"/>
            <w:vAlign w:val="bottom"/>
            <w:tcBorders>
              <w:top w:val="single" w:sz="8" w:color="A6A6A6"/>
              <w:bottom w:val="single" w:sz="8" w:color="A6A6A6"/>
            </w:tcBorders>
          </w:tcPr>
          <w:p>
            <w:pPr>
              <w:spacing w:after="0"/>
              <w:rPr>
                <w:sz w:val="18"/>
                <w:szCs w:val="18"/>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20" w:type="dxa"/>
            <w:vAlign w:val="bottom"/>
          </w:tcPr>
          <w:p>
            <w:pPr>
              <w:spacing w:after="0"/>
              <w:rPr>
                <w:sz w:val="18"/>
                <w:szCs w:val="18"/>
                <w:color w:val="auto"/>
              </w:rPr>
            </w:pPr>
          </w:p>
        </w:tc>
        <w:tc>
          <w:tcPr>
            <w:tcW w:w="92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88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120" w:type="dxa"/>
            <w:vAlign w:val="bottom"/>
          </w:tcPr>
          <w:p>
            <w:pPr>
              <w:spacing w:after="0"/>
              <w:rPr>
                <w:sz w:val="18"/>
                <w:szCs w:val="18"/>
                <w:color w:val="auto"/>
              </w:rPr>
            </w:pPr>
          </w:p>
        </w:tc>
        <w:tc>
          <w:tcPr>
            <w:tcW w:w="92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Average Net Sales Price:</w:t>
            </w:r>
          </w:p>
        </w:tc>
        <w:tc>
          <w:tcPr>
            <w:tcW w:w="86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6A6A6"/>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tcPr>
          <w:p>
            <w:pPr>
              <w:ind w:left="240"/>
              <w:spacing w:after="0"/>
              <w:rPr>
                <w:sz w:val="20"/>
                <w:szCs w:val="20"/>
                <w:color w:val="auto"/>
              </w:rPr>
            </w:pPr>
            <w:r>
              <w:rPr>
                <w:rFonts w:ascii="Times New Roman" w:cs="Times New Roman" w:eastAsia="Times New Roman" w:hAnsi="Times New Roman"/>
                <w:sz w:val="16"/>
                <w:szCs w:val="16"/>
                <w:color w:val="004483"/>
              </w:rPr>
              <w:t>Concrete, per cubic yard</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116.88</w:t>
            </w:r>
          </w:p>
        </w:tc>
        <w:tc>
          <w:tcPr>
            <w:tcW w:w="1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112.96</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108.17</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A6A6A6"/>
          </w:tcPr>
          <w:p>
            <w:pPr>
              <w:spacing w:after="0" w:line="20" w:lineRule="exact"/>
              <w:rPr>
                <w:sz w:val="1"/>
                <w:szCs w:val="1"/>
                <w:color w:val="auto"/>
              </w:rPr>
            </w:pPr>
          </w:p>
        </w:tc>
        <w:tc>
          <w:tcPr>
            <w:tcW w:w="960" w:type="dxa"/>
            <w:vAlign w:val="bottom"/>
            <w:gridSpan w:val="2"/>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tcPr>
          <w:p>
            <w:pPr>
              <w:ind w:left="240"/>
              <w:spacing w:after="0"/>
              <w:rPr>
                <w:sz w:val="20"/>
                <w:szCs w:val="20"/>
                <w:color w:val="auto"/>
              </w:rPr>
            </w:pPr>
            <w:r>
              <w:rPr>
                <w:rFonts w:ascii="Times New Roman" w:cs="Times New Roman" w:eastAsia="Times New Roman" w:hAnsi="Times New Roman"/>
                <w:sz w:val="16"/>
                <w:szCs w:val="16"/>
                <w:color w:val="004483"/>
              </w:rPr>
              <w:t>Aggregates, per ton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00" w:type="dxa"/>
            <w:vAlign w:val="bottom"/>
            <w:vMerge w:val="continue"/>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0" w:type="dxa"/>
            <w:vAlign w:val="bottom"/>
            <w:tcBorders>
              <w:top w:val="single" w:sz="8" w:color="A6A6A6"/>
              <w:bottom w:val="single" w:sz="8" w:color="A6A6A6"/>
            </w:tcBorders>
          </w:tcPr>
          <w:p>
            <w:pPr>
              <w:spacing w:after="0"/>
              <w:rPr>
                <w:sz w:val="19"/>
                <w:szCs w:val="19"/>
                <w:color w:val="auto"/>
              </w:rPr>
            </w:pPr>
          </w:p>
        </w:tc>
        <w:tc>
          <w:tcPr>
            <w:tcW w:w="860" w:type="dxa"/>
            <w:vAlign w:val="bottom"/>
            <w:tcBorders>
              <w:top w:val="single" w:sz="8" w:color="A6A6A6"/>
              <w:bottom w:val="single" w:sz="8" w:color="A6A6A6"/>
            </w:tcBorders>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880" w:type="dxa"/>
            <w:vAlign w:val="bottom"/>
            <w:tcBorders>
              <w:top w:val="single" w:sz="8" w:color="A6A6A6"/>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300" w:type="dxa"/>
            <w:vAlign w:val="bottom"/>
            <w:tcBorders>
              <w:top w:val="single" w:sz="8" w:color="A6A6A6"/>
              <w:bottom w:val="single" w:sz="8" w:color="A6A6A6"/>
            </w:tcBorders>
          </w:tcPr>
          <w:p>
            <w:pPr>
              <w:spacing w:after="0"/>
              <w:rPr>
                <w:sz w:val="19"/>
                <w:szCs w:val="19"/>
                <w:color w:val="auto"/>
              </w:rPr>
            </w:pPr>
          </w:p>
        </w:tc>
        <w:tc>
          <w:tcPr>
            <w:tcW w:w="680" w:type="dxa"/>
            <w:vAlign w:val="bottom"/>
            <w:tcBorders>
              <w:top w:val="single" w:sz="8" w:color="A6A6A6"/>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6A6A6"/>
              <w:bottom w:val="single" w:sz="8" w:color="A6A6A6"/>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880" w:type="dxa"/>
            <w:vAlign w:val="bottom"/>
            <w:tcBorders>
              <w:top w:val="single" w:sz="8" w:color="A6A6A6"/>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260" w:type="dxa"/>
            <w:vAlign w:val="bottom"/>
            <w:tcBorders>
              <w:top w:val="single" w:sz="8" w:color="A6A6A6"/>
              <w:bottom w:val="single" w:sz="8" w:color="A6A6A6"/>
            </w:tcBorders>
          </w:tcPr>
          <w:p>
            <w:pPr>
              <w:spacing w:after="0"/>
              <w:rPr>
                <w:sz w:val="19"/>
                <w:szCs w:val="19"/>
                <w:color w:val="auto"/>
              </w:rPr>
            </w:pPr>
          </w:p>
        </w:tc>
        <w:tc>
          <w:tcPr>
            <w:tcW w:w="720" w:type="dxa"/>
            <w:vAlign w:val="bottom"/>
            <w:tcBorders>
              <w:top w:val="single" w:sz="8" w:color="A6A6A6"/>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6A6A6"/>
              <w:bottom w:val="single" w:sz="8" w:color="A6A6A6"/>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004483"/>
              </w:rPr>
              <w:t>Operating Earnings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5,075</w:t>
            </w:r>
          </w:p>
        </w:tc>
        <w:tc>
          <w:tcPr>
            <w:tcW w:w="10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1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15,023</w:t>
            </w:r>
          </w:p>
        </w:tc>
        <w:tc>
          <w:tcPr>
            <w:tcW w:w="1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A6A6A6"/>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2020</w:t>
      </w:r>
    </w:p>
    <w:p>
      <w:pPr>
        <w:spacing w:after="0" w:line="128"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Concrete and Aggregates Revenue decreased 8% to $43.5 million for the three months ended December 31, 2020. Excluding Revenue related to Western and Mathews in fiscal 2020, Revenue increased $4.3 million, or 11%. The primary reason for the increase in Revenue was higher gross sales prices and Sales Volume, which positively affected Revenue by $0.5 million and $3.8 million, respectively.</w:t>
      </w:r>
    </w:p>
    <w:p>
      <w:pPr>
        <w:spacing w:after="0" w:line="59"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Operating Earnings increased 52% to approximately $5.1 million. Excluding Operating Earnings related to Western and Mathews in fiscal 2020, Operating Earnings increased $2.9 million, or 76%. The increase was a result of higher concrete sales prices and organic Sales Volume, as well as lower operating costs, which positively affected Operating Earnings by $0.5 million, $1.2 million, and $1.3 million, respectively. The decrease in operating costs was primarily due to improved operating efficiencies and lower diesel fuel costs.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31, 2020</w:t>
      </w:r>
    </w:p>
    <w:p>
      <w:pPr>
        <w:spacing w:after="0" w:line="128"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Concrete and Aggregates Revenue decreased 6% to $134 million for the nine months ended December 31, 2020. Excluding Revenue related to the ConAgg Acquisition and Western and Mathews for the first quarter of fiscal 2021, as well as Western and Mathews in fiscal 2020, Revenue increased $5.3 million, or 4%. The increase in Revenue was primarily related to higher gross sales prices, which positively affected Revenue by $6.4 million. This was partially offset by lower Sales Volume, which reduced Revenue by $1.1 million.</w:t>
      </w:r>
    </w:p>
    <w:p>
      <w:pPr>
        <w:spacing w:after="0" w:line="67" w:lineRule="exact"/>
        <w:rPr>
          <w:sz w:val="20"/>
          <w:szCs w:val="20"/>
          <w:color w:val="auto"/>
        </w:rPr>
      </w:pPr>
    </w:p>
    <w:p>
      <w:pPr>
        <w:ind w:right="40"/>
        <w:spacing w:after="0" w:line="293" w:lineRule="auto"/>
        <w:rPr>
          <w:sz w:val="20"/>
          <w:szCs w:val="20"/>
          <w:color w:val="auto"/>
        </w:rPr>
      </w:pPr>
      <w:r>
        <w:rPr>
          <w:rFonts w:ascii="Arial" w:cs="Arial" w:eastAsia="Arial" w:hAnsi="Arial"/>
          <w:sz w:val="17"/>
          <w:szCs w:val="17"/>
          <w:color w:val="auto"/>
        </w:rPr>
        <w:t>Operating Earnings increased 5% to approximately $15.7 million. Excluding Operating Earnings related to the ConAgg Acquisition and Western and Mathews for the first quarter of fiscal 2021, and Western and Mathews in fiscal 2020, Operating Earnings increased $3.5 million, or 31%. The improvement was due to higher gross sales prices, which positively affected Operating Earnings by $6.4 million, partially offset by higher operating costs, which negatively impacted Operating Earnings by approximately $2.9 million. The increase in operating costs was primarily because of higher cost of materials of approximately $3.0 million, partially offset by lower delivery costs of $0.9 million.</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97" w:right="35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u w:val="single" w:color="auto"/>
          <w:color w:val="auto"/>
        </w:rPr>
        <w:t>Light Materials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GYPSUM WALLBOARD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00" w:type="dxa"/>
            <w:vAlign w:val="bottom"/>
            <w:gridSpan w:val="7"/>
            <w:shd w:val="clear" w:color="auto" w:fill="004483"/>
          </w:tcPr>
          <w:p>
            <w:pPr>
              <w:jc w:val="center"/>
              <w:ind w:right="140"/>
              <w:spacing w:after="0"/>
              <w:rPr>
                <w:sz w:val="20"/>
                <w:szCs w:val="20"/>
                <w:color w:val="auto"/>
              </w:rPr>
            </w:pPr>
            <w:r>
              <w:rPr>
                <w:rFonts w:ascii="Times New Roman" w:cs="Times New Roman" w:eastAsia="Times New Roman" w:hAnsi="Times New Roman"/>
                <w:sz w:val="13"/>
                <w:szCs w:val="13"/>
                <w:b w:val="1"/>
                <w:bCs w:val="1"/>
                <w:color w:val="FFFFFF"/>
                <w:w w:val="95"/>
              </w:rPr>
              <w:t>For the Three Months Ended December</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7"/>
            <w:shd w:val="clear" w:color="auto" w:fill="004483"/>
          </w:tcPr>
          <w:p>
            <w:pPr>
              <w:jc w:val="center"/>
              <w:ind w:right="120"/>
              <w:spacing w:after="0"/>
              <w:rPr>
                <w:sz w:val="20"/>
                <w:szCs w:val="20"/>
                <w:color w:val="auto"/>
              </w:rPr>
            </w:pPr>
            <w:r>
              <w:rPr>
                <w:rFonts w:ascii="Times New Roman" w:cs="Times New Roman" w:eastAsia="Times New Roman" w:hAnsi="Times New Roman"/>
                <w:sz w:val="13"/>
                <w:szCs w:val="13"/>
                <w:b w:val="1"/>
                <w:bCs w:val="1"/>
                <w:color w:val="FFFFFF"/>
                <w:w w:val="96"/>
              </w:rPr>
              <w:t>For the Nine Months Ended December</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Borders>
              <w:bottom w:val="single" w:sz="8" w:color="auto"/>
            </w:tcBorders>
            <w:shd w:val="clear" w:color="auto" w:fill="004483"/>
          </w:tcPr>
          <w:p>
            <w:pPr>
              <w:spacing w:after="0"/>
              <w:rPr>
                <w:sz w:val="13"/>
                <w:szCs w:val="13"/>
                <w:color w:val="auto"/>
              </w:rPr>
            </w:pPr>
          </w:p>
        </w:tc>
        <w:tc>
          <w:tcPr>
            <w:tcW w:w="1000" w:type="dxa"/>
            <w:vAlign w:val="bottom"/>
            <w:tcBorders>
              <w:bottom w:val="single" w:sz="8" w:color="auto"/>
            </w:tcBorders>
            <w:gridSpan w:val="3"/>
            <w:shd w:val="clear" w:color="auto" w:fill="004483"/>
          </w:tcPr>
          <w:p>
            <w:pPr>
              <w:jc w:val="center"/>
              <w:ind w:left="686"/>
              <w:spacing w:after="0"/>
              <w:rPr>
                <w:sz w:val="20"/>
                <w:szCs w:val="20"/>
                <w:color w:val="auto"/>
              </w:rPr>
            </w:pPr>
            <w:r>
              <w:rPr>
                <w:rFonts w:ascii="Times New Roman" w:cs="Times New Roman" w:eastAsia="Times New Roman" w:hAnsi="Times New Roman"/>
                <w:sz w:val="13"/>
                <w:szCs w:val="13"/>
                <w:b w:val="1"/>
                <w:bCs w:val="1"/>
                <w:color w:val="FFFFFF"/>
                <w:w w:val="98"/>
              </w:rPr>
              <w:t>31,</w:t>
            </w:r>
          </w:p>
        </w:tc>
        <w:tc>
          <w:tcPr>
            <w:tcW w:w="320" w:type="dxa"/>
            <w:vAlign w:val="bottom"/>
            <w:tcBorders>
              <w:bottom w:val="single" w:sz="8" w:color="auto"/>
            </w:tcBorders>
            <w:shd w:val="clear" w:color="auto" w:fill="004483"/>
          </w:tcPr>
          <w:p>
            <w:pPr>
              <w:spacing w:after="0"/>
              <w:rPr>
                <w:sz w:val="13"/>
                <w:szCs w:val="13"/>
                <w:color w:val="auto"/>
              </w:rPr>
            </w:pPr>
          </w:p>
        </w:tc>
        <w:tc>
          <w:tcPr>
            <w:tcW w:w="660" w:type="dxa"/>
            <w:vAlign w:val="bottom"/>
            <w:tcBorders>
              <w:bottom w:val="single" w:sz="8" w:color="auto"/>
            </w:tcBorders>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1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00" w:type="dxa"/>
            <w:vAlign w:val="bottom"/>
          </w:tcPr>
          <w:p>
            <w:pPr>
              <w:spacing w:after="0"/>
              <w:rPr>
                <w:sz w:val="13"/>
                <w:szCs w:val="13"/>
                <w:color w:val="auto"/>
              </w:rPr>
            </w:pPr>
          </w:p>
        </w:tc>
        <w:tc>
          <w:tcPr>
            <w:tcW w:w="220" w:type="dxa"/>
            <w:vAlign w:val="bottom"/>
            <w:tcBorders>
              <w:bottom w:val="single" w:sz="8" w:color="auto"/>
            </w:tcBorders>
            <w:shd w:val="clear" w:color="auto" w:fill="004483"/>
          </w:tcPr>
          <w:p>
            <w:pPr>
              <w:spacing w:after="0"/>
              <w:rPr>
                <w:sz w:val="13"/>
                <w:szCs w:val="13"/>
                <w:color w:val="auto"/>
              </w:rPr>
            </w:pPr>
          </w:p>
        </w:tc>
        <w:tc>
          <w:tcPr>
            <w:tcW w:w="1000" w:type="dxa"/>
            <w:vAlign w:val="bottom"/>
            <w:tcBorders>
              <w:bottom w:val="single" w:sz="8" w:color="auto"/>
            </w:tcBorders>
            <w:gridSpan w:val="3"/>
            <w:shd w:val="clear" w:color="auto" w:fill="004483"/>
          </w:tcPr>
          <w:p>
            <w:pPr>
              <w:jc w:val="center"/>
              <w:ind w:left="686"/>
              <w:spacing w:after="0"/>
              <w:rPr>
                <w:sz w:val="20"/>
                <w:szCs w:val="20"/>
                <w:color w:val="auto"/>
              </w:rPr>
            </w:pPr>
            <w:r>
              <w:rPr>
                <w:rFonts w:ascii="Times New Roman" w:cs="Times New Roman" w:eastAsia="Times New Roman" w:hAnsi="Times New Roman"/>
                <w:sz w:val="13"/>
                <w:szCs w:val="13"/>
                <w:b w:val="1"/>
                <w:bCs w:val="1"/>
                <w:color w:val="FFFFFF"/>
                <w:w w:val="98"/>
              </w:rPr>
              <w:t>31,</w:t>
            </w:r>
          </w:p>
        </w:tc>
        <w:tc>
          <w:tcPr>
            <w:tcW w:w="320" w:type="dxa"/>
            <w:vAlign w:val="bottom"/>
            <w:tcBorders>
              <w:bottom w:val="single" w:sz="8" w:color="auto"/>
            </w:tcBorders>
            <w:shd w:val="clear" w:color="auto" w:fill="004483"/>
          </w:tcPr>
          <w:p>
            <w:pPr>
              <w:spacing w:after="0"/>
              <w:rPr>
                <w:sz w:val="13"/>
                <w:szCs w:val="13"/>
                <w:color w:val="auto"/>
              </w:rPr>
            </w:pPr>
          </w:p>
        </w:tc>
        <w:tc>
          <w:tcPr>
            <w:tcW w:w="660" w:type="dxa"/>
            <w:vAlign w:val="bottom"/>
            <w:tcBorders>
              <w:bottom w:val="single" w:sz="8" w:color="auto"/>
            </w:tcBorders>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2"/>
                <w:szCs w:val="12"/>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2"/>
                <w:szCs w:val="12"/>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6"/>
          </w:tcPr>
          <w:p>
            <w:pPr>
              <w:jc w:val="center"/>
              <w:ind w:right="340"/>
              <w:spacing w:after="0" w:line="134" w:lineRule="exact"/>
              <w:rPr>
                <w:sz w:val="20"/>
                <w:szCs w:val="20"/>
                <w:color w:val="auto"/>
              </w:rPr>
            </w:pPr>
            <w:r>
              <w:rPr>
                <w:rFonts w:ascii="Times New Roman" w:cs="Times New Roman" w:eastAsia="Times New Roman" w:hAnsi="Times New Roman"/>
                <w:sz w:val="13"/>
                <w:szCs w:val="13"/>
                <w:color w:val="auto"/>
                <w:w w:val="95"/>
              </w:rPr>
              <w:t>(in thousands, except per MSF</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6"/>
          </w:tcPr>
          <w:p>
            <w:pPr>
              <w:jc w:val="center"/>
              <w:ind w:right="340"/>
              <w:spacing w:after="0" w:line="134" w:lineRule="exact"/>
              <w:rPr>
                <w:sz w:val="20"/>
                <w:szCs w:val="20"/>
                <w:color w:val="auto"/>
              </w:rPr>
            </w:pPr>
            <w:r>
              <w:rPr>
                <w:rFonts w:ascii="Times New Roman" w:cs="Times New Roman" w:eastAsia="Times New Roman" w:hAnsi="Times New Roman"/>
                <w:sz w:val="13"/>
                <w:szCs w:val="13"/>
                <w:color w:val="auto"/>
                <w:w w:val="95"/>
              </w:rPr>
              <w:t>(in thousands, except per MSF</w:t>
            </w: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660" w:type="dxa"/>
            <w:vAlign w:val="bottom"/>
            <w:tcBorders>
              <w:bottom w:val="single" w:sz="8" w:color="17385E"/>
            </w:tcBorders>
          </w:tcPr>
          <w:p>
            <w:pPr>
              <w:spacing w:after="0"/>
              <w:rPr>
                <w:sz w:val="13"/>
                <w:szCs w:val="13"/>
                <w:color w:val="auto"/>
              </w:rPr>
            </w:pPr>
          </w:p>
        </w:tc>
        <w:tc>
          <w:tcPr>
            <w:tcW w:w="600" w:type="dxa"/>
            <w:vAlign w:val="bottom"/>
            <w:tcBorders>
              <w:bottom w:val="single" w:sz="8" w:color="17385E"/>
            </w:tcBorders>
          </w:tcPr>
          <w:p>
            <w:pPr>
              <w:spacing w:after="0"/>
              <w:rPr>
                <w:sz w:val="13"/>
                <w:szCs w:val="13"/>
                <w:color w:val="auto"/>
              </w:rPr>
            </w:pPr>
          </w:p>
        </w:tc>
        <w:tc>
          <w:tcPr>
            <w:tcW w:w="200" w:type="dxa"/>
            <w:vAlign w:val="bottom"/>
            <w:tcBorders>
              <w:bottom w:val="single" w:sz="8" w:color="17385E"/>
            </w:tcBorders>
          </w:tcPr>
          <w:p>
            <w:pPr>
              <w:spacing w:after="0"/>
              <w:rPr>
                <w:sz w:val="13"/>
                <w:szCs w:val="13"/>
                <w:color w:val="auto"/>
              </w:rPr>
            </w:pPr>
          </w:p>
        </w:tc>
        <w:tc>
          <w:tcPr>
            <w:tcW w:w="1320" w:type="dxa"/>
            <w:vAlign w:val="bottom"/>
            <w:tcBorders>
              <w:bottom w:val="single" w:sz="8" w:color="17385E"/>
            </w:tcBorders>
            <w:gridSpan w:val="4"/>
          </w:tcPr>
          <w:p>
            <w:pPr>
              <w:jc w:val="center"/>
              <w:ind w:left="366"/>
              <w:spacing w:after="0"/>
              <w:rPr>
                <w:sz w:val="20"/>
                <w:szCs w:val="20"/>
                <w:color w:val="auto"/>
              </w:rPr>
            </w:pPr>
            <w:r>
              <w:rPr>
                <w:rFonts w:ascii="Times New Roman" w:cs="Times New Roman" w:eastAsia="Times New Roman" w:hAnsi="Times New Roman"/>
                <w:sz w:val="13"/>
                <w:szCs w:val="13"/>
                <w:color w:val="auto"/>
                <w:w w:val="97"/>
              </w:rPr>
              <w:t>information)</w:t>
            </w:r>
          </w:p>
        </w:tc>
        <w:tc>
          <w:tcPr>
            <w:tcW w:w="660" w:type="dxa"/>
            <w:vAlign w:val="bottom"/>
            <w:tcBorders>
              <w:bottom w:val="single" w:sz="8" w:color="17385E"/>
            </w:tcBorders>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bottom w:val="single" w:sz="8" w:color="17385E"/>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17385E"/>
            </w:tcBorders>
          </w:tcPr>
          <w:p>
            <w:pPr>
              <w:spacing w:after="0"/>
              <w:rPr>
                <w:sz w:val="13"/>
                <w:szCs w:val="13"/>
                <w:color w:val="auto"/>
              </w:rPr>
            </w:pPr>
          </w:p>
        </w:tc>
        <w:tc>
          <w:tcPr>
            <w:tcW w:w="220" w:type="dxa"/>
            <w:vAlign w:val="bottom"/>
            <w:tcBorders>
              <w:bottom w:val="single" w:sz="8" w:color="17385E"/>
            </w:tcBorders>
          </w:tcPr>
          <w:p>
            <w:pPr>
              <w:spacing w:after="0"/>
              <w:rPr>
                <w:sz w:val="13"/>
                <w:szCs w:val="13"/>
                <w:color w:val="auto"/>
              </w:rPr>
            </w:pPr>
          </w:p>
        </w:tc>
        <w:tc>
          <w:tcPr>
            <w:tcW w:w="1320" w:type="dxa"/>
            <w:vAlign w:val="bottom"/>
            <w:tcBorders>
              <w:bottom w:val="single" w:sz="8" w:color="17385E"/>
            </w:tcBorders>
            <w:gridSpan w:val="4"/>
          </w:tcPr>
          <w:p>
            <w:pPr>
              <w:jc w:val="center"/>
              <w:ind w:left="366"/>
              <w:spacing w:after="0"/>
              <w:rPr>
                <w:sz w:val="20"/>
                <w:szCs w:val="20"/>
                <w:color w:val="auto"/>
              </w:rPr>
            </w:pPr>
            <w:r>
              <w:rPr>
                <w:rFonts w:ascii="Times New Roman" w:cs="Times New Roman" w:eastAsia="Times New Roman" w:hAnsi="Times New Roman"/>
                <w:sz w:val="13"/>
                <w:szCs w:val="13"/>
                <w:color w:val="auto"/>
                <w:w w:val="97"/>
              </w:rPr>
              <w:t>information)</w:t>
            </w:r>
          </w:p>
        </w:tc>
        <w:tc>
          <w:tcPr>
            <w:tcW w:w="660" w:type="dxa"/>
            <w:vAlign w:val="bottom"/>
            <w:tcBorders>
              <w:bottom w:val="single" w:sz="8" w:color="17385E"/>
            </w:tcBorders>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bottom w:val="single" w:sz="8" w:color="17385E"/>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004483"/>
              </w:rPr>
              <w:t>Gross Revenue, as reported</w:t>
            </w:r>
          </w:p>
        </w:tc>
        <w:tc>
          <w:tcPr>
            <w:tcW w:w="800" w:type="dxa"/>
            <w:vAlign w:val="bottom"/>
            <w:gridSpan w:val="2"/>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125,070</w:t>
            </w:r>
          </w:p>
        </w:tc>
        <w:tc>
          <w:tcPr>
            <w:tcW w:w="1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320" w:type="dxa"/>
            <w:vAlign w:val="bottom"/>
            <w:gridSpan w:val="2"/>
          </w:tcPr>
          <w:p>
            <w:pPr>
              <w:jc w:val="right"/>
              <w:ind w:right="6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380,454</w:t>
            </w: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004483"/>
              </w:rPr>
              <w:t>Freight and Delivery Costs Billed to Customers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(28,235)</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(27,030)</w:t>
            </w:r>
          </w:p>
        </w:tc>
        <w:tc>
          <w:tcPr>
            <w:tcW w:w="120" w:type="dxa"/>
            <w:vAlign w:val="bottom"/>
            <w:vMerge w:val="continue"/>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(83,334)</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(81,941)</w:t>
            </w:r>
          </w:p>
        </w:tc>
        <w:tc>
          <w:tcPr>
            <w:tcW w:w="120" w:type="dxa"/>
            <w:vAlign w:val="bottom"/>
            <w:vMerge w:val="continue"/>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200" w:type="dxa"/>
            <w:vAlign w:val="bottom"/>
            <w:shd w:val="clear" w:color="auto" w:fill="004483"/>
          </w:tcPr>
          <w:p>
            <w:pPr>
              <w:spacing w:after="0" w:line="20" w:lineRule="exact"/>
              <w:rPr>
                <w:sz w:val="1"/>
                <w:szCs w:val="1"/>
                <w:color w:val="auto"/>
              </w:rPr>
            </w:pPr>
          </w:p>
        </w:tc>
        <w:tc>
          <w:tcPr>
            <w:tcW w:w="78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20" w:type="dxa"/>
            <w:vAlign w:val="bottom"/>
            <w:shd w:val="clear" w:color="auto" w:fill="004483"/>
          </w:tcPr>
          <w:p>
            <w:pPr>
              <w:spacing w:after="0" w:line="20" w:lineRule="exact"/>
              <w:rPr>
                <w:sz w:val="1"/>
                <w:szCs w:val="1"/>
                <w:color w:val="auto"/>
              </w:rPr>
            </w:pPr>
          </w:p>
        </w:tc>
        <w:tc>
          <w:tcPr>
            <w:tcW w:w="66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20" w:type="dxa"/>
            <w:vAlign w:val="bottom"/>
            <w:shd w:val="clear" w:color="auto" w:fill="004483"/>
          </w:tcPr>
          <w:p>
            <w:pPr>
              <w:spacing w:after="0" w:line="20" w:lineRule="exact"/>
              <w:rPr>
                <w:sz w:val="1"/>
                <w:szCs w:val="1"/>
                <w:color w:val="auto"/>
              </w:rPr>
            </w:pPr>
          </w:p>
        </w:tc>
        <w:tc>
          <w:tcPr>
            <w:tcW w:w="78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20" w:type="dxa"/>
            <w:vAlign w:val="bottom"/>
            <w:shd w:val="clear" w:color="auto" w:fill="004483"/>
          </w:tcPr>
          <w:p>
            <w:pPr>
              <w:spacing w:after="0" w:line="20" w:lineRule="exact"/>
              <w:rPr>
                <w:sz w:val="1"/>
                <w:szCs w:val="1"/>
                <w:color w:val="auto"/>
              </w:rPr>
            </w:pPr>
          </w:p>
        </w:tc>
        <w:tc>
          <w:tcPr>
            <w:tcW w:w="66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004483"/>
              </w:rPr>
              <w:t>Net Revenue</w:t>
            </w:r>
          </w:p>
        </w:tc>
        <w:tc>
          <w:tcPr>
            <w:tcW w:w="600" w:type="dxa"/>
            <w:vAlign w:val="bottom"/>
          </w:tcPr>
          <w:p>
            <w:pPr>
              <w:spacing w:after="0"/>
              <w:rPr>
                <w:sz w:val="18"/>
                <w:szCs w:val="18"/>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98,040</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298,513</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A6A6A6"/>
              <w:bottom w:val="single" w:sz="8" w:color="A6A6A6"/>
            </w:tcBorders>
          </w:tcPr>
          <w:p>
            <w:pPr>
              <w:spacing w:after="0"/>
              <w:rPr>
                <w:sz w:val="18"/>
                <w:szCs w:val="18"/>
                <w:color w:val="auto"/>
              </w:rPr>
            </w:pPr>
          </w:p>
        </w:tc>
        <w:tc>
          <w:tcPr>
            <w:tcW w:w="600" w:type="dxa"/>
            <w:vAlign w:val="bottom"/>
            <w:tcBorders>
              <w:top w:val="single" w:sz="8" w:color="A6A6A6"/>
              <w:bottom w:val="single" w:sz="8" w:color="A6A6A6"/>
            </w:tcBorders>
          </w:tcPr>
          <w:p>
            <w:pPr>
              <w:spacing w:after="0"/>
              <w:rPr>
                <w:sz w:val="18"/>
                <w:szCs w:val="18"/>
                <w:color w:val="auto"/>
              </w:rPr>
            </w:pPr>
          </w:p>
        </w:tc>
        <w:tc>
          <w:tcPr>
            <w:tcW w:w="200" w:type="dxa"/>
            <w:vAlign w:val="bottom"/>
            <w:tcBorders>
              <w:top w:val="single" w:sz="8" w:color="A6A6A6"/>
              <w:bottom w:val="single" w:sz="8" w:color="A6A6A6"/>
            </w:tcBorders>
          </w:tcPr>
          <w:p>
            <w:pPr>
              <w:spacing w:after="0"/>
              <w:rPr>
                <w:sz w:val="18"/>
                <w:szCs w:val="18"/>
                <w:color w:val="auto"/>
              </w:rPr>
            </w:pPr>
          </w:p>
        </w:tc>
        <w:tc>
          <w:tcPr>
            <w:tcW w:w="78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320" w:type="dxa"/>
            <w:vAlign w:val="bottom"/>
            <w:tcBorders>
              <w:top w:val="single" w:sz="8" w:color="A6A6A6"/>
              <w:bottom w:val="single" w:sz="8" w:color="A6A6A6"/>
            </w:tcBorders>
          </w:tcPr>
          <w:p>
            <w:pPr>
              <w:spacing w:after="0"/>
              <w:rPr>
                <w:sz w:val="18"/>
                <w:szCs w:val="18"/>
                <w:color w:val="auto"/>
              </w:rPr>
            </w:pPr>
          </w:p>
        </w:tc>
        <w:tc>
          <w:tcPr>
            <w:tcW w:w="66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6A6A6"/>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78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320" w:type="dxa"/>
            <w:vAlign w:val="bottom"/>
            <w:tcBorders>
              <w:top w:val="single" w:sz="8" w:color="A6A6A6"/>
              <w:bottom w:val="single" w:sz="8" w:color="A6A6A6"/>
            </w:tcBorders>
          </w:tcPr>
          <w:p>
            <w:pPr>
              <w:spacing w:after="0"/>
              <w:rPr>
                <w:sz w:val="18"/>
                <w:szCs w:val="18"/>
                <w:color w:val="auto"/>
              </w:rPr>
            </w:pPr>
          </w:p>
        </w:tc>
        <w:tc>
          <w:tcPr>
            <w:tcW w:w="66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6A6A6"/>
              <w:bottom w:val="single" w:sz="8" w:color="A6A6A6"/>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004483"/>
              </w:rPr>
              <w:t>Sales Volume (MMSF)</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shd w:val="clear" w:color="auto" w:fill="A6A6A6"/>
          </w:tcPr>
          <w:p>
            <w:pPr>
              <w:spacing w:after="0" w:line="20" w:lineRule="exact"/>
              <w:rPr>
                <w:sz w:val="1"/>
                <w:szCs w:val="1"/>
                <w:color w:val="auto"/>
              </w:rPr>
            </w:pPr>
          </w:p>
        </w:tc>
        <w:tc>
          <w:tcPr>
            <w:tcW w:w="800" w:type="dxa"/>
            <w:vAlign w:val="bottom"/>
            <w:gridSpan w:val="2"/>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tcPr>
          <w:p>
            <w:pPr>
              <w:spacing w:after="0" w:line="211" w:lineRule="exact"/>
              <w:rPr>
                <w:sz w:val="20"/>
                <w:szCs w:val="20"/>
                <w:color w:val="auto"/>
              </w:rPr>
            </w:pPr>
            <w:r>
              <w:rPr>
                <w:rFonts w:ascii="Times New Roman" w:cs="Times New Roman" w:eastAsia="Times New Roman" w:hAnsi="Times New Roman"/>
                <w:sz w:val="15"/>
                <w:szCs w:val="15"/>
                <w:color w:val="004483"/>
              </w:rPr>
              <w:t xml:space="preserve">Average Net Sales Price, per MSF </w:t>
            </w:r>
            <w:r>
              <w:rPr>
                <w:rFonts w:ascii="Times New Roman" w:cs="Times New Roman" w:eastAsia="Times New Roman" w:hAnsi="Times New Roman"/>
                <w:sz w:val="24"/>
                <w:szCs w:val="24"/>
                <w:color w:val="004483"/>
                <w:vertAlign w:val="superscript"/>
              </w:rPr>
              <w:t>(1)</w:t>
            </w:r>
          </w:p>
        </w:tc>
        <w:tc>
          <w:tcPr>
            <w:tcW w:w="800" w:type="dxa"/>
            <w:vAlign w:val="bottom"/>
            <w:gridSpan w:val="2"/>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146.46</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gridSpan w:val="2"/>
          </w:tcPr>
          <w:p>
            <w:pPr>
              <w:jc w:val="right"/>
              <w:ind w:right="6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148.51</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shd w:val="clear" w:color="auto" w:fill="A6A6A6"/>
          </w:tcPr>
          <w:p>
            <w:pPr>
              <w:spacing w:after="0" w:line="20" w:lineRule="exact"/>
              <w:rPr>
                <w:sz w:val="1"/>
                <w:szCs w:val="1"/>
                <w:color w:val="auto"/>
              </w:rPr>
            </w:pPr>
          </w:p>
        </w:tc>
        <w:tc>
          <w:tcPr>
            <w:tcW w:w="800" w:type="dxa"/>
            <w:vAlign w:val="bottom"/>
            <w:gridSpan w:val="2"/>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004483"/>
              </w:rPr>
              <w:t>Freight, per MSF</w:t>
            </w:r>
          </w:p>
        </w:tc>
        <w:tc>
          <w:tcPr>
            <w:tcW w:w="800" w:type="dxa"/>
            <w:vAlign w:val="bottom"/>
            <w:gridSpan w:val="2"/>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2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gridSpan w:val="2"/>
          </w:tcPr>
          <w:p>
            <w:pPr>
              <w:jc w:val="right"/>
              <w:ind w:right="6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40.77</w:t>
            </w:r>
          </w:p>
        </w:tc>
        <w:tc>
          <w:tcPr>
            <w:tcW w:w="1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shd w:val="clear" w:color="auto" w:fill="A6A6A6"/>
          </w:tcPr>
          <w:p>
            <w:pPr>
              <w:spacing w:after="0" w:line="20" w:lineRule="exact"/>
              <w:rPr>
                <w:sz w:val="1"/>
                <w:szCs w:val="1"/>
                <w:color w:val="auto"/>
              </w:rPr>
            </w:pPr>
          </w:p>
        </w:tc>
        <w:tc>
          <w:tcPr>
            <w:tcW w:w="800" w:type="dxa"/>
            <w:vAlign w:val="bottom"/>
            <w:gridSpan w:val="2"/>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004483"/>
              </w:rPr>
              <w:t>Operating Margin, per MSF</w:t>
            </w:r>
          </w:p>
        </w:tc>
        <w:tc>
          <w:tcPr>
            <w:tcW w:w="800" w:type="dxa"/>
            <w:vAlign w:val="bottom"/>
            <w:gridSpan w:val="2"/>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57.52</w:t>
            </w: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gridSpan w:val="2"/>
          </w:tcPr>
          <w:p>
            <w:pPr>
              <w:jc w:val="right"/>
              <w:ind w:right="6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57.15</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shd w:val="clear" w:color="auto" w:fill="A6A6A6"/>
          </w:tcPr>
          <w:p>
            <w:pPr>
              <w:spacing w:after="0" w:line="20" w:lineRule="exact"/>
              <w:rPr>
                <w:sz w:val="1"/>
                <w:szCs w:val="1"/>
                <w:color w:val="auto"/>
              </w:rPr>
            </w:pPr>
          </w:p>
        </w:tc>
        <w:tc>
          <w:tcPr>
            <w:tcW w:w="800" w:type="dxa"/>
            <w:vAlign w:val="bottom"/>
            <w:gridSpan w:val="2"/>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004483"/>
              </w:rPr>
              <w:t>Operating Earnings</w:t>
            </w:r>
          </w:p>
        </w:tc>
        <w:tc>
          <w:tcPr>
            <w:tcW w:w="800" w:type="dxa"/>
            <w:vAlign w:val="bottom"/>
            <w:gridSpan w:val="2"/>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38,484</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320" w:type="dxa"/>
            <w:vAlign w:val="bottom"/>
            <w:gridSpan w:val="2"/>
          </w:tcPr>
          <w:p>
            <w:pPr>
              <w:jc w:val="right"/>
              <w:ind w:right="6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114,872</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(1) Net of freight per MSF.</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2020</w:t>
      </w:r>
    </w:p>
    <w:p>
      <w:pPr>
        <w:spacing w:after="0" w:line="12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Gypsum Wallboard Revenue increased 8% to $135.7 million for the three months ended December 31, 2020, primarily related to a 9% increase in Sales Volume. The higher Sales Volume positively affected Revenue by approximately $10.6 million, while gross sales prices were relatively flat. Our market share increased slightly during the three months ended December 31, 2020, due to the strength in our regional markets compared to the national average.</w:t>
      </w:r>
    </w:p>
    <w:p>
      <w:pPr>
        <w:spacing w:after="0" w:line="6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Operating Earnings increased 6% to $40.8 million, primarily because of higher Sales Volume, which positively affected Operating Earnings by $3.3 million. The increase was partially offset by higher operating costs that negatively affected Operating Earnings by approximately $1.1 million. The higher operating costs were primarily due to input costs, which increased operating costs by $2.0 million. The increase was offset by lower freight expense of $1.0 million. The operating margin declined 1% to 30% for the three months ended December 31, 2020, primarily because of higher operating costs. Fixed costs are not a significant portion of the overall cost of wallboard; therefore, changes in utilization have a relatively minor impact on our operating cost per unit.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31, 2020</w:t>
      </w:r>
    </w:p>
    <w:p>
      <w:pPr>
        <w:spacing w:after="0" w:line="128"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Gypsum Wallboard Revenue increased 4% to $397.0 million for the nine months ended December 31, 2020, primarily related to a 7% increase in Sales Volume. The higher Sales Volume positively affected Revenue by approximately $26.7 million, partially offset by lower gross sales prices, which adversely affected Revenue by $10.0 million. Our market share increased slightly during the nine months ended December 31, 2020, due to the strength in our regional markets compared to the national average.</w:t>
      </w:r>
    </w:p>
    <w:p>
      <w:pPr>
        <w:spacing w:after="0" w:line="67"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Operating Earnings increased 4% to $119.7 million, primarily due to higher Sales Volume and lower operating costs, which positively affected Operating Earnings by $8.1 million and $6.7 million, respectively. This was partially offset by lower gross sales prices that negatively affected Operating Earnings by approximately $10.0 million. The lower operating costs were primarily related to freight, energy, and maintenance, which reduced operating costs by approximately $4.4 million, $1.2 million, and $1.3 million, respectively. The operating margin remained consistent at 30% for the nine months ended December 31, 2020, with lower gross sales prices being offset by lower operating costs. Fixed costs are not a significant portion of the overall cost of wallboard; therefore, changes in utilization have a relatively minor impact on our operating cost per unit.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RECYCLED PAPERBOARD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00" w:type="dxa"/>
            <w:vAlign w:val="bottom"/>
            <w:gridSpan w:val="7"/>
            <w:shd w:val="clear" w:color="auto" w:fill="004483"/>
          </w:tcPr>
          <w:p>
            <w:pPr>
              <w:jc w:val="center"/>
              <w:ind w:right="140"/>
              <w:spacing w:after="0"/>
              <w:rPr>
                <w:sz w:val="20"/>
                <w:szCs w:val="20"/>
                <w:color w:val="auto"/>
              </w:rPr>
            </w:pPr>
            <w:r>
              <w:rPr>
                <w:rFonts w:ascii="Times New Roman" w:cs="Times New Roman" w:eastAsia="Times New Roman" w:hAnsi="Times New Roman"/>
                <w:sz w:val="13"/>
                <w:szCs w:val="13"/>
                <w:b w:val="1"/>
                <w:bCs w:val="1"/>
                <w:color w:val="FFFFFF"/>
                <w:w w:val="95"/>
              </w:rPr>
              <w:t>For the Three Months Ended December</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7"/>
            <w:shd w:val="clear" w:color="auto" w:fill="004483"/>
          </w:tcPr>
          <w:p>
            <w:pPr>
              <w:jc w:val="center"/>
              <w:ind w:right="120"/>
              <w:spacing w:after="0"/>
              <w:rPr>
                <w:sz w:val="20"/>
                <w:szCs w:val="20"/>
                <w:color w:val="auto"/>
              </w:rPr>
            </w:pPr>
            <w:r>
              <w:rPr>
                <w:rFonts w:ascii="Times New Roman" w:cs="Times New Roman" w:eastAsia="Times New Roman" w:hAnsi="Times New Roman"/>
                <w:sz w:val="13"/>
                <w:szCs w:val="13"/>
                <w:b w:val="1"/>
                <w:bCs w:val="1"/>
                <w:color w:val="FFFFFF"/>
                <w:w w:val="96"/>
              </w:rPr>
              <w:t>For the Nine Months Ended December</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Borders>
              <w:bottom w:val="single" w:sz="8" w:color="auto"/>
            </w:tcBorders>
            <w:shd w:val="clear" w:color="auto" w:fill="004483"/>
          </w:tcPr>
          <w:p>
            <w:pPr>
              <w:spacing w:after="0"/>
              <w:rPr>
                <w:sz w:val="13"/>
                <w:szCs w:val="13"/>
                <w:color w:val="auto"/>
              </w:rPr>
            </w:pPr>
          </w:p>
        </w:tc>
        <w:tc>
          <w:tcPr>
            <w:tcW w:w="920" w:type="dxa"/>
            <w:vAlign w:val="bottom"/>
            <w:tcBorders>
              <w:bottom w:val="single" w:sz="8" w:color="auto"/>
            </w:tcBorders>
            <w:gridSpan w:val="3"/>
            <w:shd w:val="clear" w:color="auto" w:fill="004483"/>
          </w:tcPr>
          <w:p>
            <w:pPr>
              <w:jc w:val="center"/>
              <w:ind w:left="603"/>
              <w:spacing w:after="0"/>
              <w:rPr>
                <w:sz w:val="20"/>
                <w:szCs w:val="20"/>
                <w:color w:val="auto"/>
              </w:rPr>
            </w:pPr>
            <w:r>
              <w:rPr>
                <w:rFonts w:ascii="Times New Roman" w:cs="Times New Roman" w:eastAsia="Times New Roman" w:hAnsi="Times New Roman"/>
                <w:sz w:val="13"/>
                <w:szCs w:val="13"/>
                <w:b w:val="1"/>
                <w:bCs w:val="1"/>
                <w:color w:val="FFFFFF"/>
                <w:w w:val="98"/>
              </w:rPr>
              <w:t>31,</w:t>
            </w:r>
          </w:p>
        </w:tc>
        <w:tc>
          <w:tcPr>
            <w:tcW w:w="280" w:type="dxa"/>
            <w:vAlign w:val="bottom"/>
            <w:tcBorders>
              <w:bottom w:val="single" w:sz="8" w:color="auto"/>
            </w:tcBorders>
            <w:shd w:val="clear" w:color="auto" w:fill="004483"/>
          </w:tcPr>
          <w:p>
            <w:pPr>
              <w:spacing w:after="0"/>
              <w:rPr>
                <w:sz w:val="13"/>
                <w:szCs w:val="13"/>
                <w:color w:val="auto"/>
              </w:rPr>
            </w:pPr>
          </w:p>
        </w:tc>
        <w:tc>
          <w:tcPr>
            <w:tcW w:w="700" w:type="dxa"/>
            <w:vAlign w:val="bottom"/>
            <w:tcBorders>
              <w:bottom w:val="single" w:sz="8" w:color="auto"/>
            </w:tcBorders>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00" w:type="dxa"/>
            <w:vAlign w:val="bottom"/>
          </w:tcPr>
          <w:p>
            <w:pPr>
              <w:spacing w:after="0"/>
              <w:rPr>
                <w:sz w:val="13"/>
                <w:szCs w:val="13"/>
                <w:color w:val="auto"/>
              </w:rPr>
            </w:pPr>
          </w:p>
        </w:tc>
        <w:tc>
          <w:tcPr>
            <w:tcW w:w="280" w:type="dxa"/>
            <w:vAlign w:val="bottom"/>
            <w:tcBorders>
              <w:bottom w:val="single" w:sz="8" w:color="auto"/>
            </w:tcBorders>
            <w:shd w:val="clear" w:color="auto" w:fill="004483"/>
          </w:tcPr>
          <w:p>
            <w:pPr>
              <w:spacing w:after="0"/>
              <w:rPr>
                <w:sz w:val="13"/>
                <w:szCs w:val="13"/>
                <w:color w:val="auto"/>
              </w:rPr>
            </w:pPr>
          </w:p>
        </w:tc>
        <w:tc>
          <w:tcPr>
            <w:tcW w:w="940" w:type="dxa"/>
            <w:vAlign w:val="bottom"/>
            <w:tcBorders>
              <w:bottom w:val="single" w:sz="8" w:color="auto"/>
            </w:tcBorders>
            <w:gridSpan w:val="3"/>
            <w:shd w:val="clear" w:color="auto" w:fill="004483"/>
          </w:tcPr>
          <w:p>
            <w:pPr>
              <w:jc w:val="center"/>
              <w:ind w:left="623"/>
              <w:spacing w:after="0"/>
              <w:rPr>
                <w:sz w:val="20"/>
                <w:szCs w:val="20"/>
                <w:color w:val="auto"/>
              </w:rPr>
            </w:pPr>
            <w:r>
              <w:rPr>
                <w:rFonts w:ascii="Times New Roman" w:cs="Times New Roman" w:eastAsia="Times New Roman" w:hAnsi="Times New Roman"/>
                <w:sz w:val="13"/>
                <w:szCs w:val="13"/>
                <w:b w:val="1"/>
                <w:bCs w:val="1"/>
                <w:color w:val="FFFFFF"/>
                <w:w w:val="98"/>
              </w:rPr>
              <w:t>31,</w:t>
            </w:r>
          </w:p>
        </w:tc>
        <w:tc>
          <w:tcPr>
            <w:tcW w:w="260" w:type="dxa"/>
            <w:vAlign w:val="bottom"/>
            <w:tcBorders>
              <w:bottom w:val="single" w:sz="8" w:color="auto"/>
            </w:tcBorders>
            <w:shd w:val="clear" w:color="auto" w:fill="004483"/>
          </w:tcPr>
          <w:p>
            <w:pPr>
              <w:spacing w:after="0"/>
              <w:rPr>
                <w:sz w:val="13"/>
                <w:szCs w:val="13"/>
                <w:color w:val="auto"/>
              </w:rPr>
            </w:pPr>
          </w:p>
        </w:tc>
        <w:tc>
          <w:tcPr>
            <w:tcW w:w="720" w:type="dxa"/>
            <w:vAlign w:val="bottom"/>
            <w:tcBorders>
              <w:bottom w:val="single" w:sz="8" w:color="auto"/>
            </w:tcBorders>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2"/>
                <w:szCs w:val="12"/>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2"/>
                <w:szCs w:val="12"/>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660" w:type="dxa"/>
            <w:vAlign w:val="bottom"/>
            <w:tcBorders>
              <w:bottom w:val="single" w:sz="8" w:color="17385E"/>
            </w:tcBorders>
          </w:tcPr>
          <w:p>
            <w:pPr>
              <w:spacing w:after="0"/>
              <w:rPr>
                <w:sz w:val="13"/>
                <w:szCs w:val="13"/>
                <w:color w:val="auto"/>
              </w:rPr>
            </w:pPr>
          </w:p>
        </w:tc>
        <w:tc>
          <w:tcPr>
            <w:tcW w:w="600" w:type="dxa"/>
            <w:vAlign w:val="bottom"/>
            <w:tcBorders>
              <w:bottom w:val="single" w:sz="8" w:color="17385E"/>
            </w:tcBorders>
          </w:tcPr>
          <w:p>
            <w:pPr>
              <w:spacing w:after="0"/>
              <w:rPr>
                <w:sz w:val="13"/>
                <w:szCs w:val="13"/>
                <w:color w:val="auto"/>
              </w:rPr>
            </w:pPr>
          </w:p>
        </w:tc>
        <w:tc>
          <w:tcPr>
            <w:tcW w:w="2180" w:type="dxa"/>
            <w:vAlign w:val="bottom"/>
            <w:tcBorders>
              <w:bottom w:val="single" w:sz="8" w:color="17385E"/>
            </w:tcBorders>
            <w:gridSpan w:val="6"/>
          </w:tcPr>
          <w:p>
            <w:pPr>
              <w:jc w:val="center"/>
              <w:spacing w:after="0"/>
              <w:rPr>
                <w:sz w:val="20"/>
                <w:szCs w:val="20"/>
                <w:color w:val="auto"/>
              </w:rPr>
            </w:pPr>
            <w:r>
              <w:rPr>
                <w:rFonts w:ascii="Times New Roman" w:cs="Times New Roman" w:eastAsia="Times New Roman" w:hAnsi="Times New Roman"/>
                <w:sz w:val="13"/>
                <w:szCs w:val="13"/>
                <w:color w:val="auto"/>
                <w:w w:val="95"/>
              </w:rPr>
              <w:t>(in thousands, except per ton information)</w:t>
            </w:r>
          </w:p>
        </w:tc>
        <w:tc>
          <w:tcPr>
            <w:tcW w:w="120" w:type="dxa"/>
            <w:vAlign w:val="bottom"/>
          </w:tcPr>
          <w:p>
            <w:pPr>
              <w:spacing w:after="0"/>
              <w:rPr>
                <w:sz w:val="13"/>
                <w:szCs w:val="13"/>
                <w:color w:val="auto"/>
              </w:rPr>
            </w:pPr>
          </w:p>
        </w:tc>
        <w:tc>
          <w:tcPr>
            <w:tcW w:w="920" w:type="dxa"/>
            <w:vAlign w:val="bottom"/>
            <w:tcBorders>
              <w:bottom w:val="single" w:sz="8" w:color="17385E"/>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17385E"/>
            </w:tcBorders>
          </w:tcPr>
          <w:p>
            <w:pPr>
              <w:spacing w:after="0"/>
              <w:rPr>
                <w:sz w:val="13"/>
                <w:szCs w:val="13"/>
                <w:color w:val="auto"/>
              </w:rPr>
            </w:pPr>
          </w:p>
        </w:tc>
        <w:tc>
          <w:tcPr>
            <w:tcW w:w="2200" w:type="dxa"/>
            <w:vAlign w:val="bottom"/>
            <w:tcBorders>
              <w:bottom w:val="single" w:sz="8" w:color="17385E"/>
            </w:tcBorders>
            <w:gridSpan w:val="6"/>
          </w:tcPr>
          <w:p>
            <w:pPr>
              <w:jc w:val="center"/>
              <w:spacing w:after="0"/>
              <w:rPr>
                <w:sz w:val="20"/>
                <w:szCs w:val="20"/>
                <w:color w:val="auto"/>
              </w:rPr>
            </w:pPr>
            <w:r>
              <w:rPr>
                <w:rFonts w:ascii="Times New Roman" w:cs="Times New Roman" w:eastAsia="Times New Roman" w:hAnsi="Times New Roman"/>
                <w:sz w:val="13"/>
                <w:szCs w:val="13"/>
                <w:color w:val="auto"/>
                <w:w w:val="96"/>
              </w:rPr>
              <w:t>(in thousands, except per ton information)</w:t>
            </w:r>
          </w:p>
        </w:tc>
        <w:tc>
          <w:tcPr>
            <w:tcW w:w="120" w:type="dxa"/>
            <w:vAlign w:val="bottom"/>
          </w:tcPr>
          <w:p>
            <w:pPr>
              <w:spacing w:after="0"/>
              <w:rPr>
                <w:sz w:val="13"/>
                <w:szCs w:val="13"/>
                <w:color w:val="auto"/>
              </w:rPr>
            </w:pPr>
          </w:p>
        </w:tc>
        <w:tc>
          <w:tcPr>
            <w:tcW w:w="920" w:type="dxa"/>
            <w:vAlign w:val="bottom"/>
            <w:tcBorders>
              <w:bottom w:val="single" w:sz="8" w:color="17385E"/>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004483"/>
              </w:rPr>
              <w:t>Gross Revenue, including Intersegment</w:t>
            </w:r>
          </w:p>
        </w:tc>
        <w:tc>
          <w:tcPr>
            <w:tcW w:w="880" w:type="dxa"/>
            <w:vAlign w:val="bottom"/>
            <w:gridSpan w:val="2"/>
          </w:tcPr>
          <w:p>
            <w:pPr>
              <w:jc w:val="right"/>
              <w:ind w:right="12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37,813</w:t>
            </w:r>
          </w:p>
        </w:tc>
        <w:tc>
          <w:tcPr>
            <w:tcW w:w="1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gridSpan w:val="2"/>
          </w:tcPr>
          <w:p>
            <w:pPr>
              <w:jc w:val="right"/>
              <w:ind w:right="12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122,360</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004483"/>
              </w:rPr>
              <w:t>Less Intersegment Revenue</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(15,864)</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(15,251)</w:t>
            </w:r>
          </w:p>
        </w:tc>
        <w:tc>
          <w:tcPr>
            <w:tcW w:w="120" w:type="dxa"/>
            <w:vAlign w:val="bottom"/>
            <w:vMerge w:val="continue"/>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(50,432)</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(48,190)</w:t>
            </w:r>
          </w:p>
        </w:tc>
        <w:tc>
          <w:tcPr>
            <w:tcW w:w="12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004483"/>
              </w:rPr>
              <w:t>Gross Revenue, as reported</w:t>
            </w:r>
          </w:p>
        </w:tc>
        <w:tc>
          <w:tcPr>
            <w:tcW w:w="600" w:type="dxa"/>
            <w:vAlign w:val="bottom"/>
          </w:tcPr>
          <w:p>
            <w:pPr>
              <w:spacing w:after="0"/>
              <w:rPr>
                <w:sz w:val="18"/>
                <w:szCs w:val="18"/>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22,562</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74,170</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004483"/>
              </w:rPr>
              <w:t>Freight and Delivery Costs Billed to Customers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20" w:type="dxa"/>
            <w:vAlign w:val="bottom"/>
            <w:vMerge w:val="continue"/>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(4,046)</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12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004483"/>
              </w:rPr>
              <w:t>Net Revenue</w:t>
            </w:r>
          </w:p>
        </w:tc>
        <w:tc>
          <w:tcPr>
            <w:tcW w:w="600" w:type="dxa"/>
            <w:vAlign w:val="bottom"/>
          </w:tcPr>
          <w:p>
            <w:pPr>
              <w:spacing w:after="0"/>
              <w:rPr>
                <w:sz w:val="18"/>
                <w:szCs w:val="18"/>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21,489</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70,763</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A6A6A6"/>
              <w:bottom w:val="single" w:sz="8" w:color="A6A6A6"/>
            </w:tcBorders>
          </w:tcPr>
          <w:p>
            <w:pPr>
              <w:spacing w:after="0"/>
              <w:rPr>
                <w:sz w:val="18"/>
                <w:szCs w:val="18"/>
                <w:color w:val="auto"/>
              </w:rPr>
            </w:pPr>
          </w:p>
        </w:tc>
        <w:tc>
          <w:tcPr>
            <w:tcW w:w="600" w:type="dxa"/>
            <w:vAlign w:val="bottom"/>
            <w:tcBorders>
              <w:top w:val="single" w:sz="8" w:color="A6A6A6"/>
              <w:bottom w:val="single" w:sz="8" w:color="A6A6A6"/>
            </w:tcBorders>
          </w:tcPr>
          <w:p>
            <w:pPr>
              <w:spacing w:after="0"/>
              <w:rPr>
                <w:sz w:val="18"/>
                <w:szCs w:val="18"/>
                <w:color w:val="auto"/>
              </w:rPr>
            </w:pPr>
          </w:p>
        </w:tc>
        <w:tc>
          <w:tcPr>
            <w:tcW w:w="280" w:type="dxa"/>
            <w:vAlign w:val="bottom"/>
            <w:tcBorders>
              <w:top w:val="single" w:sz="8" w:color="A6A6A6"/>
              <w:bottom w:val="single" w:sz="8" w:color="A6A6A6"/>
            </w:tcBorders>
          </w:tcPr>
          <w:p>
            <w:pPr>
              <w:spacing w:after="0"/>
              <w:rPr>
                <w:sz w:val="18"/>
                <w:szCs w:val="18"/>
                <w:color w:val="auto"/>
              </w:rPr>
            </w:pPr>
          </w:p>
        </w:tc>
        <w:tc>
          <w:tcPr>
            <w:tcW w:w="70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80" w:type="dxa"/>
            <w:vAlign w:val="bottom"/>
            <w:tcBorders>
              <w:top w:val="single" w:sz="8" w:color="A6A6A6"/>
              <w:bottom w:val="single" w:sz="8" w:color="A6A6A6"/>
            </w:tcBorders>
          </w:tcPr>
          <w:p>
            <w:pPr>
              <w:spacing w:after="0"/>
              <w:rPr>
                <w:sz w:val="18"/>
                <w:szCs w:val="18"/>
                <w:color w:val="auto"/>
              </w:rPr>
            </w:pPr>
          </w:p>
        </w:tc>
        <w:tc>
          <w:tcPr>
            <w:tcW w:w="70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6A6A6"/>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28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6A6A6"/>
              <w:bottom w:val="single" w:sz="8" w:color="A6A6A6"/>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004483"/>
              </w:rPr>
              <w:t>Sales Volume (M Tons)</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shd w:val="clear" w:color="auto" w:fill="A6A6A6"/>
          </w:tcPr>
          <w:p>
            <w:pPr>
              <w:spacing w:after="0" w:line="20" w:lineRule="exact"/>
              <w:rPr>
                <w:sz w:val="1"/>
                <w:szCs w:val="1"/>
                <w:color w:val="auto"/>
              </w:rPr>
            </w:pPr>
          </w:p>
        </w:tc>
        <w:tc>
          <w:tcPr>
            <w:tcW w:w="88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tcPr>
          <w:p>
            <w:pPr>
              <w:spacing w:after="0" w:line="211" w:lineRule="exact"/>
              <w:rPr>
                <w:sz w:val="20"/>
                <w:szCs w:val="20"/>
                <w:color w:val="auto"/>
              </w:rPr>
            </w:pPr>
            <w:r>
              <w:rPr>
                <w:rFonts w:ascii="Times New Roman" w:cs="Times New Roman" w:eastAsia="Times New Roman" w:hAnsi="Times New Roman"/>
                <w:sz w:val="15"/>
                <w:szCs w:val="15"/>
                <w:color w:val="004483"/>
              </w:rPr>
              <w:t xml:space="preserve">Average Net Sales Price, per ton </w:t>
            </w:r>
            <w:r>
              <w:rPr>
                <w:rFonts w:ascii="Times New Roman" w:cs="Times New Roman" w:eastAsia="Times New Roman" w:hAnsi="Times New Roman"/>
                <w:sz w:val="24"/>
                <w:szCs w:val="24"/>
                <w:color w:val="004483"/>
                <w:vertAlign w:val="superscript"/>
              </w:rPr>
              <w:t>(1)</w:t>
            </w:r>
          </w:p>
        </w:tc>
        <w:tc>
          <w:tcPr>
            <w:tcW w:w="880" w:type="dxa"/>
            <w:vAlign w:val="bottom"/>
            <w:gridSpan w:val="2"/>
          </w:tcPr>
          <w:p>
            <w:pPr>
              <w:jc w:val="right"/>
              <w:ind w:right="12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460.65</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gridSpan w:val="2"/>
          </w:tcPr>
          <w:p>
            <w:pPr>
              <w:jc w:val="right"/>
              <w:ind w:right="12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482.34</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shd w:val="clear" w:color="auto" w:fill="A6A6A6"/>
          </w:tcPr>
          <w:p>
            <w:pPr>
              <w:spacing w:after="0" w:line="20" w:lineRule="exact"/>
              <w:rPr>
                <w:sz w:val="1"/>
                <w:szCs w:val="1"/>
                <w:color w:val="auto"/>
              </w:rPr>
            </w:pPr>
          </w:p>
        </w:tc>
        <w:tc>
          <w:tcPr>
            <w:tcW w:w="88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004483"/>
              </w:rPr>
              <w:t>Freight, per ton</w:t>
            </w:r>
          </w:p>
        </w:tc>
        <w:tc>
          <w:tcPr>
            <w:tcW w:w="880" w:type="dxa"/>
            <w:vAlign w:val="bottom"/>
            <w:gridSpan w:val="2"/>
          </w:tcPr>
          <w:p>
            <w:pPr>
              <w:jc w:val="right"/>
              <w:ind w:right="12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80" w:type="dxa"/>
            <w:vAlign w:val="bottom"/>
            <w:gridSpan w:val="2"/>
          </w:tcPr>
          <w:p>
            <w:pPr>
              <w:jc w:val="right"/>
              <w:ind w:right="12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Borders>
              <w:top w:val="single" w:sz="8" w:color="A6A6A6"/>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Operating Margin, per ton</w:t>
            </w:r>
          </w:p>
        </w:tc>
        <w:tc>
          <w:tcPr>
            <w:tcW w:w="880" w:type="dxa"/>
            <w:vAlign w:val="bottom"/>
            <w:tcBorders>
              <w:top w:val="single" w:sz="8" w:color="A6A6A6"/>
              <w:bottom w:val="single" w:sz="8" w:color="A6A6A6"/>
            </w:tcBorders>
            <w:gridSpan w:val="2"/>
          </w:tcPr>
          <w:p>
            <w:pPr>
              <w:jc w:val="right"/>
              <w:ind w:right="12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90.65</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80" w:type="dxa"/>
            <w:vAlign w:val="bottom"/>
            <w:tcBorders>
              <w:top w:val="single" w:sz="8" w:color="A6A6A6"/>
              <w:bottom w:val="single" w:sz="8" w:color="A6A6A6"/>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112.76</w:t>
            </w:r>
          </w:p>
        </w:tc>
        <w:tc>
          <w:tcPr>
            <w:tcW w:w="120" w:type="dxa"/>
            <w:vAlign w:val="bottom"/>
          </w:tcPr>
          <w:p>
            <w:pPr>
              <w:spacing w:after="0"/>
              <w:rPr>
                <w:sz w:val="18"/>
                <w:szCs w:val="18"/>
                <w:color w:val="auto"/>
              </w:rPr>
            </w:pPr>
          </w:p>
        </w:tc>
        <w:tc>
          <w:tcPr>
            <w:tcW w:w="92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6A6A6"/>
              <w:bottom w:val="single" w:sz="8" w:color="A6A6A6"/>
            </w:tcBorders>
            <w:gridSpan w:val="2"/>
          </w:tcPr>
          <w:p>
            <w:pPr>
              <w:jc w:val="right"/>
              <w:ind w:right="12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85.22</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A6A6A6"/>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117.65</w:t>
            </w:r>
          </w:p>
        </w:tc>
        <w:tc>
          <w:tcPr>
            <w:tcW w:w="120" w:type="dxa"/>
            <w:vAlign w:val="bottom"/>
          </w:tcPr>
          <w:p>
            <w:pPr>
              <w:spacing w:after="0"/>
              <w:rPr>
                <w:sz w:val="18"/>
                <w:szCs w:val="18"/>
                <w:color w:val="auto"/>
              </w:rPr>
            </w:pPr>
          </w:p>
        </w:tc>
        <w:tc>
          <w:tcPr>
            <w:tcW w:w="920" w:type="dxa"/>
            <w:vAlign w:val="bottom"/>
            <w:tcBorders>
              <w:top w:val="single" w:sz="8" w:color="A6A6A6"/>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Operating Earnings</w:t>
            </w:r>
          </w:p>
        </w:tc>
        <w:tc>
          <w:tcPr>
            <w:tcW w:w="880" w:type="dxa"/>
            <w:vAlign w:val="bottom"/>
            <w:tcBorders>
              <w:bottom w:val="single" w:sz="8" w:color="A6A6A6"/>
            </w:tcBorders>
            <w:gridSpan w:val="2"/>
          </w:tcPr>
          <w:p>
            <w:pPr>
              <w:jc w:val="right"/>
              <w:ind w:right="12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7,161</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9,021</w:t>
            </w:r>
          </w:p>
        </w:tc>
        <w:tc>
          <w:tcPr>
            <w:tcW w:w="120" w:type="dxa"/>
            <w:vAlign w:val="bottom"/>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6A6A6"/>
            </w:tcBorders>
            <w:gridSpan w:val="2"/>
          </w:tcPr>
          <w:p>
            <w:pPr>
              <w:jc w:val="right"/>
              <w:ind w:right="12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20,708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29,060</w:t>
            </w:r>
          </w:p>
        </w:tc>
        <w:tc>
          <w:tcPr>
            <w:tcW w:w="120" w:type="dxa"/>
            <w:vAlign w:val="bottom"/>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(1) Net of freight per ton.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2020</w:t>
      </w:r>
    </w:p>
    <w:p>
      <w:pPr>
        <w:spacing w:after="0" w:line="128" w:lineRule="exact"/>
        <w:rPr>
          <w:sz w:val="20"/>
          <w:szCs w:val="20"/>
          <w:color w:val="auto"/>
        </w:rPr>
      </w:pPr>
    </w:p>
    <w:p>
      <w:pPr>
        <w:ind w:right="160"/>
        <w:spacing w:after="0" w:line="306" w:lineRule="auto"/>
        <w:rPr>
          <w:sz w:val="20"/>
          <w:szCs w:val="20"/>
          <w:color w:val="auto"/>
        </w:rPr>
      </w:pPr>
      <w:r>
        <w:rPr>
          <w:rFonts w:ascii="Arial" w:cs="Arial" w:eastAsia="Arial" w:hAnsi="Arial"/>
          <w:sz w:val="17"/>
          <w:szCs w:val="17"/>
          <w:color w:val="auto"/>
        </w:rPr>
        <w:t>Recycled Paperboard Revenue increased 5% to $39.6 million during the three months ended December 31, 2020. The increase in Revenue was due to higher gross sales prices, which positively affected Revenue by $2.2 million, partially offset by decreased Sales Volume, which lowered Revenue by $0.4 million. Higher gross sales prices were due to the pricing provisions in our long-term sales agreements.</w:t>
      </w:r>
    </w:p>
    <w:p>
      <w:pPr>
        <w:spacing w:after="0" w:line="43"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Operating Earnings decreased 21% to $7.2 million, primarily because of the higher operating expenses, which negatively affected Operating Earnings by $4.0 million, partially offset by higher gross sales prices of $2.2 million. The increase in operating costs was primarily due to input costs and depreciation, which increased approximately $2.9 million and $1.3 million, respectively, partially offset by lower energy costs of $0.3 million. Operating margin decreased to 18% from 24%, primarily because of higher operating costs, partially offset by higher gross sales prices.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31, 2020</w:t>
      </w:r>
    </w:p>
    <w:p>
      <w:pPr>
        <w:spacing w:after="0" w:line="128" w:lineRule="exact"/>
        <w:rPr>
          <w:sz w:val="20"/>
          <w:szCs w:val="20"/>
          <w:color w:val="auto"/>
        </w:rPr>
      </w:pPr>
    </w:p>
    <w:p>
      <w:pPr>
        <w:jc w:val="both"/>
        <w:ind w:right="220"/>
        <w:spacing w:after="0" w:line="283" w:lineRule="auto"/>
        <w:rPr>
          <w:sz w:val="20"/>
          <w:szCs w:val="20"/>
          <w:color w:val="auto"/>
        </w:rPr>
      </w:pPr>
      <w:r>
        <w:rPr>
          <w:rFonts w:ascii="Arial" w:cs="Arial" w:eastAsia="Arial" w:hAnsi="Arial"/>
          <w:sz w:val="18"/>
          <w:szCs w:val="18"/>
          <w:color w:val="auto"/>
        </w:rPr>
        <w:t>Recycled Paperboard Revenue was flat at $122.4 million during the nine months ended December 31, 2020, with higher gross sales prices increasing Revenue by $2.0 million and lower Sales Volume reducing Revenue by the same amount. Higher gross sales prices were due to the pricing provisions in our long-term sales agreements.</w:t>
      </w:r>
    </w:p>
    <w:p>
      <w:pPr>
        <w:spacing w:after="0" w:line="59"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Operating Earnings declined 29% to $20.7 million, primarily related to an increase in operating costs and a decrease in Sales Volume, which adversely affected Operating Earnings by approximately $9.9 million and $0.5 million, respectively. This was partially offset by increased gross sales prices of $2.0 million. The increase in operating costs was primarily due to operating inefficiencies in April and May related to the start-up of the paper mill after the completion of the project to enhance and expand the mill, as well as higher input costs, namely fiber and depreciation, which lowered Operating Earnings by approximately $2.1 million, $6.0 million and $3.7, respectively. This was partially offset by lower energy costs of approximately $1.7 million. Operating margin decreased to 17% from 24%, primarily because of higher operating costs and lower gross sales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97"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0"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adopt accounting policies and make significant judgments and estimates to develop amounts reflected and disclosed in the financial statements. In many cases, there are alternative policies or estimation techniques that could be used. We maintain a thorough process to review the application of our accounting policies and to evaluate the appropriateness of the many estimates that are required to prepare our financial statements. However, even under optimal circumstances, estimates routinely require adjustment based on changing circumstances and the receipt of new or better information.</w:t>
      </w:r>
    </w:p>
    <w:p>
      <w:pPr>
        <w:spacing w:after="0" w:line="7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Information regarding our Critical Accounting Policies can be found in our Annual Report. The three critical accounting policies that we believe either require the use of the most judgment, or the selection or application of alternative accounting policies, and are material to our financial statements, are those relating to long-lived assets, goodwill, and business combinations. Management has discussed the development and selection of these Critical Accounting Policies and estimates with the Audit Committee of our Board of Directors and with our independent registered public accounting firm. In addition, Note (A) to the financial statements in our Annual Report contains a summary of our significant accounting policies.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8"/>
          <w:szCs w:val="18"/>
          <w:color w:val="auto"/>
        </w:rPr>
        <w:t>Refer to Footnote (A) in the Notes to Unaudited Consolidated Financial Statements of this Form 10-Q for information regarding recently issued accounting pronouncements that may affect our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Notwithstanding the anticipated challenges associated with COVID-19, we believe at this time we have access to sufficient financial resources from our liquidity sources to fund our business and operations, including contractual obligations, capital expenditures, and debt service obligations. We will continue to monitor the impact of COVID-19 on the economy, and on our operations and future liquidity needs, as a continued worldwide disruption of economic activity could materially affect our future access to these sources of liquidity. Please see the Debt Financing Activities section for a discussion of our cash position, credit facility, and the amount of borrowings available to us in the next twelve-month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flows: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shd w:val="clear" w:color="auto" w:fill="004483"/>
          </w:tcPr>
          <w:p>
            <w:pPr>
              <w:spacing w:after="0"/>
              <w:rPr>
                <w:sz w:val="19"/>
                <w:szCs w:val="19"/>
                <w:color w:val="auto"/>
              </w:rPr>
            </w:pPr>
          </w:p>
        </w:tc>
        <w:tc>
          <w:tcPr>
            <w:tcW w:w="2680" w:type="dxa"/>
            <w:vAlign w:val="bottom"/>
            <w:gridSpan w:val="4"/>
            <w:shd w:val="clear" w:color="auto" w:fill="004483"/>
          </w:tcPr>
          <w:p>
            <w:pPr>
              <w:jc w:val="right"/>
              <w:spacing w:after="0"/>
              <w:rPr>
                <w:sz w:val="20"/>
                <w:szCs w:val="20"/>
                <w:color w:val="auto"/>
              </w:rPr>
            </w:pPr>
            <w:r>
              <w:rPr>
                <w:rFonts w:ascii="Times New Roman" w:cs="Times New Roman" w:eastAsia="Times New Roman" w:hAnsi="Times New Roman"/>
                <w:sz w:val="13"/>
                <w:szCs w:val="13"/>
                <w:b w:val="1"/>
                <w:bCs w:val="1"/>
                <w:color w:val="FFFFFF"/>
              </w:rPr>
              <w:t>For the Nine Months Ended December 31,</w:t>
            </w:r>
          </w:p>
        </w:tc>
        <w:tc>
          <w:tcPr>
            <w:tcW w:w="700" w:type="dxa"/>
            <w:vAlign w:val="bottom"/>
            <w:shd w:val="clear" w:color="auto" w:fill="004483"/>
          </w:tcPr>
          <w:p>
            <w:pPr>
              <w:spacing w:after="0"/>
              <w:rPr>
                <w:sz w:val="19"/>
                <w:szCs w:val="19"/>
                <w:color w:val="auto"/>
              </w:rPr>
            </w:pPr>
          </w:p>
        </w:tc>
        <w:tc>
          <w:tcPr>
            <w:tcW w:w="100" w:type="dxa"/>
            <w:vAlign w:val="bottom"/>
            <w:shd w:val="clear" w:color="auto" w:fill="004483"/>
          </w:tcPr>
          <w:p>
            <w:pPr>
              <w:spacing w:after="0"/>
              <w:rPr>
                <w:sz w:val="19"/>
                <w:szCs w:val="19"/>
                <w:color w:val="auto"/>
              </w:rPr>
            </w:pPr>
          </w:p>
        </w:tc>
      </w:tr>
      <w:tr>
        <w:trPr>
          <w:trHeight w:val="143"/>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5980" w:type="dxa"/>
            <w:vAlign w:val="bottom"/>
            <w:tcBorders>
              <w:bottom w:val="single" w:sz="8" w:color="004483"/>
            </w:tcBorders>
          </w:tcPr>
          <w:p>
            <w:pPr>
              <w:spacing w:after="0"/>
              <w:rPr>
                <w:sz w:val="13"/>
                <w:szCs w:val="13"/>
                <w:color w:val="auto"/>
              </w:rPr>
            </w:pPr>
          </w:p>
        </w:tc>
        <w:tc>
          <w:tcPr>
            <w:tcW w:w="1320" w:type="dxa"/>
            <w:vAlign w:val="bottom"/>
            <w:tcBorders>
              <w:bottom w:val="single" w:sz="8" w:color="004483"/>
            </w:tcBorders>
          </w:tcPr>
          <w:p>
            <w:pPr>
              <w:spacing w:after="0"/>
              <w:rPr>
                <w:sz w:val="13"/>
                <w:szCs w:val="13"/>
                <w:color w:val="auto"/>
              </w:rPr>
            </w:pPr>
          </w:p>
        </w:tc>
        <w:tc>
          <w:tcPr>
            <w:tcW w:w="440" w:type="dxa"/>
            <w:vAlign w:val="bottom"/>
            <w:tcBorders>
              <w:bottom w:val="single" w:sz="8" w:color="004483"/>
            </w:tcBorders>
          </w:tcPr>
          <w:p>
            <w:pPr>
              <w:spacing w:after="0"/>
              <w:rPr>
                <w:sz w:val="13"/>
                <w:szCs w:val="13"/>
                <w:color w:val="auto"/>
              </w:rPr>
            </w:pPr>
          </w:p>
        </w:tc>
        <w:tc>
          <w:tcPr>
            <w:tcW w:w="2680" w:type="dxa"/>
            <w:vAlign w:val="bottom"/>
            <w:tcBorders>
              <w:bottom w:val="single" w:sz="8" w:color="004483"/>
            </w:tcBorders>
            <w:gridSpan w:val="4"/>
          </w:tcPr>
          <w:p>
            <w:pPr>
              <w:jc w:val="right"/>
              <w:ind w:right="600"/>
              <w:spacing w:after="0"/>
              <w:rPr>
                <w:sz w:val="20"/>
                <w:szCs w:val="20"/>
                <w:color w:val="auto"/>
              </w:rPr>
            </w:pPr>
            <w:r>
              <w:rPr>
                <w:rFonts w:ascii="Times New Roman" w:cs="Times New Roman" w:eastAsia="Times New Roman" w:hAnsi="Times New Roman"/>
                <w:sz w:val="13"/>
                <w:szCs w:val="13"/>
                <w:color w:val="auto"/>
              </w:rPr>
              <w:t>(dollars in thousands)</w:t>
            </w:r>
          </w:p>
        </w:tc>
        <w:tc>
          <w:tcPr>
            <w:tcW w:w="70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r>
      <w:tr>
        <w:trPr>
          <w:trHeight w:val="206"/>
        </w:trPr>
        <w:tc>
          <w:tcPr>
            <w:tcW w:w="20" w:type="dxa"/>
            <w:vAlign w:val="bottom"/>
          </w:tcPr>
          <w:p>
            <w:pPr>
              <w:spacing w:after="0"/>
              <w:rPr>
                <w:sz w:val="17"/>
                <w:szCs w:val="17"/>
                <w:color w:val="auto"/>
              </w:rPr>
            </w:pPr>
          </w:p>
        </w:tc>
        <w:tc>
          <w:tcPr>
            <w:tcW w:w="598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760" w:type="dxa"/>
            <w:vAlign w:val="bottom"/>
            <w:tcBorders>
              <w:bottom w:val="single" w:sz="8" w:color="A6A6A6"/>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542,017</w:t>
            </w: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320,619</w:t>
            </w: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98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004483"/>
              </w:rPr>
              <w:t>Investing Activities:</w:t>
            </w:r>
          </w:p>
        </w:tc>
        <w:tc>
          <w:tcPr>
            <w:tcW w:w="132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598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Additions to Property, Plant, and Equipment</w:t>
            </w:r>
          </w:p>
        </w:tc>
        <w:tc>
          <w:tcPr>
            <w:tcW w:w="1320" w:type="dxa"/>
            <w:vAlign w:val="bottom"/>
            <w:tcBorders>
              <w:bottom w:val="single" w:sz="8" w:color="A6A6A6"/>
            </w:tcBorders>
          </w:tcPr>
          <w:p>
            <w:pPr>
              <w:spacing w:after="0"/>
              <w:rPr>
                <w:sz w:val="17"/>
                <w:szCs w:val="17"/>
                <w:color w:val="auto"/>
              </w:rPr>
            </w:pPr>
          </w:p>
        </w:tc>
        <w:tc>
          <w:tcPr>
            <w:tcW w:w="440" w:type="dxa"/>
            <w:vAlign w:val="bottom"/>
            <w:tcBorders>
              <w:bottom w:val="single" w:sz="8" w:color="A6A6A6"/>
            </w:tcBorders>
          </w:tcPr>
          <w:p>
            <w:pPr>
              <w:spacing w:after="0"/>
              <w:rPr>
                <w:sz w:val="17"/>
                <w:szCs w:val="17"/>
                <w:color w:val="auto"/>
              </w:rPr>
            </w:pPr>
          </w:p>
        </w:tc>
        <w:tc>
          <w:tcPr>
            <w:tcW w:w="13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(45,541)</w:t>
            </w: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(84,056)</w:t>
            </w: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98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Acquisition Spending</w:t>
            </w:r>
          </w:p>
        </w:tc>
        <w:tc>
          <w:tcPr>
            <w:tcW w:w="132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(30,424)</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8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Proceeds from Sale of Businesses</w:t>
            </w:r>
          </w:p>
        </w:tc>
        <w:tc>
          <w:tcPr>
            <w:tcW w:w="1320" w:type="dxa"/>
            <w:vAlign w:val="bottom"/>
            <w:tcBorders>
              <w:bottom w:val="single" w:sz="8" w:color="A6A6A6"/>
            </w:tcBorders>
          </w:tcPr>
          <w:p>
            <w:pPr>
              <w:spacing w:after="0"/>
              <w:rPr>
                <w:sz w:val="18"/>
                <w:szCs w:val="18"/>
                <w:color w:val="auto"/>
              </w:rPr>
            </w:pPr>
          </w:p>
        </w:tc>
        <w:tc>
          <w:tcPr>
            <w:tcW w:w="440" w:type="dxa"/>
            <w:vAlign w:val="bottom"/>
            <w:tcBorders>
              <w:bottom w:val="single" w:sz="8" w:color="004483"/>
            </w:tcBorders>
          </w:tcPr>
          <w:p>
            <w:pPr>
              <w:spacing w:after="0"/>
              <w:rPr>
                <w:sz w:val="18"/>
                <w:szCs w:val="18"/>
                <w:color w:val="auto"/>
              </w:rPr>
            </w:pPr>
          </w:p>
        </w:tc>
        <w:tc>
          <w:tcPr>
            <w:tcW w:w="13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91,022</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004483"/>
            </w:tcBorders>
          </w:tcPr>
          <w:p>
            <w:pPr>
              <w:spacing w:after="0"/>
              <w:rPr>
                <w:sz w:val="18"/>
                <w:szCs w:val="18"/>
                <w:color w:val="auto"/>
              </w:rPr>
            </w:pPr>
          </w:p>
        </w:tc>
        <w:tc>
          <w:tcPr>
            <w:tcW w:w="7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98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320" w:type="dxa"/>
            <w:vAlign w:val="bottom"/>
            <w:tcBorders>
              <w:bottom w:val="single" w:sz="8" w:color="A6A6A6"/>
            </w:tcBorders>
          </w:tcPr>
          <w:p>
            <w:pPr>
              <w:spacing w:after="0"/>
              <w:rPr>
                <w:sz w:val="18"/>
                <w:szCs w:val="18"/>
                <w:color w:val="auto"/>
              </w:rPr>
            </w:pPr>
          </w:p>
        </w:tc>
        <w:tc>
          <w:tcPr>
            <w:tcW w:w="440" w:type="dxa"/>
            <w:vAlign w:val="bottom"/>
            <w:tcBorders>
              <w:bottom w:val="single" w:sz="8" w:color="004483"/>
            </w:tcBorders>
          </w:tcPr>
          <w:p>
            <w:pPr>
              <w:spacing w:after="0"/>
              <w:rPr>
                <w:sz w:val="18"/>
                <w:szCs w:val="18"/>
                <w:color w:val="auto"/>
              </w:rPr>
            </w:pPr>
          </w:p>
        </w:tc>
        <w:tc>
          <w:tcPr>
            <w:tcW w:w="13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45,481</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004483"/>
            </w:tcBorders>
          </w:tcPr>
          <w:p>
            <w:pPr>
              <w:spacing w:after="0"/>
              <w:rPr>
                <w:sz w:val="18"/>
                <w:szCs w:val="18"/>
                <w:color w:val="auto"/>
              </w:rPr>
            </w:pPr>
          </w:p>
        </w:tc>
        <w:tc>
          <w:tcPr>
            <w:tcW w:w="7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(114,480)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8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004483"/>
              </w:rPr>
              <w:t>Financing Activities:</w:t>
            </w:r>
          </w:p>
        </w:tc>
        <w:tc>
          <w:tcPr>
            <w:tcW w:w="132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598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Increase (Decrease) in Credit Facility</w:t>
            </w:r>
          </w:p>
        </w:tc>
        <w:tc>
          <w:tcPr>
            <w:tcW w:w="1320" w:type="dxa"/>
            <w:vAlign w:val="bottom"/>
            <w:tcBorders>
              <w:bottom w:val="single" w:sz="8" w:color="A6A6A6"/>
            </w:tcBorders>
          </w:tcPr>
          <w:p>
            <w:pPr>
              <w:spacing w:after="0"/>
              <w:rPr>
                <w:sz w:val="17"/>
                <w:szCs w:val="17"/>
                <w:color w:val="auto"/>
              </w:rPr>
            </w:pPr>
          </w:p>
        </w:tc>
        <w:tc>
          <w:tcPr>
            <w:tcW w:w="440" w:type="dxa"/>
            <w:vAlign w:val="bottom"/>
            <w:tcBorders>
              <w:bottom w:val="single" w:sz="8" w:color="A6A6A6"/>
            </w:tcBorders>
          </w:tcPr>
          <w:p>
            <w:pPr>
              <w:spacing w:after="0"/>
              <w:rPr>
                <w:sz w:val="17"/>
                <w:szCs w:val="17"/>
                <w:color w:val="auto"/>
              </w:rPr>
            </w:pPr>
          </w:p>
        </w:tc>
        <w:tc>
          <w:tcPr>
            <w:tcW w:w="13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(560,000)</w:t>
            </w: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108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98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Repayment of Private Placement Senior Unsecured Notes</w:t>
            </w:r>
          </w:p>
        </w:tc>
        <w:tc>
          <w:tcPr>
            <w:tcW w:w="132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(36,500)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8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Dividends Paid to Stockholders</w:t>
            </w:r>
          </w:p>
        </w:tc>
        <w:tc>
          <w:tcPr>
            <w:tcW w:w="132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(13,131)</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8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Purchase and Retirement of Common Stock</w:t>
            </w:r>
          </w:p>
        </w:tc>
        <w:tc>
          <w:tcPr>
            <w:tcW w:w="132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(313,887)</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8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Proceeds from Stock Option Exercises</w:t>
            </w:r>
          </w:p>
        </w:tc>
        <w:tc>
          <w:tcPr>
            <w:tcW w:w="132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8,649</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8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Payment of Debt Issuance Costs</w:t>
            </w:r>
          </w:p>
        </w:tc>
        <w:tc>
          <w:tcPr>
            <w:tcW w:w="132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80" w:type="dxa"/>
            <w:vAlign w:val="bottom"/>
            <w:tcBorders>
              <w:bottom w:val="single" w:sz="8" w:color="A6A6A6"/>
            </w:tcBorders>
          </w:tcPr>
          <w:p>
            <w:pPr>
              <w:ind w:left="240"/>
              <w:spacing w:after="0"/>
              <w:rPr>
                <w:sz w:val="20"/>
                <w:szCs w:val="20"/>
                <w:color w:val="auto"/>
              </w:rPr>
            </w:pPr>
            <w:r>
              <w:rPr>
                <w:rFonts w:ascii="Times New Roman" w:cs="Times New Roman" w:eastAsia="Times New Roman" w:hAnsi="Times New Roman"/>
                <w:sz w:val="16"/>
                <w:szCs w:val="16"/>
                <w:color w:val="004483"/>
              </w:rPr>
              <w:t>Shares Redeemed to Settle Employee Taxes on Stock Compensation</w:t>
            </w:r>
          </w:p>
        </w:tc>
        <w:tc>
          <w:tcPr>
            <w:tcW w:w="1320" w:type="dxa"/>
            <w:vAlign w:val="bottom"/>
            <w:tcBorders>
              <w:bottom w:val="single" w:sz="8" w:color="A6A6A6"/>
            </w:tcBorders>
          </w:tcPr>
          <w:p>
            <w:pPr>
              <w:spacing w:after="0"/>
              <w:rPr>
                <w:sz w:val="18"/>
                <w:szCs w:val="18"/>
                <w:color w:val="auto"/>
              </w:rPr>
            </w:pPr>
          </w:p>
        </w:tc>
        <w:tc>
          <w:tcPr>
            <w:tcW w:w="440" w:type="dxa"/>
            <w:vAlign w:val="bottom"/>
            <w:tcBorders>
              <w:bottom w:val="single" w:sz="8" w:color="004483"/>
            </w:tcBorders>
          </w:tcPr>
          <w:p>
            <w:pPr>
              <w:spacing w:after="0"/>
              <w:rPr>
                <w:sz w:val="18"/>
                <w:szCs w:val="18"/>
                <w:color w:val="auto"/>
              </w:rPr>
            </w:pPr>
          </w:p>
        </w:tc>
        <w:tc>
          <w:tcPr>
            <w:tcW w:w="13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004483"/>
            </w:tcBorders>
          </w:tcPr>
          <w:p>
            <w:pPr>
              <w:spacing w:after="0"/>
              <w:rPr>
                <w:sz w:val="18"/>
                <w:szCs w:val="18"/>
                <w:color w:val="auto"/>
              </w:rPr>
            </w:pPr>
          </w:p>
        </w:tc>
        <w:tc>
          <w:tcPr>
            <w:tcW w:w="7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98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320" w:type="dxa"/>
            <w:vAlign w:val="bottom"/>
            <w:tcBorders>
              <w:bottom w:val="single" w:sz="8" w:color="A6A6A6"/>
            </w:tcBorders>
          </w:tcPr>
          <w:p>
            <w:pPr>
              <w:spacing w:after="0"/>
              <w:rPr>
                <w:sz w:val="18"/>
                <w:szCs w:val="18"/>
                <w:color w:val="auto"/>
              </w:rPr>
            </w:pPr>
          </w:p>
        </w:tc>
        <w:tc>
          <w:tcPr>
            <w:tcW w:w="440" w:type="dxa"/>
            <w:vAlign w:val="bottom"/>
            <w:tcBorders>
              <w:bottom w:val="single" w:sz="8" w:color="004483"/>
            </w:tcBorders>
          </w:tcPr>
          <w:p>
            <w:pPr>
              <w:spacing w:after="0"/>
              <w:rPr>
                <w:sz w:val="18"/>
                <w:szCs w:val="18"/>
                <w:color w:val="auto"/>
              </w:rPr>
            </w:pPr>
          </w:p>
        </w:tc>
        <w:tc>
          <w:tcPr>
            <w:tcW w:w="13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(558,362)</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80" w:type="dxa"/>
            <w:vAlign w:val="bottom"/>
            <w:tcBorders>
              <w:bottom w:val="single" w:sz="8" w:color="004483"/>
            </w:tcBorders>
          </w:tcPr>
          <w:p>
            <w:pPr>
              <w:spacing w:after="0"/>
              <w:rPr>
                <w:sz w:val="18"/>
                <w:szCs w:val="18"/>
                <w:color w:val="auto"/>
              </w:rPr>
            </w:pPr>
          </w:p>
        </w:tc>
        <w:tc>
          <w:tcPr>
            <w:tcW w:w="7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(88,485)</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1320" w:type="dxa"/>
            <w:vAlign w:val="bottom"/>
          </w:tcPr>
          <w:p>
            <w:pPr>
              <w:spacing w:after="0"/>
              <w:rPr>
                <w:sz w:val="18"/>
                <w:szCs w:val="18"/>
                <w:color w:val="auto"/>
              </w:rPr>
            </w:pPr>
          </w:p>
        </w:tc>
        <w:tc>
          <w:tcPr>
            <w:tcW w:w="440" w:type="dxa"/>
            <w:vAlign w:val="bottom"/>
            <w:tcBorders>
              <w:bottom w:val="single" w:sz="8" w:color="004483"/>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29,136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bottom w:val="single" w:sz="8" w:color="004483"/>
            </w:tcBorders>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117,654</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3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37" w:name="page38"/>
    <w:bookmarkEnd w:id="37"/>
    <w:p>
      <w:pPr>
        <w:ind w:right="60"/>
        <w:spacing w:after="0" w:line="271" w:lineRule="auto"/>
        <w:rPr>
          <w:sz w:val="20"/>
          <w:szCs w:val="20"/>
          <w:color w:val="auto"/>
        </w:rPr>
      </w:pPr>
      <w:r>
        <w:rPr>
          <w:rFonts w:ascii="Arial" w:cs="Arial" w:eastAsia="Arial" w:hAnsi="Arial"/>
          <w:sz w:val="18"/>
          <w:szCs w:val="18"/>
          <w:color w:val="auto"/>
        </w:rPr>
        <w:t>Net Cash Provided by Operating Activities increased by $221.4 million to $542.0 million during the nine months ended December 31, 2020. This increase was primarily attributable to higher Net Earnings after adjustments for non-cash charges and Gain on Sale of Businesses, higher dividends from our Joint Venture, and a reduction in the change of working capital, which increased cash flows by approximately $89.3 million, $2.0 million, and $130.1 million, respectively. The change in working capital was primarily due to receiving income tax refunds of approximately $126.5 million that were included in receivables at March 31, 2020. Net Cash Provided by Operating Activities was also positively affected by $45.0 million from the reduction of deferred tax liabilities related to the sale of the Oil and Gas Proppants business.</w:t>
      </w:r>
    </w:p>
    <w:p>
      <w:pPr>
        <w:spacing w:after="0" w:line="72"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Working capital declined by $143.0 million to $365.5 million at December 31, 2020, primarily because of lower Accounts and Notes Receivable, Inventories, and Income Tax Receivables of approximately $3.3 million, $43.4 million and $126.5 million, respectively. This was partially offset by higher Cash and Restricted Cash of approximately $24.5 million and $5.0 million, respectively. The reduction in Inventory was due to increased Revenue and the seasonal nature of our business. The decrease in Income Tax Receivables and increase in Cash was due primarily to receiving our income tax refund during July 2020.</w:t>
      </w:r>
    </w:p>
    <w:p>
      <w:pPr>
        <w:spacing w:after="0" w:line="69"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The decrease in Accounts and Notes Receivable at December 31, 2020, was primarily due to improved collection efforts that reduced our overall days sales outstanding. As a percentage of quarterly sales generated for the respective quarter, Accounts Receivable was approximately 35% at December 31, 2020 and 48% at March 31, 2020. Management measures the change in Accounts Receivable by monitoring the days sales outstanding on a monthly basis to determine if any deterioration has occurred in the collectability of the Accounts Receivable. No significant deterioration in the collectability of our Accounts Receivable was identified at December 31, 2020. Notes Receivable are monitored on an individual basis, and no significant deterioration in the collectability of our Notes Receivable was identified at December 31, 2020. We are closely monitoring the impact of COVID-19 on our customers’ ability to pay their outstanding balances.</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Inventory balance at December 31, 2020 declined by approximately $43.4 million from our balance at March 31, 2020. Within Inventory, raw materials and materials-in-progress, finished cement, and aggregates decreased approximately $34.8 million, $8.6 million, and $5.1 million, respectively. The decline in raw materials and materials-in-progress and cement is consistent with our business cycle: we generally build up clinker inventory over the winter months to meet the demand in the spring and summer. The reduction in aggregates inventory was primarily due to the sale of Western, which had approximately $5.1 million of aggregate inventory at the date of sale. This was partially offset by an increase of $4.0 million in repair parts. The increase in repair parts is primarily due to the build-up of inventory necessary for our scheduled outages over the next several months. The largest individual balance in our Inventory is our repair parts. These parts are necessary given the size and complexity of our manufacturing plants, as well as the age of certain of our plants, which creates the need to stock a high level of repair parts inventory. We believe all of these repair parts are necessary, and we perform semi-annual analyses to identify obsolete parts. We have less than one year’s sales of all product inventories, and our inventories have a low risk of obsolescence because our products are basic construction materials.</w:t>
      </w:r>
    </w:p>
    <w:p>
      <w:pPr>
        <w:spacing w:after="0" w:line="72"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Net Cash Provided by Investing Activities during the nine months ended December 31, 2020 was approximately $45.5 million, compared with Net Cash Used in Investing Activities of $114.5 million during the same period in 2019, an increase of approximately $160.0 million. The increase was primarily due to the $91.0 million of cash received for the sale of businesses, and reductions in capital spending and acquisition spending of $38.6 million and $30.4 million, respectively. The decrease in capital spending was due to our focus on limiting capital expenditures to critical maintenance and safety and regulatory projects as we manage our cash flow in response to COVID-19.</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99" w:right="359" w:bottom="1440" w:gutter="0" w:footer="0" w:header="0"/>
        </w:sectPr>
      </w:pPr>
    </w:p>
    <w:bookmarkStart w:id="38" w:name="page39"/>
    <w:bookmarkEnd w:id="38"/>
    <w:p>
      <w:pPr>
        <w:ind w:right="20"/>
        <w:spacing w:after="0" w:line="276" w:lineRule="auto"/>
        <w:rPr>
          <w:sz w:val="20"/>
          <w:szCs w:val="20"/>
          <w:color w:val="auto"/>
        </w:rPr>
      </w:pPr>
      <w:r>
        <w:rPr>
          <w:rFonts w:ascii="Arial" w:cs="Arial" w:eastAsia="Arial" w:hAnsi="Arial"/>
          <w:sz w:val="18"/>
          <w:szCs w:val="18"/>
          <w:color w:val="auto"/>
        </w:rPr>
        <w:t>Net Cash Used in Financing Activities was approximately $558.4 million during the nine months ended December 31, 2020, compared with $88.5 million in the similar period in fiscal 2020. The $469.9 million increase was primarily due to the $560.0 million reduction in net borrowings compared with the $238.5 million increase in net borrowings in fiscal 2020, as well as a $313.9 million reduction in repurchase and retirement of common stock.</w:t>
      </w:r>
    </w:p>
    <w:p>
      <w:pPr>
        <w:spacing w:after="0" w:line="67" w:lineRule="exact"/>
        <w:rPr>
          <w:sz w:val="20"/>
          <w:szCs w:val="20"/>
          <w:color w:val="auto"/>
        </w:rPr>
      </w:pPr>
    </w:p>
    <w:p>
      <w:pPr>
        <w:ind w:right="40"/>
        <w:spacing w:after="0" w:line="302" w:lineRule="auto"/>
        <w:rPr>
          <w:sz w:val="20"/>
          <w:szCs w:val="20"/>
          <w:color w:val="auto"/>
        </w:rPr>
      </w:pPr>
      <w:r>
        <w:rPr>
          <w:rFonts w:ascii="Arial" w:cs="Arial" w:eastAsia="Arial" w:hAnsi="Arial"/>
          <w:sz w:val="18"/>
          <w:szCs w:val="18"/>
          <w:color w:val="auto"/>
        </w:rPr>
        <w:t>Our debt-to-capitalization ratio and net-debt-to-capitalization ratio were 44.6% and 40.9%, respectively, at December 31, 2020, compared with 61.7% and 60.0%, respectively, at March 31,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Financing Activities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Company’s debt facilities at December 31, 2020:</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240" w:type="dxa"/>
            <w:vAlign w:val="bottom"/>
            <w:tcBorders>
              <w:bottom w:val="single" w:sz="8" w:color="004483"/>
            </w:tcBorders>
          </w:tcPr>
          <w:p>
            <w:pPr>
              <w:spacing w:after="0"/>
              <w:rPr>
                <w:sz w:val="13"/>
                <w:szCs w:val="13"/>
                <w:color w:val="auto"/>
              </w:rPr>
            </w:pPr>
          </w:p>
        </w:tc>
        <w:tc>
          <w:tcPr>
            <w:tcW w:w="498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Maturity</w:t>
            </w:r>
          </w:p>
        </w:tc>
      </w:tr>
      <w:tr>
        <w:trPr>
          <w:trHeight w:val="205"/>
        </w:trPr>
        <w:tc>
          <w:tcPr>
            <w:tcW w:w="20" w:type="dxa"/>
            <w:vAlign w:val="bottom"/>
            <w:tcBorders>
              <w:bottom w:val="single" w:sz="8" w:color="A6A6A6"/>
            </w:tcBorders>
          </w:tcPr>
          <w:p>
            <w:pPr>
              <w:spacing w:after="0"/>
              <w:rPr>
                <w:sz w:val="17"/>
                <w:szCs w:val="17"/>
                <w:color w:val="auto"/>
              </w:rPr>
            </w:pPr>
          </w:p>
        </w:tc>
        <w:tc>
          <w:tcPr>
            <w:tcW w:w="624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Revolving Credit Facility</w:t>
            </w:r>
          </w:p>
        </w:tc>
        <w:tc>
          <w:tcPr>
            <w:tcW w:w="49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August 2022</w:t>
            </w:r>
          </w:p>
        </w:tc>
      </w:tr>
      <w:tr>
        <w:trPr>
          <w:trHeight w:val="208"/>
        </w:trPr>
        <w:tc>
          <w:tcPr>
            <w:tcW w:w="626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4.500% Senior Unsecured Notes</w:t>
            </w:r>
          </w:p>
        </w:tc>
        <w:tc>
          <w:tcPr>
            <w:tcW w:w="49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August 2026</w:t>
            </w:r>
          </w:p>
        </w:tc>
      </w:tr>
      <w:tr>
        <w:trPr>
          <w:trHeight w:val="208"/>
        </w:trPr>
        <w:tc>
          <w:tcPr>
            <w:tcW w:w="6260" w:type="dxa"/>
            <w:vAlign w:val="bottom"/>
            <w:tcBorders>
              <w:bottom w:val="single" w:sz="8" w:color="A6A6A6"/>
            </w:tcBorders>
            <w:gridSpan w:val="2"/>
          </w:tcPr>
          <w:p>
            <w:pPr>
              <w:spacing w:after="0"/>
              <w:rPr>
                <w:sz w:val="20"/>
                <w:szCs w:val="20"/>
                <w:color w:val="auto"/>
              </w:rPr>
            </w:pPr>
            <w:r>
              <w:rPr>
                <w:rFonts w:ascii="Times New Roman" w:cs="Times New Roman" w:eastAsia="Times New Roman" w:hAnsi="Times New Roman"/>
                <w:sz w:val="16"/>
                <w:szCs w:val="16"/>
                <w:color w:val="004483"/>
              </w:rPr>
              <w:t>Term Loan</w:t>
            </w:r>
          </w:p>
        </w:tc>
        <w:tc>
          <w:tcPr>
            <w:tcW w:w="49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August 2022</w:t>
            </w:r>
          </w:p>
        </w:tc>
      </w:tr>
    </w:tbl>
    <w:p>
      <w:pPr>
        <w:spacing w:after="0" w:line="218" w:lineRule="exact"/>
        <w:rPr>
          <w:sz w:val="20"/>
          <w:szCs w:val="20"/>
          <w:color w:val="auto"/>
        </w:rPr>
      </w:pPr>
    </w:p>
    <w:p>
      <w:pPr>
        <w:ind w:right="300"/>
        <w:spacing w:after="0" w:line="302" w:lineRule="auto"/>
        <w:rPr>
          <w:sz w:val="20"/>
          <w:szCs w:val="20"/>
          <w:color w:val="auto"/>
        </w:rPr>
      </w:pPr>
      <w:r>
        <w:rPr>
          <w:rFonts w:ascii="Arial" w:cs="Arial" w:eastAsia="Arial" w:hAnsi="Arial"/>
          <w:sz w:val="18"/>
          <w:szCs w:val="18"/>
          <w:color w:val="auto"/>
        </w:rPr>
        <w:t>See Footnote (N) to the Unaudited Consolidated Financial Statements for further details on the Company’s debt facilities, including interest rate, and financial and other covenants and restrictions.</w:t>
      </w:r>
    </w:p>
    <w:p>
      <w:pPr>
        <w:spacing w:after="0" w:line="4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borrowing capacity or our Revolving Credit Facility is $750.0 million. The Revolving Credit Facility also includes a swingline loan sublimit of $25.0 million, and a $40.0 million letter of credit facility. At December 31, 2020 we had $5.0 million of outstanding letters of credit. We previously provided an irrevocable stand-by letter of credit for any borrowings made by our Joint Venture under its credit facility; however, this credit facility was terminated and the letter of credit cancelled in July 2020. We are contingently liable for performance under $23.6 million in performance bonds relating primarily to our mining operations. We do not have any off-balance-sheet debt, or any outstanding debt guarantees.</w:t>
      </w:r>
    </w:p>
    <w:p>
      <w:pPr>
        <w:spacing w:after="0" w:line="72"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We did not have any borrowings outstanding under the Revolving Credit Facility at December 31, 2020. We had $745.0 million of available borrowings under the Revolving Credit Facility, net of outstanding letters of credit, at December 31, 2020, all of which was available for future borrowings based on our current Leverage Ratio.</w:t>
      </w:r>
    </w:p>
    <w:p>
      <w:pPr>
        <w:spacing w:after="0" w:line="59" w:lineRule="exact"/>
        <w:rPr>
          <w:sz w:val="20"/>
          <w:szCs w:val="20"/>
          <w:color w:val="auto"/>
        </w:rPr>
      </w:pPr>
    </w:p>
    <w:p>
      <w:pPr>
        <w:ind w:right="860"/>
        <w:spacing w:after="0" w:line="302" w:lineRule="auto"/>
        <w:rPr>
          <w:sz w:val="20"/>
          <w:szCs w:val="20"/>
          <w:color w:val="auto"/>
        </w:rPr>
      </w:pPr>
      <w:r>
        <w:rPr>
          <w:rFonts w:ascii="Arial" w:cs="Arial" w:eastAsia="Arial" w:hAnsi="Arial"/>
          <w:sz w:val="18"/>
          <w:szCs w:val="18"/>
          <w:color w:val="auto"/>
        </w:rPr>
        <w:t>In addition to the Revolving Credit Facility, we have $142.8 million of cash on hand at December 31, 2020, giving us total liquidity of approximately $887.8 million (cash on hand plus Revolving Credit Facility availability).</w:t>
      </w:r>
    </w:p>
    <w:p>
      <w:pPr>
        <w:spacing w:after="0" w:line="42"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color w:val="auto"/>
        </w:rPr>
        <w:t>Other than the Revolving Credit Facility, we have no other source of committed external financing in place. Should the Revolving Credit Facility be terminated, no assurance can be given as to our ability to secure a new source of financing. Consequently, if any balance were outstanding on the Revolving Credit Facility at the time of termination, and an alternative source of financing could not be secured, it would have a material adverse impact on our business. Our Revolving Credit Facility is not rated by the rating agencies.</w:t>
      </w:r>
    </w:p>
    <w:p>
      <w:pPr>
        <w:spacing w:after="0" w:line="67"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We believe that our cash flow from operations and available borrowings under our Revolving Credit Facility, as well as cash on hand, should be sufficient to meet our currently anticipated operating needs, capital expenditures, and debt service requirements for at least the next 12 months. However, our future liquidity and capital requirements may vary depending on a number of factors, including market conditions in the construction industry, our ability to maintain compliance with covenants in our Revolving Credit Facility, the level of competition, and general and economic factors beyond our control, such as the continuing impact COVID-19. These and other developments could reduce our cash flow or require that we seek additional sources of funding. We cannot predict what effect these factors will have on our future liquidity. See Market Conditions and Outlook section above for further discussion of the possible effects of COVID-19 on our business.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79" w:right="339" w:bottom="1440" w:gutter="0" w:footer="0" w:header="0"/>
        </w:sectPr>
      </w:pPr>
    </w:p>
    <w:bookmarkStart w:id="39" w:name="page40"/>
    <w:bookmarkEnd w:id="39"/>
    <w:p>
      <w:pPr>
        <w:ind w:right="60"/>
        <w:spacing w:after="0" w:line="273" w:lineRule="auto"/>
        <w:rPr>
          <w:sz w:val="20"/>
          <w:szCs w:val="20"/>
          <w:color w:val="auto"/>
        </w:rPr>
      </w:pPr>
      <w:r>
        <w:rPr>
          <w:rFonts w:ascii="Arial" w:cs="Arial" w:eastAsia="Arial" w:hAnsi="Arial"/>
          <w:sz w:val="18"/>
          <w:szCs w:val="18"/>
          <w:color w:val="auto"/>
        </w:rPr>
        <w:t>As market conditions warrant, the Company may from time to time seek to purchase or repay its outstanding debt securities or loans, including the Term Loan, 4.500% Senior Unsecured Notes, and borrowings under the Revolving Credit Facility, in privately negotiated or open market transactions, by tender offer or otherwise. Subject to any applicable limitations contained in the agreements governing our indebtedness, any purchases made by us may be funded by the use of cash on our balance sheet or the incurrence of new debt. The amounts involved in any such purchase transactions, individually or in aggregate, may be material.</w:t>
      </w:r>
    </w:p>
    <w:p>
      <w:pPr>
        <w:spacing w:after="0" w:line="69" w:lineRule="exact"/>
        <w:rPr>
          <w:sz w:val="20"/>
          <w:szCs w:val="20"/>
          <w:color w:val="auto"/>
        </w:rPr>
      </w:pPr>
    </w:p>
    <w:p>
      <w:pPr>
        <w:jc w:val="both"/>
        <w:ind w:right="680"/>
        <w:spacing w:after="0" w:line="334" w:lineRule="auto"/>
        <w:rPr>
          <w:sz w:val="20"/>
          <w:szCs w:val="20"/>
          <w:color w:val="auto"/>
        </w:rPr>
      </w:pPr>
      <w:r>
        <w:rPr>
          <w:rFonts w:ascii="Arial" w:cs="Arial" w:eastAsia="Arial" w:hAnsi="Arial"/>
          <w:sz w:val="17"/>
          <w:szCs w:val="17"/>
          <w:color w:val="auto"/>
        </w:rPr>
        <w:t>During December 2020 we exercised our option and purchased the cement plant at Sugar Creek for a nominal amount. We also have approximately $42.4 million of lease liabilities at December 31, 2020 that have an average remaining life of approximately 10.5 years.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w:t>
      </w:r>
    </w:p>
    <w:p>
      <w:pPr>
        <w:spacing w:after="0" w:line="130" w:lineRule="exact"/>
        <w:rPr>
          <w:sz w:val="20"/>
          <w:szCs w:val="20"/>
          <w:color w:val="auto"/>
        </w:rPr>
      </w:pPr>
    </w:p>
    <w:p>
      <w:pPr>
        <w:ind w:right="120"/>
        <w:spacing w:after="0" w:line="302" w:lineRule="auto"/>
        <w:rPr>
          <w:sz w:val="20"/>
          <w:szCs w:val="20"/>
          <w:color w:val="auto"/>
        </w:rPr>
      </w:pPr>
      <w:r>
        <w:rPr>
          <w:rFonts w:ascii="Arial" w:cs="Arial" w:eastAsia="Arial" w:hAnsi="Arial"/>
          <w:sz w:val="18"/>
          <w:szCs w:val="18"/>
          <w:color w:val="auto"/>
        </w:rPr>
        <w:t>Dividends paid were $4.2 million and $13.1 million, respectively, for the nine months ended December 31, 2020 and 2019. On April 13, 2020, we announced the suspension of future quarterly dividends.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117"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On April 18, 2019, the Board of Directors authorized us to repurchase an additional 10.0 million shares. This authorization brought the cumulative total of Common Stock our Board has approved for repurchase in the open market to 48.4 million shares since we became publicly held in April 1994. Through December 31, 2020, we have repurchased approximately 41.1 million shares.</w:t>
      </w:r>
    </w:p>
    <w:p>
      <w:pPr>
        <w:spacing w:after="0" w:line="59"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Share repurchases may be made from time to time in the open market or in privately negotiated transactions. The timing and amount of any share repurchases are determined by management, based on its evaluation of market and economic conditions and other factors. In some cases, repurchases may be made pursuant to plans, programs, or directions established from time to time by the Company’s management, including plans intended to comply with the safe-harbor provided by Rule 10b5-1.</w:t>
      </w:r>
    </w:p>
    <w:p>
      <w:pPr>
        <w:spacing w:after="0" w:line="67" w:lineRule="exact"/>
        <w:rPr>
          <w:sz w:val="20"/>
          <w:szCs w:val="20"/>
          <w:color w:val="auto"/>
        </w:rPr>
      </w:pPr>
    </w:p>
    <w:p>
      <w:pPr>
        <w:ind w:right="620"/>
        <w:spacing w:after="0" w:line="283" w:lineRule="auto"/>
        <w:rPr>
          <w:sz w:val="20"/>
          <w:szCs w:val="20"/>
          <w:color w:val="auto"/>
        </w:rPr>
      </w:pPr>
      <w:r>
        <w:rPr>
          <w:rFonts w:ascii="Arial" w:cs="Arial" w:eastAsia="Arial" w:hAnsi="Arial"/>
          <w:sz w:val="18"/>
          <w:szCs w:val="18"/>
          <w:color w:val="auto"/>
        </w:rPr>
        <w:t>During the nine months ended December 31, 2020, the Company withheld from employees 36,099 shares of stock upon the vesting of Restricted Shares that were granted under the Plan. We withheld these shares to satisfy the employees’ statutory tax withholding requirements, which is required once the Restricted Shares or Restricted Shares Units are vested.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Expenditures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capital expenditures by category:</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shd w:val="clear" w:color="auto" w:fill="004483"/>
          </w:tcPr>
          <w:p>
            <w:pPr>
              <w:spacing w:after="0"/>
              <w:rPr>
                <w:sz w:val="19"/>
                <w:szCs w:val="19"/>
                <w:color w:val="auto"/>
              </w:rPr>
            </w:pPr>
          </w:p>
        </w:tc>
        <w:tc>
          <w:tcPr>
            <w:tcW w:w="2760" w:type="dxa"/>
            <w:vAlign w:val="bottom"/>
            <w:gridSpan w:val="4"/>
            <w:shd w:val="clear" w:color="auto" w:fill="004483"/>
          </w:tcPr>
          <w:p>
            <w:pPr>
              <w:jc w:val="right"/>
              <w:ind w:right="80"/>
              <w:spacing w:after="0"/>
              <w:rPr>
                <w:sz w:val="20"/>
                <w:szCs w:val="20"/>
                <w:color w:val="auto"/>
              </w:rPr>
            </w:pPr>
            <w:r>
              <w:rPr>
                <w:rFonts w:ascii="Times New Roman" w:cs="Times New Roman" w:eastAsia="Times New Roman" w:hAnsi="Times New Roman"/>
                <w:sz w:val="13"/>
                <w:szCs w:val="13"/>
                <w:b w:val="1"/>
                <w:bCs w:val="1"/>
                <w:color w:val="FFFFFF"/>
              </w:rPr>
              <w:t>For the Nine Months Ended December 31,</w:t>
            </w:r>
          </w:p>
        </w:tc>
        <w:tc>
          <w:tcPr>
            <w:tcW w:w="620" w:type="dxa"/>
            <w:vAlign w:val="bottom"/>
            <w:shd w:val="clear" w:color="auto" w:fill="004483"/>
          </w:tcPr>
          <w:p>
            <w:pPr>
              <w:spacing w:after="0"/>
              <w:rPr>
                <w:sz w:val="19"/>
                <w:szCs w:val="19"/>
                <w:color w:val="auto"/>
              </w:rPr>
            </w:pPr>
          </w:p>
        </w:tc>
        <w:tc>
          <w:tcPr>
            <w:tcW w:w="100" w:type="dxa"/>
            <w:vAlign w:val="bottom"/>
            <w:shd w:val="clear" w:color="auto" w:fill="004483"/>
          </w:tcPr>
          <w:p>
            <w:pPr>
              <w:spacing w:after="0"/>
              <w:rPr>
                <w:sz w:val="19"/>
                <w:szCs w:val="19"/>
                <w:color w:val="auto"/>
              </w:rPr>
            </w:pPr>
          </w:p>
        </w:tc>
      </w:tr>
      <w:tr>
        <w:trPr>
          <w:trHeight w:val="143"/>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4880" w:type="dxa"/>
            <w:vAlign w:val="bottom"/>
            <w:tcBorders>
              <w:bottom w:val="single" w:sz="8" w:color="004483"/>
            </w:tcBorders>
          </w:tcPr>
          <w:p>
            <w:pPr>
              <w:spacing w:after="0"/>
              <w:rPr>
                <w:sz w:val="13"/>
                <w:szCs w:val="13"/>
                <w:color w:val="auto"/>
              </w:rPr>
            </w:pPr>
          </w:p>
        </w:tc>
        <w:tc>
          <w:tcPr>
            <w:tcW w:w="2420" w:type="dxa"/>
            <w:vAlign w:val="bottom"/>
            <w:tcBorders>
              <w:bottom w:val="single" w:sz="8" w:color="004483"/>
            </w:tcBorders>
          </w:tcPr>
          <w:p>
            <w:pPr>
              <w:spacing w:after="0"/>
              <w:rPr>
                <w:sz w:val="13"/>
                <w:szCs w:val="13"/>
                <w:color w:val="auto"/>
              </w:rPr>
            </w:pPr>
          </w:p>
        </w:tc>
        <w:tc>
          <w:tcPr>
            <w:tcW w:w="440" w:type="dxa"/>
            <w:vAlign w:val="bottom"/>
            <w:tcBorders>
              <w:bottom w:val="single" w:sz="8" w:color="004483"/>
            </w:tcBorders>
          </w:tcPr>
          <w:p>
            <w:pPr>
              <w:spacing w:after="0"/>
              <w:rPr>
                <w:sz w:val="13"/>
                <w:szCs w:val="13"/>
                <w:color w:val="auto"/>
              </w:rPr>
            </w:pPr>
          </w:p>
        </w:tc>
        <w:tc>
          <w:tcPr>
            <w:tcW w:w="2760" w:type="dxa"/>
            <w:vAlign w:val="bottom"/>
            <w:tcBorders>
              <w:bottom w:val="single" w:sz="8" w:color="004483"/>
            </w:tcBorders>
            <w:gridSpan w:val="4"/>
          </w:tcPr>
          <w:p>
            <w:pPr>
              <w:jc w:val="right"/>
              <w:ind w:right="680"/>
              <w:spacing w:after="0"/>
              <w:rPr>
                <w:sz w:val="20"/>
                <w:szCs w:val="20"/>
                <w:color w:val="auto"/>
              </w:rPr>
            </w:pPr>
            <w:r>
              <w:rPr>
                <w:rFonts w:ascii="Times New Roman" w:cs="Times New Roman" w:eastAsia="Times New Roman" w:hAnsi="Times New Roman"/>
                <w:sz w:val="13"/>
                <w:szCs w:val="13"/>
                <w:color w:val="auto"/>
              </w:rPr>
              <w:t>(dollars in thousands)</w:t>
            </w:r>
          </w:p>
        </w:tc>
        <w:tc>
          <w:tcPr>
            <w:tcW w:w="620" w:type="dxa"/>
            <w:vAlign w:val="bottom"/>
            <w:tcBorders>
              <w:bottom w:val="single" w:sz="8" w:color="004483"/>
            </w:tcBorders>
          </w:tcPr>
          <w:p>
            <w:pPr>
              <w:spacing w:after="0"/>
              <w:rPr>
                <w:sz w:val="13"/>
                <w:szCs w:val="13"/>
                <w:color w:val="auto"/>
              </w:rPr>
            </w:pPr>
          </w:p>
        </w:tc>
        <w:tc>
          <w:tcPr>
            <w:tcW w:w="100" w:type="dxa"/>
            <w:vAlign w:val="bottom"/>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488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Land and Quarries</w:t>
            </w:r>
          </w:p>
        </w:tc>
        <w:tc>
          <w:tcPr>
            <w:tcW w:w="2860" w:type="dxa"/>
            <w:vAlign w:val="bottom"/>
            <w:tcBorders>
              <w:bottom w:val="single" w:sz="8" w:color="A6A6A6"/>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5,306</w:t>
            </w: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ind w:right="100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4,507</w:t>
            </w: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488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Plants</w:t>
            </w:r>
          </w:p>
        </w:tc>
        <w:tc>
          <w:tcPr>
            <w:tcW w:w="242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30,026</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6"/>
                <w:szCs w:val="16"/>
                <w:color w:val="auto"/>
              </w:rPr>
              <w:t>71,688</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880" w:type="dxa"/>
            <w:vAlign w:val="bottom"/>
            <w:tcBorders>
              <w:bottom w:val="single" w:sz="8" w:color="A6A6A6"/>
            </w:tcBorders>
          </w:tcPr>
          <w:p>
            <w:pPr>
              <w:spacing w:after="0"/>
              <w:rPr>
                <w:sz w:val="20"/>
                <w:szCs w:val="20"/>
                <w:color w:val="auto"/>
              </w:rPr>
            </w:pPr>
            <w:r>
              <w:rPr>
                <w:rFonts w:ascii="Times New Roman" w:cs="Times New Roman" w:eastAsia="Times New Roman" w:hAnsi="Times New Roman"/>
                <w:sz w:val="16"/>
                <w:szCs w:val="16"/>
                <w:color w:val="004483"/>
              </w:rPr>
              <w:t>Buildings, Machinery, and Equipment</w:t>
            </w:r>
          </w:p>
        </w:tc>
        <w:tc>
          <w:tcPr>
            <w:tcW w:w="2420" w:type="dxa"/>
            <w:vAlign w:val="bottom"/>
            <w:tcBorders>
              <w:bottom w:val="single" w:sz="8" w:color="A6A6A6"/>
            </w:tcBorders>
          </w:tcPr>
          <w:p>
            <w:pPr>
              <w:spacing w:after="0"/>
              <w:rPr>
                <w:sz w:val="18"/>
                <w:szCs w:val="18"/>
                <w:color w:val="auto"/>
              </w:rPr>
            </w:pPr>
          </w:p>
        </w:tc>
        <w:tc>
          <w:tcPr>
            <w:tcW w:w="440" w:type="dxa"/>
            <w:vAlign w:val="bottom"/>
            <w:tcBorders>
              <w:bottom w:val="single" w:sz="8" w:color="004483"/>
            </w:tcBorders>
          </w:tcPr>
          <w:p>
            <w:pPr>
              <w:spacing w:after="0"/>
              <w:rPr>
                <w:sz w:val="18"/>
                <w:szCs w:val="18"/>
                <w:color w:val="auto"/>
              </w:rPr>
            </w:pPr>
          </w:p>
        </w:tc>
        <w:tc>
          <w:tcPr>
            <w:tcW w:w="13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10,209</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160" w:type="dxa"/>
            <w:vAlign w:val="bottom"/>
            <w:tcBorders>
              <w:bottom w:val="single" w:sz="8" w:color="004483"/>
            </w:tcBorders>
          </w:tcPr>
          <w:p>
            <w:pPr>
              <w:spacing w:after="0"/>
              <w:rPr>
                <w:sz w:val="18"/>
                <w:szCs w:val="18"/>
                <w:color w:val="auto"/>
              </w:rPr>
            </w:pPr>
          </w:p>
        </w:tc>
        <w:tc>
          <w:tcPr>
            <w:tcW w:w="6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color w:val="auto"/>
              </w:rPr>
              <w:t>10,536</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Capital Expenditures</w:t>
            </w:r>
          </w:p>
        </w:tc>
        <w:tc>
          <w:tcPr>
            <w:tcW w:w="2420" w:type="dxa"/>
            <w:vAlign w:val="bottom"/>
          </w:tcPr>
          <w:p>
            <w:pPr>
              <w:spacing w:after="0"/>
              <w:rPr>
                <w:sz w:val="18"/>
                <w:szCs w:val="18"/>
                <w:color w:val="auto"/>
              </w:rPr>
            </w:pPr>
          </w:p>
        </w:tc>
        <w:tc>
          <w:tcPr>
            <w:tcW w:w="440" w:type="dxa"/>
            <w:vAlign w:val="bottom"/>
            <w:tcBorders>
              <w:bottom w:val="single" w:sz="8" w:color="004483"/>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45,541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bottom w:val="single" w:sz="8" w:color="004483"/>
            </w:tcBorders>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bottom w:val="single" w:sz="8" w:color="004483"/>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86,731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3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Capital expenditures for fiscal 2021 are expected to range from $55.0 million to $65.0 million and will be allocated across the Heavy and Light Materials sectors. These estimated capital expenditures are limited to critical maintenance and safety and regulatory projects as we manage our cash flow in response to the COVID-19 pandemic.</w:t>
      </w:r>
    </w:p>
    <w:p>
      <w:pPr>
        <w:spacing w:after="0" w:line="59" w:lineRule="exact"/>
        <w:rPr>
          <w:sz w:val="20"/>
          <w:szCs w:val="20"/>
          <w:color w:val="auto"/>
        </w:rPr>
      </w:pPr>
    </w:p>
    <w:p>
      <w:pPr>
        <w:ind w:right="240"/>
        <w:spacing w:after="0" w:line="283" w:lineRule="auto"/>
        <w:rPr>
          <w:sz w:val="20"/>
          <w:szCs w:val="20"/>
          <w:color w:val="auto"/>
        </w:rPr>
      </w:pPr>
      <w:r>
        <w:rPr>
          <w:rFonts w:ascii="Arial" w:cs="Arial" w:eastAsia="Arial" w:hAnsi="Arial"/>
          <w:sz w:val="18"/>
          <w:szCs w:val="18"/>
          <w:color w:val="auto"/>
        </w:rPr>
        <w:t>The capital expenditures for the nine months ended December 31, 2019 disclosed above differs from the capital expenditures on the Unaudited Consolidated Statement of Cash Flows. It includes $2.7 million of capital expenditures that were accrued at September 30, 2019 and therefore not included in the Statement of Cash Flows.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79" w:right="339" w:bottom="1440" w:gutter="0" w:footer="0" w:header="0"/>
        </w:sectPr>
      </w:pPr>
    </w:p>
    <w:bookmarkStart w:id="40" w:name="page41"/>
    <w:bookmarkEnd w:id="40"/>
    <w:p>
      <w:pPr>
        <w:spacing w:after="0"/>
        <w:rPr>
          <w:sz w:val="20"/>
          <w:szCs w:val="20"/>
          <w:color w:val="auto"/>
        </w:rPr>
      </w:pPr>
      <w:r>
        <w:rPr>
          <w:rFonts w:ascii="Arial" w:cs="Arial" w:eastAsia="Arial" w:hAnsi="Arial"/>
          <w:sz w:val="23"/>
          <w:szCs w:val="23"/>
          <w:b w:val="1"/>
          <w:bCs w:val="1"/>
          <w:color w:val="auto"/>
        </w:rPr>
        <w:t>Item 3. Quantitative and Qualitative Disclosures About Market Risk</w:t>
      </w:r>
    </w:p>
    <w:p>
      <w:pPr>
        <w:spacing w:after="0" w:line="14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are exposed to market risks related to fluctuations in interest rates on our Revolving Credit Facility and Term Loan. We have occasionally utilized derivative instruments, including interest rate swaps, in conjunction with our overall strategy to manage the debt outstanding that is subject to changes in interest rates. We have a $750.0 million Revolving Credit Facility and an outstanding Term Loan at December 31, 2020, under which borrowings bear interest at a variable rate. A hypothetical 100 basis point increase in interest rates on the $665.0 million of borrowings under the Revolving Credit Facility and Term Loan at December 31, 2020 would increase interest expense by approximately $6.7 million on an annual basis. At present, we do not utilize derivative financial instruments.</w:t>
      </w:r>
    </w:p>
    <w:p>
      <w:pPr>
        <w:spacing w:after="0" w:line="72" w:lineRule="exact"/>
        <w:rPr>
          <w:sz w:val="20"/>
          <w:szCs w:val="20"/>
          <w:color w:val="auto"/>
        </w:rPr>
      </w:pPr>
    </w:p>
    <w:p>
      <w:pPr>
        <w:ind w:right="480"/>
        <w:spacing w:after="0" w:line="302" w:lineRule="auto"/>
        <w:rPr>
          <w:sz w:val="20"/>
          <w:szCs w:val="20"/>
          <w:color w:val="auto"/>
        </w:rPr>
      </w:pPr>
      <w:r>
        <w:rPr>
          <w:rFonts w:ascii="Arial" w:cs="Arial" w:eastAsia="Arial" w:hAnsi="Arial"/>
          <w:sz w:val="18"/>
          <w:szCs w:val="18"/>
          <w:color w:val="auto"/>
        </w:rPr>
        <w:t>We are subject to commodity risk with respect to price changes principally in coal, coke, natural gas, and power. We attempt to limit our exposure to changes in commodity prices by entering into contracts or increasing our use of alternative fuels.</w:t>
      </w:r>
    </w:p>
    <w:p>
      <w:pPr>
        <w:spacing w:after="0" w:line="14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Controls and Procedures</w:t>
      </w:r>
    </w:p>
    <w:p>
      <w:pPr>
        <w:spacing w:after="0" w:line="143"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We have established a system of disclosure controls and procedures that are designed to ensure that information relating to the Company, which is required to be disclosed by us in the reports that we file or submit under the Securities Exchange Act of 1934 (Exchange Act), is recorded, processed, summarized, and reported within the time periods specified by the SEC’s rules and forms, and that such information is accumulated and communicated to management, including our Chief Executive Officer and Chief Financial Officer, in a timely fashion. An evaluation of the effectiveness of the design and operation of our disclosure controls and procedures (as defined in Rule 13a-15(e) under the Exchange Act) was performed as of the end of the period covered by this quarterly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60"/>
          </w:cols>
          <w:pgMar w:left="320" w:top="353" w:right="419" w:bottom="1440" w:gutter="0" w:footer="0" w:header="0"/>
        </w:sectPr>
      </w:pPr>
    </w:p>
    <w:bookmarkStart w:id="41" w:name="page42"/>
    <w:bookmarkEnd w:id="41"/>
    <w:p>
      <w:pPr>
        <w:spacing w:after="0"/>
        <w:rPr>
          <w:sz w:val="20"/>
          <w:szCs w:val="20"/>
          <w:color w:val="auto"/>
        </w:rPr>
      </w:pPr>
      <w:r>
        <w:rPr>
          <w:rFonts w:ascii="Arial" w:cs="Arial" w:eastAsia="Arial" w:hAnsi="Arial"/>
          <w:sz w:val="23"/>
          <w:szCs w:val="23"/>
          <w:b w:val="1"/>
          <w:bCs w:val="1"/>
          <w:color w:val="auto"/>
        </w:rPr>
        <w:t>PART II. OTHER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Legal Proceedings</w:t>
      </w:r>
    </w:p>
    <w:p>
      <w:pPr>
        <w:spacing w:after="0" w:line="143"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We are party to certain legal actions arising from the ordinary course of business. In addition, our operations and properties are subject to extensive and changing federal, state, and local laws; regulations and ordinances governing the protection of the environment; as well as laws relating to worker health and workplace safety. We carefully consider these potential liabilities and the requirements mandated by such laws and regulations and have procedures in place at all of our operating units to monitor compliance. Any matters which are identified as potential exposures under these laws and regulations are carefully reviewed by management to determine our potential liability.</w:t>
      </w:r>
    </w:p>
    <w:p>
      <w:pPr>
        <w:spacing w:after="0" w:line="17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1A. Risk Factors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factors that could impact our results of operations, financial condition, and liquidity, see Part 1. Item 1A.</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Risk Factors in our Form 10-K for the fiscal year ended March 31, 2020, filed with the Securities and Exchange Commission on May 22, 2020.</w:t>
      </w:r>
    </w:p>
    <w:p>
      <w:pPr>
        <w:spacing w:after="0" w:line="130" w:lineRule="exact"/>
        <w:rPr>
          <w:sz w:val="20"/>
          <w:szCs w:val="20"/>
          <w:color w:val="auto"/>
        </w:rPr>
      </w:pPr>
    </w:p>
    <w:p>
      <w:pPr>
        <w:jc w:val="both"/>
        <w:ind w:right="80"/>
        <w:spacing w:after="0" w:line="282" w:lineRule="auto"/>
        <w:rPr>
          <w:sz w:val="20"/>
          <w:szCs w:val="20"/>
          <w:color w:val="auto"/>
        </w:rPr>
      </w:pPr>
      <w:r>
        <w:rPr>
          <w:rFonts w:ascii="Arial" w:cs="Arial" w:eastAsia="Arial" w:hAnsi="Arial"/>
          <w:sz w:val="18"/>
          <w:szCs w:val="18"/>
          <w:i w:val="1"/>
          <w:iCs w:val="1"/>
          <w:color w:val="004483"/>
        </w:rPr>
        <w:t>The COVID-19 pandemic has caused severe disruptions in the U.S. and global economies. Although the extent of its impact continues to be highly uncertain, we believe the pandemic could have a material adverse effect on our business, operations, financial condition and results of operations.</w:t>
      </w:r>
    </w:p>
    <w:p>
      <w:pPr>
        <w:spacing w:after="0" w:line="5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March 11, 2020, the World Health Organization declared the outbreak of COVID-19 to be a global pandemic and recommended containment and mitigation measures worldwide. On March 13, 2020, the United States declared a national emergency arising from the COVID-19 pandemic, and several states and municipalities declared public health emergencies. Since the time of these initial declarations, international, federal, state, and local public health and governmental authorities have taken extraordinary and wide-ranging measures to contain and combat the outbreak and spread of COVID-19, including quarantines, “shelter-in-place” orders, and mandates and recommendations for individuals to substantially restrict daily activities and for many businesses to curtail or cease normal operations. Some of these measures have now been lifted or modified, but others have been extended or remain in place. In addition, it is possible that the election of a new President and the resulting change of administrations in January 2021 may result in the implementation of new measures to combat the pandemic, the nature and effects of which are difficult to predict at the present time. Despite all of the measures implemented so far, COVID-19 has continued to spread, with the number of new cases reaching new highs both on a nationwide basis and in many states during January 2021.</w:t>
      </w:r>
    </w:p>
    <w:p>
      <w:pPr>
        <w:spacing w:after="0" w:line="72" w:lineRule="exact"/>
        <w:rPr>
          <w:sz w:val="20"/>
          <w:szCs w:val="20"/>
          <w:color w:val="auto"/>
        </w:rPr>
      </w:pPr>
    </w:p>
    <w:p>
      <w:pPr>
        <w:ind w:right="340"/>
        <w:spacing w:after="0" w:line="273" w:lineRule="auto"/>
        <w:rPr>
          <w:sz w:val="20"/>
          <w:szCs w:val="20"/>
          <w:color w:val="auto"/>
        </w:rPr>
      </w:pPr>
      <w:r>
        <w:rPr>
          <w:rFonts w:ascii="Arial" w:cs="Arial" w:eastAsia="Arial" w:hAnsi="Arial"/>
          <w:sz w:val="18"/>
          <w:szCs w:val="18"/>
          <w:color w:val="auto"/>
        </w:rPr>
        <w:t>To date, we have not been materially affected by governmental orders requiring businesses to curtail or cease normal operations. We are continuing to operate as an essential business in virtually all of the markets we serve. There can be no assurance, however, that new restrictions will not be adopted that would limit or restrict the scope of our operations. In addition, the COVID-19 pandemic and responses thereto designed to contain its spread and mitigate its public health effects could have a negative impact on several areas affecting our business, including the following:</w:t>
      </w:r>
    </w:p>
    <w:p>
      <w:pPr>
        <w:spacing w:after="0" w:line="69" w:lineRule="exact"/>
        <w:rPr>
          <w:sz w:val="20"/>
          <w:szCs w:val="20"/>
          <w:color w:val="auto"/>
        </w:rPr>
      </w:pPr>
    </w:p>
    <w:p>
      <w:pPr>
        <w:ind w:left="1180" w:right="220" w:hanging="382"/>
        <w:spacing w:after="0" w:line="273" w:lineRule="auto"/>
        <w:tabs>
          <w:tab w:leader="none" w:pos="11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COVID-19 pandemic has resulted in adverse macroeconomic conditions that have the potential to affect demand for our products in the principal markets in which we operate. For example, the pandemic and responses thereto have resulted in significant job losses and substantial decreases in consumer confidence in many of the markets in which we operate. Consequently, it is likely that the COVID-19 pandemic will negatively affect demand for our products in current or future periods.</w:t>
      </w:r>
    </w:p>
    <w:p>
      <w:pPr>
        <w:spacing w:after="0" w:line="68" w:lineRule="exact"/>
        <w:rPr>
          <w:rFonts w:ascii="Times New Roman" w:cs="Times New Roman" w:eastAsia="Times New Roman" w:hAnsi="Times New Roman"/>
          <w:sz w:val="18"/>
          <w:szCs w:val="18"/>
          <w:color w:val="auto"/>
        </w:rPr>
      </w:pPr>
    </w:p>
    <w:p>
      <w:pPr>
        <w:ind w:left="1180" w:right="100" w:hanging="382"/>
        <w:spacing w:after="0" w:line="301" w:lineRule="auto"/>
        <w:tabs>
          <w:tab w:leader="none" w:pos="11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pandemic is likely to have a significant effect on state and local government revenues and construction budgets, and may result in delays, cancellations or curtailment of construction projects.</w:t>
      </w:r>
    </w:p>
    <w:p>
      <w:pPr>
        <w:spacing w:after="0" w:line="42" w:lineRule="exact"/>
        <w:rPr>
          <w:rFonts w:ascii="Times New Roman" w:cs="Times New Roman" w:eastAsia="Times New Roman" w:hAnsi="Times New Roman"/>
          <w:sz w:val="18"/>
          <w:szCs w:val="18"/>
          <w:color w:val="auto"/>
        </w:rPr>
      </w:pPr>
    </w:p>
    <w:p>
      <w:pPr>
        <w:ind w:left="1180" w:hanging="382"/>
        <w:spacing w:after="0"/>
        <w:tabs>
          <w:tab w:leader="none" w:pos="11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pandemic could result in delays in collecting on certain of our accounts receivable from our customers.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353" w:right="359" w:bottom="1440" w:gutter="0" w:footer="0" w:header="0"/>
        </w:sectPr>
      </w:pPr>
    </w:p>
    <w:bookmarkStart w:id="42" w:name="page43"/>
    <w:bookmarkEnd w:id="42"/>
    <w:p>
      <w:pPr>
        <w:ind w:left="1180" w:right="80" w:hanging="382"/>
        <w:spacing w:after="0" w:line="282" w:lineRule="auto"/>
        <w:tabs>
          <w:tab w:leader="none" w:pos="11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pandemic could result in increased costs associated with compliance with new government regulations or restrictions, such as quarantines or social distancing mandates or new workplace safety measures, which may affect our operations in one or more of the markets in which we operate.</w:t>
      </w:r>
    </w:p>
    <w:p>
      <w:pPr>
        <w:spacing w:after="0" w:line="60" w:lineRule="exact"/>
        <w:rPr>
          <w:rFonts w:ascii="Times New Roman" w:cs="Times New Roman" w:eastAsia="Times New Roman" w:hAnsi="Times New Roman"/>
          <w:sz w:val="18"/>
          <w:szCs w:val="18"/>
          <w:color w:val="auto"/>
        </w:rPr>
      </w:pPr>
    </w:p>
    <w:p>
      <w:pPr>
        <w:jc w:val="both"/>
        <w:ind w:left="1180" w:right="200" w:hanging="382"/>
        <w:spacing w:after="0" w:line="282" w:lineRule="auto"/>
        <w:tabs>
          <w:tab w:leader="none" w:pos="11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pandemic has resulted, and may continue to result, in fluctuations in equity market prices (including that of our Common Stock), interest rates and credit spreads, which may limit our ability to raise or deploy capital and implement our future plans, including our planned separation of our Heavy Materials and Light Materials businesses.</w:t>
      </w:r>
    </w:p>
    <w:p>
      <w:pPr>
        <w:spacing w:after="0" w:line="60" w:lineRule="exact"/>
        <w:rPr>
          <w:rFonts w:ascii="Times New Roman" w:cs="Times New Roman" w:eastAsia="Times New Roman" w:hAnsi="Times New Roman"/>
          <w:sz w:val="18"/>
          <w:szCs w:val="18"/>
          <w:color w:val="auto"/>
        </w:rPr>
      </w:pPr>
    </w:p>
    <w:p>
      <w:pPr>
        <w:ind w:left="1180" w:right="840" w:hanging="382"/>
        <w:spacing w:after="0" w:line="301" w:lineRule="auto"/>
        <w:tabs>
          <w:tab w:leader="none" w:pos="11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Finally, the pandemic may have other negative impacts on our operations, supply chain, transportation networks and customers, which we may not be able to anticipate or respond to effectively.</w:t>
      </w:r>
    </w:p>
    <w:p>
      <w:pPr>
        <w:spacing w:after="0" w:line="43"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We are continuing to monitor the COVID-19 pandemic and its likely effects. The timing of these effects is not expected to be uniform, with some effects having a short-term impact and others likely to be felt for a number of years. In general, the extent to which the COVID-19 pandemic will ultimately impact our business, operations, financial condition and results of operations will depend on numerous factors, which are highly uncertain, rapidly changing and cannot be predicted. These factors include:</w:t>
      </w:r>
    </w:p>
    <w:p>
      <w:pPr>
        <w:spacing w:after="0" w:line="67" w:lineRule="exact"/>
        <w:rPr>
          <w:sz w:val="20"/>
          <w:szCs w:val="20"/>
          <w:color w:val="auto"/>
        </w:rPr>
      </w:pPr>
    </w:p>
    <w:p>
      <w:pPr>
        <w:ind w:left="1180" w:hanging="382"/>
        <w:spacing w:after="0"/>
        <w:tabs>
          <w:tab w:leader="none" w:pos="11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and scope of the outbreak;</w:t>
      </w:r>
    </w:p>
    <w:p>
      <w:pPr>
        <w:spacing w:after="0" w:line="127" w:lineRule="exact"/>
        <w:rPr>
          <w:rFonts w:ascii="Times New Roman" w:cs="Times New Roman" w:eastAsia="Times New Roman" w:hAnsi="Times New Roman"/>
          <w:sz w:val="18"/>
          <w:szCs w:val="18"/>
          <w:color w:val="auto"/>
        </w:rPr>
      </w:pPr>
    </w:p>
    <w:p>
      <w:pPr>
        <w:ind w:left="1180" w:right="260" w:hanging="382"/>
        <w:spacing w:after="0" w:line="301" w:lineRule="auto"/>
        <w:tabs>
          <w:tab w:leader="none" w:pos="11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progress made in the current vaccination campaign, including the effectiveness of the campaign in limiting the spread of the virus;</w:t>
      </w:r>
    </w:p>
    <w:p>
      <w:pPr>
        <w:spacing w:after="0" w:line="42" w:lineRule="exact"/>
        <w:rPr>
          <w:rFonts w:ascii="Times New Roman" w:cs="Times New Roman" w:eastAsia="Times New Roman" w:hAnsi="Times New Roman"/>
          <w:sz w:val="18"/>
          <w:szCs w:val="18"/>
          <w:color w:val="auto"/>
        </w:rPr>
      </w:pPr>
    </w:p>
    <w:p>
      <w:pPr>
        <w:ind w:left="1180" w:right="320" w:hanging="382"/>
        <w:spacing w:after="0" w:line="301" w:lineRule="auto"/>
        <w:tabs>
          <w:tab w:leader="none" w:pos="11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governmental, business and individual actions that have been and may be taken in response to the outbreak, including any new measures that may be implemented by the new administration;</w:t>
      </w:r>
    </w:p>
    <w:p>
      <w:pPr>
        <w:spacing w:after="0" w:line="42" w:lineRule="exact"/>
        <w:rPr>
          <w:rFonts w:ascii="Times New Roman" w:cs="Times New Roman" w:eastAsia="Times New Roman" w:hAnsi="Times New Roman"/>
          <w:sz w:val="18"/>
          <w:szCs w:val="18"/>
          <w:color w:val="auto"/>
        </w:rPr>
      </w:pPr>
    </w:p>
    <w:p>
      <w:pPr>
        <w:ind w:left="1180" w:hanging="382"/>
        <w:spacing w:after="0"/>
        <w:tabs>
          <w:tab w:leader="none" w:pos="11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the outbreak on our customers, suppliers, supply chain, and other business partners;</w:t>
      </w:r>
    </w:p>
    <w:p>
      <w:pPr>
        <w:spacing w:after="0" w:line="127" w:lineRule="exact"/>
        <w:rPr>
          <w:rFonts w:ascii="Times New Roman" w:cs="Times New Roman" w:eastAsia="Times New Roman" w:hAnsi="Times New Roman"/>
          <w:sz w:val="18"/>
          <w:szCs w:val="18"/>
          <w:color w:val="auto"/>
        </w:rPr>
      </w:pPr>
    </w:p>
    <w:p>
      <w:pPr>
        <w:ind w:left="1180" w:right="660" w:hanging="382"/>
        <w:spacing w:after="0" w:line="301" w:lineRule="auto"/>
        <w:tabs>
          <w:tab w:leader="none" w:pos="11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during the outbreak to continue to carry out our manufacturing operations in an efficient manner, while taking measures to protect the health and well-being of our employees;</w:t>
      </w:r>
    </w:p>
    <w:p>
      <w:pPr>
        <w:spacing w:after="0" w:line="42" w:lineRule="exact"/>
        <w:rPr>
          <w:rFonts w:ascii="Times New Roman" w:cs="Times New Roman" w:eastAsia="Times New Roman" w:hAnsi="Times New Roman"/>
          <w:sz w:val="18"/>
          <w:szCs w:val="18"/>
          <w:color w:val="auto"/>
        </w:rPr>
      </w:pPr>
    </w:p>
    <w:p>
      <w:pPr>
        <w:ind w:left="1180" w:hanging="382"/>
        <w:spacing w:after="0"/>
        <w:tabs>
          <w:tab w:leader="none" w:pos="11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and ability of our customers to order and pay for our products during and following the outbreak; and</w:t>
      </w:r>
    </w:p>
    <w:p>
      <w:pPr>
        <w:spacing w:after="0" w:line="127" w:lineRule="exact"/>
        <w:rPr>
          <w:rFonts w:ascii="Times New Roman" w:cs="Times New Roman" w:eastAsia="Times New Roman" w:hAnsi="Times New Roman"/>
          <w:sz w:val="18"/>
          <w:szCs w:val="18"/>
          <w:color w:val="auto"/>
        </w:rPr>
      </w:pPr>
    </w:p>
    <w:p>
      <w:pPr>
        <w:ind w:left="1180" w:hanging="382"/>
        <w:spacing w:after="0"/>
        <w:tabs>
          <w:tab w:leader="none" w:pos="11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outbreak on the financial markets and economic activity generally.</w:t>
      </w:r>
    </w:p>
    <w:p>
      <w:pPr>
        <w:spacing w:after="0" w:line="127" w:lineRule="exact"/>
        <w:rPr>
          <w:sz w:val="20"/>
          <w:szCs w:val="20"/>
          <w:color w:val="auto"/>
        </w:rPr>
      </w:pPr>
    </w:p>
    <w:p>
      <w:pPr>
        <w:ind w:right="520"/>
        <w:spacing w:after="0" w:line="334" w:lineRule="auto"/>
        <w:rPr>
          <w:sz w:val="20"/>
          <w:szCs w:val="20"/>
          <w:color w:val="auto"/>
        </w:rPr>
      </w:pPr>
      <w:r>
        <w:rPr>
          <w:rFonts w:ascii="Arial" w:cs="Arial" w:eastAsia="Arial" w:hAnsi="Arial"/>
          <w:sz w:val="17"/>
          <w:szCs w:val="17"/>
          <w:color w:val="auto"/>
        </w:rPr>
        <w:t>The above uncertainties surrounding the COVID-19 pandemic also make it more challenging for our management to estimate the future performance of our business and develop strategies to generate growth or achieve our objectives for fiscal 2021 and future periods.</w:t>
      </w:r>
    </w:p>
    <w:p>
      <w:pPr>
        <w:spacing w:after="0" w:line="1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One key area we continue to closely monitor is the effect of the COVID-19 pandemic on our manufacturing operations. Although we are taking precautions to ensure the safety of our employees, in the event we suffer an outbreak at one of our manufacturing facilities, we may be forced to suspend operations at such facility until the health conditions improve. Any such reduction in our production capacity could render us unable to continue to produce our construction products or satisfy order placed by our customers.</w:t>
      </w:r>
    </w:p>
    <w:p>
      <w:pPr>
        <w:spacing w:after="0" w:line="14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 Unregistered Sales of Equity Securities and Use of Proceeds</w:t>
      </w:r>
    </w:p>
    <w:p>
      <w:pPr>
        <w:spacing w:after="0" w:line="116" w:lineRule="exact"/>
        <w:rPr>
          <w:sz w:val="20"/>
          <w:szCs w:val="20"/>
          <w:color w:val="auto"/>
        </w:rPr>
      </w:pPr>
    </w:p>
    <w:p>
      <w:pPr>
        <w:ind w:right="700"/>
        <w:spacing w:after="0" w:line="334" w:lineRule="auto"/>
        <w:rPr>
          <w:sz w:val="20"/>
          <w:szCs w:val="20"/>
          <w:color w:val="auto"/>
        </w:rPr>
      </w:pPr>
      <w:r>
        <w:rPr>
          <w:rFonts w:ascii="Arial" w:cs="Arial" w:eastAsia="Arial" w:hAnsi="Arial"/>
          <w:sz w:val="17"/>
          <w:szCs w:val="17"/>
          <w:color w:val="auto"/>
        </w:rPr>
        <w:t>The disclosure required under this Item is included in “Management’s Discussion and Analysis of Results of Operations and Financial Condition” of this Quarterly Report on Form 10-Q under the heading “Share Repurchases” and is incorporated herein by reference.</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479" w:right="359" w:bottom="1440" w:gutter="0" w:footer="0" w:header="0"/>
        </w:sectPr>
      </w:pPr>
    </w:p>
    <w:bookmarkStart w:id="43" w:name="page44"/>
    <w:bookmarkEnd w:id="43"/>
    <w:p>
      <w:pPr>
        <w:spacing w:after="0"/>
        <w:rPr>
          <w:sz w:val="20"/>
          <w:szCs w:val="20"/>
          <w:color w:val="auto"/>
        </w:rPr>
      </w:pPr>
      <w:r>
        <w:rPr>
          <w:rFonts w:ascii="Arial" w:cs="Arial" w:eastAsia="Arial" w:hAnsi="Arial"/>
          <w:sz w:val="23"/>
          <w:szCs w:val="23"/>
          <w:b w:val="1"/>
          <w:bCs w:val="1"/>
          <w:color w:val="auto"/>
        </w:rPr>
        <w:t>Item 4. Mine Safety Disclosures</w:t>
      </w:r>
    </w:p>
    <w:p>
      <w:pPr>
        <w:spacing w:after="0" w:line="143" w:lineRule="exact"/>
        <w:rPr>
          <w:sz w:val="20"/>
          <w:szCs w:val="20"/>
          <w:color w:val="auto"/>
        </w:rPr>
      </w:pPr>
    </w:p>
    <w:p>
      <w:pPr>
        <w:ind w:right="380"/>
        <w:spacing w:after="0" w:line="302" w:lineRule="auto"/>
        <w:rPr>
          <w:sz w:val="20"/>
          <w:szCs w:val="20"/>
          <w:color w:val="auto"/>
        </w:rPr>
      </w:pPr>
      <w:r>
        <w:rPr>
          <w:rFonts w:ascii="Arial" w:cs="Arial" w:eastAsia="Arial" w:hAnsi="Arial"/>
          <w:sz w:val="18"/>
          <w:szCs w:val="18"/>
          <w:color w:val="auto"/>
        </w:rPr>
        <w:t>The information concerning mine safety violations or other regulatory matters required by Section 1503 (a) of the Dodd-Frank Wall Street Reform and Consumer Protection Act and Item 104 of Regulation S-K is included in Exhibit 95 to this Form 10-Q.</w:t>
      </w:r>
    </w:p>
    <w:p>
      <w:pPr>
        <w:spacing w:after="0" w:line="15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6. Exhibits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20" w:type="dxa"/>
            <w:vAlign w:val="bottom"/>
          </w:tcPr>
          <w:p>
            <w:pPr>
              <w:ind w:left="60"/>
              <w:spacing w:after="0"/>
              <w:rPr>
                <w:sz w:val="20"/>
                <w:szCs w:val="20"/>
                <w:color w:val="auto"/>
              </w:rPr>
            </w:pPr>
            <w:r>
              <w:rPr>
                <w:rFonts w:ascii="Arial" w:cs="Arial" w:eastAsia="Arial" w:hAnsi="Arial"/>
                <w:sz w:val="18"/>
                <w:szCs w:val="18"/>
                <w:color w:val="auto"/>
              </w:rPr>
              <w:t>10.1</w:t>
            </w:r>
          </w:p>
        </w:tc>
        <w:tc>
          <w:tcPr>
            <w:tcW w:w="9620" w:type="dxa"/>
            <w:vAlign w:val="bottom"/>
            <w:tcBorders>
              <w:bottom w:val="single" w:sz="8" w:color="0000EE"/>
            </w:tcBorders>
            <w:gridSpan w:val="8"/>
          </w:tcPr>
          <w:p>
            <w:pPr>
              <w:spacing w:after="0"/>
              <w:rPr>
                <w:rFonts w:ascii="Arial" w:cs="Arial" w:eastAsia="Arial" w:hAnsi="Arial"/>
                <w:sz w:val="18"/>
                <w:szCs w:val="18"/>
                <w:color w:val="0000EE"/>
                <w:w w:val="99"/>
              </w:rPr>
            </w:pPr>
            <w:hyperlink r:id="rId90">
              <w:r>
                <w:rPr>
                  <w:rFonts w:ascii="Arial" w:cs="Arial" w:eastAsia="Arial" w:hAnsi="Arial"/>
                  <w:sz w:val="18"/>
                  <w:szCs w:val="18"/>
                  <w:color w:val="0000EE"/>
                  <w:w w:val="99"/>
                </w:rPr>
                <w:t>Amendment No. 5 to Third Amended and Restated Credit Agreement, dated as of January 13, 2021, by and among Eagle</w:t>
              </w:r>
            </w:hyperlink>
          </w:p>
        </w:tc>
        <w:tc>
          <w:tcPr>
            <w:tcW w:w="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220" w:type="dxa"/>
            <w:vAlign w:val="bottom"/>
          </w:tcPr>
          <w:p>
            <w:pPr>
              <w:spacing w:after="0"/>
              <w:rPr>
                <w:sz w:val="18"/>
                <w:szCs w:val="18"/>
                <w:color w:val="auto"/>
              </w:rPr>
            </w:pPr>
          </w:p>
        </w:tc>
        <w:tc>
          <w:tcPr>
            <w:tcW w:w="9920" w:type="dxa"/>
            <w:vAlign w:val="bottom"/>
            <w:gridSpan w:val="13"/>
          </w:tcPr>
          <w:p>
            <w:pPr>
              <w:spacing w:after="0"/>
              <w:rPr>
                <w:rFonts w:ascii="Arial" w:cs="Arial" w:eastAsia="Arial" w:hAnsi="Arial"/>
                <w:sz w:val="18"/>
                <w:szCs w:val="18"/>
                <w:color w:val="0000EE"/>
              </w:rPr>
            </w:pPr>
            <w:hyperlink r:id="rId90">
              <w:r>
                <w:rPr>
                  <w:rFonts w:ascii="Arial" w:cs="Arial" w:eastAsia="Arial" w:hAnsi="Arial"/>
                  <w:sz w:val="18"/>
                  <w:szCs w:val="18"/>
                  <w:color w:val="0000EE"/>
                </w:rPr>
                <w:t>Materials Inc., as the Borrower, the Lenders party thereto and JPMorgan Chase Bank, N.A., as the Administrative Agent,</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20" w:type="dxa"/>
            <w:vAlign w:val="bottom"/>
          </w:tcPr>
          <w:p>
            <w:pPr>
              <w:spacing w:after="0"/>
              <w:rPr>
                <w:sz w:val="18"/>
                <w:szCs w:val="18"/>
                <w:color w:val="auto"/>
              </w:rPr>
            </w:pPr>
          </w:p>
        </w:tc>
        <w:tc>
          <w:tcPr>
            <w:tcW w:w="9700" w:type="dxa"/>
            <w:vAlign w:val="bottom"/>
            <w:tcBorders>
              <w:bottom w:val="single" w:sz="8" w:color="0000EE"/>
            </w:tcBorders>
            <w:gridSpan w:val="10"/>
          </w:tcPr>
          <w:p>
            <w:pPr>
              <w:spacing w:after="0"/>
              <w:rPr>
                <w:rFonts w:ascii="Arial" w:cs="Arial" w:eastAsia="Arial" w:hAnsi="Arial"/>
                <w:sz w:val="18"/>
                <w:szCs w:val="18"/>
                <w:color w:val="0000EE"/>
                <w:w w:val="99"/>
              </w:rPr>
            </w:pPr>
            <w:hyperlink r:id="rId90">
              <w:r>
                <w:rPr>
                  <w:rFonts w:ascii="Arial" w:cs="Arial" w:eastAsia="Arial" w:hAnsi="Arial"/>
                  <w:sz w:val="18"/>
                  <w:szCs w:val="18"/>
                  <w:color w:val="0000EE"/>
                  <w:w w:val="99"/>
                </w:rPr>
                <w:t>Issuing Bank and Swingline Lender thereunder, as consented to by the subsidiary guarantors listed on the signature pages</w:t>
              </w:r>
            </w:hyperlink>
          </w:p>
        </w:tc>
        <w:tc>
          <w:tcPr>
            <w:tcW w:w="2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220" w:type="dxa"/>
            <w:vAlign w:val="bottom"/>
          </w:tcPr>
          <w:p>
            <w:pPr>
              <w:spacing w:after="0"/>
              <w:rPr>
                <w:sz w:val="20"/>
                <w:szCs w:val="20"/>
                <w:color w:val="auto"/>
              </w:rPr>
            </w:pPr>
          </w:p>
        </w:tc>
        <w:tc>
          <w:tcPr>
            <w:tcW w:w="9920" w:type="dxa"/>
            <w:vAlign w:val="bottom"/>
            <w:gridSpan w:val="13"/>
          </w:tcPr>
          <w:p>
            <w:pPr>
              <w:spacing w:after="0"/>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thereto (filed as Exhibit 10.1 to the Current Report on Form 8-K filed with the Securities and Exchange Commission (“the</w:t>
              </w:r>
            </w:hyperlink>
          </w:p>
        </w:tc>
        <w:tc>
          <w:tcPr>
            <w:tcW w:w="0" w:type="dxa"/>
            <w:vAlign w:val="bottom"/>
          </w:tcPr>
          <w:p>
            <w:pPr>
              <w:spacing w:after="0"/>
              <w:rPr>
                <w:sz w:val="1"/>
                <w:szCs w:val="1"/>
                <w:color w:val="auto"/>
              </w:rPr>
            </w:pPr>
          </w:p>
        </w:tc>
      </w:tr>
      <w:tr>
        <w:trPr>
          <w:trHeight w:val="240"/>
        </w:trPr>
        <w:tc>
          <w:tcPr>
            <w:tcW w:w="1220" w:type="dxa"/>
            <w:vAlign w:val="bottom"/>
          </w:tcPr>
          <w:p>
            <w:pPr>
              <w:spacing w:after="0"/>
              <w:rPr>
                <w:sz w:val="20"/>
                <w:szCs w:val="20"/>
                <w:color w:val="auto"/>
              </w:rPr>
            </w:pPr>
          </w:p>
        </w:tc>
        <w:tc>
          <w:tcPr>
            <w:tcW w:w="9920" w:type="dxa"/>
            <w:vAlign w:val="bottom"/>
            <w:gridSpan w:val="13"/>
          </w:tcPr>
          <w:p>
            <w:pPr>
              <w:spacing w:after="0"/>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Commission”) on January 13, 2021, and incorporated herein by reference).</w:t>
              </w:r>
            </w:hyperlink>
          </w:p>
        </w:tc>
        <w:tc>
          <w:tcPr>
            <w:tcW w:w="0" w:type="dxa"/>
            <w:vAlign w:val="bottom"/>
          </w:tcPr>
          <w:p>
            <w:pPr>
              <w:spacing w:after="0"/>
              <w:rPr>
                <w:sz w:val="1"/>
                <w:szCs w:val="1"/>
                <w:color w:val="auto"/>
              </w:rPr>
            </w:pPr>
          </w:p>
        </w:tc>
      </w:tr>
      <w:tr>
        <w:trPr>
          <w:trHeight w:val="252"/>
        </w:trPr>
        <w:tc>
          <w:tcPr>
            <w:tcW w:w="122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8260" w:type="dxa"/>
            <w:vAlign w:val="bottom"/>
            <w:gridSpan w:val="5"/>
            <w:vMerge w:val="restart"/>
          </w:tcPr>
          <w:p>
            <w:pPr>
              <w:spacing w:after="0"/>
              <w:rPr>
                <w:rFonts w:ascii="Arial" w:cs="Arial" w:eastAsia="Arial" w:hAnsi="Arial"/>
                <w:sz w:val="18"/>
                <w:szCs w:val="18"/>
                <w:u w:val="single" w:color="auto"/>
                <w:color w:val="0000EE"/>
                <w:w w:val="99"/>
              </w:rPr>
            </w:pPr>
            <w:hyperlink w:anchor="page46">
              <w:r>
                <w:rPr>
                  <w:rFonts w:ascii="Arial" w:cs="Arial" w:eastAsia="Arial" w:hAnsi="Arial"/>
                  <w:sz w:val="18"/>
                  <w:szCs w:val="18"/>
                  <w:u w:val="single" w:color="auto"/>
                  <w:color w:val="0000EE"/>
                  <w:w w:val="99"/>
                </w:rPr>
                <w:t>Amended and Restated Eagle Materials Inc. Employee Severance Plan and Summary Plan Description.</w:t>
              </w:r>
            </w:hyperlink>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7"/>
              </w:rPr>
              <w:t>(1)</w:t>
            </w:r>
          </w:p>
        </w:tc>
        <w:tc>
          <w:tcPr>
            <w:tcW w:w="1240" w:type="dxa"/>
            <w:vAlign w:val="bottom"/>
            <w:gridSpan w:val="3"/>
            <w:vMerge w:val="restart"/>
          </w:tcPr>
          <w:p>
            <w:pPr>
              <w:spacing w:after="0"/>
              <w:rPr>
                <w:sz w:val="21"/>
                <w:szCs w:val="21"/>
                <w:color w:val="auto"/>
              </w:rPr>
            </w:pPr>
          </w:p>
        </w:tc>
        <w:tc>
          <w:tcPr>
            <w:tcW w:w="160" w:type="dxa"/>
            <w:vAlign w:val="bottom"/>
            <w:gridSpan w:val="2"/>
            <w:vMerge w:val="restart"/>
          </w:tcPr>
          <w:p>
            <w:pPr>
              <w:spacing w:after="0"/>
              <w:rPr>
                <w:sz w:val="21"/>
                <w:szCs w:val="21"/>
                <w:color w:val="auto"/>
              </w:rPr>
            </w:pPr>
          </w:p>
        </w:tc>
        <w:tc>
          <w:tcPr>
            <w:tcW w:w="6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63"/>
        </w:trPr>
        <w:tc>
          <w:tcPr>
            <w:tcW w:w="1220" w:type="dxa"/>
            <w:vAlign w:val="bottom"/>
            <w:vMerge w:val="continue"/>
          </w:tcPr>
          <w:p>
            <w:pPr>
              <w:spacing w:after="0"/>
              <w:rPr>
                <w:sz w:val="5"/>
                <w:szCs w:val="5"/>
                <w:color w:val="auto"/>
              </w:rPr>
            </w:pPr>
          </w:p>
        </w:tc>
        <w:tc>
          <w:tcPr>
            <w:tcW w:w="8260" w:type="dxa"/>
            <w:vAlign w:val="bottom"/>
            <w:gridSpan w:val="5"/>
            <w:vMerge w:val="continue"/>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3"/>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968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Certification of the Chief Executive Officer of Eagle Materials Inc. pursuant to Rules 13a-14 and 15d-14 promulgated under</w:t>
              </w:r>
            </w:hyperlink>
          </w:p>
        </w:tc>
        <w:tc>
          <w:tcPr>
            <w:tcW w:w="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220" w:type="dxa"/>
            <w:vAlign w:val="bottom"/>
          </w:tcPr>
          <w:p>
            <w:pPr>
              <w:spacing w:after="0"/>
              <w:rPr>
                <w:sz w:val="18"/>
                <w:szCs w:val="18"/>
                <w:color w:val="auto"/>
              </w:rPr>
            </w:pPr>
          </w:p>
        </w:tc>
        <w:tc>
          <w:tcPr>
            <w:tcW w:w="9920" w:type="dxa"/>
            <w:vAlign w:val="bottom"/>
            <w:gridSpan w:val="1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the Securities Exchange Act of 1934, as amended.</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992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59">
              <w:r>
                <w:rPr>
                  <w:rFonts w:ascii="Arial" w:cs="Arial" w:eastAsia="Arial" w:hAnsi="Arial"/>
                  <w:sz w:val="18"/>
                  <w:szCs w:val="18"/>
                  <w:color w:val="0000EE"/>
                  <w:w w:val="99"/>
                </w:rPr>
                <w:t>Certification of the Chief Financial Officer of Eagle Materials Inc. pursuant to Rules 13a-14 and 15d-14 promulgated under the</w:t>
              </w:r>
            </w:hyperlink>
          </w:p>
        </w:tc>
        <w:tc>
          <w:tcPr>
            <w:tcW w:w="0" w:type="dxa"/>
            <w:vAlign w:val="bottom"/>
          </w:tcPr>
          <w:p>
            <w:pPr>
              <w:spacing w:after="0"/>
              <w:rPr>
                <w:sz w:val="1"/>
                <w:szCs w:val="1"/>
                <w:color w:val="auto"/>
              </w:rPr>
            </w:pPr>
          </w:p>
        </w:tc>
      </w:tr>
      <w:tr>
        <w:trPr>
          <w:trHeight w:val="208"/>
        </w:trPr>
        <w:tc>
          <w:tcPr>
            <w:tcW w:w="1220" w:type="dxa"/>
            <w:vAlign w:val="bottom"/>
          </w:tcPr>
          <w:p>
            <w:pPr>
              <w:spacing w:after="0"/>
              <w:rPr>
                <w:sz w:val="18"/>
                <w:szCs w:val="18"/>
                <w:color w:val="auto"/>
              </w:rPr>
            </w:pPr>
          </w:p>
        </w:tc>
        <w:tc>
          <w:tcPr>
            <w:tcW w:w="9920" w:type="dxa"/>
            <w:vAlign w:val="bottom"/>
            <w:gridSpan w:val="1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Securities Exchange Act of 1934, as amended.</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9920" w:type="dxa"/>
            <w:vAlign w:val="bottom"/>
            <w:gridSpan w:val="13"/>
          </w:tcPr>
          <w:p>
            <w:pPr>
              <w:spacing w:after="0"/>
              <w:rPr>
                <w:rFonts w:ascii="Arial" w:cs="Arial" w:eastAsia="Arial" w:hAnsi="Arial"/>
                <w:sz w:val="18"/>
                <w:szCs w:val="18"/>
                <w:color w:val="0000EE"/>
                <w:w w:val="99"/>
              </w:rPr>
            </w:pPr>
            <w:hyperlink w:anchor="page60">
              <w:r>
                <w:rPr>
                  <w:rFonts w:ascii="Arial" w:cs="Arial" w:eastAsia="Arial" w:hAnsi="Arial"/>
                  <w:sz w:val="18"/>
                  <w:szCs w:val="18"/>
                  <w:color w:val="0000EE"/>
                  <w:w w:val="99"/>
                </w:rPr>
                <w:t>Certification of the Chief Executive Officer of Eagle Materials Inc. pursuant to 18 U.S.C. Section 1350, as adopted pursuant to</w:t>
              </w:r>
            </w:hyperlink>
          </w:p>
        </w:tc>
        <w:tc>
          <w:tcPr>
            <w:tcW w:w="0" w:type="dxa"/>
            <w:vAlign w:val="bottom"/>
          </w:tcPr>
          <w:p>
            <w:pPr>
              <w:spacing w:after="0"/>
              <w:rPr>
                <w:sz w:val="1"/>
                <w:szCs w:val="1"/>
                <w:color w:val="auto"/>
              </w:rPr>
            </w:pPr>
          </w:p>
        </w:tc>
      </w:tr>
      <w:tr>
        <w:trPr>
          <w:trHeight w:val="208"/>
        </w:trPr>
        <w:tc>
          <w:tcPr>
            <w:tcW w:w="1220" w:type="dxa"/>
            <w:vAlign w:val="bottom"/>
          </w:tcPr>
          <w:p>
            <w:pPr>
              <w:spacing w:after="0"/>
              <w:rPr>
                <w:sz w:val="18"/>
                <w:szCs w:val="18"/>
                <w:color w:val="auto"/>
              </w:rPr>
            </w:pPr>
          </w:p>
        </w:tc>
        <w:tc>
          <w:tcPr>
            <w:tcW w:w="37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8"/>
              </w:rPr>
            </w:pPr>
            <w:hyperlink w:anchor="page60">
              <w:r>
                <w:rPr>
                  <w:rFonts w:ascii="Arial" w:cs="Arial" w:eastAsia="Arial" w:hAnsi="Arial"/>
                  <w:sz w:val="18"/>
                  <w:szCs w:val="18"/>
                  <w:color w:val="0000EE"/>
                  <w:w w:val="98"/>
                </w:rPr>
                <w:t>Section 906 of the Sarbanes-Oxley Act of 2002.</w:t>
              </w:r>
            </w:hyperlink>
          </w:p>
        </w:tc>
        <w:tc>
          <w:tcPr>
            <w:tcW w:w="6120" w:type="dxa"/>
            <w:vAlign w:val="bottom"/>
            <w:tcBorders>
              <w:top w:val="single" w:sz="8" w:color="0000EE"/>
            </w:tcBorders>
            <w:gridSpan w:val="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9920" w:type="dxa"/>
            <w:vAlign w:val="bottom"/>
            <w:gridSpan w:val="13"/>
          </w:tcPr>
          <w:p>
            <w:pPr>
              <w:spacing w:after="0"/>
              <w:rPr>
                <w:rFonts w:ascii="Arial" w:cs="Arial" w:eastAsia="Arial" w:hAnsi="Arial"/>
                <w:sz w:val="18"/>
                <w:szCs w:val="18"/>
                <w:color w:val="0000EE"/>
                <w:w w:val="99"/>
              </w:rPr>
            </w:pPr>
            <w:hyperlink w:anchor="page61">
              <w:r>
                <w:rPr>
                  <w:rFonts w:ascii="Arial" w:cs="Arial" w:eastAsia="Arial" w:hAnsi="Arial"/>
                  <w:sz w:val="18"/>
                  <w:szCs w:val="18"/>
                  <w:color w:val="0000EE"/>
                  <w:w w:val="99"/>
                </w:rPr>
                <w:t>Certification of the Chief Financial Officer of Eagle Materials Inc. pursuant to 18 U.S.C. Section 1350, as adopted pursuant to</w:t>
              </w:r>
            </w:hyperlink>
          </w:p>
        </w:tc>
        <w:tc>
          <w:tcPr>
            <w:tcW w:w="0" w:type="dxa"/>
            <w:vAlign w:val="bottom"/>
          </w:tcPr>
          <w:p>
            <w:pPr>
              <w:spacing w:after="0"/>
              <w:rPr>
                <w:sz w:val="1"/>
                <w:szCs w:val="1"/>
                <w:color w:val="auto"/>
              </w:rPr>
            </w:pPr>
          </w:p>
        </w:tc>
      </w:tr>
      <w:tr>
        <w:trPr>
          <w:trHeight w:val="208"/>
        </w:trPr>
        <w:tc>
          <w:tcPr>
            <w:tcW w:w="1220" w:type="dxa"/>
            <w:vAlign w:val="bottom"/>
          </w:tcPr>
          <w:p>
            <w:pPr>
              <w:spacing w:after="0"/>
              <w:rPr>
                <w:sz w:val="18"/>
                <w:szCs w:val="18"/>
                <w:color w:val="auto"/>
              </w:rPr>
            </w:pPr>
          </w:p>
        </w:tc>
        <w:tc>
          <w:tcPr>
            <w:tcW w:w="9840" w:type="dxa"/>
            <w:vAlign w:val="bottom"/>
            <w:tcBorders>
              <w:top w:val="single" w:sz="8" w:color="0000EE"/>
            </w:tcBorders>
            <w:gridSpan w:val="11"/>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Section 906 of the Sarbanes-Oxley Act of 2002.</w:t>
              </w:r>
            </w:hyperlink>
          </w:p>
        </w:tc>
        <w:tc>
          <w:tcPr>
            <w:tcW w:w="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220" w:type="dxa"/>
            <w:vAlign w:val="bottom"/>
          </w:tcPr>
          <w:p>
            <w:pPr>
              <w:spacing w:after="0"/>
              <w:rPr>
                <w:sz w:val="20"/>
                <w:szCs w:val="20"/>
                <w:color w:val="auto"/>
              </w:rPr>
            </w:pPr>
            <w:r>
              <w:rPr>
                <w:rFonts w:ascii="Arial" w:cs="Arial" w:eastAsia="Arial" w:hAnsi="Arial"/>
                <w:sz w:val="18"/>
                <w:szCs w:val="18"/>
                <w:color w:val="auto"/>
              </w:rPr>
              <w:t>95*</w:t>
            </w:r>
          </w:p>
        </w:tc>
        <w:tc>
          <w:tcPr>
            <w:tcW w:w="3760" w:type="dxa"/>
            <w:vAlign w:val="bottom"/>
            <w:tcBorders>
              <w:top w:val="single" w:sz="8" w:color="0000EE"/>
            </w:tcBorders>
            <w:gridSpan w:val="2"/>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Mine Safety Disclosure</w:t>
              </w:r>
            </w:hyperlink>
          </w:p>
        </w:tc>
        <w:tc>
          <w:tcPr>
            <w:tcW w:w="61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13"/>
          </w:tcPr>
          <w:p>
            <w:pPr>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 XBRL tags</w:t>
            </w:r>
          </w:p>
        </w:tc>
        <w:tc>
          <w:tcPr>
            <w:tcW w:w="0" w:type="dxa"/>
            <w:vAlign w:val="bottom"/>
          </w:tcPr>
          <w:p>
            <w:pPr>
              <w:spacing w:after="0"/>
              <w:rPr>
                <w:sz w:val="1"/>
                <w:szCs w:val="1"/>
                <w:color w:val="auto"/>
              </w:rPr>
            </w:pPr>
          </w:p>
        </w:tc>
      </w:tr>
      <w:tr>
        <w:trPr>
          <w:trHeight w:val="240"/>
        </w:trPr>
        <w:tc>
          <w:tcPr>
            <w:tcW w:w="1220" w:type="dxa"/>
            <w:vAlign w:val="bottom"/>
          </w:tcPr>
          <w:p>
            <w:pPr>
              <w:spacing w:after="0"/>
              <w:rPr>
                <w:sz w:val="20"/>
                <w:szCs w:val="20"/>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auto"/>
              </w:rPr>
              <w:t>are embedded within the Inline XBRL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260" w:hanging="1213"/>
        <w:spacing w:after="0"/>
        <w:tabs>
          <w:tab w:leader="none" w:pos="1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Cover Page Interactive Data File – (formatted as Inline XBRL and Contained in Exhibit 101).</w:t>
      </w:r>
    </w:p>
    <w:p>
      <w:pPr>
        <w:spacing w:after="0" w:line="19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20345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ind w:left="540" w:hanging="533"/>
        <w:spacing w:after="0"/>
        <w:tabs>
          <w:tab w:leader="none" w:pos="540" w:val="left"/>
        </w:tabs>
        <w:numPr>
          <w:ilvl w:val="0"/>
          <w:numId w:val="13"/>
        </w:numPr>
        <w:rPr>
          <w:rFonts w:ascii="Arial" w:cs="Arial" w:eastAsia="Arial" w:hAnsi="Arial"/>
          <w:sz w:val="15"/>
          <w:szCs w:val="15"/>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80"/>
          </w:cols>
          <w:pgMar w:left="320" w:top="581" w:right="399" w:bottom="1440" w:gutter="0" w:footer="0" w:header="0"/>
        </w:sectPr>
      </w:pPr>
    </w:p>
    <w:bookmarkStart w:id="44" w:name="page45"/>
    <w:bookmarkEnd w:id="44"/>
    <w:p>
      <w:pPr>
        <w:jc w:val="center"/>
        <w:ind w:right="-199"/>
        <w:spacing w:after="0"/>
        <w:rPr>
          <w:sz w:val="20"/>
          <w:szCs w:val="20"/>
          <w:color w:val="auto"/>
        </w:rPr>
      </w:pPr>
      <w:r>
        <w:rPr>
          <w:rFonts w:ascii="Arial" w:cs="Arial" w:eastAsia="Arial" w:hAnsi="Arial"/>
          <w:sz w:val="23"/>
          <w:szCs w:val="23"/>
          <w:b w:val="1"/>
          <w:bCs w:val="1"/>
          <w:color w:val="auto"/>
        </w:rPr>
        <w:t>SIGNATURES</w:t>
      </w:r>
    </w:p>
    <w:p>
      <w:pPr>
        <w:spacing w:after="0" w:line="143" w:lineRule="exact"/>
        <w:rPr>
          <w:sz w:val="20"/>
          <w:szCs w:val="20"/>
          <w:color w:val="auto"/>
        </w:rPr>
      </w:pPr>
    </w:p>
    <w:p>
      <w:pPr>
        <w:spacing w:after="0" w:line="30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jc w:val="center"/>
        <w:ind w:left="6720"/>
        <w:spacing w:after="0"/>
        <w:rPr>
          <w:sz w:val="20"/>
          <w:szCs w:val="20"/>
          <w:color w:val="auto"/>
        </w:rPr>
      </w:pPr>
      <w:r>
        <w:rPr>
          <w:rFonts w:ascii="Arial" w:cs="Arial" w:eastAsia="Arial" w:hAnsi="Arial"/>
          <w:sz w:val="18"/>
          <w:szCs w:val="18"/>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10795</wp:posOffset>
            </wp:positionV>
            <wp:extent cx="28517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851785" cy="8255"/>
                    </a:xfrm>
                    <a:prstGeom prst="rect">
                      <a:avLst/>
                    </a:prstGeom>
                    <a:noFill/>
                  </pic:spPr>
                </pic:pic>
              </a:graphicData>
            </a:graphic>
          </wp:anchor>
        </w:drawing>
      </w:r>
    </w:p>
    <w:p>
      <w:pPr>
        <w:spacing w:after="0" w:line="13" w:lineRule="exact"/>
        <w:rPr>
          <w:sz w:val="20"/>
          <w:szCs w:val="20"/>
          <w:color w:val="auto"/>
        </w:rPr>
      </w:pPr>
    </w:p>
    <w:p>
      <w:pPr>
        <w:jc w:val="center"/>
        <w:ind w:left="6720"/>
        <w:spacing w:after="0"/>
        <w:rPr>
          <w:sz w:val="20"/>
          <w:szCs w:val="20"/>
          <w:color w:val="auto"/>
        </w:rPr>
      </w:pPr>
      <w:r>
        <w:rPr>
          <w:rFonts w:ascii="Arial" w:cs="Arial" w:eastAsia="Arial" w:hAnsi="Arial"/>
          <w:sz w:val="18"/>
          <w:szCs w:val="18"/>
          <w:color w:val="auto"/>
        </w:rPr>
        <w:t>Registrant</w:t>
      </w:r>
    </w:p>
    <w:p>
      <w:pPr>
        <w:spacing w:after="0" w:line="237" w:lineRule="exact"/>
        <w:rPr>
          <w:sz w:val="20"/>
          <w:szCs w:val="20"/>
          <w:color w:val="auto"/>
        </w:rPr>
      </w:pPr>
    </w:p>
    <w:p>
      <w:pPr>
        <w:spacing w:after="0"/>
        <w:tabs>
          <w:tab w:leader="none" w:pos="8020" w:val="left"/>
        </w:tabs>
        <w:rPr>
          <w:sz w:val="20"/>
          <w:szCs w:val="20"/>
          <w:color w:val="auto"/>
        </w:rPr>
      </w:pPr>
      <w:r>
        <w:rPr>
          <w:rFonts w:ascii="Arial" w:cs="Arial" w:eastAsia="Arial" w:hAnsi="Arial"/>
          <w:sz w:val="18"/>
          <w:szCs w:val="18"/>
          <w:color w:val="auto"/>
        </w:rPr>
        <w:t>January 28, 2021</w:t>
      </w:r>
      <w:r>
        <w:rPr>
          <w:sz w:val="20"/>
          <w:szCs w:val="20"/>
          <w:color w:val="auto"/>
        </w:rPr>
        <w:tab/>
      </w:r>
      <w:r>
        <w:rPr>
          <w:rFonts w:ascii="Arial" w:cs="Arial" w:eastAsia="Arial" w:hAnsi="Arial"/>
          <w:sz w:val="17"/>
          <w:szCs w:val="17"/>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10795</wp:posOffset>
            </wp:positionV>
            <wp:extent cx="28517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851785" cy="8255"/>
                    </a:xfrm>
                    <a:prstGeom prst="rect">
                      <a:avLst/>
                    </a:prstGeom>
                    <a:noFill/>
                  </pic:spPr>
                </pic:pic>
              </a:graphicData>
            </a:graphic>
          </wp:anchor>
        </w:drawing>
      </w:r>
    </w:p>
    <w:p>
      <w:pPr>
        <w:spacing w:after="0" w:line="4" w:lineRule="exact"/>
        <w:rPr>
          <w:sz w:val="20"/>
          <w:szCs w:val="20"/>
          <w:color w:val="auto"/>
        </w:rPr>
      </w:pPr>
    </w:p>
    <w:p>
      <w:pPr>
        <w:jc w:val="center"/>
        <w:ind w:left="6720"/>
        <w:spacing w:after="0"/>
        <w:rPr>
          <w:sz w:val="20"/>
          <w:szCs w:val="20"/>
          <w:color w:val="auto"/>
        </w:rPr>
      </w:pPr>
      <w:r>
        <w:rPr>
          <w:rFonts w:ascii="Arial" w:cs="Arial" w:eastAsia="Arial" w:hAnsi="Arial"/>
          <w:sz w:val="18"/>
          <w:szCs w:val="18"/>
          <w:color w:val="auto"/>
        </w:rPr>
        <w:t>Michael R. Haack</w:t>
      </w:r>
    </w:p>
    <w:p>
      <w:pPr>
        <w:jc w:val="center"/>
        <w:ind w:left="6720"/>
        <w:spacing w:after="0" w:line="233" w:lineRule="auto"/>
        <w:rPr>
          <w:sz w:val="20"/>
          <w:szCs w:val="20"/>
          <w:color w:val="auto"/>
        </w:rPr>
      </w:pPr>
      <w:r>
        <w:rPr>
          <w:rFonts w:ascii="Arial" w:cs="Arial" w:eastAsia="Arial" w:hAnsi="Arial"/>
          <w:sz w:val="18"/>
          <w:szCs w:val="18"/>
          <w:color w:val="auto"/>
        </w:rPr>
        <w:t>President and Chief Executive Officer</w:t>
      </w:r>
    </w:p>
    <w:p>
      <w:pPr>
        <w:jc w:val="center"/>
        <w:ind w:left="6720"/>
        <w:spacing w:after="0"/>
        <w:rPr>
          <w:sz w:val="20"/>
          <w:szCs w:val="20"/>
          <w:color w:val="auto"/>
        </w:rPr>
      </w:pPr>
      <w:r>
        <w:rPr>
          <w:rFonts w:ascii="Arial" w:cs="Arial" w:eastAsia="Arial" w:hAnsi="Arial"/>
          <w:sz w:val="18"/>
          <w:szCs w:val="18"/>
          <w:color w:val="auto"/>
        </w:rPr>
        <w:t>(principal executive officer)</w:t>
      </w:r>
    </w:p>
    <w:p>
      <w:pPr>
        <w:spacing w:after="0" w:line="240" w:lineRule="exact"/>
        <w:rPr>
          <w:sz w:val="20"/>
          <w:szCs w:val="20"/>
          <w:color w:val="auto"/>
        </w:rPr>
      </w:pPr>
    </w:p>
    <w:p>
      <w:pPr>
        <w:spacing w:after="0"/>
        <w:tabs>
          <w:tab w:leader="none" w:pos="8080" w:val="left"/>
        </w:tabs>
        <w:rPr>
          <w:sz w:val="20"/>
          <w:szCs w:val="20"/>
          <w:color w:val="auto"/>
        </w:rPr>
      </w:pPr>
      <w:r>
        <w:rPr>
          <w:rFonts w:ascii="Arial" w:cs="Arial" w:eastAsia="Arial" w:hAnsi="Arial"/>
          <w:sz w:val="18"/>
          <w:szCs w:val="18"/>
          <w:color w:val="auto"/>
        </w:rPr>
        <w:t>January 28, 2021</w:t>
      </w:r>
      <w:r>
        <w:rPr>
          <w:sz w:val="20"/>
          <w:szCs w:val="20"/>
          <w:color w:val="auto"/>
        </w:rPr>
        <w:tab/>
      </w:r>
      <w:r>
        <w:rPr>
          <w:rFonts w:ascii="Arial" w:cs="Arial" w:eastAsia="Arial" w:hAnsi="Arial"/>
          <w:sz w:val="17"/>
          <w:szCs w:val="17"/>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10795</wp:posOffset>
            </wp:positionV>
            <wp:extent cx="28517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851785" cy="8255"/>
                    </a:xfrm>
                    <a:prstGeom prst="rect">
                      <a:avLst/>
                    </a:prstGeom>
                    <a:noFill/>
                  </pic:spPr>
                </pic:pic>
              </a:graphicData>
            </a:graphic>
          </wp:anchor>
        </w:drawing>
      </w:r>
    </w:p>
    <w:p>
      <w:pPr>
        <w:spacing w:after="0" w:line="4" w:lineRule="exact"/>
        <w:rPr>
          <w:sz w:val="20"/>
          <w:szCs w:val="20"/>
          <w:color w:val="auto"/>
        </w:rPr>
      </w:pPr>
    </w:p>
    <w:p>
      <w:pPr>
        <w:jc w:val="center"/>
        <w:ind w:left="6720"/>
        <w:spacing w:after="0"/>
        <w:rPr>
          <w:sz w:val="20"/>
          <w:szCs w:val="20"/>
          <w:color w:val="auto"/>
        </w:rPr>
      </w:pPr>
      <w:r>
        <w:rPr>
          <w:rFonts w:ascii="Arial" w:cs="Arial" w:eastAsia="Arial" w:hAnsi="Arial"/>
          <w:sz w:val="18"/>
          <w:szCs w:val="18"/>
          <w:color w:val="auto"/>
        </w:rPr>
        <w:t>D. Craig Kesler</w:t>
      </w:r>
    </w:p>
    <w:p>
      <w:pPr>
        <w:jc w:val="center"/>
        <w:ind w:left="6720"/>
        <w:spacing w:after="0" w:line="233" w:lineRule="auto"/>
        <w:rPr>
          <w:sz w:val="20"/>
          <w:szCs w:val="20"/>
          <w:color w:val="auto"/>
        </w:rPr>
      </w:pPr>
      <w:r>
        <w:rPr>
          <w:rFonts w:ascii="Arial" w:cs="Arial" w:eastAsia="Arial" w:hAnsi="Arial"/>
          <w:sz w:val="18"/>
          <w:szCs w:val="18"/>
          <w:color w:val="auto"/>
        </w:rPr>
        <w:t>Executive Vice President – Finance and</w:t>
      </w:r>
    </w:p>
    <w:p>
      <w:pPr>
        <w:jc w:val="center"/>
        <w:ind w:left="6720"/>
        <w:spacing w:after="0" w:line="233" w:lineRule="auto"/>
        <w:rPr>
          <w:sz w:val="20"/>
          <w:szCs w:val="20"/>
          <w:color w:val="auto"/>
        </w:rPr>
      </w:pPr>
      <w:r>
        <w:rPr>
          <w:rFonts w:ascii="Arial" w:cs="Arial" w:eastAsia="Arial" w:hAnsi="Arial"/>
          <w:sz w:val="18"/>
          <w:szCs w:val="18"/>
          <w:color w:val="auto"/>
        </w:rPr>
        <w:t>Administration and Chief Financial Officer</w:t>
      </w:r>
    </w:p>
    <w:p>
      <w:pPr>
        <w:jc w:val="center"/>
        <w:ind w:left="6720"/>
        <w:spacing w:after="0"/>
        <w:rPr>
          <w:sz w:val="20"/>
          <w:szCs w:val="20"/>
          <w:color w:val="auto"/>
        </w:rPr>
      </w:pPr>
      <w:r>
        <w:rPr>
          <w:rFonts w:ascii="Arial" w:cs="Arial" w:eastAsia="Arial" w:hAnsi="Arial"/>
          <w:sz w:val="18"/>
          <w:szCs w:val="18"/>
          <w:color w:val="auto"/>
        </w:rPr>
        <w:t>(principal financial officer)</w:t>
      </w:r>
    </w:p>
    <w:p>
      <w:pPr>
        <w:spacing w:after="0" w:line="227" w:lineRule="exact"/>
        <w:rPr>
          <w:sz w:val="20"/>
          <w:szCs w:val="20"/>
          <w:color w:val="auto"/>
        </w:rPr>
      </w:pPr>
    </w:p>
    <w:p>
      <w:pPr>
        <w:spacing w:after="0"/>
        <w:tabs>
          <w:tab w:leader="none" w:pos="8020" w:val="left"/>
        </w:tabs>
        <w:rPr>
          <w:sz w:val="20"/>
          <w:szCs w:val="20"/>
          <w:color w:val="auto"/>
        </w:rPr>
      </w:pPr>
      <w:r>
        <w:rPr>
          <w:rFonts w:ascii="Arial" w:cs="Arial" w:eastAsia="Arial" w:hAnsi="Arial"/>
          <w:sz w:val="18"/>
          <w:szCs w:val="18"/>
          <w:color w:val="auto"/>
        </w:rPr>
        <w:t>January 28, 2021</w:t>
      </w:r>
      <w:r>
        <w:rPr>
          <w:sz w:val="20"/>
          <w:szCs w:val="20"/>
          <w:color w:val="auto"/>
        </w:rPr>
        <w:tab/>
      </w:r>
      <w:r>
        <w:rPr>
          <w:rFonts w:ascii="Arial" w:cs="Arial" w:eastAsia="Arial" w:hAnsi="Arial"/>
          <w:sz w:val="17"/>
          <w:szCs w:val="17"/>
          <w:color w:val="auto"/>
        </w:rPr>
        <w:t>/s/ WILLIAM R.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10795</wp:posOffset>
            </wp:positionV>
            <wp:extent cx="28517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851785" cy="8255"/>
                    </a:xfrm>
                    <a:prstGeom prst="rect">
                      <a:avLst/>
                    </a:prstGeom>
                    <a:noFill/>
                  </pic:spPr>
                </pic:pic>
              </a:graphicData>
            </a:graphic>
          </wp:anchor>
        </w:drawing>
      </w:r>
    </w:p>
    <w:p>
      <w:pPr>
        <w:spacing w:after="0" w:line="4" w:lineRule="exact"/>
        <w:rPr>
          <w:sz w:val="20"/>
          <w:szCs w:val="20"/>
          <w:color w:val="auto"/>
        </w:rPr>
      </w:pPr>
    </w:p>
    <w:p>
      <w:pPr>
        <w:jc w:val="center"/>
        <w:ind w:left="6720"/>
        <w:spacing w:after="0"/>
        <w:rPr>
          <w:sz w:val="20"/>
          <w:szCs w:val="20"/>
          <w:color w:val="auto"/>
        </w:rPr>
      </w:pPr>
      <w:r>
        <w:rPr>
          <w:rFonts w:ascii="Arial" w:cs="Arial" w:eastAsia="Arial" w:hAnsi="Arial"/>
          <w:sz w:val="18"/>
          <w:szCs w:val="18"/>
          <w:color w:val="auto"/>
        </w:rPr>
        <w:t>William R. Devlin</w:t>
      </w:r>
    </w:p>
    <w:p>
      <w:pPr>
        <w:jc w:val="center"/>
        <w:ind w:left="6720"/>
        <w:spacing w:after="0" w:line="233" w:lineRule="auto"/>
        <w:rPr>
          <w:sz w:val="20"/>
          <w:szCs w:val="20"/>
          <w:color w:val="auto"/>
        </w:rPr>
      </w:pPr>
      <w:r>
        <w:rPr>
          <w:rFonts w:ascii="Arial" w:cs="Arial" w:eastAsia="Arial" w:hAnsi="Arial"/>
          <w:sz w:val="18"/>
          <w:szCs w:val="18"/>
          <w:color w:val="auto"/>
        </w:rPr>
        <w:t>Senior Vice President – Controller and</w:t>
      </w:r>
    </w:p>
    <w:p>
      <w:pPr>
        <w:jc w:val="center"/>
        <w:ind w:left="6720"/>
        <w:spacing w:after="0" w:line="233" w:lineRule="auto"/>
        <w:rPr>
          <w:sz w:val="20"/>
          <w:szCs w:val="20"/>
          <w:color w:val="auto"/>
        </w:rPr>
      </w:pPr>
      <w:r>
        <w:rPr>
          <w:rFonts w:ascii="Arial" w:cs="Arial" w:eastAsia="Arial" w:hAnsi="Arial"/>
          <w:sz w:val="18"/>
          <w:szCs w:val="18"/>
          <w:color w:val="auto"/>
        </w:rPr>
        <w:t>Chief Accounting Officer</w:t>
      </w:r>
    </w:p>
    <w:p>
      <w:pPr>
        <w:jc w:val="center"/>
        <w:ind w:left="67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40"/>
          </w:cols>
          <w:pgMar w:left="320" w:top="353" w:right="5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1"/>
          <w:szCs w:val="21"/>
          <w:color w:val="auto"/>
        </w:rPr>
        <w:t>Exhibit 10.2</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155575</wp:posOffset>
            </wp:positionV>
            <wp:extent cx="71335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Employee Severance Plan and Summary Plan Description</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(Amended and Restated Effective as of December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35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179705</wp:posOffset>
            </wp:positionV>
            <wp:extent cx="71335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both"/>
        <w:ind w:firstLine="871"/>
        <w:spacing w:after="0" w:line="249" w:lineRule="auto"/>
        <w:tabs>
          <w:tab w:leader="none" w:pos="166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Purpose</w:t>
      </w:r>
      <w:r>
        <w:rPr>
          <w:rFonts w:ascii="Times New Roman" w:cs="Times New Roman" w:eastAsia="Times New Roman" w:hAnsi="Times New Roman"/>
          <w:sz w:val="21"/>
          <w:szCs w:val="21"/>
          <w:color w:val="auto"/>
        </w:rPr>
        <w:t>. The purpose of this Eagle Materials Inc. Employee Severance Plan (this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is to provide severance protection to designated employees of the Company in the event of a termination of their employment in certain specified circumstances. This Plan is an “employee benefit plan,” as defined in Section 3(3) of ERISA. This Plan is governed by ERISA and, to the extent applicable, the laws of the State of Texas. This document constitutes both the written instrument under which this Plan is maintained and the required summary plan description for this Plan.</w:t>
      </w:r>
    </w:p>
    <w:p>
      <w:pPr>
        <w:spacing w:after="0" w:line="168" w:lineRule="exact"/>
        <w:rPr>
          <w:rFonts w:ascii="Times New Roman" w:cs="Times New Roman" w:eastAsia="Times New Roman" w:hAnsi="Times New Roman"/>
          <w:sz w:val="21"/>
          <w:szCs w:val="21"/>
          <w:color w:val="auto"/>
        </w:rPr>
      </w:pPr>
    </w:p>
    <w:p>
      <w:pPr>
        <w:ind w:left="1680" w:hanging="809"/>
        <w:spacing w:after="0"/>
        <w:tabs>
          <w:tab w:leader="none" w:pos="168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The following definitions are applicable for purposes of this Plan, in addition to the terms defined</w:t>
      </w:r>
    </w:p>
    <w:p>
      <w:pPr>
        <w:spacing w:after="0" w:line="2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Section 1 above:</w:t>
      </w:r>
    </w:p>
    <w:p>
      <w:pPr>
        <w:spacing w:after="0" w:line="190" w:lineRule="exact"/>
        <w:rPr>
          <w:sz w:val="20"/>
          <w:szCs w:val="20"/>
          <w:color w:val="auto"/>
        </w:rPr>
      </w:pPr>
    </w:p>
    <w:p>
      <w:pPr>
        <w:jc w:val="both"/>
        <w:ind w:firstLine="871"/>
        <w:spacing w:after="0" w:line="249" w:lineRule="auto"/>
        <w:tabs>
          <w:tab w:leader="none" w:pos="1745"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Accrued Obligations</w:t>
      </w:r>
      <w:r>
        <w:rPr>
          <w:rFonts w:ascii="Times New Roman" w:cs="Times New Roman" w:eastAsia="Times New Roman" w:hAnsi="Times New Roman"/>
          <w:sz w:val="21"/>
          <w:szCs w:val="21"/>
          <w:color w:val="auto"/>
        </w:rPr>
        <w:t>” means, for an Eligible Employee, the Eligible Employee’s (i) base salary otherwise payable through the Date of Termination; (ii) any annual, short-term cash bonus earned by the Eligible Employee for the most recently completed fiscal year but not paid to the Eligible Employee as of the Date of Termination; (iii) unreimbursed business expenses reimbursable under Company policies then in effect; and (iv) earned and accrued vacation pay, if applicable, to the extent not theretofore paid.</w:t>
      </w:r>
    </w:p>
    <w:p>
      <w:pPr>
        <w:spacing w:after="0" w:line="168" w:lineRule="exact"/>
        <w:rPr>
          <w:rFonts w:ascii="Times New Roman" w:cs="Times New Roman" w:eastAsia="Times New Roman" w:hAnsi="Times New Roman"/>
          <w:sz w:val="21"/>
          <w:szCs w:val="21"/>
          <w:color w:val="auto"/>
        </w:rPr>
      </w:pPr>
    </w:p>
    <w:p>
      <w:pPr>
        <w:jc w:val="both"/>
        <w:ind w:firstLine="871"/>
        <w:spacing w:after="0" w:line="252" w:lineRule="auto"/>
        <w:tabs>
          <w:tab w:leader="none" w:pos="1757"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Administrator</w:t>
      </w:r>
      <w:r>
        <w:rPr>
          <w:rFonts w:ascii="Times New Roman" w:cs="Times New Roman" w:eastAsia="Times New Roman" w:hAnsi="Times New Roman"/>
          <w:sz w:val="21"/>
          <w:szCs w:val="21"/>
          <w:color w:val="auto"/>
        </w:rPr>
        <w:t xml:space="preserve">” means the Company, whether or not acting through the Committee or another duly constituted committee of members of the Board, or any officer of the Company to whom the Administrator has delegated any authority or responsibility with respect to this Plan;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each Eligible Employee who is an executive officer of the Company, the Administrator shall be the Compensation Committee of the Board.</w:t>
      </w:r>
    </w:p>
    <w:p>
      <w:pPr>
        <w:spacing w:after="0" w:line="165" w:lineRule="exact"/>
        <w:rPr>
          <w:rFonts w:ascii="Times New Roman" w:cs="Times New Roman" w:eastAsia="Times New Roman" w:hAnsi="Times New Roman"/>
          <w:sz w:val="21"/>
          <w:szCs w:val="21"/>
          <w:color w:val="auto"/>
        </w:rPr>
      </w:pPr>
    </w:p>
    <w:p>
      <w:pPr>
        <w:ind w:left="1760" w:hanging="889"/>
        <w:spacing w:after="0"/>
        <w:tabs>
          <w:tab w:leader="none" w:pos="17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any entity controlled by, controlling or under common control with the Company.</w:t>
      </w:r>
    </w:p>
    <w:p>
      <w:pPr>
        <w:spacing w:after="0" w:line="214" w:lineRule="exact"/>
        <w:rPr>
          <w:rFonts w:ascii="Times New Roman" w:cs="Times New Roman" w:eastAsia="Times New Roman" w:hAnsi="Times New Roman"/>
          <w:sz w:val="21"/>
          <w:szCs w:val="21"/>
          <w:color w:val="auto"/>
        </w:rPr>
      </w:pPr>
    </w:p>
    <w:p>
      <w:pPr>
        <w:ind w:left="1760" w:hanging="889"/>
        <w:spacing w:after="0"/>
        <w:tabs>
          <w:tab w:leader="none" w:pos="17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214" w:lineRule="exact"/>
        <w:rPr>
          <w:rFonts w:ascii="Times New Roman" w:cs="Times New Roman" w:eastAsia="Times New Roman" w:hAnsi="Times New Roman"/>
          <w:sz w:val="21"/>
          <w:szCs w:val="21"/>
          <w:color w:val="auto"/>
        </w:rPr>
      </w:pPr>
    </w:p>
    <w:p>
      <w:pPr>
        <w:jc w:val="both"/>
        <w:ind w:firstLine="871"/>
        <w:spacing w:after="0" w:line="246" w:lineRule="auto"/>
        <w:tabs>
          <w:tab w:leader="none" w:pos="1745"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means an Eligible Employee’s (i) commission of, or plea of guilty or nolo contendere to, a felony under federal law or the law of the state in which such action occurred; (ii) an Eligible Employee’s malfeasance or gross neglect in the performance of his or her duties; (iii) an Eligible Employee’s failure in the performance of his or her employment duties, including his or her refusal to follow or implement a clear and reasonable directive of an officer of the Company or the manager to whom the Eligible Employee reports; (iv) an Eligible Employee’s dishonesty in the course of fulfilling his or her employment duties; or (v) an Eligible Employee’s violation of the ethics and compliance program, code of conduct or other material policy of the Company or its Affiliates; or (vi) prior to a Change in Control (as defined in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279400</wp:posOffset>
            </wp:positionV>
            <wp:extent cx="715010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spacing w:after="0" w:line="277" w:lineRule="auto"/>
        <w:rPr>
          <w:sz w:val="20"/>
          <w:szCs w:val="20"/>
          <w:color w:val="auto"/>
        </w:rPr>
      </w:pPr>
      <w:r>
        <w:rPr>
          <w:rFonts w:ascii="Times New Roman" w:cs="Times New Roman" w:eastAsia="Times New Roman" w:hAnsi="Times New Roman"/>
          <w:sz w:val="21"/>
          <w:szCs w:val="21"/>
          <w:color w:val="auto"/>
        </w:rPr>
        <w:t>Amended and Restated Incentive Plan (or any successor thereto), an Eligible Employee’s poor performance, as determined by the Administrator in its sole discretion.</w:t>
      </w:r>
    </w:p>
    <w:p>
      <w:pPr>
        <w:spacing w:after="0" w:line="140" w:lineRule="exact"/>
        <w:rPr>
          <w:sz w:val="20"/>
          <w:szCs w:val="20"/>
          <w:color w:val="auto"/>
        </w:rPr>
      </w:pPr>
    </w:p>
    <w:p>
      <w:pPr>
        <w:ind w:firstLine="871"/>
        <w:spacing w:after="0" w:line="277" w:lineRule="auto"/>
        <w:tabs>
          <w:tab w:leader="none" w:pos="1722"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 from time to time, and all regulations, interpretations, and administrative guidance issued thereunder.</w:t>
      </w:r>
    </w:p>
    <w:p>
      <w:pPr>
        <w:spacing w:after="0" w:line="139" w:lineRule="exact"/>
        <w:rPr>
          <w:rFonts w:ascii="Times New Roman" w:cs="Times New Roman" w:eastAsia="Times New Roman" w:hAnsi="Times New Roman"/>
          <w:sz w:val="21"/>
          <w:szCs w:val="21"/>
          <w:color w:val="auto"/>
        </w:rPr>
      </w:pPr>
    </w:p>
    <w:p>
      <w:pPr>
        <w:ind w:left="1760" w:hanging="889"/>
        <w:spacing w:after="0"/>
        <w:tabs>
          <w:tab w:leader="none" w:pos="17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means the Compensation Committee of the Board, or its designee.</w:t>
      </w:r>
    </w:p>
    <w:p>
      <w:pPr>
        <w:spacing w:after="0" w:line="214" w:lineRule="exact"/>
        <w:rPr>
          <w:rFonts w:ascii="Times New Roman" w:cs="Times New Roman" w:eastAsia="Times New Roman" w:hAnsi="Times New Roman"/>
          <w:sz w:val="21"/>
          <w:szCs w:val="21"/>
          <w:color w:val="auto"/>
        </w:rPr>
      </w:pPr>
    </w:p>
    <w:p>
      <w:pPr>
        <w:ind w:right="20" w:firstLine="871"/>
        <w:spacing w:after="0" w:line="277" w:lineRule="auto"/>
        <w:tabs>
          <w:tab w:leader="none" w:pos="1757"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means Eagle Materials Inc., a Delaware corporation and any successor that assumes the obligations of the Company under this Plan, by way of merger, acquisition, consolidation or other transaction.</w:t>
      </w:r>
    </w:p>
    <w:p>
      <w:pPr>
        <w:spacing w:after="0" w:line="139" w:lineRule="exact"/>
        <w:rPr>
          <w:rFonts w:ascii="Times New Roman" w:cs="Times New Roman" w:eastAsia="Times New Roman" w:hAnsi="Times New Roman"/>
          <w:sz w:val="21"/>
          <w:szCs w:val="21"/>
          <w:color w:val="auto"/>
        </w:rPr>
      </w:pPr>
    </w:p>
    <w:p>
      <w:pPr>
        <w:ind w:firstLine="871"/>
        <w:spacing w:after="0" w:line="277" w:lineRule="auto"/>
        <w:tabs>
          <w:tab w:leader="none" w:pos="171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Date of Termination</w:t>
      </w:r>
      <w:r>
        <w:rPr>
          <w:rFonts w:ascii="Times New Roman" w:cs="Times New Roman" w:eastAsia="Times New Roman" w:hAnsi="Times New Roman"/>
          <w:sz w:val="21"/>
          <w:szCs w:val="21"/>
          <w:color w:val="auto"/>
        </w:rPr>
        <w:t>” means, for an Eligible Employee, the Eligible Employee’s “separation from service” as defined in Treasury Regulations § 1.409A-1(h).</w:t>
      </w:r>
    </w:p>
    <w:p>
      <w:pPr>
        <w:spacing w:after="0" w:line="139" w:lineRule="exact"/>
        <w:rPr>
          <w:rFonts w:ascii="Times New Roman" w:cs="Times New Roman" w:eastAsia="Times New Roman" w:hAnsi="Times New Roman"/>
          <w:sz w:val="21"/>
          <w:szCs w:val="21"/>
          <w:color w:val="auto"/>
        </w:rPr>
      </w:pPr>
    </w:p>
    <w:p>
      <w:pPr>
        <w:jc w:val="both"/>
        <w:ind w:firstLine="871"/>
        <w:spacing w:after="0" w:line="247" w:lineRule="auto"/>
        <w:tabs>
          <w:tab w:leader="none" w:pos="171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Employee</w:t>
      </w:r>
      <w:r>
        <w:rPr>
          <w:rFonts w:ascii="Times New Roman" w:cs="Times New Roman" w:eastAsia="Times New Roman" w:hAnsi="Times New Roman"/>
          <w:sz w:val="21"/>
          <w:szCs w:val="21"/>
          <w:color w:val="auto"/>
          <w:highlight w:val="white"/>
        </w:rPr>
        <w:t>” means an employee of the Company or its Subsidiaries who is (i) primarily employed in</w:t>
      </w:r>
      <w:r>
        <w:rPr>
          <w:rFonts w:ascii="Times New Roman" w:cs="Times New Roman" w:eastAsia="Times New Roman" w:hAnsi="Times New Roman"/>
          <w:sz w:val="21"/>
          <w:szCs w:val="21"/>
          <w:color w:val="auto"/>
        </w:rPr>
        <w:t xml:space="preserve"> the United States; (ii) a permanent full-time salaried employee of the Company, and not a temporary, part-time or hourly employee or an independent contractor; (iii) not a party to an individual agreement with the Company or any of its Subsidiaries that provides severance, separation, termination or similar benefits to the Eligible Employee with respect to a termination of employment prior to a change in control of the Company; and (iv) not an “executive officer” (within the meaning Rule 3b-7 promulgated under the Securities Exchange Act of 1934) of the Company unless specifically designated by the Compensation Committee of the Board.</w:t>
      </w:r>
    </w:p>
    <w:p>
      <w:pPr>
        <w:spacing w:after="0" w:line="171" w:lineRule="exact"/>
        <w:rPr>
          <w:rFonts w:ascii="Times New Roman" w:cs="Times New Roman" w:eastAsia="Times New Roman" w:hAnsi="Times New Roman"/>
          <w:sz w:val="21"/>
          <w:szCs w:val="21"/>
          <w:color w:val="auto"/>
        </w:rPr>
      </w:pPr>
    </w:p>
    <w:p>
      <w:pPr>
        <w:ind w:left="1760" w:hanging="889"/>
        <w:spacing w:after="0"/>
        <w:tabs>
          <w:tab w:leader="none" w:pos="17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means the Employee Retirement Income Security Act of 1974, as amended.</w:t>
      </w:r>
    </w:p>
    <w:p>
      <w:pPr>
        <w:spacing w:after="0" w:line="214" w:lineRule="exact"/>
        <w:rPr>
          <w:rFonts w:ascii="Times New Roman" w:cs="Times New Roman" w:eastAsia="Times New Roman" w:hAnsi="Times New Roman"/>
          <w:sz w:val="21"/>
          <w:szCs w:val="21"/>
          <w:color w:val="auto"/>
        </w:rPr>
      </w:pPr>
    </w:p>
    <w:p>
      <w:pPr>
        <w:jc w:val="both"/>
        <w:ind w:firstLine="871"/>
        <w:spacing w:after="0" w:line="258" w:lineRule="auto"/>
        <w:tabs>
          <w:tab w:leader="none" w:pos="171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Qualifying Termination</w:t>
      </w:r>
      <w:r>
        <w:rPr>
          <w:rFonts w:ascii="Times New Roman" w:cs="Times New Roman" w:eastAsia="Times New Roman" w:hAnsi="Times New Roman"/>
          <w:sz w:val="21"/>
          <w:szCs w:val="21"/>
          <w:color w:val="auto"/>
        </w:rPr>
        <w:t>” means a termination of an Eligible Employee’s employment with the Company or any of its Subsidiaries that is initiated by the Company without Cause. Termination due to death or disability shall not be treated as a Qualifying Termination.</w:t>
      </w:r>
    </w:p>
    <w:p>
      <w:pPr>
        <w:spacing w:after="0" w:line="159" w:lineRule="exact"/>
        <w:rPr>
          <w:rFonts w:ascii="Times New Roman" w:cs="Times New Roman" w:eastAsia="Times New Roman" w:hAnsi="Times New Roman"/>
          <w:sz w:val="21"/>
          <w:szCs w:val="21"/>
          <w:color w:val="auto"/>
        </w:rPr>
      </w:pPr>
    </w:p>
    <w:p>
      <w:pPr>
        <w:ind w:left="1820" w:hanging="949"/>
        <w:spacing w:after="0"/>
        <w:tabs>
          <w:tab w:leader="none" w:pos="182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has the meaning specified in Section 6.</w:t>
      </w:r>
    </w:p>
    <w:p>
      <w:pPr>
        <w:spacing w:after="0" w:line="214" w:lineRule="exact"/>
        <w:rPr>
          <w:rFonts w:ascii="Times New Roman" w:cs="Times New Roman" w:eastAsia="Times New Roman" w:hAnsi="Times New Roman"/>
          <w:sz w:val="21"/>
          <w:szCs w:val="21"/>
          <w:color w:val="auto"/>
        </w:rPr>
      </w:pPr>
    </w:p>
    <w:p>
      <w:pPr>
        <w:ind w:firstLine="871"/>
        <w:spacing w:after="0" w:line="277" w:lineRule="auto"/>
        <w:tabs>
          <w:tab w:leader="none" w:pos="1757"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Severance Factor</w:t>
      </w:r>
      <w:r>
        <w:rPr>
          <w:rFonts w:ascii="Times New Roman" w:cs="Times New Roman" w:eastAsia="Times New Roman" w:hAnsi="Times New Roman"/>
          <w:sz w:val="21"/>
          <w:szCs w:val="21"/>
          <w:color w:val="auto"/>
        </w:rPr>
        <w:t xml:space="preserve">” means the quotient of (i) the Eligible Employee’s annual base salary (as reflected in the Company’s records) as of the Date of Termination, </w:t>
      </w:r>
      <w:r>
        <w:rPr>
          <w:rFonts w:ascii="Times New Roman" w:cs="Times New Roman" w:eastAsia="Times New Roman" w:hAnsi="Times New Roman"/>
          <w:sz w:val="21"/>
          <w:szCs w:val="21"/>
          <w:i w:val="1"/>
          <w:iCs w:val="1"/>
          <w:color w:val="auto"/>
        </w:rPr>
        <w:t>divided by</w:t>
      </w:r>
      <w:r>
        <w:rPr>
          <w:rFonts w:ascii="Times New Roman" w:cs="Times New Roman" w:eastAsia="Times New Roman" w:hAnsi="Times New Roman"/>
          <w:sz w:val="21"/>
          <w:szCs w:val="21"/>
          <w:color w:val="auto"/>
        </w:rPr>
        <w:t xml:space="preserve"> (ii) $15,000, rounded up to the next whole number.</w:t>
      </w:r>
    </w:p>
    <w:p>
      <w:pPr>
        <w:spacing w:after="0" w:line="139" w:lineRule="exact"/>
        <w:rPr>
          <w:rFonts w:ascii="Times New Roman" w:cs="Times New Roman" w:eastAsia="Times New Roman" w:hAnsi="Times New Roman"/>
          <w:sz w:val="21"/>
          <w:szCs w:val="21"/>
          <w:color w:val="auto"/>
        </w:rPr>
      </w:pPr>
    </w:p>
    <w:p>
      <w:pPr>
        <w:ind w:left="1760" w:hanging="889"/>
        <w:spacing w:after="0"/>
        <w:tabs>
          <w:tab w:leader="none" w:pos="17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Severance Payment</w:t>
      </w:r>
      <w:r>
        <w:rPr>
          <w:rFonts w:ascii="Times New Roman" w:cs="Times New Roman" w:eastAsia="Times New Roman" w:hAnsi="Times New Roman"/>
          <w:sz w:val="21"/>
          <w:szCs w:val="21"/>
          <w:color w:val="auto"/>
        </w:rPr>
        <w:t>” has the meaning specified in Section 6.</w:t>
      </w:r>
    </w:p>
    <w:p>
      <w:pPr>
        <w:spacing w:after="0" w:line="214" w:lineRule="exact"/>
        <w:rPr>
          <w:rFonts w:ascii="Times New Roman" w:cs="Times New Roman" w:eastAsia="Times New Roman" w:hAnsi="Times New Roman"/>
          <w:sz w:val="21"/>
          <w:szCs w:val="21"/>
          <w:color w:val="auto"/>
        </w:rPr>
      </w:pPr>
    </w:p>
    <w:p>
      <w:pPr>
        <w:jc w:val="both"/>
        <w:ind w:firstLine="871"/>
        <w:spacing w:after="0" w:line="258" w:lineRule="auto"/>
        <w:tabs>
          <w:tab w:leader="none" w:pos="1757"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any corporation, partnership, joint venture, limited liability company or other entity during any period more than a 50% voting or profits interest is owned, directly or indirectly, by the Company or any successor to the Company.</w:t>
      </w:r>
    </w:p>
    <w:p>
      <w:pPr>
        <w:spacing w:after="0" w:line="159" w:lineRule="exact"/>
        <w:rPr>
          <w:rFonts w:ascii="Times New Roman" w:cs="Times New Roman" w:eastAsia="Times New Roman" w:hAnsi="Times New Roman"/>
          <w:sz w:val="21"/>
          <w:szCs w:val="21"/>
          <w:color w:val="auto"/>
        </w:rPr>
      </w:pPr>
    </w:p>
    <w:p>
      <w:pPr>
        <w:ind w:firstLine="871"/>
        <w:spacing w:after="0" w:line="277" w:lineRule="auto"/>
        <w:tabs>
          <w:tab w:leader="none" w:pos="1757"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Week of Pay</w:t>
      </w:r>
      <w:r>
        <w:rPr>
          <w:rFonts w:ascii="Times New Roman" w:cs="Times New Roman" w:eastAsia="Times New Roman" w:hAnsi="Times New Roman"/>
          <w:sz w:val="21"/>
          <w:szCs w:val="21"/>
          <w:color w:val="auto"/>
        </w:rPr>
        <w:t xml:space="preserve">” means the quotient of (i) the Eligible Employee’s annual base salary (as reflected in the Company’s records) as of the Date of Termination, </w:t>
      </w:r>
      <w:r>
        <w:rPr>
          <w:rFonts w:ascii="Times New Roman" w:cs="Times New Roman" w:eastAsia="Times New Roman" w:hAnsi="Times New Roman"/>
          <w:sz w:val="21"/>
          <w:szCs w:val="21"/>
          <w:i w:val="1"/>
          <w:iCs w:val="1"/>
          <w:color w:val="auto"/>
        </w:rPr>
        <w:t>divided by</w:t>
      </w:r>
      <w:r>
        <w:rPr>
          <w:rFonts w:ascii="Times New Roman" w:cs="Times New Roman" w:eastAsia="Times New Roman" w:hAnsi="Times New Roman"/>
          <w:sz w:val="21"/>
          <w:szCs w:val="21"/>
          <w:color w:val="auto"/>
        </w:rPr>
        <w:t xml:space="preserve"> (ii) fifty-two (52).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5010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47" w:name="page48"/>
    <w:bookmarkEnd w:id="47"/>
    <w:p>
      <w:pPr>
        <w:jc w:val="both"/>
        <w:ind w:firstLine="871"/>
        <w:spacing w:after="0" w:line="258" w:lineRule="auto"/>
        <w:tabs>
          <w:tab w:leader="none" w:pos="1722"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Years of Service</w:t>
      </w:r>
      <w:r>
        <w:rPr>
          <w:rFonts w:ascii="Times New Roman" w:cs="Times New Roman" w:eastAsia="Times New Roman" w:hAnsi="Times New Roman"/>
          <w:sz w:val="21"/>
          <w:szCs w:val="21"/>
          <w:color w:val="auto"/>
        </w:rPr>
        <w:t>” means the total number of full and partial years from the Eligible Employee’s adjusted date of hire (as reflected in the Company’s records for purposes of benefits generally) to the Eligible Employee’s Date of Termination, rounded up to the next higher whole number.</w:t>
      </w:r>
    </w:p>
    <w:p>
      <w:pPr>
        <w:spacing w:after="0" w:line="160" w:lineRule="exact"/>
        <w:rPr>
          <w:sz w:val="20"/>
          <w:szCs w:val="20"/>
          <w:color w:val="auto"/>
        </w:rPr>
      </w:pPr>
    </w:p>
    <w:p>
      <w:pPr>
        <w:jc w:val="both"/>
        <w:ind w:firstLine="871"/>
        <w:spacing w:after="0" w:line="258" w:lineRule="auto"/>
        <w:tabs>
          <w:tab w:leader="none" w:pos="166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Eligibility</w:t>
      </w:r>
      <w:r>
        <w:rPr>
          <w:rFonts w:ascii="Times New Roman" w:cs="Times New Roman" w:eastAsia="Times New Roman" w:hAnsi="Times New Roman"/>
          <w:sz w:val="21"/>
          <w:szCs w:val="21"/>
          <w:color w:val="auto"/>
        </w:rPr>
        <w:t>. An Eligible Employee shall be eligible for the Severance Payment, subject to the terms and conditions described herein, only if he or she experiences a Qualifying Termination and is an Eligible Employee on his or her Date of Termination.</w:t>
      </w:r>
    </w:p>
    <w:p>
      <w:pPr>
        <w:spacing w:after="0" w:line="159" w:lineRule="exact"/>
        <w:rPr>
          <w:rFonts w:ascii="Times New Roman" w:cs="Times New Roman" w:eastAsia="Times New Roman" w:hAnsi="Times New Roman"/>
          <w:sz w:val="21"/>
          <w:szCs w:val="21"/>
          <w:color w:val="auto"/>
        </w:rPr>
      </w:pPr>
    </w:p>
    <w:p>
      <w:pPr>
        <w:jc w:val="both"/>
        <w:ind w:firstLine="871"/>
        <w:spacing w:after="0" w:line="246" w:lineRule="auto"/>
        <w:tabs>
          <w:tab w:leader="none" w:pos="166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w:t>
      </w:r>
      <w:r>
        <w:rPr>
          <w:rFonts w:ascii="Times New Roman" w:cs="Times New Roman" w:eastAsia="Times New Roman" w:hAnsi="Times New Roman"/>
          <w:sz w:val="21"/>
          <w:szCs w:val="21"/>
          <w:color w:val="auto"/>
        </w:rPr>
        <w:t>. This Plan shall be interpreted, administered and operated by the Administrator, which shall have complete authority, subject to the express provisions of this Plan, to interpret this Plan, to prescribe, amend, and rescind rules and regulations relating to this Plan, and to make all other determinations necessary or advisable for the administration of this Plan. Such authority shall include the powers to resolve ambiguities, inconsistencies, and omissions, and to correct any scrivener’s error. The Administrator may delegate any of its duties hereunder to a subcommittee, or to such other person or persons from time to time as it may designate. All decisions, interpretations and other actions of the Administrator shall be final, conclusive, and binding on all parties who have an interest in this Plan.</w:t>
      </w:r>
    </w:p>
    <w:p>
      <w:pPr>
        <w:spacing w:after="0" w:line="170" w:lineRule="exact"/>
        <w:rPr>
          <w:rFonts w:ascii="Times New Roman" w:cs="Times New Roman" w:eastAsia="Times New Roman" w:hAnsi="Times New Roman"/>
          <w:sz w:val="21"/>
          <w:szCs w:val="21"/>
          <w:color w:val="auto"/>
        </w:rPr>
      </w:pPr>
    </w:p>
    <w:p>
      <w:pPr>
        <w:ind w:firstLine="871"/>
        <w:spacing w:after="0" w:line="277" w:lineRule="auto"/>
        <w:tabs>
          <w:tab w:leader="none" w:pos="166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 for any Reason</w:t>
      </w:r>
      <w:r>
        <w:rPr>
          <w:rFonts w:ascii="Times New Roman" w:cs="Times New Roman" w:eastAsia="Times New Roman" w:hAnsi="Times New Roman"/>
          <w:sz w:val="21"/>
          <w:szCs w:val="21"/>
          <w:color w:val="auto"/>
        </w:rPr>
        <w:t>. Subject to the terms and conditions hereof, in the event of an Eligible Employee’s Qualifying Termination:</w:t>
      </w:r>
    </w:p>
    <w:p>
      <w:pPr>
        <w:spacing w:after="0" w:line="140" w:lineRule="exact"/>
        <w:rPr>
          <w:sz w:val="20"/>
          <w:szCs w:val="20"/>
          <w:color w:val="auto"/>
        </w:rPr>
      </w:pPr>
    </w:p>
    <w:p>
      <w:pPr>
        <w:ind w:firstLine="871"/>
        <w:spacing w:after="0" w:line="277" w:lineRule="auto"/>
        <w:tabs>
          <w:tab w:leader="none" w:pos="174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the Eligible Employee the Accrued Obligations, payable on the dates such amounts would have been payable under the Company’s policies if the Eligible Employee’s employment had not terminated.</w:t>
      </w:r>
    </w:p>
    <w:p>
      <w:pPr>
        <w:spacing w:after="0" w:line="139" w:lineRule="exact"/>
        <w:rPr>
          <w:rFonts w:ascii="Times New Roman" w:cs="Times New Roman" w:eastAsia="Times New Roman" w:hAnsi="Times New Roman"/>
          <w:sz w:val="21"/>
          <w:szCs w:val="21"/>
          <w:color w:val="auto"/>
        </w:rPr>
      </w:pPr>
    </w:p>
    <w:p>
      <w:pPr>
        <w:ind w:right="20" w:firstLine="871"/>
        <w:spacing w:after="0" w:line="277" w:lineRule="auto"/>
        <w:tabs>
          <w:tab w:leader="none" w:pos="1757"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Eligible Employee’s benefits and rights under the Company’s benefit plans shall be determined in accordance with the applicable provisions of such plans, in each case as in effect and amended from time to time.</w:t>
      </w:r>
    </w:p>
    <w:p>
      <w:pPr>
        <w:spacing w:after="0" w:line="140" w:lineRule="exact"/>
        <w:rPr>
          <w:sz w:val="20"/>
          <w:szCs w:val="20"/>
          <w:color w:val="auto"/>
        </w:rPr>
      </w:pPr>
    </w:p>
    <w:p>
      <w:pPr>
        <w:jc w:val="both"/>
        <w:ind w:firstLine="871"/>
        <w:spacing w:after="0" w:line="242" w:lineRule="auto"/>
        <w:tabs>
          <w:tab w:leader="none" w:pos="166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Qualifying Termination</w:t>
      </w:r>
      <w:r>
        <w:rPr>
          <w:rFonts w:ascii="Times New Roman" w:cs="Times New Roman" w:eastAsia="Times New Roman" w:hAnsi="Times New Roman"/>
          <w:sz w:val="21"/>
          <w:szCs w:val="21"/>
          <w:color w:val="auto"/>
        </w:rPr>
        <w:t xml:space="preserve">. In addition to the payments and benefits set forth in Section 5, if an Eligible Employee’s termination of employment with the Company is a Qualifying Termination, the Eligible Employee shall also be entitled to receive a cash severance payment determined in accordance with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(as applicable) (the “</w:t>
      </w:r>
      <w:r>
        <w:rPr>
          <w:rFonts w:ascii="Times New Roman" w:cs="Times New Roman" w:eastAsia="Times New Roman" w:hAnsi="Times New Roman"/>
          <w:sz w:val="21"/>
          <w:szCs w:val="21"/>
          <w:u w:val="single" w:color="auto"/>
          <w:color w:val="auto"/>
        </w:rPr>
        <w:t>Severance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which shall be payable in a lump sum as soon as reasonably practicable, and in no event later than sixty (60) days, following the Date of Termination, subject to the Eligible Employee’s execution and nonrevocation of the release of claims in the form customarily used by the Company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within the time period specified therein;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to the extent the Eligible Employee’s right to receive the Severance Payment replaces the Eligible Employee’s right to receive other cash severance that constitutes non-exempt deferred compensation for purposes of Section 409A of the Code under another plan, arrangement or agreement of the Company, the Severance Payment shall be paid on the payment date(s) applicable to such other cash severance to the extent necessary to avoid the imposition of an additional tax under Section 409A of the Code. If a Subsidiary or an Affiliate ceases to be a Subsidiary or Affiliate for any reason (including as a result of a public offering, or a spinoff or sale by the Company, of the stock of the Subsidiary or Affiliate) or a sale of a division of the Company and its Affiliates, an Eligible Employee shall not be considered to have experienced a Qualifying Termination, unless otherwise determined by the Administrator, in its sole discretion.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5010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48" w:name="page49"/>
    <w:bookmarkEnd w:id="48"/>
    <w:p>
      <w:pPr>
        <w:ind w:left="1680" w:hanging="809"/>
        <w:spacing w:after="0"/>
        <w:tabs>
          <w:tab w:leader="none" w:pos="168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Provisions Applicable to the Severance Payment</w:t>
      </w:r>
      <w:r>
        <w:rPr>
          <w:rFonts w:ascii="Times New Roman" w:cs="Times New Roman" w:eastAsia="Times New Roman" w:hAnsi="Times New Roman"/>
          <w:sz w:val="21"/>
          <w:szCs w:val="21"/>
          <w:color w:val="auto"/>
        </w:rPr>
        <w:t>.</w:t>
      </w:r>
    </w:p>
    <w:p>
      <w:pPr>
        <w:spacing w:after="0" w:line="214" w:lineRule="exact"/>
        <w:rPr>
          <w:sz w:val="20"/>
          <w:szCs w:val="20"/>
          <w:color w:val="auto"/>
        </w:rPr>
      </w:pPr>
    </w:p>
    <w:p>
      <w:pPr>
        <w:ind w:firstLine="871"/>
        <w:spacing w:after="0" w:line="277" w:lineRule="auto"/>
        <w:tabs>
          <w:tab w:leader="none" w:pos="1745"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Deferrals Included in Salary</w:t>
      </w:r>
      <w:r>
        <w:rPr>
          <w:rFonts w:ascii="Times New Roman" w:cs="Times New Roman" w:eastAsia="Times New Roman" w:hAnsi="Times New Roman"/>
          <w:sz w:val="21"/>
          <w:szCs w:val="21"/>
          <w:color w:val="auto"/>
        </w:rPr>
        <w:t>. All references in this Plan to annual base salary mean such amount before reduction pursuant to any plan or other arrangement for deferral of compensation.</w:t>
      </w:r>
    </w:p>
    <w:p>
      <w:pPr>
        <w:spacing w:after="0" w:line="139" w:lineRule="exact"/>
        <w:rPr>
          <w:rFonts w:ascii="Times New Roman" w:cs="Times New Roman" w:eastAsia="Times New Roman" w:hAnsi="Times New Roman"/>
          <w:sz w:val="21"/>
          <w:szCs w:val="21"/>
          <w:color w:val="auto"/>
        </w:rPr>
      </w:pPr>
    </w:p>
    <w:p>
      <w:pPr>
        <w:ind w:right="20" w:firstLine="871"/>
        <w:spacing w:after="0" w:line="277" w:lineRule="auto"/>
        <w:tabs>
          <w:tab w:leader="none" w:pos="1757"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Transfers of Employment</w:t>
      </w:r>
      <w:r>
        <w:rPr>
          <w:rFonts w:ascii="Times New Roman" w:cs="Times New Roman" w:eastAsia="Times New Roman" w:hAnsi="Times New Roman"/>
          <w:sz w:val="21"/>
          <w:szCs w:val="21"/>
          <w:color w:val="auto"/>
        </w:rPr>
        <w:t>. Anything in this Plan to the contrary notwithstanding, a transfer of employment from the Company to an Affiliate or vice versa shall not be considered a termination of employment for purposes of this Plan.</w:t>
      </w:r>
    </w:p>
    <w:p>
      <w:pPr>
        <w:spacing w:after="0" w:line="119" w:lineRule="exact"/>
        <w:rPr>
          <w:sz w:val="20"/>
          <w:szCs w:val="20"/>
          <w:color w:val="auto"/>
        </w:rPr>
      </w:pPr>
    </w:p>
    <w:p>
      <w:pPr>
        <w:jc w:val="both"/>
        <w:ind w:firstLine="871"/>
        <w:spacing w:after="0" w:line="259" w:lineRule="exact"/>
        <w:tabs>
          <w:tab w:leader="none" w:pos="1668"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Duplication of Payments or Benefits</w:t>
      </w:r>
      <w:r>
        <w:rPr>
          <w:rFonts w:ascii="Times New Roman" w:cs="Times New Roman" w:eastAsia="Times New Roman" w:hAnsi="Times New Roman"/>
          <w:sz w:val="21"/>
          <w:szCs w:val="21"/>
          <w:color w:val="auto"/>
        </w:rPr>
        <w:t>. If an Eligible Employee has a right to payments or benefits that duplicate the Severance Payment, including any notice pay required to be paid under Worker Adjustment and Retraining Notification Act of 1988 (or any successor or similar law), the Severance Payment shall be reduced, dollar for dollar, by the amount of the duplicate payment(s) and benefit(s).</w:t>
      </w:r>
    </w:p>
    <w:p>
      <w:pPr>
        <w:spacing w:after="0" w:line="179" w:lineRule="exact"/>
        <w:rPr>
          <w:rFonts w:ascii="Times New Roman" w:cs="Times New Roman" w:eastAsia="Times New Roman" w:hAnsi="Times New Roman"/>
          <w:sz w:val="21"/>
          <w:szCs w:val="21"/>
          <w:color w:val="auto"/>
        </w:rPr>
      </w:pPr>
    </w:p>
    <w:p>
      <w:pPr>
        <w:jc w:val="both"/>
        <w:ind w:firstLine="871"/>
        <w:spacing w:after="0" w:line="258" w:lineRule="auto"/>
        <w:tabs>
          <w:tab w:leader="none" w:pos="1668"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Special Rules for Compliance with Section 409A of the Code</w:t>
      </w:r>
      <w:r>
        <w:rPr>
          <w:rFonts w:ascii="Times New Roman" w:cs="Times New Roman" w:eastAsia="Times New Roman" w:hAnsi="Times New Roman"/>
          <w:sz w:val="21"/>
          <w:szCs w:val="21"/>
          <w:color w:val="auto"/>
        </w:rPr>
        <w:t>. This Section 9 serves to ensure compliance with applicable requirements of Section 409A of the Code. If the terms of this Section 9 conflict with other terms of this Plan, the terms of this Section 9 shall control.</w:t>
      </w:r>
    </w:p>
    <w:p>
      <w:pPr>
        <w:spacing w:after="0" w:line="160" w:lineRule="exact"/>
        <w:rPr>
          <w:sz w:val="20"/>
          <w:szCs w:val="20"/>
          <w:color w:val="auto"/>
        </w:rPr>
      </w:pPr>
    </w:p>
    <w:p>
      <w:pPr>
        <w:jc w:val="both"/>
        <w:ind w:firstLine="871"/>
        <w:spacing w:after="0" w:line="246" w:lineRule="exact"/>
        <w:tabs>
          <w:tab w:leader="none" w:pos="1745"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Compliance</w:t>
      </w:r>
      <w:r>
        <w:rPr>
          <w:rFonts w:ascii="Times New Roman" w:cs="Times New Roman" w:eastAsia="Times New Roman" w:hAnsi="Times New Roman"/>
          <w:sz w:val="21"/>
          <w:szCs w:val="21"/>
          <w:color w:val="auto"/>
        </w:rPr>
        <w:t>. All payments that may be made and benefits that may be provided pursuant to this Plan are intended to comply with or be exempt from the requirements of Section 409A of the Code and this Plan shall be interpreted accordingly. In addition to the foregoing provisions, the terms of this Plan, including any authority of the Company and rights of the Eligible Employee that constitute a deferral of compensation subject to Section 409A of the Code, shall be limited to those terms permitted under Section 409A of the Code without resulting in a tax penalty to Eligible Employee, and any terms not so permitted under Section 409A of the Code shall be modified and limited to the extent necessary to avoid tax under Section 409A of the Code but only to the extent that such modification or limitation is permitted under Section 409A of the Code. The Company and its employees and agents make no representation and are providing no advice regarding the taxation of the payments and benefits under this Plan, including with respect to taxes, interest, and penalties under Section 409A of the Code and similar liabilities under state and local tax laws. No indemnification or gross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up is payable under this Plan with respect to any such tax, interest, or penalty under Section 409A of the Code or similar liability under state or local tax laws applicable to any Eligible Employee.</w:t>
      </w:r>
    </w:p>
    <w:p>
      <w:pPr>
        <w:spacing w:after="0" w:line="200" w:lineRule="exact"/>
        <w:rPr>
          <w:rFonts w:ascii="Times New Roman" w:cs="Times New Roman" w:eastAsia="Times New Roman" w:hAnsi="Times New Roman"/>
          <w:sz w:val="21"/>
          <w:szCs w:val="21"/>
          <w:color w:val="auto"/>
        </w:rPr>
      </w:pPr>
    </w:p>
    <w:p>
      <w:pPr>
        <w:spacing w:after="0" w:line="202" w:lineRule="exact"/>
        <w:rPr>
          <w:rFonts w:ascii="Times New Roman" w:cs="Times New Roman" w:eastAsia="Times New Roman" w:hAnsi="Times New Roman"/>
          <w:sz w:val="21"/>
          <w:szCs w:val="21"/>
          <w:color w:val="auto"/>
        </w:rPr>
      </w:pPr>
    </w:p>
    <w:p>
      <w:pPr>
        <w:jc w:val="both"/>
        <w:ind w:firstLine="871"/>
        <w:spacing w:after="0" w:line="256" w:lineRule="exact"/>
        <w:tabs>
          <w:tab w:leader="none" w:pos="1757"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Six (6)</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Month Delay Rule</w:t>
      </w:r>
      <w:r>
        <w:rPr>
          <w:rFonts w:ascii="Times New Roman" w:cs="Times New Roman" w:eastAsia="Times New Roman" w:hAnsi="Times New Roman"/>
          <w:sz w:val="21"/>
          <w:szCs w:val="21"/>
          <w:color w:val="auto"/>
        </w:rPr>
        <w:t>. If an Eligible Employee is a “specified employee” (as determined by the Administrator or its designee in accordance with Treasury Regulations § 1.409A-1(i)) as of his or her Date of Termination, then the Severance Payment shall be subject to the six (6)-month delay rule of Section 409A of the Code(a)(2)(B)(i) to the extent required by Section 409A of the Code (determined after taking into account the “short-term deferral” rule in Treasury Regulations</w:t>
      </w:r>
    </w:p>
    <w:p>
      <w:pPr>
        <w:jc w:val="both"/>
        <w:ind w:firstLine="7"/>
        <w:spacing w:after="0" w:line="244" w:lineRule="auto"/>
        <w:tabs>
          <w:tab w:leader="none" w:pos="194"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1.409A-1(b)(4), the “two-year, two-time” rule described in Treasury Regulations § 1.409A-1(b)(9), and any other available exception from such requirements). Each payment that is subject to such six (6)-month delay rule shall be made, without interest, on the later of (i) the Company’s first payroll date that is at least six (6) months after the Eligible Employee’s Date of Termination (or, if earlier, as soon as practicable after the Eligible Employee’s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5010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49" w:name="page50"/>
    <w:bookmarkEnd w:id="49"/>
    <w:p>
      <w:pPr>
        <w:spacing w:after="0" w:line="277" w:lineRule="auto"/>
        <w:rPr>
          <w:sz w:val="20"/>
          <w:szCs w:val="20"/>
          <w:color w:val="auto"/>
        </w:rPr>
      </w:pPr>
      <w:r>
        <w:rPr>
          <w:rFonts w:ascii="Times New Roman" w:cs="Times New Roman" w:eastAsia="Times New Roman" w:hAnsi="Times New Roman"/>
          <w:sz w:val="21"/>
          <w:szCs w:val="21"/>
          <w:color w:val="auto"/>
        </w:rPr>
        <w:t>death) or (ii) the date when such payment would otherwise be due under the terms of the Plan. Each installment in a series of payments or benefits shall be deemed a separate payment for purposes of Section 409A of the Code.</w:t>
      </w:r>
    </w:p>
    <w:p>
      <w:pPr>
        <w:spacing w:after="0" w:line="140" w:lineRule="exact"/>
        <w:rPr>
          <w:sz w:val="20"/>
          <w:szCs w:val="20"/>
          <w:color w:val="auto"/>
        </w:rPr>
      </w:pPr>
    </w:p>
    <w:p>
      <w:pPr>
        <w:ind w:left="1780" w:hanging="909"/>
        <w:spacing w:after="0"/>
        <w:tabs>
          <w:tab w:leader="none" w:pos="178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Claims Procedures</w:t>
      </w:r>
      <w:r>
        <w:rPr>
          <w:rFonts w:ascii="Times New Roman" w:cs="Times New Roman" w:eastAsia="Times New Roman" w:hAnsi="Times New Roman"/>
          <w:sz w:val="21"/>
          <w:szCs w:val="21"/>
          <w:color w:val="auto"/>
        </w:rPr>
        <w:t>.</w:t>
      </w:r>
    </w:p>
    <w:p>
      <w:pPr>
        <w:spacing w:after="0" w:line="214" w:lineRule="exact"/>
        <w:rPr>
          <w:sz w:val="20"/>
          <w:szCs w:val="20"/>
          <w:color w:val="auto"/>
        </w:rPr>
      </w:pPr>
    </w:p>
    <w:p>
      <w:pPr>
        <w:jc w:val="both"/>
        <w:ind w:firstLine="871"/>
        <w:spacing w:after="0" w:line="258" w:lineRule="auto"/>
        <w:tabs>
          <w:tab w:leader="none" w:pos="1745"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Initial Claims</w:t>
      </w:r>
      <w:r>
        <w:rPr>
          <w:rFonts w:ascii="Times New Roman" w:cs="Times New Roman" w:eastAsia="Times New Roman" w:hAnsi="Times New Roman"/>
          <w:sz w:val="21"/>
          <w:szCs w:val="21"/>
          <w:color w:val="auto"/>
        </w:rPr>
        <w:t>. An Eligible Employee who believes he or she is entitled to a payment under this Plan that has not been received may submit a written claim for benefits under this Plan within sixty (60) days after the Eligible Employee’s Date of Termination. Claims shall be addressed and sent to:</w:t>
      </w:r>
    </w:p>
    <w:p>
      <w:pPr>
        <w:spacing w:after="0" w:line="16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1"/>
          <w:szCs w:val="21"/>
          <w:color w:val="auto"/>
        </w:rPr>
        <w:t>Director of Human Resources</w:t>
      </w:r>
    </w:p>
    <w:p>
      <w:pPr>
        <w:spacing w:after="0" w:line="2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1"/>
          <w:szCs w:val="21"/>
          <w:color w:val="auto"/>
        </w:rPr>
        <w:t>Eagle Materials Inc</w:t>
      </w:r>
    </w:p>
    <w:p>
      <w:pPr>
        <w:ind w:left="1660"/>
        <w:spacing w:after="0"/>
        <w:rPr>
          <w:sz w:val="20"/>
          <w:szCs w:val="20"/>
          <w:color w:val="auto"/>
        </w:rPr>
      </w:pPr>
      <w:r>
        <w:rPr>
          <w:rFonts w:ascii="Times New Roman" w:cs="Times New Roman" w:eastAsia="Times New Roman" w:hAnsi="Times New Roman"/>
          <w:sz w:val="21"/>
          <w:szCs w:val="21"/>
          <w:color w:val="auto"/>
        </w:rPr>
        <w:t>5960 Berkshire Lane</w:t>
      </w:r>
    </w:p>
    <w:p>
      <w:pPr>
        <w:ind w:left="1660"/>
        <w:spacing w:after="0"/>
        <w:rPr>
          <w:sz w:val="20"/>
          <w:szCs w:val="20"/>
          <w:color w:val="auto"/>
        </w:rPr>
      </w:pPr>
      <w:r>
        <w:rPr>
          <w:rFonts w:ascii="Times New Roman" w:cs="Times New Roman" w:eastAsia="Times New Roman" w:hAnsi="Times New Roman"/>
          <w:sz w:val="21"/>
          <w:szCs w:val="21"/>
          <w:color w:val="auto"/>
        </w:rPr>
        <w:t>Dallas TX 75225</w:t>
      </w:r>
    </w:p>
    <w:p>
      <w:pPr>
        <w:spacing w:after="0" w:line="190"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1"/>
          <w:szCs w:val="21"/>
          <w:color w:val="auto"/>
        </w:rPr>
        <w:t>If the Eligible Employee’s claim is denied, in whole or in part, the Eligible Employee will be furnished with written notice of the denial within ninety (90) days after the Administrator’s receipt of the Eligible Employee’s written claim, unless special circumstances require an extension of time for processing the claim, in which case the decision period may be extended by up to an additional ninety (90) days. If such an extension of time is necessary, written notice of the extension will be furnished to the Eligible Employee before the termination of the initial ninety (90)-day period and will describe the circumstances requiring the extension and the date by which a decision is expected to be rendered. Written notice of the denial of the Eligible Employee’s claim will contain the following information:</w:t>
      </w:r>
    </w:p>
    <w:p>
      <w:pPr>
        <w:spacing w:after="0" w:line="171" w:lineRule="exact"/>
        <w:rPr>
          <w:sz w:val="20"/>
          <w:szCs w:val="20"/>
          <w:color w:val="auto"/>
        </w:rPr>
      </w:pPr>
    </w:p>
    <w:p>
      <w:pPr>
        <w:ind w:left="2580" w:hanging="857"/>
        <w:spacing w:after="0"/>
        <w:tabs>
          <w:tab w:leader="none" w:pos="2580"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reason or reasons for the denial of the Eligible Employee’s claim;</w:t>
      </w:r>
    </w:p>
    <w:p>
      <w:pPr>
        <w:spacing w:after="0" w:line="214" w:lineRule="exact"/>
        <w:rPr>
          <w:rFonts w:ascii="Times New Roman" w:cs="Times New Roman" w:eastAsia="Times New Roman" w:hAnsi="Times New Roman"/>
          <w:sz w:val="21"/>
          <w:szCs w:val="21"/>
          <w:color w:val="auto"/>
        </w:rPr>
      </w:pPr>
    </w:p>
    <w:p>
      <w:pPr>
        <w:ind w:left="2580" w:hanging="857"/>
        <w:spacing w:after="0"/>
        <w:tabs>
          <w:tab w:leader="none" w:pos="2580"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references to the Plan provisions on which the denial of the Eligible Employee’s claim was based;</w:t>
      </w:r>
    </w:p>
    <w:p>
      <w:pPr>
        <w:spacing w:after="0" w:line="214" w:lineRule="exact"/>
        <w:rPr>
          <w:rFonts w:ascii="Times New Roman" w:cs="Times New Roman" w:eastAsia="Times New Roman" w:hAnsi="Times New Roman"/>
          <w:sz w:val="21"/>
          <w:szCs w:val="21"/>
          <w:color w:val="auto"/>
        </w:rPr>
      </w:pPr>
    </w:p>
    <w:p>
      <w:pPr>
        <w:jc w:val="both"/>
        <w:ind w:left="2580" w:hanging="857"/>
        <w:spacing w:after="0" w:line="258" w:lineRule="auto"/>
        <w:tabs>
          <w:tab w:leader="none" w:pos="2580"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any additional information or material required by the Administrator to reconsider the Eligible Employee’s claim (to the extent applicable) and an explanation of why such material or information is necessary; and</w:t>
      </w:r>
    </w:p>
    <w:p>
      <w:pPr>
        <w:spacing w:after="0" w:line="159" w:lineRule="exact"/>
        <w:rPr>
          <w:rFonts w:ascii="Times New Roman" w:cs="Times New Roman" w:eastAsia="Times New Roman" w:hAnsi="Times New Roman"/>
          <w:sz w:val="21"/>
          <w:szCs w:val="21"/>
          <w:color w:val="auto"/>
        </w:rPr>
      </w:pPr>
    </w:p>
    <w:p>
      <w:pPr>
        <w:jc w:val="both"/>
        <w:ind w:left="2580" w:hanging="857"/>
        <w:spacing w:after="0" w:line="258" w:lineRule="auto"/>
        <w:tabs>
          <w:tab w:leader="none" w:pos="2580"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this Plan’s review procedures and time limits applicable to such procedures, including a statement of the Eligible Employee’s right to bring a civil action under Section 502(a) of ERISA following a benefit claim denial on review.</w:t>
      </w:r>
    </w:p>
    <w:p>
      <w:pPr>
        <w:spacing w:after="0" w:line="159" w:lineRule="exact"/>
        <w:rPr>
          <w:rFonts w:ascii="Times New Roman" w:cs="Times New Roman" w:eastAsia="Times New Roman" w:hAnsi="Times New Roman"/>
          <w:sz w:val="21"/>
          <w:szCs w:val="21"/>
          <w:color w:val="auto"/>
        </w:rPr>
      </w:pPr>
    </w:p>
    <w:p>
      <w:pPr>
        <w:jc w:val="both"/>
        <w:ind w:firstLine="871"/>
        <w:spacing w:after="0" w:line="258" w:lineRule="auto"/>
        <w:tabs>
          <w:tab w:leader="none" w:pos="1757"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Appeal of Denied Claims</w:t>
      </w:r>
      <w:r>
        <w:rPr>
          <w:rFonts w:ascii="Times New Roman" w:cs="Times New Roman" w:eastAsia="Times New Roman" w:hAnsi="Times New Roman"/>
          <w:sz w:val="21"/>
          <w:szCs w:val="21"/>
          <w:color w:val="auto"/>
        </w:rPr>
        <w:t>. If the Eligible Employee’s claim is denied, the Eligible Employee (or his or her authorized representative) may file a request for review of the claim in writing with the Administrator. This request for review must be filed no later than sixty (60) days after the Eligible Employee has received written notification of the denial.</w:t>
      </w:r>
    </w:p>
    <w:p>
      <w:pPr>
        <w:spacing w:after="0" w:line="159" w:lineRule="exact"/>
        <w:rPr>
          <w:rFonts w:ascii="Times New Roman" w:cs="Times New Roman" w:eastAsia="Times New Roman" w:hAnsi="Times New Roman"/>
          <w:sz w:val="21"/>
          <w:szCs w:val="21"/>
          <w:color w:val="auto"/>
        </w:rPr>
      </w:pPr>
    </w:p>
    <w:p>
      <w:pPr>
        <w:ind w:left="2580" w:hanging="857"/>
        <w:spacing w:after="0" w:line="277" w:lineRule="auto"/>
        <w:tabs>
          <w:tab w:leader="none" w:pos="2580"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request for review may include any comments, documents, records and other information relating to his or her claim for benefits.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5010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50" w:name="page51"/>
    <w:bookmarkEnd w:id="50"/>
    <w:p>
      <w:pPr>
        <w:jc w:val="both"/>
        <w:ind w:left="2580" w:hanging="857"/>
        <w:spacing w:after="0" w:line="258" w:lineRule="auto"/>
        <w:tabs>
          <w:tab w:leader="none" w:pos="2580"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Eligible Employee has the right to be provided with, upon request and free of charge, reasonable access to and copies of all pertinent documents, records and other information that is relevant to his or her claim for benefits.</w:t>
      </w:r>
    </w:p>
    <w:p>
      <w:pPr>
        <w:spacing w:after="0" w:line="159" w:lineRule="exact"/>
        <w:rPr>
          <w:rFonts w:ascii="Times New Roman" w:cs="Times New Roman" w:eastAsia="Times New Roman" w:hAnsi="Times New Roman"/>
          <w:sz w:val="21"/>
          <w:szCs w:val="21"/>
          <w:color w:val="auto"/>
        </w:rPr>
      </w:pPr>
    </w:p>
    <w:p>
      <w:pPr>
        <w:jc w:val="both"/>
        <w:ind w:left="2580" w:hanging="857"/>
        <w:spacing w:after="0" w:line="258" w:lineRule="auto"/>
        <w:tabs>
          <w:tab w:leader="none" w:pos="2580"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review of the denied claim will take into account all comments, documents, records and other information that the Eligible Employee submitted relating to his or her claim, without regard to whether such information was submitted or considered in the initial denial of his or her claim.</w:t>
      </w:r>
    </w:p>
    <w:p>
      <w:pPr>
        <w:spacing w:after="0" w:line="159" w:lineRule="exact"/>
        <w:rPr>
          <w:rFonts w:ascii="Times New Roman" w:cs="Times New Roman" w:eastAsia="Times New Roman" w:hAnsi="Times New Roman"/>
          <w:sz w:val="21"/>
          <w:szCs w:val="21"/>
          <w:color w:val="auto"/>
        </w:rPr>
      </w:pPr>
    </w:p>
    <w:p>
      <w:pPr>
        <w:jc w:val="both"/>
        <w:ind w:firstLine="871"/>
        <w:spacing w:after="0" w:line="249" w:lineRule="auto"/>
        <w:tabs>
          <w:tab w:leader="none" w:pos="1745"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Administrator’s Response to Appeal</w:t>
      </w:r>
      <w:r>
        <w:rPr>
          <w:rFonts w:ascii="Times New Roman" w:cs="Times New Roman" w:eastAsia="Times New Roman" w:hAnsi="Times New Roman"/>
          <w:sz w:val="21"/>
          <w:szCs w:val="21"/>
          <w:color w:val="auto"/>
        </w:rPr>
        <w:t xml:space="preserve">. The Administrator will notify the Eligible Employee of its decision within sixty (60) days after the Administrator’s receipt of the Eligible Employee’s written claim for review;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Administrator may extend the review period by up to sixty (60) additional days, if the Administrator notifies the Eligible Employee in writing of the need for an extension (and the reason therefor) before the end of the initial sixty (60)-day period. If the Administrator makes an adverse decision on appeal, the Administrator shall communicate its decision in a writing that includes:</w:t>
      </w:r>
    </w:p>
    <w:p>
      <w:pPr>
        <w:spacing w:after="0" w:line="168" w:lineRule="exact"/>
        <w:rPr>
          <w:rFonts w:ascii="Times New Roman" w:cs="Times New Roman" w:eastAsia="Times New Roman" w:hAnsi="Times New Roman"/>
          <w:sz w:val="21"/>
          <w:szCs w:val="21"/>
          <w:color w:val="auto"/>
        </w:rPr>
      </w:pPr>
    </w:p>
    <w:p>
      <w:pPr>
        <w:ind w:left="2580" w:hanging="857"/>
        <w:spacing w:after="0"/>
        <w:tabs>
          <w:tab w:leader="none" w:pos="258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reason or reasons for the denial of the Eligible Employee’s appeal;</w:t>
      </w:r>
    </w:p>
    <w:p>
      <w:pPr>
        <w:spacing w:after="0" w:line="214" w:lineRule="exact"/>
        <w:rPr>
          <w:rFonts w:ascii="Times New Roman" w:cs="Times New Roman" w:eastAsia="Times New Roman" w:hAnsi="Times New Roman"/>
          <w:sz w:val="21"/>
          <w:szCs w:val="21"/>
          <w:color w:val="auto"/>
        </w:rPr>
      </w:pPr>
    </w:p>
    <w:p>
      <w:pPr>
        <w:ind w:left="2580" w:hanging="857"/>
        <w:spacing w:after="0"/>
        <w:tabs>
          <w:tab w:leader="none" w:pos="258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 to the Plan provisions on which the denial of the Eligible Employee’s appeal is based;</w:t>
      </w:r>
    </w:p>
    <w:p>
      <w:pPr>
        <w:spacing w:after="0" w:line="214" w:lineRule="exact"/>
        <w:rPr>
          <w:rFonts w:ascii="Times New Roman" w:cs="Times New Roman" w:eastAsia="Times New Roman" w:hAnsi="Times New Roman"/>
          <w:sz w:val="21"/>
          <w:szCs w:val="21"/>
          <w:color w:val="auto"/>
        </w:rPr>
      </w:pPr>
    </w:p>
    <w:p>
      <w:pPr>
        <w:jc w:val="both"/>
        <w:ind w:left="2580" w:hanging="857"/>
        <w:spacing w:after="0" w:line="258" w:lineRule="auto"/>
        <w:tabs>
          <w:tab w:leader="none" w:pos="258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statement that the Eligible Employee is entitled to receive, upon request and free of charge, reasonable access to, and copies of, this Plan and all documents, records and other information relevant to his or her claim for benefits; and</w:t>
      </w:r>
    </w:p>
    <w:p>
      <w:pPr>
        <w:spacing w:after="0" w:line="159" w:lineRule="exact"/>
        <w:rPr>
          <w:rFonts w:ascii="Times New Roman" w:cs="Times New Roman" w:eastAsia="Times New Roman" w:hAnsi="Times New Roman"/>
          <w:sz w:val="21"/>
          <w:szCs w:val="21"/>
          <w:color w:val="auto"/>
        </w:rPr>
      </w:pPr>
    </w:p>
    <w:p>
      <w:pPr>
        <w:ind w:left="2580" w:hanging="857"/>
        <w:spacing w:after="0"/>
        <w:tabs>
          <w:tab w:leader="none" w:pos="258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statement describing the Eligible Employee’s right to bring an action under Section 502(a) of</w:t>
      </w:r>
    </w:p>
    <w:p>
      <w:pPr>
        <w:spacing w:after="0" w:line="23" w:lineRule="exact"/>
        <w:rPr>
          <w:rFonts w:ascii="Times New Roman" w:cs="Times New Roman" w:eastAsia="Times New Roman" w:hAnsi="Times New Roman"/>
          <w:sz w:val="21"/>
          <w:szCs w:val="21"/>
          <w:color w:val="auto"/>
        </w:rPr>
      </w:pPr>
    </w:p>
    <w:p>
      <w:pPr>
        <w:ind w:left="25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ERISA.</w:t>
      </w:r>
    </w:p>
    <w:p>
      <w:pPr>
        <w:spacing w:after="0" w:line="190" w:lineRule="exact"/>
        <w:rPr>
          <w:rFonts w:ascii="Times New Roman" w:cs="Times New Roman" w:eastAsia="Times New Roman" w:hAnsi="Times New Roman"/>
          <w:sz w:val="21"/>
          <w:szCs w:val="21"/>
          <w:color w:val="auto"/>
        </w:rPr>
      </w:pPr>
    </w:p>
    <w:p>
      <w:pPr>
        <w:ind w:firstLine="871"/>
        <w:spacing w:after="0" w:line="277" w:lineRule="auto"/>
        <w:tabs>
          <w:tab w:leader="none" w:pos="1757"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Exhaustion of Administrative Remedies</w:t>
      </w:r>
      <w:r>
        <w:rPr>
          <w:rFonts w:ascii="Times New Roman" w:cs="Times New Roman" w:eastAsia="Times New Roman" w:hAnsi="Times New Roman"/>
          <w:sz w:val="21"/>
          <w:szCs w:val="21"/>
          <w:color w:val="auto"/>
        </w:rPr>
        <w:t>. The exhaustion of these claims procedures is mandatory for resolving every claim and dispute arising under this Plan. As to such claims and disputes:</w:t>
      </w:r>
    </w:p>
    <w:p>
      <w:pPr>
        <w:spacing w:after="0" w:line="139" w:lineRule="exact"/>
        <w:rPr>
          <w:rFonts w:ascii="Times New Roman" w:cs="Times New Roman" w:eastAsia="Times New Roman" w:hAnsi="Times New Roman"/>
          <w:sz w:val="21"/>
          <w:szCs w:val="21"/>
          <w:color w:val="auto"/>
        </w:rPr>
      </w:pPr>
    </w:p>
    <w:p>
      <w:pPr>
        <w:jc w:val="both"/>
        <w:ind w:left="2580" w:hanging="857"/>
        <w:spacing w:after="0" w:line="258" w:lineRule="auto"/>
        <w:tabs>
          <w:tab w:leader="none" w:pos="258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claimant shall be permitted to commence any arbitration or legal action to recover benefits or to enforce or clarify rights under this Plan or under any provision of law until these claims procedures have been exhausted in their entirety;</w:t>
      </w:r>
    </w:p>
    <w:p>
      <w:pPr>
        <w:spacing w:after="0" w:line="159" w:lineRule="exact"/>
        <w:rPr>
          <w:rFonts w:ascii="Times New Roman" w:cs="Times New Roman" w:eastAsia="Times New Roman" w:hAnsi="Times New Roman"/>
          <w:sz w:val="21"/>
          <w:szCs w:val="21"/>
          <w:color w:val="auto"/>
        </w:rPr>
      </w:pPr>
    </w:p>
    <w:p>
      <w:pPr>
        <w:ind w:left="2580" w:hanging="857"/>
        <w:spacing w:after="0" w:line="277" w:lineRule="auto"/>
        <w:tabs>
          <w:tab w:leader="none" w:pos="258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failure to submit a claim, appeal, or any required information by the applicable deadline under these claims procedures shall result in forfeiture of the benefits being claimed;</w:t>
      </w:r>
    </w:p>
    <w:p>
      <w:pPr>
        <w:spacing w:after="0" w:line="139" w:lineRule="exact"/>
        <w:rPr>
          <w:rFonts w:ascii="Times New Roman" w:cs="Times New Roman" w:eastAsia="Times New Roman" w:hAnsi="Times New Roman"/>
          <w:sz w:val="21"/>
          <w:szCs w:val="21"/>
          <w:color w:val="auto"/>
        </w:rPr>
      </w:pPr>
    </w:p>
    <w:p>
      <w:pPr>
        <w:jc w:val="both"/>
        <w:ind w:left="2580" w:hanging="857"/>
        <w:spacing w:after="0" w:line="258" w:lineRule="auto"/>
        <w:tabs>
          <w:tab w:leader="none" w:pos="258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any arbitration or legal action, all explicit and implicit determinations by the Administrator (including, but not limited to, determinations as to whether the claim, or a request for a review of a denied claim, was timely filed) shall be afforded the maximum deference permitted by law; and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5010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51" w:name="page52"/>
    <w:bookmarkEnd w:id="51"/>
    <w:p>
      <w:pPr>
        <w:jc w:val="both"/>
        <w:ind w:left="2580" w:hanging="857"/>
        <w:spacing w:after="0" w:line="258" w:lineRule="auto"/>
        <w:tabs>
          <w:tab w:leader="none" w:pos="2580"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legal action or arbitration may be commenced by the Eligible Employee later than one hundred eighty (180) days subsequent to the date of the written response of the Administrator to an Eligible Employee’s request for review pursuant to Section 11(c).</w:t>
      </w:r>
    </w:p>
    <w:p>
      <w:pPr>
        <w:spacing w:after="0" w:line="159" w:lineRule="exact"/>
        <w:rPr>
          <w:rFonts w:ascii="Times New Roman" w:cs="Times New Roman" w:eastAsia="Times New Roman" w:hAnsi="Times New Roman"/>
          <w:sz w:val="21"/>
          <w:szCs w:val="21"/>
          <w:color w:val="auto"/>
        </w:rPr>
      </w:pPr>
    </w:p>
    <w:p>
      <w:pPr>
        <w:ind w:left="1780" w:hanging="909"/>
        <w:spacing w:after="0"/>
        <w:tabs>
          <w:tab w:leader="none" w:pos="17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Statement of ERISA Rights</w:t>
      </w:r>
      <w:r>
        <w:rPr>
          <w:rFonts w:ascii="Times New Roman" w:cs="Times New Roman" w:eastAsia="Times New Roman" w:hAnsi="Times New Roman"/>
          <w:sz w:val="21"/>
          <w:szCs w:val="21"/>
          <w:color w:val="auto"/>
        </w:rPr>
        <w:t>.</w:t>
      </w:r>
    </w:p>
    <w:p>
      <w:pPr>
        <w:spacing w:after="0" w:line="214" w:lineRule="exact"/>
        <w:rPr>
          <w:sz w:val="20"/>
          <w:szCs w:val="20"/>
          <w:color w:val="auto"/>
        </w:rPr>
      </w:pPr>
    </w:p>
    <w:p>
      <w:pPr>
        <w:ind w:right="20" w:firstLine="871"/>
        <w:spacing w:after="0" w:line="277" w:lineRule="auto"/>
        <w:tabs>
          <w:tab w:leader="none" w:pos="1745"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Eligible Employees are entitled to certain rights and protections under ERISA. ERISA provides that all Eligible Employees shall be entitled to:</w:t>
      </w:r>
    </w:p>
    <w:p>
      <w:pPr>
        <w:spacing w:after="0" w:line="139" w:lineRule="exact"/>
        <w:rPr>
          <w:rFonts w:ascii="Times New Roman" w:cs="Times New Roman" w:eastAsia="Times New Roman" w:hAnsi="Times New Roman"/>
          <w:sz w:val="21"/>
          <w:szCs w:val="21"/>
          <w:color w:val="auto"/>
        </w:rPr>
      </w:pPr>
    </w:p>
    <w:p>
      <w:pPr>
        <w:ind w:left="2580" w:hanging="857"/>
        <w:spacing w:after="0"/>
        <w:tabs>
          <w:tab w:leader="none" w:pos="2580"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Receive Information about This Plan and Benefits Hereunder</w:t>
      </w:r>
      <w:r>
        <w:rPr>
          <w:rFonts w:ascii="Times New Roman" w:cs="Times New Roman" w:eastAsia="Times New Roman" w:hAnsi="Times New Roman"/>
          <w:sz w:val="21"/>
          <w:szCs w:val="21"/>
          <w:color w:val="auto"/>
        </w:rPr>
        <w:t>.</w:t>
      </w:r>
    </w:p>
    <w:p>
      <w:pPr>
        <w:spacing w:after="0" w:line="214" w:lineRule="exact"/>
        <w:rPr>
          <w:rFonts w:ascii="Times New Roman" w:cs="Times New Roman" w:eastAsia="Times New Roman" w:hAnsi="Times New Roman"/>
          <w:sz w:val="21"/>
          <w:szCs w:val="21"/>
          <w:color w:val="auto"/>
        </w:rPr>
      </w:pPr>
    </w:p>
    <w:p>
      <w:pPr>
        <w:jc w:val="both"/>
        <w:ind w:left="3020" w:hanging="426"/>
        <w:spacing w:after="0" w:line="252" w:lineRule="auto"/>
        <w:tabs>
          <w:tab w:leader="none" w:pos="3020" w:val="left"/>
        </w:tabs>
        <w:numPr>
          <w:ilvl w:val="2"/>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Examine, without charge, at the Administrator’s office and at other specified locations, such as worksites, all documents governing the Plan and a copy of the latest annual report (Form 5500 Series) filed by the Plan with the U.S. Department of Labor and available at the Public Disclosure Room of the Employee Benefits Security Administration.</w:t>
      </w:r>
    </w:p>
    <w:p>
      <w:pPr>
        <w:spacing w:after="0" w:line="165" w:lineRule="exact"/>
        <w:rPr>
          <w:rFonts w:ascii="Times New Roman" w:cs="Times New Roman" w:eastAsia="Times New Roman" w:hAnsi="Times New Roman"/>
          <w:sz w:val="21"/>
          <w:szCs w:val="21"/>
          <w:color w:val="auto"/>
        </w:rPr>
      </w:pPr>
    </w:p>
    <w:p>
      <w:pPr>
        <w:jc w:val="both"/>
        <w:ind w:left="3020" w:hanging="426"/>
        <w:spacing w:after="0" w:line="258" w:lineRule="auto"/>
        <w:tabs>
          <w:tab w:leader="none" w:pos="3020" w:val="left"/>
        </w:tabs>
        <w:numPr>
          <w:ilvl w:val="2"/>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upon written request to the Administrator, copies of documents governing the operation of the Plan and copies of the latest annual report (Form 5500 Series) and any updated summary plan description. The Administrator may make a reasonable charge for the copies.</w:t>
      </w:r>
    </w:p>
    <w:p>
      <w:pPr>
        <w:spacing w:after="0" w:line="159" w:lineRule="exact"/>
        <w:rPr>
          <w:rFonts w:ascii="Times New Roman" w:cs="Times New Roman" w:eastAsia="Times New Roman" w:hAnsi="Times New Roman"/>
          <w:sz w:val="21"/>
          <w:szCs w:val="21"/>
          <w:color w:val="auto"/>
        </w:rPr>
      </w:pPr>
    </w:p>
    <w:p>
      <w:pPr>
        <w:ind w:left="3020" w:right="20" w:hanging="426"/>
        <w:spacing w:after="0" w:line="277" w:lineRule="auto"/>
        <w:tabs>
          <w:tab w:leader="none" w:pos="3020" w:val="left"/>
        </w:tabs>
        <w:numPr>
          <w:ilvl w:val="2"/>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Receive a summary of the Plan’s annual financial report, if any. The Administrator is required by law to furnish each Eligible Employee with a copy of this summary annual report.</w:t>
      </w:r>
    </w:p>
    <w:p>
      <w:pPr>
        <w:spacing w:after="0" w:line="139" w:lineRule="exact"/>
        <w:rPr>
          <w:rFonts w:ascii="Times New Roman" w:cs="Times New Roman" w:eastAsia="Times New Roman" w:hAnsi="Times New Roman"/>
          <w:sz w:val="21"/>
          <w:szCs w:val="21"/>
          <w:color w:val="auto"/>
        </w:rPr>
      </w:pPr>
    </w:p>
    <w:p>
      <w:pPr>
        <w:jc w:val="both"/>
        <w:ind w:left="2580" w:hanging="857"/>
        <w:spacing w:after="0" w:line="246" w:lineRule="auto"/>
        <w:tabs>
          <w:tab w:leader="none" w:pos="2580"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Prudent Actions by Plan Fiduciaries</w:t>
      </w:r>
      <w:r>
        <w:rPr>
          <w:rFonts w:ascii="Times New Roman" w:cs="Times New Roman" w:eastAsia="Times New Roman" w:hAnsi="Times New Roman"/>
          <w:sz w:val="21"/>
          <w:szCs w:val="21"/>
          <w:color w:val="auto"/>
        </w:rPr>
        <w:t>. In addition to creating rights for Eligible Employees, ERISA imposes duties upon the people who are responsible for the operation of the Plan. The people who operate the Plan, called “fiduciaries” of the plan, have a duty to do so prudently and in the interest of the Eligible Employees and their beneficiaries. No one, including any employer, may fire an Eligible Employee or otherwise discriminate against an Eligible Employee in any way to prevent the Eligible Employee from obtaining a benefit under this Plan or exercising the Eligible Employee’s rights under ERISA.</w:t>
      </w:r>
    </w:p>
    <w:p>
      <w:pPr>
        <w:spacing w:after="0" w:line="170" w:lineRule="exact"/>
        <w:rPr>
          <w:rFonts w:ascii="Times New Roman" w:cs="Times New Roman" w:eastAsia="Times New Roman" w:hAnsi="Times New Roman"/>
          <w:sz w:val="21"/>
          <w:szCs w:val="21"/>
          <w:color w:val="auto"/>
        </w:rPr>
      </w:pPr>
    </w:p>
    <w:p>
      <w:pPr>
        <w:jc w:val="both"/>
        <w:ind w:left="2580" w:hanging="857"/>
        <w:spacing w:after="0" w:line="245" w:lineRule="auto"/>
        <w:tabs>
          <w:tab w:leader="none" w:pos="2580"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 Rights</w:t>
      </w:r>
      <w:r>
        <w:rPr>
          <w:rFonts w:ascii="Times New Roman" w:cs="Times New Roman" w:eastAsia="Times New Roman" w:hAnsi="Times New Roman"/>
          <w:sz w:val="21"/>
          <w:szCs w:val="21"/>
          <w:color w:val="auto"/>
        </w:rPr>
        <w:t>. If an Eligible Employee’s claim for a benefit under this Plan is denied or ignored, in whole or in part, the Eligible Employee has a right to know why this was done, to obtain copies of documents relating to the decision without charge, and to appeal any denial, all within certain time schedules. Under ERISA, there are steps the Eligible Employee can take to enforce the above rights. For instance, if the Eligible Employee requests a copy of plan documents or the latest annual report from the Plan and do not receive them within thirty (30) days, the Eligible Employee may file suit in a federal court. In such a case, the court may require the Administrator to provide the materials and pay the Eligible Employee up to $110 a day until</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5010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52" w:name="page53"/>
    <w:bookmarkEnd w:id="52"/>
    <w:p>
      <w:pPr>
        <w:jc w:val="both"/>
        <w:ind w:left="2580"/>
        <w:spacing w:after="0" w:line="242" w:lineRule="auto"/>
        <w:rPr>
          <w:sz w:val="20"/>
          <w:szCs w:val="20"/>
          <w:color w:val="auto"/>
        </w:rPr>
      </w:pPr>
      <w:r>
        <w:rPr>
          <w:rFonts w:ascii="Times New Roman" w:cs="Times New Roman" w:eastAsia="Times New Roman" w:hAnsi="Times New Roman"/>
          <w:sz w:val="21"/>
          <w:szCs w:val="21"/>
          <w:color w:val="auto"/>
        </w:rPr>
        <w:t>the Eligible Employee receives the materials, unless the materials were not sent because of reasons beyond the control of the Administrator. If the Eligible Employee has a claim for benefits that is denied or ignored, in whole or in part, the Eligible Employee may file suit in a state or federal court. In addition, if the Eligible Employee disagrees with the Plan’s decision or lack thereof concerning the qualified status of a domestic relations order or a medical child support order, the Eligible Employee may file suit in federal court. If it should happen that plan fiduciaries misuse the Plan’s money, or if the Eligible Employee is discriminated against for asserting the Eligible Employee’s rights, the Eligible Employee may seek assistance from the U.S. Department of Labor, or the Eligible Employee may file suit in a federal court. The court will decide who should pay court costs and legal fees. If the Eligible Employee is successful the court may order the individual or entity the Eligible Employee has sued to pay these costs and fees. If the Eligible Employee loses, the court may order the Eligible Employee to pay these costs and fees, for example, if it finds the Eligible Employee’s claim is frivolous.</w:t>
      </w:r>
    </w:p>
    <w:p>
      <w:pPr>
        <w:spacing w:after="0" w:line="186" w:lineRule="exact"/>
        <w:rPr>
          <w:sz w:val="20"/>
          <w:szCs w:val="20"/>
          <w:color w:val="auto"/>
        </w:rPr>
      </w:pPr>
    </w:p>
    <w:p>
      <w:pPr>
        <w:jc w:val="both"/>
        <w:ind w:left="2580" w:hanging="857"/>
        <w:spacing w:after="0" w:line="243" w:lineRule="auto"/>
        <w:tabs>
          <w:tab w:leader="none" w:pos="258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Assistance with Questions</w:t>
      </w:r>
      <w:r>
        <w:rPr>
          <w:rFonts w:ascii="Times New Roman" w:cs="Times New Roman" w:eastAsia="Times New Roman" w:hAnsi="Times New Roman"/>
          <w:sz w:val="21"/>
          <w:szCs w:val="21"/>
          <w:color w:val="auto"/>
        </w:rPr>
        <w:t>. If an Eligible Employee has any questions about the Plan, the Eligible Employee should contact the Administrator. If an Eligible Employee has any questions about this statement or about the Eligible Employee’s rights under ERISA, or if an Eligible Employee needs assistance in obtaining documents from the Administrator, the Eligible Employee should contact the nearest office of the Employee Benefits Security Administration, U.S. Department of Labor, listed in the Eligible Employee’s telephone directory or the Division of Technical Assistance and Inquiries, Employee Benefits Security Administration, U.S. Department of Labor, 200 Constitution Avenue N.W., Washington, D.C. 20210. The Eligible Employee may also obtain certain publications about the Eligible Employee’s rights and responsibilities under ERISA by calling the publications hotline of the Employee Benefits Security Administration.</w:t>
      </w:r>
    </w:p>
    <w:p>
      <w:pPr>
        <w:spacing w:after="0" w:line="182" w:lineRule="exact"/>
        <w:rPr>
          <w:rFonts w:ascii="Times New Roman" w:cs="Times New Roman" w:eastAsia="Times New Roman" w:hAnsi="Times New Roman"/>
          <w:sz w:val="21"/>
          <w:szCs w:val="21"/>
          <w:color w:val="auto"/>
        </w:rPr>
      </w:pPr>
    </w:p>
    <w:p>
      <w:pPr>
        <w:ind w:left="1780" w:hanging="909"/>
        <w:spacing w:after="0"/>
        <w:tabs>
          <w:tab w:leader="none" w:pos="17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194" w:lineRule="exact"/>
        <w:rPr>
          <w:sz w:val="20"/>
          <w:szCs w:val="20"/>
          <w:color w:val="auto"/>
        </w:rPr>
      </w:pPr>
    </w:p>
    <w:p>
      <w:pPr>
        <w:jc w:val="both"/>
        <w:ind w:firstLine="871"/>
        <w:spacing w:after="0" w:line="259" w:lineRule="exact"/>
        <w:tabs>
          <w:tab w:leader="none" w:pos="1745"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 Non</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transferability</w:t>
      </w:r>
      <w:r>
        <w:rPr>
          <w:rFonts w:ascii="Times New Roman" w:cs="Times New Roman" w:eastAsia="Times New Roman" w:hAnsi="Times New Roman"/>
          <w:sz w:val="21"/>
          <w:szCs w:val="21"/>
          <w:color w:val="auto"/>
        </w:rPr>
        <w:t>. No right of an Eligible Employee to any payment or benefit under this Plan shall be subject to assignment, anticipation, alienation, sale, transfer, assignment, pledge, encumbrance, attachment, or garnishment by creditors of the Eligible Employee or of any beneficiary of the Eligible Employee. The terms and conditions of this Plan shall be binding on the successors and assigns of the Company.</w:t>
      </w:r>
    </w:p>
    <w:p>
      <w:pPr>
        <w:spacing w:after="0" w:line="179" w:lineRule="exact"/>
        <w:rPr>
          <w:rFonts w:ascii="Times New Roman" w:cs="Times New Roman" w:eastAsia="Times New Roman" w:hAnsi="Times New Roman"/>
          <w:sz w:val="21"/>
          <w:szCs w:val="21"/>
          <w:color w:val="auto"/>
        </w:rPr>
      </w:pPr>
    </w:p>
    <w:p>
      <w:pPr>
        <w:jc w:val="both"/>
        <w:ind w:firstLine="871"/>
        <w:spacing w:after="0" w:line="252" w:lineRule="auto"/>
        <w:tabs>
          <w:tab w:leader="none" w:pos="1757"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Company shall have the right to deduct from all payments hereunder all taxes that the Company determines are required by law to be withheld therefrom. Regardless of the amount withheld, the recipient of payments, benefits, or other income (including imputed income) under the Plan shall be solely responsible for all taxes owed with respect to such payments, benefits, and other income.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5010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53" w:name="page54"/>
    <w:bookmarkEnd w:id="53"/>
    <w:p>
      <w:pPr>
        <w:jc w:val="both"/>
        <w:ind w:firstLine="871"/>
        <w:spacing w:after="0" w:line="258" w:lineRule="auto"/>
        <w:tabs>
          <w:tab w:leader="none" w:pos="1745"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 to Employment</w:t>
      </w:r>
      <w:r>
        <w:rPr>
          <w:rFonts w:ascii="Times New Roman" w:cs="Times New Roman" w:eastAsia="Times New Roman" w:hAnsi="Times New Roman"/>
          <w:sz w:val="21"/>
          <w:szCs w:val="21"/>
          <w:color w:val="auto"/>
        </w:rPr>
        <w:t>. Nothing in this Plan shall be construed as giving any individual the right to be retained in the employment of the Company, nor shall it affect the right of the Company to dismiss an Eligible Employee without any liability except as required by this Plan.</w:t>
      </w:r>
    </w:p>
    <w:p>
      <w:pPr>
        <w:spacing w:after="0" w:line="159" w:lineRule="exact"/>
        <w:rPr>
          <w:rFonts w:ascii="Times New Roman" w:cs="Times New Roman" w:eastAsia="Times New Roman" w:hAnsi="Times New Roman"/>
          <w:sz w:val="21"/>
          <w:szCs w:val="21"/>
          <w:color w:val="auto"/>
        </w:rPr>
      </w:pPr>
    </w:p>
    <w:p>
      <w:pPr>
        <w:jc w:val="both"/>
        <w:ind w:firstLine="871"/>
        <w:spacing w:after="0" w:line="246" w:lineRule="auto"/>
        <w:tabs>
          <w:tab w:leader="none" w:pos="1757"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Termination</w:t>
      </w:r>
      <w:r>
        <w:rPr>
          <w:rFonts w:ascii="Times New Roman" w:cs="Times New Roman" w:eastAsia="Times New Roman" w:hAnsi="Times New Roman"/>
          <w:sz w:val="21"/>
          <w:szCs w:val="21"/>
          <w:color w:val="auto"/>
        </w:rPr>
        <w:t>. The Company, by action of the Administrator, reserves the right to amend or terminate this Plan at any time, without advance notice to any Eligible Employee and without regard to the effect of the amendment or termination on any Eligible Employee or on any other individual. Any amendment or termination of this Plan will be in writing. Notwithstanding the foregoing, the Company may not, without an Eligible Employee’s written consent, terminate this Plan, or amend this Plan in any way that adversely affects the rights of any Eligible Employee who has previously experienced a Qualifying Termination. Any action of the Company in amending or terminating this Plan will be taken in a non-fiduciary capacity.</w:t>
      </w:r>
    </w:p>
    <w:p>
      <w:pPr>
        <w:spacing w:after="0" w:line="200" w:lineRule="exact"/>
        <w:rPr>
          <w:rFonts w:ascii="Times New Roman" w:cs="Times New Roman" w:eastAsia="Times New Roman" w:hAnsi="Times New Roman"/>
          <w:sz w:val="21"/>
          <w:szCs w:val="21"/>
          <w:color w:val="auto"/>
        </w:rPr>
      </w:pPr>
    </w:p>
    <w:p>
      <w:pPr>
        <w:spacing w:after="0" w:line="218" w:lineRule="exact"/>
        <w:rPr>
          <w:rFonts w:ascii="Times New Roman" w:cs="Times New Roman" w:eastAsia="Times New Roman" w:hAnsi="Times New Roman"/>
          <w:sz w:val="21"/>
          <w:szCs w:val="21"/>
          <w:color w:val="auto"/>
        </w:rPr>
      </w:pPr>
    </w:p>
    <w:p>
      <w:pPr>
        <w:jc w:val="both"/>
        <w:ind w:firstLine="871"/>
        <w:spacing w:after="0" w:line="247" w:lineRule="auto"/>
        <w:tabs>
          <w:tab w:leader="none" w:pos="1745"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THE VALIDITY, CONSTRUCTION, AND EFFECT OF THIS PLAN AND ANY RULES AND REGULATIONS RELATING TO THIS PLAN SHALL BE DETERMINED IN ACCORDANCE WITH THE LAWS (INCLUDING THOSE GOVERNING CONTRACTS) OF THE STATE OF TEXAS, WITHOUT GIVING EFFECT TO PRINCIPLES OF CONFLICTS OF LAWS, AND APPLICABLE FEDERAL LAW. If any provision hereof shall be held by a court or arbitrator of competent jurisdiction to be invalid and unenforceable, the remaining provisions shall continue to be fully effective.</w:t>
      </w:r>
    </w:p>
    <w:p>
      <w:pPr>
        <w:spacing w:after="0" w:line="200" w:lineRule="exact"/>
        <w:rPr>
          <w:rFonts w:ascii="Times New Roman" w:cs="Times New Roman" w:eastAsia="Times New Roman" w:hAnsi="Times New Roman"/>
          <w:sz w:val="21"/>
          <w:szCs w:val="21"/>
          <w:color w:val="auto"/>
        </w:rPr>
      </w:pPr>
    </w:p>
    <w:p>
      <w:pPr>
        <w:spacing w:after="0" w:line="219" w:lineRule="exact"/>
        <w:rPr>
          <w:rFonts w:ascii="Times New Roman" w:cs="Times New Roman" w:eastAsia="Times New Roman" w:hAnsi="Times New Roman"/>
          <w:sz w:val="21"/>
          <w:szCs w:val="21"/>
          <w:color w:val="auto"/>
        </w:rPr>
      </w:pPr>
    </w:p>
    <w:p>
      <w:pPr>
        <w:jc w:val="both"/>
        <w:ind w:firstLine="871"/>
        <w:spacing w:after="0" w:line="242" w:lineRule="auto"/>
        <w:tabs>
          <w:tab w:leader="none" w:pos="1722"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To the fullest extent permitted by law, any and all disputes, claims, and causes of action, in law or equity, arising from or relating to this Plan (including the Release, except as specifically provided in the Release) or its enforcement, performance, breach or interpretation, shall be resolved by final, binding, and confidential arbitration held in the state and county where the Eligible Employee principally worked immediately prior to the Eligible Employee’s termination and conducted through Judicial Arbitration &amp; Mediation Services (“</w:t>
      </w:r>
      <w:r>
        <w:rPr>
          <w:rFonts w:ascii="Times New Roman" w:cs="Times New Roman" w:eastAsia="Times New Roman" w:hAnsi="Times New Roman"/>
          <w:sz w:val="21"/>
          <w:szCs w:val="21"/>
          <w:u w:val="single" w:color="auto"/>
          <w:color w:val="auto"/>
        </w:rPr>
        <w:t>JAMS</w:t>
      </w:r>
      <w:r>
        <w:rPr>
          <w:rFonts w:ascii="Times New Roman" w:cs="Times New Roman" w:eastAsia="Times New Roman" w:hAnsi="Times New Roman"/>
          <w:sz w:val="21"/>
          <w:szCs w:val="21"/>
          <w:color w:val="auto"/>
        </w:rPr>
        <w:t>”) in accordance with the then-current JAMS Employment Arbitration Rules &amp; Procedures (and no other JAMS rules). Judgment may be entered on the arbitrator’s award in any court having jurisdiction. Nothing in this Section 12(f) is intended to prevent either the Eligible Employee or the Company from obtaining injunctive relief in court to prevent irreparable harm pending the conclusion of any such arbitration. For purposes of settling any dispute or controversy arising hereunder or for the purpose of entering any judgment upon an award rendered by the arbitrator, the Company and the Eligible Employee hereby consent to the jurisdiction of any or all of the following courts: (i) the United States District Court for the Northern District of Texas or (ii) any of the courts of the State of Texas. The Company and the Eligible Employee hereby waive, to the fullest extent permitted by applicable law, any objection which it may now or hereafter have to such courts’ jurisdiction and any defense of inconvenient forum with respect to such courts. The Company and the Eligible Employee hereby agree that a judgment upon an award rendered by the arbitrator may be enforced in other jurisdictions by suit on the judgment or in any other manner provided by law. This Section 12(f) shall not apply to any claims of violation of any federal or state employment discrimination laws.</w:t>
      </w:r>
    </w:p>
    <w:p>
      <w:pPr>
        <w:spacing w:after="0" w:line="200" w:lineRule="exact"/>
        <w:rPr>
          <w:rFonts w:ascii="Times New Roman" w:cs="Times New Roman" w:eastAsia="Times New Roman" w:hAnsi="Times New Roman"/>
          <w:sz w:val="21"/>
          <w:szCs w:val="21"/>
          <w:color w:val="auto"/>
        </w:rPr>
      </w:pPr>
    </w:p>
    <w:p>
      <w:pPr>
        <w:spacing w:after="0" w:line="222" w:lineRule="exact"/>
        <w:rPr>
          <w:rFonts w:ascii="Times New Roman" w:cs="Times New Roman" w:eastAsia="Times New Roman" w:hAnsi="Times New Roman"/>
          <w:sz w:val="21"/>
          <w:szCs w:val="21"/>
          <w:color w:val="auto"/>
        </w:rPr>
      </w:pPr>
    </w:p>
    <w:p>
      <w:pPr>
        <w:jc w:val="both"/>
        <w:ind w:firstLine="871"/>
        <w:spacing w:after="0" w:line="258" w:lineRule="auto"/>
        <w:tabs>
          <w:tab w:leader="none" w:pos="1757"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Duty to Mitigate</w:t>
      </w:r>
      <w:r>
        <w:rPr>
          <w:rFonts w:ascii="Times New Roman" w:cs="Times New Roman" w:eastAsia="Times New Roman" w:hAnsi="Times New Roman"/>
          <w:sz w:val="21"/>
          <w:szCs w:val="21"/>
          <w:color w:val="auto"/>
        </w:rPr>
        <w:t>. No employee shall be required to mitigate, by seeking employment or otherwise, the amount of any payment that the Company becomes obligated to make under this Plan, and, except as expressly provided in this Plan, amounts or other benefits to</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5010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54" w:name="page55"/>
    <w:bookmarkEnd w:id="54"/>
    <w:p>
      <w:pPr>
        <w:ind w:right="20"/>
        <w:spacing w:after="0" w:line="277" w:lineRule="auto"/>
        <w:rPr>
          <w:sz w:val="20"/>
          <w:szCs w:val="20"/>
          <w:color w:val="auto"/>
        </w:rPr>
      </w:pPr>
      <w:r>
        <w:rPr>
          <w:rFonts w:ascii="Times New Roman" w:cs="Times New Roman" w:eastAsia="Times New Roman" w:hAnsi="Times New Roman"/>
          <w:sz w:val="21"/>
          <w:szCs w:val="21"/>
          <w:color w:val="auto"/>
        </w:rPr>
        <w:t>be paid or provided to an Eligible Employee pursuant to this Plan shall not be reduced by reason of the Eligible Employee’s obtaining other employment or receiving similar payments or benefits from another employer.</w:t>
      </w:r>
    </w:p>
    <w:p>
      <w:pPr>
        <w:spacing w:after="0" w:line="140" w:lineRule="exact"/>
        <w:rPr>
          <w:sz w:val="20"/>
          <w:szCs w:val="20"/>
          <w:color w:val="auto"/>
        </w:rPr>
      </w:pPr>
    </w:p>
    <w:p>
      <w:pPr>
        <w:jc w:val="both"/>
        <w:ind w:firstLine="871"/>
        <w:spacing w:after="0" w:line="258" w:lineRule="auto"/>
        <w:tabs>
          <w:tab w:leader="none" w:pos="1757"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at Will</w:t>
      </w:r>
      <w:r>
        <w:rPr>
          <w:rFonts w:ascii="Times New Roman" w:cs="Times New Roman" w:eastAsia="Times New Roman" w:hAnsi="Times New Roman"/>
          <w:sz w:val="21"/>
          <w:szCs w:val="21"/>
          <w:color w:val="auto"/>
        </w:rPr>
        <w:t>. Nothing contained in this Plan shall give any employee the right to be retained in the employment of the Company or shall otherwise modify the employee’s at will employment relationship with the Company. This Plan is not a contract of employment between the Company and any employee.</w:t>
      </w:r>
    </w:p>
    <w:p>
      <w:pPr>
        <w:spacing w:after="0" w:line="159" w:lineRule="exact"/>
        <w:rPr>
          <w:rFonts w:ascii="Times New Roman" w:cs="Times New Roman" w:eastAsia="Times New Roman" w:hAnsi="Times New Roman"/>
          <w:sz w:val="21"/>
          <w:szCs w:val="21"/>
          <w:color w:val="auto"/>
        </w:rPr>
      </w:pPr>
    </w:p>
    <w:p>
      <w:pPr>
        <w:jc w:val="both"/>
        <w:ind w:firstLine="871"/>
        <w:spacing w:after="0" w:line="249" w:lineRule="auto"/>
        <w:tabs>
          <w:tab w:leader="none" w:pos="171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Complete Statement of Plan</w:t>
      </w:r>
      <w:r>
        <w:rPr>
          <w:rFonts w:ascii="Times New Roman" w:cs="Times New Roman" w:eastAsia="Times New Roman" w:hAnsi="Times New Roman"/>
          <w:sz w:val="21"/>
          <w:szCs w:val="21"/>
          <w:color w:val="auto"/>
        </w:rPr>
        <w:t>. This Plan document (which incorporates the applicable Appendix(ces) by reference) contains a complete statement of the Plan’s terms and supersedes all prior statements with respect to the Plan’s terms. No other evidence, whether written or oral, shall be taken into account in interpreting the provisions of the Plan. In the event of a conflict between a provision in this Plan document and any booklet, brochure, presentation, or other communication (whether written or oral), the provision of this Plan document shall control.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5010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ADMINISTRATIVE INFORMATION REQUIRED BY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-140970</wp:posOffset>
            </wp:positionV>
            <wp:extent cx="7133590" cy="3966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3590" cy="396684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422"/>
        </w:trPr>
        <w:tc>
          <w:tcPr>
            <w:tcW w:w="20" w:type="dxa"/>
            <w:vAlign w:val="bottom"/>
          </w:tcPr>
          <w:p>
            <w:pPr>
              <w:spacing w:after="0"/>
              <w:rPr>
                <w:sz w:val="24"/>
                <w:szCs w:val="24"/>
                <w:color w:val="auto"/>
              </w:rPr>
            </w:pPr>
          </w:p>
        </w:tc>
        <w:tc>
          <w:tcPr>
            <w:tcW w:w="54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Plan Sponsor and Administrator, including address and</w:t>
            </w:r>
          </w:p>
        </w:tc>
        <w:tc>
          <w:tcPr>
            <w:tcW w:w="160" w:type="dxa"/>
            <w:vAlign w:val="bottom"/>
            <w:tcBorders>
              <w:top w:val="single" w:sz="8" w:color="auto"/>
              <w:right w:val="single" w:sz="8" w:color="auto"/>
            </w:tcBorders>
          </w:tcPr>
          <w:p>
            <w:pPr>
              <w:spacing w:after="0"/>
              <w:rPr>
                <w:sz w:val="24"/>
                <w:szCs w:val="24"/>
                <w:color w:val="auto"/>
              </w:rPr>
            </w:pPr>
          </w:p>
        </w:tc>
        <w:tc>
          <w:tcPr>
            <w:tcW w:w="5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Eagle Materials Inc.</w:t>
            </w:r>
          </w:p>
        </w:tc>
      </w:tr>
      <w:tr>
        <w:trPr>
          <w:trHeight w:val="241"/>
        </w:trPr>
        <w:tc>
          <w:tcPr>
            <w:tcW w:w="2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telephone:</w:t>
            </w:r>
          </w:p>
        </w:tc>
        <w:tc>
          <w:tcPr>
            <w:tcW w:w="160" w:type="dxa"/>
            <w:vAlign w:val="bottom"/>
            <w:tcBorders>
              <w:right w:val="single" w:sz="8" w:color="auto"/>
            </w:tcBorders>
          </w:tcPr>
          <w:p>
            <w:pPr>
              <w:spacing w:after="0"/>
              <w:rPr>
                <w:sz w:val="20"/>
                <w:szCs w:val="20"/>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5960 Berkshire Lane</w:t>
            </w:r>
          </w:p>
        </w:tc>
      </w:t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Suite 900</w:t>
            </w:r>
          </w:p>
        </w:tc>
      </w:t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Dallas TX 75225-6068</w:t>
            </w:r>
          </w:p>
        </w:tc>
      </w:tr>
      <w:tr>
        <w:trPr>
          <w:trHeight w:val="27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214-432-2000</w:t>
            </w:r>
          </w:p>
        </w:tc>
      </w:tr>
      <w:tr>
        <w:trPr>
          <w:trHeight w:val="204"/>
        </w:trPr>
        <w:tc>
          <w:tcPr>
            <w:tcW w:w="20" w:type="dxa"/>
            <w:vAlign w:val="bottom"/>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r>
      <w:tr>
        <w:trPr>
          <w:trHeight w:val="422"/>
        </w:trPr>
        <w:tc>
          <w:tcPr>
            <w:tcW w:w="20" w:type="dxa"/>
            <w:vAlign w:val="bottom"/>
          </w:tcPr>
          <w:p>
            <w:pPr>
              <w:spacing w:after="0"/>
              <w:rPr>
                <w:sz w:val="24"/>
                <w:szCs w:val="24"/>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Name and address of person designated as agent for service of</w:t>
            </w:r>
          </w:p>
        </w:tc>
        <w:tc>
          <w:tcPr>
            <w:tcW w:w="160" w:type="dxa"/>
            <w:vAlign w:val="bottom"/>
            <w:tcBorders>
              <w:right w:val="single" w:sz="8" w:color="auto"/>
            </w:tcBorders>
          </w:tcPr>
          <w:p>
            <w:pPr>
              <w:spacing w:after="0"/>
              <w:rPr>
                <w:sz w:val="24"/>
                <w:szCs w:val="24"/>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Secretary</w:t>
            </w:r>
          </w:p>
        </w:tc>
      </w:tr>
      <w:tr>
        <w:trPr>
          <w:trHeight w:val="241"/>
        </w:trPr>
        <w:tc>
          <w:tcPr>
            <w:tcW w:w="2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process:</w:t>
            </w:r>
          </w:p>
        </w:tc>
        <w:tc>
          <w:tcPr>
            <w:tcW w:w="160" w:type="dxa"/>
            <w:vAlign w:val="bottom"/>
            <w:tcBorders>
              <w:right w:val="single" w:sz="8" w:color="auto"/>
            </w:tcBorders>
          </w:tcPr>
          <w:p>
            <w:pPr>
              <w:spacing w:after="0"/>
              <w:rPr>
                <w:sz w:val="20"/>
                <w:szCs w:val="20"/>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Eagle Materials Inc.</w:t>
            </w:r>
          </w:p>
        </w:tc>
      </w:t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5960 Berkshire Lane</w:t>
            </w:r>
          </w:p>
        </w:tc>
      </w:tr>
      <w:tr>
        <w:trPr>
          <w:trHeight w:val="27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Dallas TX 75225</w:t>
            </w:r>
          </w:p>
        </w:tc>
      </w:tr>
      <w:tr>
        <w:trPr>
          <w:trHeight w:val="392"/>
        </w:trPr>
        <w:tc>
          <w:tcPr>
            <w:tcW w:w="20" w:type="dxa"/>
            <w:vAlign w:val="bottom"/>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r>
        <w:trPr>
          <w:trHeight w:val="460"/>
        </w:trPr>
        <w:tc>
          <w:tcPr>
            <w:tcW w:w="20" w:type="dxa"/>
            <w:vAlign w:val="bottom"/>
          </w:tcPr>
          <w:p>
            <w:pPr>
              <w:spacing w:after="0"/>
              <w:rPr>
                <w:sz w:val="24"/>
                <w:szCs w:val="24"/>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Basis on which Plan records are kept:</w:t>
            </w:r>
          </w:p>
        </w:tc>
        <w:tc>
          <w:tcPr>
            <w:tcW w:w="160" w:type="dxa"/>
            <w:vAlign w:val="bottom"/>
            <w:tcBorders>
              <w:right w:val="single" w:sz="8" w:color="auto"/>
            </w:tcBorders>
          </w:tcPr>
          <w:p>
            <w:pPr>
              <w:spacing w:after="0"/>
              <w:rPr>
                <w:sz w:val="24"/>
                <w:szCs w:val="24"/>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Calendar year: January 1 to December 31</w:t>
            </w:r>
          </w:p>
        </w:tc>
      </w:tr>
      <w:tr>
        <w:trPr>
          <w:trHeight w:val="204"/>
        </w:trPr>
        <w:tc>
          <w:tcPr>
            <w:tcW w:w="20" w:type="dxa"/>
            <w:vAlign w:val="bottom"/>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r>
      <w:tr>
        <w:trPr>
          <w:trHeight w:val="460"/>
        </w:trPr>
        <w:tc>
          <w:tcPr>
            <w:tcW w:w="20" w:type="dxa"/>
            <w:vAlign w:val="bottom"/>
          </w:tcPr>
          <w:p>
            <w:pPr>
              <w:spacing w:after="0"/>
              <w:rPr>
                <w:sz w:val="24"/>
                <w:szCs w:val="24"/>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Type of Plan:</w:t>
            </w:r>
          </w:p>
        </w:tc>
        <w:tc>
          <w:tcPr>
            <w:tcW w:w="160" w:type="dxa"/>
            <w:vAlign w:val="bottom"/>
            <w:tcBorders>
              <w:right w:val="single" w:sz="8" w:color="auto"/>
            </w:tcBorders>
          </w:tcPr>
          <w:p>
            <w:pPr>
              <w:spacing w:after="0"/>
              <w:rPr>
                <w:sz w:val="24"/>
                <w:szCs w:val="24"/>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Unfunded welfare benefit severance plan</w:t>
            </w:r>
          </w:p>
        </w:tc>
      </w:tr>
      <w:tr>
        <w:trPr>
          <w:trHeight w:val="204"/>
        </w:trPr>
        <w:tc>
          <w:tcPr>
            <w:tcW w:w="20" w:type="dxa"/>
            <w:vAlign w:val="bottom"/>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r>
      <w:tr>
        <w:trPr>
          <w:trHeight w:val="460"/>
        </w:trPr>
        <w:tc>
          <w:tcPr>
            <w:tcW w:w="20" w:type="dxa"/>
            <w:vAlign w:val="bottom"/>
          </w:tcPr>
          <w:p>
            <w:pPr>
              <w:spacing w:after="0"/>
              <w:rPr>
                <w:sz w:val="24"/>
                <w:szCs w:val="24"/>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Plan Number:</w:t>
            </w:r>
          </w:p>
        </w:tc>
        <w:tc>
          <w:tcPr>
            <w:tcW w:w="160" w:type="dxa"/>
            <w:vAlign w:val="bottom"/>
            <w:tcBorders>
              <w:right w:val="single" w:sz="8" w:color="auto"/>
            </w:tcBorders>
          </w:tcPr>
          <w:p>
            <w:pPr>
              <w:spacing w:after="0"/>
              <w:rPr>
                <w:sz w:val="24"/>
                <w:szCs w:val="24"/>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w:t>
            </w:r>
          </w:p>
        </w:tc>
      </w:tr>
      <w:tr>
        <w:trPr>
          <w:trHeight w:val="204"/>
        </w:trPr>
        <w:tc>
          <w:tcPr>
            <w:tcW w:w="20" w:type="dxa"/>
            <w:vAlign w:val="bottom"/>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r>
      <w:tr>
        <w:trPr>
          <w:trHeight w:val="460"/>
        </w:trPr>
        <w:tc>
          <w:tcPr>
            <w:tcW w:w="20" w:type="dxa"/>
            <w:vAlign w:val="bottom"/>
          </w:tcPr>
          <w:p>
            <w:pPr>
              <w:spacing w:after="0"/>
              <w:rPr>
                <w:sz w:val="24"/>
                <w:szCs w:val="24"/>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EIN:</w:t>
            </w:r>
          </w:p>
        </w:tc>
        <w:tc>
          <w:tcPr>
            <w:tcW w:w="160" w:type="dxa"/>
            <w:vAlign w:val="bottom"/>
            <w:tcBorders>
              <w:right w:val="single" w:sz="8" w:color="auto"/>
            </w:tcBorders>
          </w:tcPr>
          <w:p>
            <w:pPr>
              <w:spacing w:after="0"/>
              <w:rPr>
                <w:sz w:val="24"/>
                <w:szCs w:val="24"/>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w:t>
            </w:r>
          </w:p>
        </w:tc>
      </w:tr>
      <w:tr>
        <w:trPr>
          <w:trHeight w:val="204"/>
        </w:trPr>
        <w:tc>
          <w:tcPr>
            <w:tcW w:w="20" w:type="dxa"/>
            <w:vAlign w:val="bottom"/>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r>
      <w:tr>
        <w:trPr>
          <w:trHeight w:val="915"/>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780" w:type="dxa"/>
            <w:vAlign w:val="bottom"/>
            <w:gridSpan w:val="2"/>
          </w:tcPr>
          <w:p>
            <w:pPr>
              <w:jc w:val="right"/>
              <w:ind w:right="5433"/>
              <w:spacing w:after="0"/>
              <w:rPr>
                <w:sz w:val="20"/>
                <w:szCs w:val="20"/>
                <w:color w:val="auto"/>
              </w:rPr>
            </w:pPr>
            <w:r>
              <w:rPr>
                <w:rFonts w:ascii="Times New Roman" w:cs="Times New Roman" w:eastAsia="Times New Roman" w:hAnsi="Times New Roman"/>
                <w:sz w:val="21"/>
                <w:szCs w:val="21"/>
                <w:color w:val="auto"/>
              </w:rPr>
              <w:t>11</w:t>
            </w:r>
          </w:p>
        </w:tc>
      </w:tr>
      <w:tr>
        <w:trPr>
          <w:trHeight w:val="104"/>
        </w:trPr>
        <w:tc>
          <w:tcPr>
            <w:tcW w:w="20" w:type="dxa"/>
            <w:vAlign w:val="bottom"/>
            <w:tcBorders>
              <w:bottom w:val="single" w:sz="8" w:color="9A9A9A"/>
            </w:tcBorders>
          </w:tcPr>
          <w:p>
            <w:pPr>
              <w:spacing w:after="0"/>
              <w:rPr>
                <w:sz w:val="9"/>
                <w:szCs w:val="9"/>
                <w:color w:val="auto"/>
              </w:rPr>
            </w:pPr>
          </w:p>
        </w:tc>
        <w:tc>
          <w:tcPr>
            <w:tcW w:w="54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6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577" w:right="31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Appendix A</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Severance Payment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164465</wp:posOffset>
            </wp:positionV>
            <wp:extent cx="7209790" cy="4933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09790" cy="49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1"/>
          <w:szCs w:val="21"/>
          <w:color w:val="auto"/>
        </w:rPr>
        <w:t xml:space="preserve">The Severance Payment shall be equal to the product of (a) the Eligible Employee’s Week of Pay, </w:t>
      </w:r>
      <w:r>
        <w:rPr>
          <w:rFonts w:ascii="Times New Roman" w:cs="Times New Roman" w:eastAsia="Times New Roman" w:hAnsi="Times New Roman"/>
          <w:sz w:val="21"/>
          <w:szCs w:val="21"/>
          <w:i w:val="1"/>
          <w:iCs w:val="1"/>
          <w:color w:val="auto"/>
        </w:rPr>
        <w:t>multiplied by</w:t>
      </w:r>
      <w:r>
        <w:rPr>
          <w:rFonts w:ascii="Times New Roman" w:cs="Times New Roman" w:eastAsia="Times New Roman" w:hAnsi="Times New Roman"/>
          <w:sz w:val="21"/>
          <w:szCs w:val="21"/>
          <w:color w:val="auto"/>
        </w:rPr>
        <w:t xml:space="preserve"> (b) the sum of (i) the Eligible Employee’s Years of Service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 the Eligible Employee’s Severance Factor.</w:t>
      </w:r>
    </w:p>
    <w:p>
      <w:pPr>
        <w:spacing w:after="0" w:line="13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1"/>
          <w:szCs w:val="21"/>
          <w:color w:val="auto"/>
        </w:rPr>
        <w:t>Notwithstanding the foregoing, the minimum Severance Payment shall be ten (10) Weeks of Pay and the maximum Severance Payment shall be fifty (50) Weeks of Pay.</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336" w:right="339" w:bottom="1440" w:gutter="0" w:footer="0" w:header="0"/>
        </w:sectPr>
      </w:pPr>
    </w:p>
    <w:bookmarkStart w:id="57" w:name="page58"/>
    <w:bookmarkEnd w:id="57"/>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302 of the Sarbanes-Oxley Act of 2002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R. Haack, certify that:</w:t>
      </w:r>
    </w:p>
    <w:p>
      <w:pPr>
        <w:spacing w:after="0" w:line="115" w:lineRule="exact"/>
        <w:rPr>
          <w:sz w:val="20"/>
          <w:szCs w:val="20"/>
          <w:color w:val="auto"/>
        </w:rPr>
      </w:pPr>
    </w:p>
    <w:p>
      <w:pPr>
        <w:ind w:left="180" w:hanging="173"/>
        <w:spacing w:after="0"/>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Eagle Materials Inc.;</w:t>
      </w:r>
    </w:p>
    <w:p>
      <w:pPr>
        <w:spacing w:after="0" w:line="114" w:lineRule="exact"/>
        <w:rPr>
          <w:rFonts w:ascii="Times New Roman" w:cs="Times New Roman" w:eastAsia="Times New Roman" w:hAnsi="Times New Roman"/>
          <w:sz w:val="18"/>
          <w:szCs w:val="18"/>
          <w:color w:val="auto"/>
        </w:rPr>
      </w:pPr>
    </w:p>
    <w:p>
      <w:pPr>
        <w:ind w:firstLine="7"/>
        <w:spacing w:after="0" w:line="279" w:lineRule="auto"/>
        <w:tabs>
          <w:tab w:leader="none" w:pos="2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firstLine="7"/>
        <w:spacing w:after="0" w:line="279" w:lineRule="auto"/>
        <w:tabs>
          <w:tab w:leader="none" w:pos="20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firstLine="7"/>
        <w:spacing w:after="0" w:line="263" w:lineRule="auto"/>
        <w:tabs>
          <w:tab w:leader="none" w:pos="18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sz w:val="20"/>
          <w:szCs w:val="20"/>
          <w:color w:val="auto"/>
        </w:rPr>
      </w:pPr>
    </w:p>
    <w:p>
      <w:pPr>
        <w:jc w:val="both"/>
        <w:ind w:firstLine="7"/>
        <w:spacing w:after="0" w:line="263" w:lineRule="auto"/>
        <w:tabs>
          <w:tab w:leader="none" w:pos="1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jc w:val="both"/>
        <w:ind w:firstLine="7"/>
        <w:spacing w:after="0" w:line="263" w:lineRule="auto"/>
        <w:tabs>
          <w:tab w:leader="none" w:pos="20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8"/>
          <w:szCs w:val="18"/>
          <w:color w:val="auto"/>
        </w:rPr>
      </w:pPr>
    </w:p>
    <w:p>
      <w:pPr>
        <w:ind w:firstLine="7"/>
        <w:spacing w:after="0" w:line="279" w:lineRule="auto"/>
        <w:tabs>
          <w:tab w:leader="none" w:pos="1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firstLine="7"/>
        <w:spacing w:after="0" w:line="263" w:lineRule="auto"/>
        <w:tabs>
          <w:tab w:leader="none" w:pos="21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sz w:val="20"/>
          <w:szCs w:val="20"/>
          <w:color w:val="auto"/>
        </w:rPr>
      </w:pPr>
    </w:p>
    <w:p>
      <w:pPr>
        <w:ind w:firstLine="7"/>
        <w:spacing w:after="0" w:line="279" w:lineRule="auto"/>
        <w:tabs>
          <w:tab w:leader="none" w:pos="1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5" w:lineRule="exact"/>
        <w:rPr>
          <w:sz w:val="20"/>
          <w:szCs w:val="20"/>
          <w:color w:val="auto"/>
        </w:rPr>
      </w:pPr>
    </w:p>
    <w:p>
      <w:pPr>
        <w:ind w:firstLine="7"/>
        <w:spacing w:after="0" w:line="279" w:lineRule="auto"/>
        <w:tabs>
          <w:tab w:leader="none" w:pos="19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firstLine="7"/>
        <w:spacing w:after="0" w:line="279" w:lineRule="auto"/>
        <w:tabs>
          <w:tab w:leader="none" w:pos="2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28, 2021</w:t>
      </w:r>
    </w:p>
    <w:p>
      <w:pPr>
        <w:spacing w:after="0" w:line="22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16510</wp:posOffset>
            </wp:positionV>
            <wp:extent cx="25450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545080" cy="8255"/>
                    </a:xfrm>
                    <a:prstGeom prst="rect">
                      <a:avLst/>
                    </a:prstGeom>
                    <a:noFill/>
                  </pic:spPr>
                </pic:pic>
              </a:graphicData>
            </a:graphic>
          </wp:anchor>
        </w:drawing>
      </w:r>
    </w:p>
    <w:p>
      <w:pPr>
        <w:spacing w:after="0" w:line="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Michael R. Haack</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58" w:name="page59"/>
    <w:bookmarkEnd w:id="58"/>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302 of the Sarbanes-Oxley Act of 2002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 Craig Kesler, certify that:</w:t>
      </w:r>
    </w:p>
    <w:p>
      <w:pPr>
        <w:spacing w:after="0" w:line="115" w:lineRule="exact"/>
        <w:rPr>
          <w:sz w:val="20"/>
          <w:szCs w:val="20"/>
          <w:color w:val="auto"/>
        </w:rPr>
      </w:pPr>
    </w:p>
    <w:p>
      <w:pPr>
        <w:ind w:left="180" w:hanging="173"/>
        <w:spacing w:after="0"/>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Eagle Materials Inc.;</w:t>
      </w:r>
    </w:p>
    <w:p>
      <w:pPr>
        <w:spacing w:after="0" w:line="114" w:lineRule="exact"/>
        <w:rPr>
          <w:rFonts w:ascii="Times New Roman" w:cs="Times New Roman" w:eastAsia="Times New Roman" w:hAnsi="Times New Roman"/>
          <w:sz w:val="18"/>
          <w:szCs w:val="18"/>
          <w:color w:val="auto"/>
        </w:rPr>
      </w:pPr>
    </w:p>
    <w:p>
      <w:pPr>
        <w:ind w:firstLine="7"/>
        <w:spacing w:after="0" w:line="279" w:lineRule="auto"/>
        <w:tabs>
          <w:tab w:leader="none" w:pos="20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firstLine="7"/>
        <w:spacing w:after="0" w:line="279" w:lineRule="auto"/>
        <w:tabs>
          <w:tab w:leader="none" w:pos="20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firstLine="7"/>
        <w:spacing w:after="0" w:line="263" w:lineRule="auto"/>
        <w:tabs>
          <w:tab w:leader="none" w:pos="18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sz w:val="20"/>
          <w:szCs w:val="20"/>
          <w:color w:val="auto"/>
        </w:rPr>
      </w:pPr>
    </w:p>
    <w:p>
      <w:pPr>
        <w:jc w:val="both"/>
        <w:ind w:firstLine="7"/>
        <w:spacing w:after="0" w:line="263" w:lineRule="auto"/>
        <w:tabs>
          <w:tab w:leader="none" w:pos="18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jc w:val="both"/>
        <w:ind w:firstLine="7"/>
        <w:spacing w:after="0" w:line="263" w:lineRule="auto"/>
        <w:tabs>
          <w:tab w:leader="none" w:pos="20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8"/>
          <w:szCs w:val="18"/>
          <w:color w:val="auto"/>
        </w:rPr>
      </w:pPr>
    </w:p>
    <w:p>
      <w:pPr>
        <w:ind w:firstLine="7"/>
        <w:spacing w:after="0" w:line="279" w:lineRule="auto"/>
        <w:tabs>
          <w:tab w:leader="none" w:pos="1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firstLine="7"/>
        <w:spacing w:after="0" w:line="263" w:lineRule="auto"/>
        <w:tabs>
          <w:tab w:leader="none" w:pos="21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sz w:val="20"/>
          <w:szCs w:val="20"/>
          <w:color w:val="auto"/>
        </w:rPr>
      </w:pPr>
    </w:p>
    <w:p>
      <w:pPr>
        <w:ind w:firstLine="7"/>
        <w:spacing w:after="0" w:line="279" w:lineRule="auto"/>
        <w:tabs>
          <w:tab w:leader="none" w:pos="1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5" w:lineRule="exact"/>
        <w:rPr>
          <w:sz w:val="20"/>
          <w:szCs w:val="20"/>
          <w:color w:val="auto"/>
        </w:rPr>
      </w:pPr>
    </w:p>
    <w:p>
      <w:pPr>
        <w:ind w:firstLine="7"/>
        <w:spacing w:after="0" w:line="279" w:lineRule="auto"/>
        <w:tabs>
          <w:tab w:leader="none" w:pos="19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firstLine="7"/>
        <w:spacing w:after="0" w:line="279" w:lineRule="auto"/>
        <w:tabs>
          <w:tab w:leader="none" w:pos="21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28, 2021</w:t>
      </w:r>
    </w:p>
    <w:p>
      <w:pPr>
        <w:spacing w:after="0" w:line="22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16510</wp:posOffset>
            </wp:positionV>
            <wp:extent cx="25450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545080" cy="8255"/>
                    </a:xfrm>
                    <a:prstGeom prst="rect">
                      <a:avLst/>
                    </a:prstGeom>
                    <a:noFill/>
                  </pic:spPr>
                </pic:pic>
              </a:graphicData>
            </a:graphic>
          </wp:anchor>
        </w:drawing>
      </w:r>
    </w:p>
    <w:p>
      <w:pPr>
        <w:spacing w:after="0" w:line="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 Craig Kesler</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906 of the Sarbanes-Oxley Act of 2002</w:t>
      </w:r>
    </w:p>
    <w:p>
      <w:pPr>
        <w:spacing w:after="0" w:line="22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Eagle Materials Inc. and subsidiaries (the “Company”) on Form 10-Q for the period ended December 31, 2020 as filed with the Securities and Exchange Commission on the date hereof (the “Report”), I, Michael R. Haack, President and Chief Executive Officer of the Company, certify, pursuant to 18 U.S.C. section 1350, as adopted pursuant to section 906 of the Sarbanes-Oxley Act of 2002, that, to the best of my knowledge:</w:t>
      </w:r>
    </w:p>
    <w:p>
      <w:pPr>
        <w:spacing w:after="0" w:line="75" w:lineRule="exact"/>
        <w:rPr>
          <w:sz w:val="20"/>
          <w:szCs w:val="20"/>
          <w:color w:val="auto"/>
        </w:rPr>
      </w:pPr>
    </w:p>
    <w:p>
      <w:pPr>
        <w:ind w:left="620" w:hanging="358"/>
        <w:spacing w:after="0"/>
        <w:tabs>
          <w:tab w:leader="none" w:pos="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4" w:lineRule="exact"/>
        <w:rPr>
          <w:rFonts w:ascii="Times New Roman" w:cs="Times New Roman" w:eastAsia="Times New Roman" w:hAnsi="Times New Roman"/>
          <w:sz w:val="18"/>
          <w:szCs w:val="18"/>
          <w:color w:val="auto"/>
        </w:rPr>
      </w:pPr>
    </w:p>
    <w:p>
      <w:pPr>
        <w:ind w:left="620" w:hanging="358"/>
        <w:spacing w:after="0"/>
        <w:tabs>
          <w:tab w:leader="none" w:pos="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28, 2021</w:t>
      </w:r>
    </w:p>
    <w:p>
      <w:pPr>
        <w:spacing w:after="0" w:line="22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16510</wp:posOffset>
            </wp:positionV>
            <wp:extent cx="25450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545080" cy="8255"/>
                    </a:xfrm>
                    <a:prstGeom prst="rect">
                      <a:avLst/>
                    </a:prstGeom>
                    <a:noFill/>
                  </pic:spPr>
                </pic:pic>
              </a:graphicData>
            </a:graphic>
          </wp:anchor>
        </w:drawing>
      </w:r>
    </w:p>
    <w:p>
      <w:pPr>
        <w:spacing w:after="0" w:line="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Michael R. Haack</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906 of the Sarbanes-Oxley Act of 2002</w:t>
      </w:r>
    </w:p>
    <w:p>
      <w:pPr>
        <w:spacing w:after="0" w:line="226"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8"/>
          <w:szCs w:val="18"/>
          <w:color w:val="auto"/>
        </w:rPr>
        <w:t>In connection with the Quarterly Report of Eagle Materials Inc. and subsidiaries (the “Company”) on Form 10-Q for the period ended December 31, 2020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w:t>
      </w:r>
    </w:p>
    <w:p>
      <w:pPr>
        <w:spacing w:after="0" w:line="70" w:lineRule="exact"/>
        <w:rPr>
          <w:sz w:val="20"/>
          <w:szCs w:val="20"/>
          <w:color w:val="auto"/>
        </w:rPr>
      </w:pPr>
    </w:p>
    <w:p>
      <w:pPr>
        <w:ind w:left="620" w:hanging="358"/>
        <w:spacing w:after="0"/>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4" w:lineRule="exact"/>
        <w:rPr>
          <w:rFonts w:ascii="Times New Roman" w:cs="Times New Roman" w:eastAsia="Times New Roman" w:hAnsi="Times New Roman"/>
          <w:sz w:val="18"/>
          <w:szCs w:val="18"/>
          <w:color w:val="auto"/>
        </w:rPr>
      </w:pPr>
    </w:p>
    <w:p>
      <w:pPr>
        <w:ind w:left="620" w:hanging="358"/>
        <w:spacing w:after="0"/>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28, 2021</w:t>
      </w:r>
    </w:p>
    <w:p>
      <w:pPr>
        <w:spacing w:after="0" w:line="22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16510</wp:posOffset>
            </wp:positionV>
            <wp:extent cx="25450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545080" cy="8255"/>
                    </a:xfrm>
                    <a:prstGeom prst="rect">
                      <a:avLst/>
                    </a:prstGeom>
                    <a:noFill/>
                  </pic:spPr>
                </pic:pic>
              </a:graphicData>
            </a:graphic>
          </wp:anchor>
        </w:drawing>
      </w:r>
    </w:p>
    <w:p>
      <w:pPr>
        <w:spacing w:after="0" w:line="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 Craig Kesler</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MINE SAFETY DISCLOSURE</w:t>
      </w:r>
    </w:p>
    <w:p>
      <w:pPr>
        <w:spacing w:after="0" w:line="10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Section 1503 of the Dodd-Frank Wall Street Reform and Consumer Protection Act contains reporting requirements regarding mine safety. The operation of our quarries is subject to regulation by the federal Mine Safety and Health Administration, or MSHA, under the Federal Mine Safety and Health Act of 1977, or the Mine Act. Set forth below is the required information regarding certain mining safety and health matters for the three-month period ended December 31, 2020 for our facilities. In evaluating this information, consideration should be given to factors such as: (i) the number of citations and orders will vary depending on the size of the quarry, (ii) the number of citations issued will vary from inspector-to-inspector and mine-to-mine, and (iii) citations and orders can be contested and appealed, and in that process, may be reduced in severity and amount, and are sometimes dismissed.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Section</w:t>
            </w: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Total Dollar</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Total</w:t>
            </w:r>
          </w:p>
        </w:tc>
        <w:tc>
          <w:tcPr>
            <w:tcW w:w="2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Received Notice Received Notice</w:t>
            </w:r>
          </w:p>
        </w:tc>
        <w:tc>
          <w:tcPr>
            <w:tcW w:w="76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Legal</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760" w:type="dxa"/>
            <w:vAlign w:val="bottom"/>
          </w:tcPr>
          <w:p>
            <w:pPr>
              <w:jc w:val="center"/>
              <w:ind w:right="9"/>
              <w:spacing w:after="0" w:line="147" w:lineRule="exact"/>
              <w:rPr>
                <w:sz w:val="20"/>
                <w:szCs w:val="20"/>
                <w:color w:val="auto"/>
              </w:rPr>
            </w:pPr>
            <w:r>
              <w:rPr>
                <w:rFonts w:ascii="Times New Roman" w:cs="Times New Roman" w:eastAsia="Times New Roman" w:hAnsi="Times New Roman"/>
                <w:sz w:val="14"/>
                <w:szCs w:val="14"/>
                <w:color w:val="auto"/>
              </w:rPr>
              <w:t>Actions</w:t>
            </w:r>
          </w:p>
        </w:tc>
        <w:tc>
          <w:tcPr>
            <w:tcW w:w="60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Mine or Operating</w:t>
            </w:r>
          </w:p>
        </w:tc>
        <w:tc>
          <w:tcPr>
            <w:tcW w:w="108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6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104(d)</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 110(b)</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Section</w:t>
            </w: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98"/>
              </w:rPr>
              <w:t>Value of</w:t>
            </w:r>
          </w:p>
        </w:tc>
        <w:tc>
          <w:tcPr>
            <w:tcW w:w="6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Number</w:t>
            </w:r>
          </w:p>
        </w:tc>
        <w:tc>
          <w:tcPr>
            <w:tcW w:w="10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of Pattern of</w:t>
            </w:r>
          </w:p>
        </w:tc>
        <w:tc>
          <w:tcPr>
            <w:tcW w:w="9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of Potential to</w:t>
            </w:r>
          </w:p>
        </w:tc>
        <w:tc>
          <w:tcPr>
            <w:tcW w:w="7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Pending as</w:t>
            </w:r>
          </w:p>
        </w:tc>
        <w:tc>
          <w:tcPr>
            <w:tcW w:w="6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Actions</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Legal Actions</w:t>
            </w:r>
          </w:p>
        </w:tc>
        <w:tc>
          <w:tcPr>
            <w:tcW w:w="0" w:type="dxa"/>
            <w:vAlign w:val="bottom"/>
          </w:tcPr>
          <w:p>
            <w:pPr>
              <w:spacing w:after="0"/>
              <w:rPr>
                <w:sz w:val="1"/>
                <w:szCs w:val="1"/>
                <w:color w:val="auto"/>
              </w:rPr>
            </w:pPr>
          </w:p>
        </w:tc>
      </w:tr>
      <w:tr>
        <w:trPr>
          <w:trHeight w:val="147"/>
        </w:trPr>
        <w:tc>
          <w:tcPr>
            <w:tcW w:w="1460" w:type="dxa"/>
            <w:vAlign w:val="bottom"/>
            <w:vMerge w:val="continue"/>
          </w:tcPr>
          <w:p>
            <w:pPr>
              <w:spacing w:after="0"/>
              <w:rPr>
                <w:sz w:val="12"/>
                <w:szCs w:val="12"/>
                <w:color w:val="auto"/>
              </w:rPr>
            </w:pPr>
          </w:p>
        </w:tc>
        <w:tc>
          <w:tcPr>
            <w:tcW w:w="1080" w:type="dxa"/>
            <w:vAlign w:val="bottom"/>
            <w:vMerge w:val="restart"/>
          </w:tcPr>
          <w:p>
            <w:pPr>
              <w:jc w:val="center"/>
              <w:ind w:left="49"/>
              <w:spacing w:after="0"/>
              <w:rPr>
                <w:sz w:val="20"/>
                <w:szCs w:val="20"/>
                <w:color w:val="auto"/>
              </w:rPr>
            </w:pPr>
            <w:r>
              <w:rPr>
                <w:rFonts w:ascii="Times New Roman" w:cs="Times New Roman" w:eastAsia="Times New Roman" w:hAnsi="Times New Roman"/>
                <w:sz w:val="14"/>
                <w:szCs w:val="14"/>
                <w:color w:val="auto"/>
              </w:rPr>
              <w:t>Section 104</w:t>
            </w:r>
          </w:p>
        </w:tc>
        <w:tc>
          <w:tcPr>
            <w:tcW w:w="620" w:type="dxa"/>
            <w:vAlign w:val="bottom"/>
            <w:vMerge w:val="continue"/>
          </w:tcPr>
          <w:p>
            <w:pPr>
              <w:spacing w:after="0"/>
              <w:rPr>
                <w:sz w:val="12"/>
                <w:szCs w:val="12"/>
                <w:color w:val="auto"/>
              </w:rPr>
            </w:pPr>
          </w:p>
        </w:tc>
        <w:tc>
          <w:tcPr>
            <w:tcW w:w="680" w:type="dxa"/>
            <w:vAlign w:val="bottom"/>
          </w:tcPr>
          <w:p>
            <w:pPr>
              <w:jc w:val="center"/>
              <w:ind w:left="9"/>
              <w:spacing w:after="0" w:line="147" w:lineRule="exact"/>
              <w:rPr>
                <w:sz w:val="20"/>
                <w:szCs w:val="20"/>
                <w:color w:val="auto"/>
              </w:rPr>
            </w:pPr>
            <w:r>
              <w:rPr>
                <w:rFonts w:ascii="Times New Roman" w:cs="Times New Roman" w:eastAsia="Times New Roman" w:hAnsi="Times New Roman"/>
                <w:sz w:val="14"/>
                <w:szCs w:val="14"/>
                <w:color w:val="auto"/>
              </w:rPr>
              <w:t>Citations</w:t>
            </w:r>
          </w:p>
        </w:tc>
        <w:tc>
          <w:tcPr>
            <w:tcW w:w="9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98"/>
              </w:rPr>
              <w:t>MSHA</w:t>
            </w:r>
          </w:p>
        </w:tc>
        <w:tc>
          <w:tcPr>
            <w:tcW w:w="6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of Mining</w:t>
            </w:r>
          </w:p>
        </w:tc>
        <w:tc>
          <w:tcPr>
            <w:tcW w:w="10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Violations</w:t>
            </w:r>
          </w:p>
        </w:tc>
        <w:tc>
          <w:tcPr>
            <w:tcW w:w="9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Have Pattern</w:t>
            </w:r>
          </w:p>
        </w:tc>
        <w:tc>
          <w:tcPr>
            <w:tcW w:w="760" w:type="dxa"/>
            <w:vAlign w:val="bottom"/>
          </w:tcPr>
          <w:p>
            <w:pPr>
              <w:jc w:val="center"/>
              <w:ind w:right="9"/>
              <w:spacing w:after="0" w:line="147" w:lineRule="exact"/>
              <w:rPr>
                <w:sz w:val="20"/>
                <w:szCs w:val="20"/>
                <w:color w:val="auto"/>
              </w:rPr>
            </w:pPr>
            <w:r>
              <w:rPr>
                <w:rFonts w:ascii="Times New Roman" w:cs="Times New Roman" w:eastAsia="Times New Roman" w:hAnsi="Times New Roman"/>
                <w:sz w:val="14"/>
                <w:szCs w:val="14"/>
                <w:color w:val="auto"/>
              </w:rPr>
              <w:t>of</w:t>
            </w:r>
          </w:p>
        </w:tc>
        <w:tc>
          <w:tcPr>
            <w:tcW w:w="6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Initiated</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Name/MSHA</w:t>
            </w:r>
          </w:p>
        </w:tc>
        <w:tc>
          <w:tcPr>
            <w:tcW w:w="1080" w:type="dxa"/>
            <w:vAlign w:val="bottom"/>
            <w:vMerge w:val="continue"/>
          </w:tcPr>
          <w:p>
            <w:pPr>
              <w:spacing w:after="0"/>
              <w:rPr>
                <w:sz w:val="12"/>
                <w:szCs w:val="12"/>
                <w:color w:val="auto"/>
              </w:rPr>
            </w:pPr>
          </w:p>
        </w:tc>
        <w:tc>
          <w:tcPr>
            <w:tcW w:w="6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104(b)</w:t>
            </w:r>
          </w:p>
        </w:tc>
        <w:tc>
          <w:tcPr>
            <w:tcW w:w="6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and</w:t>
            </w: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97"/>
              </w:rPr>
              <w:t>(2)</w:t>
            </w:r>
          </w:p>
        </w:tc>
        <w:tc>
          <w:tcPr>
            <w:tcW w:w="6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107(a)</w:t>
            </w: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Assessments</w:t>
            </w:r>
          </w:p>
        </w:tc>
        <w:tc>
          <w:tcPr>
            <w:tcW w:w="6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Related</w:t>
            </w:r>
          </w:p>
        </w:tc>
        <w:tc>
          <w:tcPr>
            <w:tcW w:w="10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Under Section</w:t>
            </w:r>
          </w:p>
        </w:tc>
        <w:tc>
          <w:tcPr>
            <w:tcW w:w="9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Under Section</w:t>
            </w:r>
          </w:p>
        </w:tc>
        <w:tc>
          <w:tcPr>
            <w:tcW w:w="760" w:type="dxa"/>
            <w:vAlign w:val="bottom"/>
          </w:tcPr>
          <w:p>
            <w:pPr>
              <w:jc w:val="center"/>
              <w:ind w:right="9"/>
              <w:spacing w:after="0" w:line="147" w:lineRule="exact"/>
              <w:rPr>
                <w:sz w:val="20"/>
                <w:szCs w:val="20"/>
                <w:color w:val="auto"/>
              </w:rPr>
            </w:pPr>
            <w:r>
              <w:rPr>
                <w:rFonts w:ascii="Times New Roman" w:cs="Times New Roman" w:eastAsia="Times New Roman" w:hAnsi="Times New Roman"/>
                <w:sz w:val="14"/>
                <w:szCs w:val="14"/>
                <w:color w:val="auto"/>
              </w:rPr>
              <w:t>Last Day of</w:t>
            </w:r>
          </w:p>
        </w:tc>
        <w:tc>
          <w:tcPr>
            <w:tcW w:w="6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During</w:t>
            </w:r>
          </w:p>
        </w:tc>
        <w:tc>
          <w:tcPr>
            <w:tcW w:w="8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Resolved</w:t>
            </w:r>
          </w:p>
        </w:tc>
        <w:tc>
          <w:tcPr>
            <w:tcW w:w="0" w:type="dxa"/>
            <w:vAlign w:val="bottom"/>
          </w:tcPr>
          <w:p>
            <w:pPr>
              <w:spacing w:after="0"/>
              <w:rPr>
                <w:sz w:val="1"/>
                <w:szCs w:val="1"/>
                <w:color w:val="auto"/>
              </w:rPr>
            </w:pPr>
          </w:p>
        </w:tc>
      </w:tr>
      <w:tr>
        <w:trPr>
          <w:trHeight w:val="185"/>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Identification Number</w:t>
            </w:r>
          </w:p>
        </w:tc>
        <w:tc>
          <w:tcPr>
            <w:tcW w:w="108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S&amp;S Citations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Orders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Orders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Violations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Orders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Proposed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Fatalities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104(e) (yes/no)</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104(e) (yes/no)</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Period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During Period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7133590" cy="2470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3590" cy="24701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4"/>
          <w:szCs w:val="14"/>
          <w:color w:val="auto"/>
        </w:rPr>
        <w:t>3D Concrete LLC Lander, NV (2602434)</w:t>
      </w:r>
    </w:p>
    <w:p>
      <w:pPr>
        <w:spacing w:after="0" w:line="4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4"/>
          <w:szCs w:val="14"/>
          <w:color w:val="auto"/>
        </w:rPr>
        <w:t>3D Concrete LLC Lyon, Nevada (2602412)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American Gypsum</w:t>
      </w:r>
    </w:p>
    <w:p>
      <w:pPr>
        <w:spacing w:after="0" w:line="223" w:lineRule="auto"/>
        <w:rPr>
          <w:sz w:val="20"/>
          <w:szCs w:val="20"/>
          <w:color w:val="auto"/>
        </w:rPr>
      </w:pPr>
      <w:r>
        <w:rPr>
          <w:rFonts w:ascii="Times New Roman" w:cs="Times New Roman" w:eastAsia="Times New Roman" w:hAnsi="Times New Roman"/>
          <w:sz w:val="14"/>
          <w:szCs w:val="14"/>
          <w:color w:val="auto"/>
        </w:rPr>
        <w:t>Company LLC</w:t>
      </w:r>
    </w:p>
    <w:p>
      <w:pPr>
        <w:spacing w:after="0" w:line="220" w:lineRule="auto"/>
        <w:rPr>
          <w:sz w:val="20"/>
          <w:szCs w:val="20"/>
          <w:color w:val="auto"/>
        </w:rPr>
      </w:pPr>
      <w:r>
        <w:rPr>
          <w:rFonts w:ascii="Times New Roman" w:cs="Times New Roman" w:eastAsia="Times New Roman" w:hAnsi="Times New Roman"/>
          <w:sz w:val="14"/>
          <w:szCs w:val="14"/>
          <w:color w:val="auto"/>
        </w:rPr>
        <w:t>Albuquerque, NM</w:t>
      </w:r>
    </w:p>
    <w:p>
      <w:pPr>
        <w:spacing w:after="0" w:line="220" w:lineRule="auto"/>
        <w:rPr>
          <w:sz w:val="20"/>
          <w:szCs w:val="20"/>
          <w:color w:val="auto"/>
        </w:rPr>
      </w:pPr>
      <w:r>
        <w:rPr>
          <w:rFonts w:ascii="Times New Roman" w:cs="Times New Roman" w:eastAsia="Times New Roman" w:hAnsi="Times New Roman"/>
          <w:sz w:val="14"/>
          <w:szCs w:val="14"/>
          <w:color w:val="auto"/>
        </w:rPr>
        <w:t>(2900181)</w:t>
      </w:r>
    </w:p>
    <w:p>
      <w:pPr>
        <w:spacing w:after="0" w:line="220" w:lineRule="auto"/>
        <w:rPr>
          <w:sz w:val="20"/>
          <w:szCs w:val="20"/>
          <w:color w:val="auto"/>
        </w:rPr>
      </w:pPr>
      <w:r>
        <w:rPr>
          <w:rFonts w:ascii="Times New Roman" w:cs="Times New Roman" w:eastAsia="Times New Roman" w:hAnsi="Times New Roman"/>
          <w:sz w:val="14"/>
          <w:szCs w:val="14"/>
          <w:color w:val="auto"/>
        </w:rPr>
        <w:t>American Gypsum</w:t>
      </w:r>
    </w:p>
    <w:p>
      <w:pPr>
        <w:spacing w:after="0" w:line="219" w:lineRule="auto"/>
        <w:rPr>
          <w:sz w:val="20"/>
          <w:szCs w:val="20"/>
          <w:color w:val="auto"/>
        </w:rPr>
      </w:pPr>
      <w:r>
        <w:rPr>
          <w:rFonts w:ascii="Times New Roman" w:cs="Times New Roman" w:eastAsia="Times New Roman" w:hAnsi="Times New Roman"/>
          <w:sz w:val="14"/>
          <w:szCs w:val="14"/>
          <w:color w:val="auto"/>
        </w:rPr>
        <w:t>Company LLC</w:t>
      </w:r>
    </w:p>
    <w:p>
      <w:pPr>
        <w:spacing w:after="0" w:line="220" w:lineRule="auto"/>
        <w:rPr>
          <w:sz w:val="20"/>
          <w:szCs w:val="20"/>
          <w:color w:val="auto"/>
        </w:rPr>
      </w:pPr>
      <w:r>
        <w:rPr>
          <w:rFonts w:ascii="Times New Roman" w:cs="Times New Roman" w:eastAsia="Times New Roman" w:hAnsi="Times New Roman"/>
          <w:sz w:val="14"/>
          <w:szCs w:val="14"/>
          <w:color w:val="auto"/>
        </w:rPr>
        <w:t>Duke, OK (3400256)</w:t>
      </w:r>
    </w:p>
    <w:p>
      <w:pPr>
        <w:spacing w:after="0" w:line="220" w:lineRule="auto"/>
        <w:rPr>
          <w:sz w:val="20"/>
          <w:szCs w:val="20"/>
          <w:color w:val="auto"/>
        </w:rPr>
      </w:pPr>
      <w:r>
        <w:rPr>
          <w:rFonts w:ascii="Times New Roman" w:cs="Times New Roman" w:eastAsia="Times New Roman" w:hAnsi="Times New Roman"/>
          <w:sz w:val="14"/>
          <w:szCs w:val="14"/>
          <w:color w:val="auto"/>
        </w:rPr>
        <w:t>American Gypsum</w:t>
      </w:r>
    </w:p>
    <w:p>
      <w:pPr>
        <w:spacing w:after="0" w:line="220" w:lineRule="auto"/>
        <w:rPr>
          <w:sz w:val="20"/>
          <w:szCs w:val="20"/>
          <w:color w:val="auto"/>
        </w:rPr>
      </w:pPr>
      <w:r>
        <w:rPr>
          <w:rFonts w:ascii="Times New Roman" w:cs="Times New Roman" w:eastAsia="Times New Roman" w:hAnsi="Times New Roman"/>
          <w:sz w:val="14"/>
          <w:szCs w:val="14"/>
          <w:color w:val="auto"/>
        </w:rPr>
        <w:t>Company LLC</w:t>
      </w:r>
    </w:p>
    <w:p>
      <w:pPr>
        <w:spacing w:after="0"/>
        <w:rPr>
          <w:sz w:val="20"/>
          <w:szCs w:val="20"/>
          <w:color w:val="auto"/>
        </w:rPr>
      </w:pPr>
      <w:r>
        <w:rPr>
          <w:rFonts w:ascii="Times New Roman" w:cs="Times New Roman" w:eastAsia="Times New Roman" w:hAnsi="Times New Roman"/>
          <w:sz w:val="14"/>
          <w:szCs w:val="14"/>
          <w:color w:val="auto"/>
        </w:rPr>
        <w:t>Eagle, CO (0503997)</w:t>
      </w:r>
    </w:p>
    <w:p>
      <w:pPr>
        <w:spacing w:after="0" w:line="11"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4"/>
          <w:szCs w:val="14"/>
          <w:color w:val="auto"/>
        </w:rPr>
        <w:t>Centex Materials LLC Buda, TX (4102241)</w:t>
      </w:r>
    </w:p>
    <w:p>
      <w:pPr>
        <w:spacing w:after="0" w:line="5" w:lineRule="exact"/>
        <w:rPr>
          <w:sz w:val="20"/>
          <w:szCs w:val="20"/>
          <w:color w:val="auto"/>
        </w:rPr>
      </w:pPr>
    </w:p>
    <w:p>
      <w:pPr>
        <w:ind w:right="340"/>
        <w:spacing w:after="0" w:line="231" w:lineRule="auto"/>
        <w:rPr>
          <w:sz w:val="20"/>
          <w:szCs w:val="20"/>
          <w:color w:val="auto"/>
        </w:rPr>
      </w:pPr>
      <w:r>
        <w:rPr>
          <w:rFonts w:ascii="Times New Roman" w:cs="Times New Roman" w:eastAsia="Times New Roman" w:hAnsi="Times New Roman"/>
          <w:sz w:val="14"/>
          <w:szCs w:val="14"/>
          <w:color w:val="auto"/>
        </w:rPr>
        <w:t>Central Plains Cement Company</w:t>
      </w:r>
    </w:p>
    <w:p>
      <w:pPr>
        <w:spacing w:after="0" w:line="1" w:lineRule="exact"/>
        <w:rPr>
          <w:sz w:val="20"/>
          <w:szCs w:val="20"/>
          <w:color w:val="auto"/>
        </w:rPr>
      </w:pPr>
    </w:p>
    <w:p>
      <w:pPr>
        <w:ind w:right="620"/>
        <w:spacing w:after="0" w:line="219" w:lineRule="auto"/>
        <w:rPr>
          <w:sz w:val="20"/>
          <w:szCs w:val="20"/>
          <w:color w:val="auto"/>
        </w:rPr>
      </w:pPr>
      <w:r>
        <w:rPr>
          <w:rFonts w:ascii="Times New Roman" w:cs="Times New Roman" w:eastAsia="Times New Roman" w:hAnsi="Times New Roman"/>
          <w:sz w:val="14"/>
          <w:szCs w:val="14"/>
          <w:color w:val="auto"/>
        </w:rPr>
        <w:t>Sugar Creek, MO (2302171)</w:t>
      </w:r>
    </w:p>
    <w:p>
      <w:pPr>
        <w:spacing w:after="0" w:line="1" w:lineRule="exact"/>
        <w:rPr>
          <w:sz w:val="20"/>
          <w:szCs w:val="20"/>
          <w:color w:val="auto"/>
        </w:rPr>
      </w:pPr>
    </w:p>
    <w:p>
      <w:pPr>
        <w:ind w:right="340"/>
        <w:spacing w:after="0" w:line="219" w:lineRule="auto"/>
        <w:rPr>
          <w:sz w:val="20"/>
          <w:szCs w:val="20"/>
          <w:color w:val="auto"/>
        </w:rPr>
      </w:pPr>
      <w:r>
        <w:rPr>
          <w:rFonts w:ascii="Times New Roman" w:cs="Times New Roman" w:eastAsia="Times New Roman" w:hAnsi="Times New Roman"/>
          <w:sz w:val="14"/>
          <w:szCs w:val="14"/>
          <w:color w:val="auto"/>
        </w:rPr>
        <w:t>Central Plains Cement Company</w:t>
      </w:r>
    </w:p>
    <w:p>
      <w:pPr>
        <w:spacing w:after="0" w:line="1"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14"/>
          <w:szCs w:val="14"/>
          <w:color w:val="auto"/>
        </w:rPr>
        <w:t>Tulsa, OK (3400026) Fairborn Cement Company LLC</w:t>
      </w:r>
    </w:p>
    <w:p>
      <w:pPr>
        <w:spacing w:after="0" w:line="2" w:lineRule="exact"/>
        <w:rPr>
          <w:sz w:val="20"/>
          <w:szCs w:val="20"/>
          <w:color w:val="auto"/>
        </w:rPr>
      </w:pPr>
    </w:p>
    <w:p>
      <w:pPr>
        <w:ind w:right="500"/>
        <w:spacing w:after="0" w:line="236" w:lineRule="auto"/>
        <w:rPr>
          <w:sz w:val="20"/>
          <w:szCs w:val="20"/>
          <w:color w:val="auto"/>
        </w:rPr>
      </w:pPr>
      <w:r>
        <w:rPr>
          <w:rFonts w:ascii="Times New Roman" w:cs="Times New Roman" w:eastAsia="Times New Roman" w:hAnsi="Times New Roman"/>
          <w:sz w:val="14"/>
          <w:szCs w:val="14"/>
          <w:color w:val="auto"/>
        </w:rPr>
        <w:t>Greene County, OH (3300161)</w:t>
      </w:r>
    </w:p>
    <w:p>
      <w:pPr>
        <w:spacing w:after="0" w:line="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4"/>
          <w:szCs w:val="14"/>
          <w:color w:val="auto"/>
        </w:rPr>
        <w:t>Illinois Cement Company LaSalle, IL (1100003)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Kosmos Cement Company</w:t>
      </w:r>
    </w:p>
    <w:p>
      <w:pPr>
        <w:spacing w:after="0" w:line="223" w:lineRule="auto"/>
        <w:rPr>
          <w:sz w:val="20"/>
          <w:szCs w:val="20"/>
          <w:color w:val="auto"/>
        </w:rPr>
      </w:pPr>
      <w:r>
        <w:rPr>
          <w:rFonts w:ascii="Times New Roman" w:cs="Times New Roman" w:eastAsia="Times New Roman" w:hAnsi="Times New Roman"/>
          <w:sz w:val="14"/>
          <w:szCs w:val="14"/>
          <w:color w:val="auto"/>
        </w:rPr>
        <w:t>LLC</w:t>
      </w:r>
    </w:p>
    <w:p>
      <w:pPr>
        <w:spacing w:after="0" w:line="220" w:lineRule="auto"/>
        <w:rPr>
          <w:sz w:val="20"/>
          <w:szCs w:val="20"/>
          <w:color w:val="auto"/>
        </w:rPr>
      </w:pPr>
      <w:r>
        <w:rPr>
          <w:rFonts w:ascii="Times New Roman" w:cs="Times New Roman" w:eastAsia="Times New Roman" w:hAnsi="Times New Roman"/>
          <w:sz w:val="14"/>
          <w:szCs w:val="14"/>
          <w:color w:val="auto"/>
        </w:rPr>
        <w:t>Jefferson, KY (1504469)</w:t>
      </w:r>
    </w:p>
    <w:p>
      <w:pPr>
        <w:spacing w:after="0" w:line="220" w:lineRule="auto"/>
        <w:rPr>
          <w:sz w:val="20"/>
          <w:szCs w:val="20"/>
          <w:color w:val="auto"/>
        </w:rPr>
      </w:pPr>
      <w:r>
        <w:rPr>
          <w:rFonts w:ascii="Times New Roman" w:cs="Times New Roman" w:eastAsia="Times New Roman" w:hAnsi="Times New Roman"/>
          <w:sz w:val="14"/>
          <w:szCs w:val="14"/>
          <w:color w:val="auto"/>
        </w:rPr>
        <w:t>Mountain Cement Company</w:t>
      </w:r>
    </w:p>
    <w:p>
      <w:pPr>
        <w:spacing w:after="0" w:line="220" w:lineRule="auto"/>
        <w:rPr>
          <w:sz w:val="20"/>
          <w:szCs w:val="20"/>
          <w:color w:val="auto"/>
        </w:rPr>
      </w:pPr>
      <w:r>
        <w:rPr>
          <w:rFonts w:ascii="Times New Roman" w:cs="Times New Roman" w:eastAsia="Times New Roman" w:hAnsi="Times New Roman"/>
          <w:sz w:val="14"/>
          <w:szCs w:val="14"/>
          <w:color w:val="auto"/>
        </w:rPr>
        <w:t>LLC</w:t>
      </w:r>
    </w:p>
    <w:p>
      <w:pPr>
        <w:spacing w:after="0" w:line="219" w:lineRule="auto"/>
        <w:rPr>
          <w:sz w:val="20"/>
          <w:szCs w:val="20"/>
          <w:color w:val="auto"/>
        </w:rPr>
      </w:pPr>
      <w:r>
        <w:rPr>
          <w:rFonts w:ascii="Times New Roman" w:cs="Times New Roman" w:eastAsia="Times New Roman" w:hAnsi="Times New Roman"/>
          <w:sz w:val="14"/>
          <w:szCs w:val="14"/>
          <w:color w:val="auto"/>
        </w:rPr>
        <w:t>Laramie, WY (4800007)</w:t>
      </w:r>
    </w:p>
    <w:p>
      <w:pPr>
        <w:spacing w:after="0" w:line="220" w:lineRule="auto"/>
        <w:rPr>
          <w:sz w:val="20"/>
          <w:szCs w:val="20"/>
          <w:color w:val="auto"/>
        </w:rPr>
      </w:pPr>
      <w:r>
        <w:rPr>
          <w:rFonts w:ascii="Times New Roman" w:cs="Times New Roman" w:eastAsia="Times New Roman" w:hAnsi="Times New Roman"/>
          <w:sz w:val="14"/>
          <w:szCs w:val="14"/>
          <w:color w:val="auto"/>
        </w:rPr>
        <w:t>Nevada Cement Company</w:t>
      </w:r>
    </w:p>
    <w:p>
      <w:pPr>
        <w:spacing w:after="0" w:line="220" w:lineRule="auto"/>
        <w:rPr>
          <w:sz w:val="20"/>
          <w:szCs w:val="20"/>
          <w:color w:val="auto"/>
        </w:rPr>
      </w:pPr>
      <w:r>
        <w:rPr>
          <w:rFonts w:ascii="Times New Roman" w:cs="Times New Roman" w:eastAsia="Times New Roman" w:hAnsi="Times New Roman"/>
          <w:sz w:val="14"/>
          <w:szCs w:val="14"/>
          <w:color w:val="auto"/>
        </w:rPr>
        <w:t>LLC</w:t>
      </w:r>
    </w:p>
    <w:p>
      <w:pPr>
        <w:spacing w:after="0"/>
        <w:rPr>
          <w:sz w:val="20"/>
          <w:szCs w:val="20"/>
          <w:color w:val="auto"/>
        </w:rPr>
      </w:pPr>
      <w:r>
        <w:rPr>
          <w:rFonts w:ascii="Times New Roman" w:cs="Times New Roman" w:eastAsia="Times New Roman" w:hAnsi="Times New Roman"/>
          <w:sz w:val="14"/>
          <w:szCs w:val="14"/>
          <w:color w:val="auto"/>
        </w:rPr>
        <w:t>Fernley, NV (2600015)</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48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0</w:t>
            </w: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85"/>
              </w:rPr>
              <w:t>0</w:t>
            </w:r>
          </w:p>
        </w:tc>
        <w:tc>
          <w:tcPr>
            <w:tcW w:w="7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w:t>
            </w:r>
          </w:p>
        </w:tc>
        <w:tc>
          <w:tcPr>
            <w:tcW w:w="9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52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85"/>
              </w:rPr>
              <w:t>0</w:t>
            </w:r>
          </w:p>
        </w:tc>
      </w:tr>
      <w:tr>
        <w:trPr>
          <w:trHeight w:val="389"/>
        </w:trPr>
        <w:tc>
          <w:tcPr>
            <w:tcW w:w="48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0</w:t>
            </w: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85"/>
              </w:rPr>
              <w:t>0</w:t>
            </w:r>
          </w:p>
        </w:tc>
        <w:tc>
          <w:tcPr>
            <w:tcW w:w="7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w:t>
            </w:r>
          </w:p>
        </w:tc>
        <w:tc>
          <w:tcPr>
            <w:tcW w:w="9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52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85"/>
              </w:rPr>
              <w:t>0</w:t>
            </w:r>
          </w:p>
        </w:tc>
      </w:tr>
      <w:tr>
        <w:trPr>
          <w:trHeight w:val="483"/>
        </w:trPr>
        <w:tc>
          <w:tcPr>
            <w:tcW w:w="48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0</w:t>
            </w: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123</w:t>
            </w:r>
          </w:p>
        </w:tc>
        <w:tc>
          <w:tcPr>
            <w:tcW w:w="7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w:t>
            </w:r>
          </w:p>
        </w:tc>
        <w:tc>
          <w:tcPr>
            <w:tcW w:w="9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52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85"/>
              </w:rPr>
              <w:t>0</w:t>
            </w:r>
          </w:p>
        </w:tc>
      </w:tr>
      <w:tr>
        <w:trPr>
          <w:trHeight w:val="523"/>
        </w:trPr>
        <w:tc>
          <w:tcPr>
            <w:tcW w:w="48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0</w:t>
            </w: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85"/>
              </w:rPr>
              <w:t>0</w:t>
            </w:r>
          </w:p>
        </w:tc>
        <w:tc>
          <w:tcPr>
            <w:tcW w:w="7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w:t>
            </w:r>
          </w:p>
        </w:tc>
        <w:tc>
          <w:tcPr>
            <w:tcW w:w="9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52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85"/>
              </w:rPr>
              <w:t>0</w:t>
            </w:r>
          </w:p>
        </w:tc>
      </w:tr>
      <w:tr>
        <w:trPr>
          <w:trHeight w:val="442"/>
        </w:trPr>
        <w:tc>
          <w:tcPr>
            <w:tcW w:w="48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0</w:t>
            </w: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85"/>
              </w:rPr>
              <w:t>0</w:t>
            </w:r>
          </w:p>
        </w:tc>
        <w:tc>
          <w:tcPr>
            <w:tcW w:w="7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w:t>
            </w:r>
          </w:p>
        </w:tc>
        <w:tc>
          <w:tcPr>
            <w:tcW w:w="9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52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85"/>
              </w:rPr>
              <w:t>0</w:t>
            </w:r>
          </w:p>
        </w:tc>
      </w:tr>
      <w:tr>
        <w:trPr>
          <w:trHeight w:val="416"/>
        </w:trPr>
        <w:tc>
          <w:tcPr>
            <w:tcW w:w="48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0</w:t>
            </w: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85"/>
              </w:rPr>
              <w:t>0</w:t>
            </w:r>
          </w:p>
        </w:tc>
        <w:tc>
          <w:tcPr>
            <w:tcW w:w="7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w:t>
            </w:r>
          </w:p>
        </w:tc>
        <w:tc>
          <w:tcPr>
            <w:tcW w:w="9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52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85"/>
              </w:rPr>
              <w:t>0</w:t>
            </w:r>
          </w:p>
        </w:tc>
      </w:tr>
      <w:tr>
        <w:trPr>
          <w:trHeight w:val="483"/>
        </w:trPr>
        <w:tc>
          <w:tcPr>
            <w:tcW w:w="4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99"/>
              </w:rPr>
              <w:t>24</w:t>
            </w: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0</w:t>
            </w: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8"/>
              </w:rPr>
              <w:t>22,119</w:t>
            </w:r>
          </w:p>
        </w:tc>
        <w:tc>
          <w:tcPr>
            <w:tcW w:w="7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w:t>
            </w:r>
          </w:p>
        </w:tc>
        <w:tc>
          <w:tcPr>
            <w:tcW w:w="9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52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85"/>
              </w:rPr>
              <w:t>0</w:t>
            </w:r>
          </w:p>
        </w:tc>
      </w:tr>
      <w:tr>
        <w:trPr>
          <w:trHeight w:val="523"/>
        </w:trPr>
        <w:tc>
          <w:tcPr>
            <w:tcW w:w="48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0</w:t>
            </w: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85"/>
              </w:rPr>
              <w:t>0</w:t>
            </w:r>
          </w:p>
        </w:tc>
        <w:tc>
          <w:tcPr>
            <w:tcW w:w="7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w:t>
            </w:r>
          </w:p>
        </w:tc>
        <w:tc>
          <w:tcPr>
            <w:tcW w:w="9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1(1)</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52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auto"/>
              </w:rPr>
              <w:t>1(1)</w:t>
            </w:r>
          </w:p>
        </w:tc>
      </w:tr>
      <w:tr>
        <w:trPr>
          <w:trHeight w:val="509"/>
        </w:trPr>
        <w:tc>
          <w:tcPr>
            <w:tcW w:w="4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99"/>
              </w:rPr>
              <w:t>13</w:t>
            </w: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0</w:t>
            </w: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2,635</w:t>
            </w:r>
          </w:p>
        </w:tc>
        <w:tc>
          <w:tcPr>
            <w:tcW w:w="7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w:t>
            </w:r>
          </w:p>
        </w:tc>
        <w:tc>
          <w:tcPr>
            <w:tcW w:w="9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52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85"/>
              </w:rPr>
              <w:t>0</w:t>
            </w:r>
          </w:p>
        </w:tc>
      </w:tr>
      <w:tr>
        <w:trPr>
          <w:trHeight w:val="496"/>
        </w:trPr>
        <w:tc>
          <w:tcPr>
            <w:tcW w:w="48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0</w:t>
            </w: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85"/>
              </w:rPr>
              <w:t>0</w:t>
            </w:r>
          </w:p>
        </w:tc>
        <w:tc>
          <w:tcPr>
            <w:tcW w:w="7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w:t>
            </w:r>
          </w:p>
        </w:tc>
        <w:tc>
          <w:tcPr>
            <w:tcW w:w="9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52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85"/>
              </w:rPr>
              <w:t>0</w:t>
            </w:r>
          </w:p>
        </w:tc>
      </w:tr>
      <w:tr>
        <w:trPr>
          <w:trHeight w:val="416"/>
        </w:trPr>
        <w:tc>
          <w:tcPr>
            <w:tcW w:w="48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0</w:t>
            </w: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85"/>
              </w:rPr>
              <w:t>0</w:t>
            </w:r>
          </w:p>
        </w:tc>
        <w:tc>
          <w:tcPr>
            <w:tcW w:w="7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w:t>
            </w:r>
          </w:p>
        </w:tc>
        <w:tc>
          <w:tcPr>
            <w:tcW w:w="9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52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85"/>
              </w:rPr>
              <w:t>0</w:t>
            </w:r>
          </w:p>
        </w:tc>
      </w:tr>
      <w:tr>
        <w:trPr>
          <w:trHeight w:val="442"/>
        </w:trPr>
        <w:tc>
          <w:tcPr>
            <w:tcW w:w="48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0</w:t>
            </w: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85"/>
              </w:rPr>
              <w:t>0</w:t>
            </w:r>
          </w:p>
        </w:tc>
        <w:tc>
          <w:tcPr>
            <w:tcW w:w="7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w:t>
            </w:r>
          </w:p>
        </w:tc>
        <w:tc>
          <w:tcPr>
            <w:tcW w:w="9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52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85"/>
              </w:rPr>
              <w:t>0</w:t>
            </w:r>
          </w:p>
        </w:tc>
      </w:tr>
      <w:tr>
        <w:trPr>
          <w:trHeight w:val="442"/>
        </w:trPr>
        <w:tc>
          <w:tcPr>
            <w:tcW w:w="48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0</w:t>
            </w: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85"/>
              </w:rPr>
              <w:t>0</w:t>
            </w:r>
          </w:p>
        </w:tc>
        <w:tc>
          <w:tcPr>
            <w:tcW w:w="7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w:t>
            </w:r>
          </w:p>
        </w:tc>
        <w:tc>
          <w:tcPr>
            <w:tcW w:w="9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52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85"/>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-3218180</wp:posOffset>
            </wp:positionV>
            <wp:extent cx="7133590" cy="3746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3590" cy="37465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-2562860</wp:posOffset>
            </wp:positionV>
            <wp:extent cx="7133590" cy="2806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3590" cy="28067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-2035175</wp:posOffset>
            </wp:positionV>
            <wp:extent cx="7133590" cy="3746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3590" cy="37465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-1379220</wp:posOffset>
            </wp:positionV>
            <wp:extent cx="7133590" cy="3746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3590" cy="37465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-758190</wp:posOffset>
            </wp:positionV>
            <wp:extent cx="7133590" cy="2806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3590" cy="28067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-196215</wp:posOffset>
            </wp:positionV>
            <wp:extent cx="7133590" cy="2806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3590" cy="280670"/>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1640" w:space="340"/>
            <w:col w:w="9260"/>
          </w:cols>
          <w:pgMar w:left="320" w:top="117" w:right="339" w:bottom="1440" w:gutter="0" w:footer="0" w:header="0"/>
          <w:type w:val="continuous"/>
        </w:sectPr>
      </w:pPr>
    </w:p>
    <w:p>
      <w:pPr>
        <w:spacing w:after="0" w:line="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(1)  All legal actions were penalty contests.</w:t>
      </w:r>
    </w:p>
    <w:sectPr>
      <w:pgSz w:w="11900" w:h="16838" w:orient="portrait"/>
      <w:cols w:equalWidth="0" w:num="1">
        <w:col w:w="1124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214"/>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upperLetter"/>
      <w:start w:val="2"/>
    </w:lvl>
  </w:abstractNum>
  <w:abstractNum w:abstractNumId="4">
    <w:nsid w:val="189A769B"/>
    <w:multiLevelType w:val="hybridMultilevel"/>
    <w:lvl w:ilvl="0">
      <w:lvlJc w:val="left"/>
      <w:lvlText w:val="(%1)"/>
      <w:numFmt w:val="upperLetter"/>
      <w:start w:val="3"/>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lvl w:ilvl="1">
      <w:lvlJc w:val="left"/>
      <w:lvlText w:val="%2"/>
      <w:numFmt w:val="decimal"/>
      <w:start w:val="104"/>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lowerLetter"/>
      <w:start w:val="1"/>
    </w:lvl>
  </w:abstractNum>
  <w:abstractNum w:abstractNumId="15">
    <w:nsid w:val="6CEAF087"/>
    <w:multiLevelType w:val="hybridMultilevel"/>
    <w:lvl w:ilvl="0">
      <w:lvlJc w:val="left"/>
      <w:lvlText w:val="(%1)"/>
      <w:numFmt w:val="lowerLetter"/>
      <w:start w:val="6"/>
    </w:lvl>
  </w:abstractNum>
  <w:abstractNum w:abstractNumId="16">
    <w:nsid w:val="22221A70"/>
    <w:multiLevelType w:val="hybridMultilevel"/>
    <w:lvl w:ilvl="0">
      <w:lvlJc w:val="left"/>
      <w:lvlText w:val="(%1)"/>
      <w:numFmt w:val="lowerLetter"/>
      <w:start w:val="18"/>
    </w:lvl>
  </w:abstractNum>
  <w:abstractNum w:abstractNumId="17">
    <w:nsid w:val="4516DDE9"/>
    <w:multiLevelType w:val="hybridMultilevel"/>
    <w:lvl w:ilvl="0">
      <w:lvlJc w:val="left"/>
      <w:lvlText w:val="%1."/>
      <w:numFmt w:val="decimal"/>
      <w:start w:val="3"/>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1."/>
      <w:numFmt w:val="decimal"/>
      <w:start w:val="6"/>
    </w:lvl>
  </w:abstractNum>
  <w:abstractNum w:abstractNumId="20">
    <w:nsid w:val="419AC241"/>
    <w:multiLevelType w:val="hybridMultilevel"/>
    <w:lvl w:ilvl="0">
      <w:lvlJc w:val="left"/>
      <w:lvlText w:val="%1."/>
      <w:numFmt w:val="decimal"/>
      <w:start w:val="7"/>
    </w:lvl>
  </w:abstractNum>
  <w:abstractNum w:abstractNumId="21">
    <w:nsid w:val="5577F8E1"/>
    <w:multiLevelType w:val="hybridMultilevel"/>
    <w:lvl w:ilvl="0">
      <w:lvlJc w:val="left"/>
      <w:lvlText w:val="(%1)"/>
      <w:numFmt w:val="lowerLetter"/>
      <w:start w:val="1"/>
    </w:lvl>
  </w:abstractNum>
  <w:abstractNum w:abstractNumId="22">
    <w:nsid w:val="440BADFC"/>
    <w:multiLevelType w:val="hybridMultilevel"/>
    <w:lvl w:ilvl="0">
      <w:lvlJc w:val="left"/>
      <w:lvlText w:val="%1."/>
      <w:numFmt w:val="decimal"/>
      <w:start w:val="8"/>
    </w:lvl>
  </w:abstractNum>
  <w:abstractNum w:abstractNumId="23">
    <w:nsid w:val="5072367"/>
    <w:multiLevelType w:val="hybridMultilevel"/>
    <w:lvl w:ilvl="0">
      <w:lvlJc w:val="left"/>
      <w:lvlText w:val="§"/>
      <w:numFmt w:val="bullet"/>
      <w:start w:val="1"/>
    </w:lvl>
    <w:lvl w:ilvl="1">
      <w:lvlJc w:val="left"/>
      <w:lvlText w:val="(%2)"/>
      <w:numFmt w:val="lowerLetter"/>
      <w:start w:val="1"/>
    </w:lvl>
  </w:abstractNum>
  <w:abstractNum w:abstractNumId="24">
    <w:nsid w:val="3804823E"/>
    <w:multiLevelType w:val="hybridMultilevel"/>
    <w:lvl w:ilvl="0">
      <w:lvlJc w:val="left"/>
      <w:lvlText w:val="%1."/>
      <w:numFmt w:val="decimal"/>
      <w:start w:val="10"/>
    </w:lvl>
  </w:abstractNum>
  <w:abstractNum w:abstractNumId="25">
    <w:nsid w:val="77465F01"/>
    <w:multiLevelType w:val="hybridMultilevel"/>
    <w:lvl w:ilvl="0">
      <w:lvlJc w:val="left"/>
      <w:lvlText w:val="(%1)"/>
      <w:numFmt w:val="lowerLetter"/>
      <w:start w:val="1"/>
    </w:lvl>
  </w:abstractNum>
  <w:abstractNum w:abstractNumId="26">
    <w:nsid w:val="7724C67E"/>
    <w:multiLevelType w:val="hybridMultilevel"/>
    <w:lvl w:ilvl="0">
      <w:lvlJc w:val="left"/>
      <w:lvlText w:val="%1"/>
      <w:numFmt w:val="lowerLetter"/>
      <w:start w:val="1"/>
    </w:lvl>
    <w:lvl w:ilvl="1">
      <w:lvlJc w:val="left"/>
      <w:lvlText w:val="(%2)"/>
      <w:numFmt w:val="lowerRoman"/>
      <w:start w:val="1"/>
    </w:lvl>
  </w:abstractNum>
  <w:abstractNum w:abstractNumId="27">
    <w:nsid w:val="5C482A97"/>
    <w:multiLevelType w:val="hybridMultilevel"/>
    <w:lvl w:ilvl="0">
      <w:lvlJc w:val="left"/>
      <w:lvlText w:val="(%1)"/>
      <w:numFmt w:val="lowerLetter"/>
      <w:start w:val="2"/>
    </w:lvl>
    <w:lvl w:ilvl="1">
      <w:lvlJc w:val="left"/>
      <w:lvlText w:val="(%2)"/>
      <w:numFmt w:val="lowerRoman"/>
      <w:start w:val="1"/>
    </w:lvl>
  </w:abstractNum>
  <w:abstractNum w:abstractNumId="28">
    <w:nsid w:val="2463B9EA"/>
    <w:multiLevelType w:val="hybridMultilevel"/>
    <w:lvl w:ilvl="0">
      <w:lvlJc w:val="left"/>
      <w:lvlText w:val="%1"/>
      <w:numFmt w:val="lowerLetter"/>
      <w:start w:val="1"/>
    </w:lvl>
    <w:lvl w:ilvl="1">
      <w:lvlJc w:val="left"/>
      <w:lvlText w:val="(%2)"/>
      <w:numFmt w:val="lowerRoman"/>
      <w:start w:val="2"/>
    </w:lvl>
  </w:abstractNum>
  <w:abstractNum w:abstractNumId="29">
    <w:nsid w:val="5E884ADC"/>
    <w:multiLevelType w:val="hybridMultilevel"/>
    <w:lvl w:ilvl="0">
      <w:lvlJc w:val="left"/>
      <w:lvlText w:val="(%1)"/>
      <w:numFmt w:val="lowerLetter"/>
      <w:start w:val="3"/>
    </w:lvl>
    <w:lvl w:ilvl="1">
      <w:lvlJc w:val="left"/>
      <w:lvlText w:val="(%2)"/>
      <w:numFmt w:val="lowerRoman"/>
      <w:start w:val="1"/>
    </w:lvl>
  </w:abstractNum>
  <w:abstractNum w:abstractNumId="30">
    <w:nsid w:val="51EAD36B"/>
    <w:multiLevelType w:val="hybridMultilevel"/>
    <w:lvl w:ilvl="0">
      <w:lvlJc w:val="left"/>
      <w:lvlText w:val="%1"/>
      <w:numFmt w:val="decimal"/>
      <w:start w:val="1"/>
    </w:lvl>
    <w:lvl w:ilvl="1">
      <w:lvlJc w:val="left"/>
      <w:lvlText w:val="(%2)"/>
      <w:numFmt w:val="lowerRoman"/>
      <w:start w:val="4"/>
    </w:lvl>
  </w:abstractNum>
  <w:abstractNum w:abstractNumId="31">
    <w:nsid w:val="2D517796"/>
    <w:multiLevelType w:val="hybridMultilevel"/>
    <w:lvl w:ilvl="0">
      <w:lvlJc w:val="left"/>
      <w:lvlText w:val="%1."/>
      <w:numFmt w:val="decimal"/>
      <w:start w:val="11"/>
    </w:lvl>
    <w:lvl w:ilvl="1">
      <w:lvlJc w:val="left"/>
      <w:lvlText w:val="%2"/>
      <w:numFmt w:val="lowerRoman"/>
      <w:start w:val="1"/>
    </w:lvl>
  </w:abstractNum>
  <w:abstractNum w:abstractNumId="32">
    <w:nsid w:val="580BD78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3">
    <w:nsid w:val="153EA438"/>
    <w:multiLevelType w:val="hybridMultilevel"/>
    <w:lvl w:ilvl="0">
      <w:lvlJc w:val="left"/>
      <w:lvlText w:val="%1"/>
      <w:numFmt w:val="decimal"/>
      <w:start w:val="1"/>
    </w:lvl>
    <w:lvl w:ilvl="1">
      <w:lvlJc w:val="left"/>
      <w:lvlText w:val="(%2)"/>
      <w:numFmt w:val="lowerRoman"/>
      <w:start w:val="4"/>
    </w:lvl>
  </w:abstractNum>
  <w:abstractNum w:abstractNumId="34">
    <w:nsid w:val="3855585C"/>
    <w:multiLevelType w:val="hybridMultilevel"/>
    <w:lvl w:ilvl="0">
      <w:lvlJc w:val="left"/>
      <w:lvlText w:val="%1."/>
      <w:numFmt w:val="decimal"/>
      <w:start w:val="12"/>
    </w:lvl>
    <w:lvl w:ilvl="1">
      <w:lvlJc w:val="left"/>
      <w:lvlText w:val="%2"/>
      <w:numFmt w:val="lowerRoman"/>
      <w:start w:val="1"/>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1)"/>
      <w:numFmt w:val="lowerLetter"/>
      <w:start w:val="3"/>
    </w:lvl>
  </w:abstractNum>
  <w:abstractNum w:abstractNumId="37">
    <w:nsid w:val="2A487CB0"/>
    <w:multiLevelType w:val="hybridMultilevel"/>
    <w:lvl w:ilvl="0">
      <w:lvlJc w:val="left"/>
      <w:lvlText w:val="(%1)"/>
      <w:numFmt w:val="lowerLetter"/>
      <w:start w:val="8"/>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decimal"/>
      <w:start w:val="5"/>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5"/>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lowerRoman"/>
      <w:start w:val="1"/>
    </w:lvl>
  </w:abstractNum>
  <w:abstractNum w:abstractNumId="47">
    <w:nsid w:val="7644A45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90" Type="http://schemas.openxmlformats.org/officeDocument/2006/relationships/hyperlink" Target="http://www.sec.gov/Archives/edgar/data/0000918646/000119312521008199/d105063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2021-01-28T15:44:45Z</dcterms:created>
  <dcterms:modified xsi:type="dcterms:W3CDTF">2021-01-28T15:44:45Z</dcterms:modified>
</cp:coreProperties>
</file>