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43180</wp:posOffset>
            </wp:positionV>
            <wp:extent cx="1028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53975</wp:posOffset>
            </wp:positionV>
            <wp:extent cx="1028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QUARTERLY REPORT</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Quarterly Period Ended</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June 30, 2021</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47625</wp:posOffset>
            </wp:positionV>
            <wp:extent cx="1028700" cy="35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354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EAGLE MATERIALS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38735</wp:posOffset>
            </wp:positionV>
            <wp:extent cx="1028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 xml:space="preserve">Delaware </w:t>
      </w:r>
      <w:r>
        <w:rPr>
          <w:rFonts w:ascii="Arial" w:cs="Arial" w:eastAsia="Arial" w:hAnsi="Arial"/>
          <w:sz w:val="10"/>
          <w:szCs w:val="10"/>
          <w:color w:val="auto"/>
        </w:rPr>
        <w:t>(State of Incorporation)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 xml:space="preserve">75-2520779 </w:t>
      </w:r>
      <w:r>
        <w:rPr>
          <w:rFonts w:ascii="Arial" w:cs="Arial" w:eastAsia="Arial" w:hAnsi="Arial"/>
          <w:sz w:val="10"/>
          <w:szCs w:val="10"/>
          <w:color w:val="auto"/>
        </w:rPr>
        <w:t>(I.R.S. Employer Identification No.)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 xml:space="preserve">5960 Berkshire Lane, Suite 900, Dallas, Texas 75225 </w:t>
      </w:r>
      <w:r>
        <w:rPr>
          <w:rFonts w:ascii="Arial" w:cs="Arial" w:eastAsia="Arial" w:hAnsi="Arial"/>
          <w:sz w:val="10"/>
          <w:szCs w:val="10"/>
          <w:color w:val="auto"/>
        </w:rPr>
        <w:t>(Address of principal executive offices)</w:t>
      </w:r>
    </w:p>
    <w:p>
      <w:pPr>
        <w:spacing w:after="0" w:line="33" w:lineRule="exact"/>
        <w:rPr>
          <w:sz w:val="24"/>
          <w:szCs w:val="24"/>
          <w:color w:val="auto"/>
        </w:rPr>
      </w:pPr>
    </w:p>
    <w:p>
      <w:pPr>
        <w:ind w:left="4260" w:hanging="309"/>
        <w:spacing w:after="0"/>
        <w:tabs>
          <w:tab w:leader="none" w:pos="426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432-2000 </w:t>
      </w:r>
      <w:r>
        <w:rPr>
          <w:rFonts w:ascii="Arial" w:cs="Arial" w:eastAsia="Arial" w:hAnsi="Arial"/>
          <w:sz w:val="10"/>
          <w:szCs w:val="1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70485</wp:posOffset>
            </wp:positionV>
            <wp:extent cx="1028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5715"/>
                    </a:xfrm>
                    <a:prstGeom prst="rect">
                      <a:avLst/>
                    </a:prstGeom>
                    <a:noFill/>
                  </pic:spPr>
                </pic:pic>
              </a:graphicData>
            </a:graphic>
          </wp:anchor>
        </w:drawing>
      </w:r>
    </w:p>
    <w:p>
      <w:pPr>
        <w:spacing w:after="0" w:line="131"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Trading</w:t>
            </w:r>
          </w:p>
        </w:tc>
        <w:tc>
          <w:tcPr>
            <w:tcW w:w="4520" w:type="dxa"/>
            <w:vAlign w:val="bottom"/>
          </w:tcPr>
          <w:p>
            <w:pPr>
              <w:spacing w:after="0"/>
              <w:rPr>
                <w:sz w:val="10"/>
                <w:szCs w:val="10"/>
                <w:color w:val="auto"/>
              </w:rPr>
            </w:pPr>
          </w:p>
        </w:tc>
      </w:tr>
      <w:tr>
        <w:trPr>
          <w:trHeight w:val="117"/>
        </w:trPr>
        <w:tc>
          <w:tcPr>
            <w:tcW w:w="46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Title of each class</w:t>
            </w:r>
          </w:p>
        </w:tc>
        <w:tc>
          <w:tcPr>
            <w:tcW w:w="21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Symbol(s)</w:t>
            </w:r>
          </w:p>
        </w:tc>
        <w:tc>
          <w:tcPr>
            <w:tcW w:w="4520" w:type="dxa"/>
            <w:vAlign w:val="bottom"/>
          </w:tcPr>
          <w:p>
            <w:pPr>
              <w:jc w:val="center"/>
              <w:spacing w:after="0"/>
              <w:rPr>
                <w:sz w:val="20"/>
                <w:szCs w:val="20"/>
                <w:color w:val="auto"/>
              </w:rPr>
            </w:pPr>
            <w:r>
              <w:rPr>
                <w:rFonts w:ascii="Arial" w:cs="Arial" w:eastAsia="Arial" w:hAnsi="Arial"/>
                <w:sz w:val="10"/>
                <w:szCs w:val="10"/>
                <w:b w:val="1"/>
                <w:bCs w:val="1"/>
                <w:color w:val="auto"/>
                <w:w w:val="95"/>
              </w:rPr>
              <w:t>Name of each exchange on which registered</w:t>
            </w:r>
          </w:p>
        </w:tc>
      </w:tr>
      <w:tr>
        <w:trPr>
          <w:trHeight w:val="111"/>
        </w:trPr>
        <w:tc>
          <w:tcPr>
            <w:tcW w:w="452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0"/>
                <w:szCs w:val="10"/>
                <w:color w:val="auto"/>
              </w:rPr>
              <w:t>Common Stock (par value $.01 per share)</w:t>
            </w:r>
          </w:p>
        </w:tc>
        <w:tc>
          <w:tcPr>
            <w:tcW w:w="120" w:type="dxa"/>
            <w:vAlign w:val="bottom"/>
          </w:tcPr>
          <w:p>
            <w:pPr>
              <w:spacing w:after="0"/>
              <w:rPr>
                <w:sz w:val="9"/>
                <w:szCs w:val="9"/>
                <w:color w:val="auto"/>
              </w:rPr>
            </w:pPr>
          </w:p>
        </w:tc>
        <w:tc>
          <w:tcPr>
            <w:tcW w:w="202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0"/>
                <w:szCs w:val="10"/>
                <w:color w:val="auto"/>
                <w:w w:val="99"/>
              </w:rPr>
              <w:t>EXP</w:t>
            </w:r>
          </w:p>
        </w:tc>
        <w:tc>
          <w:tcPr>
            <w:tcW w:w="120" w:type="dxa"/>
            <w:vAlign w:val="bottom"/>
          </w:tcPr>
          <w:p>
            <w:pPr>
              <w:spacing w:after="0"/>
              <w:rPr>
                <w:sz w:val="9"/>
                <w:szCs w:val="9"/>
                <w:color w:val="auto"/>
              </w:rPr>
            </w:pPr>
          </w:p>
        </w:tc>
        <w:tc>
          <w:tcPr>
            <w:tcW w:w="452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0"/>
                <w:szCs w:val="10"/>
                <w:color w:val="auto"/>
              </w:rPr>
              <w:t>New York Stock Exchange</w:t>
            </w:r>
          </w:p>
        </w:tc>
      </w:tr>
    </w:tbl>
    <w:p>
      <w:pPr>
        <w:spacing w:after="0" w:line="63" w:lineRule="exact"/>
        <w:rPr>
          <w:sz w:val="24"/>
          <w:szCs w:val="24"/>
          <w:color w:val="auto"/>
        </w:rPr>
      </w:pPr>
    </w:p>
    <w:p>
      <w:pPr>
        <w:jc w:val="both"/>
        <w:spacing w:after="0" w:line="14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2" w:lineRule="exact"/>
        <w:rPr>
          <w:sz w:val="24"/>
          <w:szCs w:val="24"/>
          <w:color w:val="auto"/>
        </w:rPr>
      </w:pPr>
    </w:p>
    <w:p>
      <w:pPr>
        <w:jc w:val="both"/>
        <w:spacing w:after="0" w:line="14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2" w:lineRule="exact"/>
        <w:rPr>
          <w:sz w:val="24"/>
          <w:szCs w:val="24"/>
          <w:color w:val="auto"/>
        </w:rPr>
      </w:pPr>
    </w:p>
    <w:p>
      <w:pPr>
        <w:ind w:right="40"/>
        <w:spacing w:after="0" w:line="259"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292" w:right="299" w:bottom="1440" w:gutter="0" w:footer="0" w:header="0"/>
        </w:sectPr>
      </w:pPr>
    </w:p>
    <w:p>
      <w:pPr>
        <w:spacing w:after="0" w:line="24" w:lineRule="exact"/>
        <w:rPr>
          <w:sz w:val="24"/>
          <w:szCs w:val="24"/>
          <w:color w:val="auto"/>
        </w:rPr>
      </w:pPr>
    </w:p>
    <w:p>
      <w:pPr>
        <w:spacing w:after="0"/>
        <w:rPr>
          <w:sz w:val="20"/>
          <w:szCs w:val="20"/>
          <w:color w:val="auto"/>
        </w:rPr>
      </w:pPr>
      <w:r>
        <w:rPr>
          <w:rFonts w:ascii="Arial" w:cs="Arial" w:eastAsia="Arial" w:hAnsi="Arial"/>
          <w:sz w:val="11"/>
          <w:szCs w:val="11"/>
          <w:color w:val="auto"/>
        </w:rPr>
        <w:t>Large accelerated filer</w:t>
      </w:r>
    </w:p>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Non-accelerated filer</w:t>
      </w:r>
    </w:p>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11" w:lineRule="exact"/>
        <w:tabs>
          <w:tab w:leader="none" w:pos="3840" w:val="left"/>
          <w:tab w:leader="none" w:pos="732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0"/>
          <w:szCs w:val="10"/>
          <w:color w:val="auto"/>
        </w:rPr>
        <w:t>☐</w:t>
      </w:r>
    </w:p>
    <w:p>
      <w:pPr>
        <w:spacing w:after="0" w:line="37" w:lineRule="exact"/>
        <w:rPr>
          <w:sz w:val="24"/>
          <w:szCs w:val="24"/>
          <w:color w:val="auto"/>
        </w:rPr>
      </w:pPr>
    </w:p>
    <w:p>
      <w:pPr>
        <w:spacing w:after="0" w:line="127" w:lineRule="exact"/>
        <w:tabs>
          <w:tab w:leader="none" w:pos="3840" w:val="left"/>
          <w:tab w:leader="none" w:pos="732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Arial" w:cs="Arial" w:eastAsia="Arial" w:hAnsi="Arial"/>
          <w:sz w:val="11"/>
          <w:szCs w:val="11"/>
          <w:color w:val="auto"/>
        </w:rPr>
        <w:t>Smaller reporting company</w:t>
      </w:r>
      <w:r>
        <w:rPr>
          <w:sz w:val="20"/>
          <w:szCs w:val="20"/>
          <w:color w:val="auto"/>
        </w:rPr>
        <w:tab/>
      </w:r>
      <w:r>
        <w:rPr>
          <w:rFonts w:ascii="MS PGothic" w:cs="MS PGothic" w:eastAsia="MS PGothic" w:hAnsi="MS PGothic"/>
          <w:sz w:val="10"/>
          <w:szCs w:val="10"/>
          <w:color w:val="auto"/>
        </w:rPr>
        <w:t>☐</w:t>
      </w:r>
    </w:p>
    <w:p>
      <w:pPr>
        <w:spacing w:after="0" w:line="24"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73" w:lineRule="exact"/>
        <w:rPr>
          <w:sz w:val="24"/>
          <w:szCs w:val="24"/>
          <w:color w:val="auto"/>
        </w:rPr>
      </w:pPr>
    </w:p>
    <w:p>
      <w:pPr>
        <w:sectPr>
          <w:pgSz w:w="11900" w:h="16838" w:orient="portrait"/>
          <w:cols w:equalWidth="0" w:num="2">
            <w:col w:w="2780" w:space="720"/>
            <w:col w:w="7800"/>
          </w:cols>
          <w:pgMar w:left="300" w:top="292" w:right="299" w:bottom="1440" w:gutter="0" w:footer="0" w:header="0"/>
          <w:type w:val="continuous"/>
        </w:sectPr>
      </w:pPr>
    </w:p>
    <w:p>
      <w:pPr>
        <w:spacing w:after="0" w:line="14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5700" w:type="dxa"/>
            <w:vAlign w:val="bottom"/>
            <w:gridSpan w:val="2"/>
          </w:tcPr>
          <w:p>
            <w:pPr>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w:t>
            </w:r>
          </w:p>
        </w:tc>
        <w:tc>
          <w:tcPr>
            <w:tcW w:w="5600" w:type="dxa"/>
            <w:vAlign w:val="bottom"/>
            <w:gridSpan w:val="2"/>
            <w:vMerge w:val="restart"/>
          </w:tcPr>
          <w:p>
            <w:pPr>
              <w:ind w:left="2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c>
          <w:tcPr>
            <w:tcW w:w="0" w:type="dxa"/>
            <w:vAlign w:val="bottom"/>
          </w:tcPr>
          <w:p>
            <w:pPr>
              <w:spacing w:after="0"/>
              <w:rPr>
                <w:sz w:val="1"/>
                <w:szCs w:val="1"/>
                <w:color w:val="auto"/>
              </w:rPr>
            </w:pPr>
          </w:p>
        </w:tc>
      </w:tr>
      <w:tr>
        <w:trPr>
          <w:trHeight w:val="178"/>
        </w:trPr>
        <w:tc>
          <w:tcPr>
            <w:tcW w:w="5700" w:type="dxa"/>
            <w:vAlign w:val="bottom"/>
            <w:gridSpan w:val="2"/>
          </w:tcPr>
          <w:p>
            <w:pPr>
              <w:ind w:left="5240"/>
              <w:spacing w:after="0" w:line="127" w:lineRule="exact"/>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1"/>
                <w:szCs w:val="11"/>
                <w:color w:val="auto"/>
              </w:rPr>
              <w:t>☐</w:t>
            </w:r>
          </w:p>
        </w:tc>
        <w:tc>
          <w:tcPr>
            <w:tcW w:w="5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700" w:type="dxa"/>
            <w:vAlign w:val="bottom"/>
            <w:gridSpan w:val="2"/>
          </w:tcPr>
          <w:p>
            <w:pPr>
              <w:spacing w:after="0"/>
              <w:rPr>
                <w:sz w:val="20"/>
                <w:szCs w:val="20"/>
                <w:color w:val="auto"/>
              </w:rPr>
            </w:pPr>
            <w:r>
              <w:rPr>
                <w:rFonts w:ascii="Arial" w:cs="Arial" w:eastAsia="Arial" w:hAnsi="Arial"/>
                <w:sz w:val="11"/>
                <w:szCs w:val="11"/>
                <w:color w:val="auto"/>
              </w:rPr>
              <w:t>As of July 26, 2021, the number of outstanding shares of common stock was:</w:t>
            </w:r>
          </w:p>
        </w:tc>
        <w:tc>
          <w:tcPr>
            <w:tcW w:w="6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7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Class</w:t>
            </w:r>
          </w:p>
        </w:tc>
        <w:tc>
          <w:tcPr>
            <w:tcW w:w="60" w:type="dxa"/>
            <w:vAlign w:val="bottom"/>
          </w:tcPr>
          <w:p>
            <w:pPr>
              <w:spacing w:after="0"/>
              <w:rPr>
                <w:sz w:val="14"/>
                <w:szCs w:val="14"/>
                <w:color w:val="auto"/>
              </w:rPr>
            </w:pPr>
          </w:p>
        </w:tc>
        <w:tc>
          <w:tcPr>
            <w:tcW w:w="5540" w:type="dxa"/>
            <w:vAlign w:val="bottom"/>
          </w:tcPr>
          <w:p>
            <w:pPr>
              <w:jc w:val="center"/>
              <w:spacing w:after="0"/>
              <w:rPr>
                <w:sz w:val="20"/>
                <w:szCs w:val="20"/>
                <w:color w:val="auto"/>
              </w:rPr>
            </w:pPr>
            <w:r>
              <w:rPr>
                <w:rFonts w:ascii="Arial" w:cs="Arial" w:eastAsia="Arial" w:hAnsi="Arial"/>
                <w:sz w:val="11"/>
                <w:szCs w:val="11"/>
                <w:b w:val="1"/>
                <w:bCs w:val="1"/>
                <w:color w:val="auto"/>
              </w:rPr>
              <w:t>Outstanding Shares</w:t>
            </w:r>
          </w:p>
        </w:tc>
        <w:tc>
          <w:tcPr>
            <w:tcW w:w="0" w:type="dxa"/>
            <w:vAlign w:val="bottom"/>
          </w:tcPr>
          <w:p>
            <w:pPr>
              <w:spacing w:after="0"/>
              <w:rPr>
                <w:sz w:val="1"/>
                <w:szCs w:val="1"/>
                <w:color w:val="auto"/>
              </w:rPr>
            </w:pPr>
          </w:p>
        </w:tc>
      </w:tr>
      <w:tr>
        <w:trPr>
          <w:trHeight w:val="126"/>
        </w:trPr>
        <w:tc>
          <w:tcPr>
            <w:tcW w:w="566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rPr>
              <w:t>Common Stock, $.01 Par Value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540" w:type="dxa"/>
            <w:vAlign w:val="bottom"/>
            <w:tcBorders>
              <w:top w:val="single" w:sz="8" w:color="auto"/>
            </w:tcBorders>
          </w:tcPr>
          <w:p>
            <w:pPr>
              <w:jc w:val="right"/>
              <w:ind w:right="2423"/>
              <w:spacing w:after="0"/>
              <w:rPr>
                <w:sz w:val="20"/>
                <w:szCs w:val="20"/>
                <w:color w:val="auto"/>
              </w:rPr>
            </w:pPr>
            <w:r>
              <w:rPr>
                <w:rFonts w:ascii="Arial" w:cs="Arial" w:eastAsia="Arial" w:hAnsi="Arial"/>
                <w:sz w:val="11"/>
                <w:szCs w:val="11"/>
                <w:color w:val="auto"/>
              </w:rPr>
              <w:t>41,882,068</w:t>
            </w:r>
          </w:p>
        </w:tc>
        <w:tc>
          <w:tcPr>
            <w:tcW w:w="0" w:type="dxa"/>
            <w:vAlign w:val="bottom"/>
          </w:tcPr>
          <w:p>
            <w:pPr>
              <w:spacing w:after="0"/>
              <w:rPr>
                <w:sz w:val="1"/>
                <w:szCs w:val="1"/>
                <w:color w:val="auto"/>
              </w:rPr>
            </w:pPr>
          </w:p>
        </w:tc>
      </w:tr>
      <w:tr>
        <w:trPr>
          <w:trHeight w:val="50"/>
        </w:trPr>
        <w:tc>
          <w:tcPr>
            <w:tcW w:w="5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7"/>
        </w:trPr>
        <w:tc>
          <w:tcPr>
            <w:tcW w:w="5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292"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u w:val="single" w:color="auto"/>
          <w:color w:val="auto"/>
        </w:rPr>
        <w:t>TABLE OF CONTENTS</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PART I. FINANCIAL INFORMATION (unaudited)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Item 1.</w:t>
            </w:r>
          </w:p>
        </w:tc>
        <w:tc>
          <w:tcPr>
            <w:tcW w:w="7780" w:type="dxa"/>
            <w:vAlign w:val="bottom"/>
            <w:gridSpan w:val="15"/>
            <w:vMerge w:val="restart"/>
          </w:tcPr>
          <w:p>
            <w:pPr>
              <w:spacing w:after="0"/>
              <w:rPr>
                <w:sz w:val="20"/>
                <w:szCs w:val="20"/>
                <w:color w:val="auto"/>
              </w:rPr>
            </w:pPr>
            <w:r>
              <w:rPr>
                <w:rFonts w:ascii="Arial" w:cs="Arial" w:eastAsia="Arial" w:hAnsi="Arial"/>
                <w:sz w:val="12"/>
                <w:szCs w:val="12"/>
                <w:color w:val="auto"/>
              </w:rPr>
              <w:t>Consolidated Financial Statements</w:t>
            </w:r>
          </w:p>
        </w:tc>
        <w:tc>
          <w:tcPr>
            <w:tcW w:w="2500" w:type="dxa"/>
            <w:vAlign w:val="bottom"/>
          </w:tcPr>
          <w:p>
            <w:pPr>
              <w:jc w:val="right"/>
              <w:ind w:right="80"/>
              <w:spacing w:after="0"/>
              <w:rPr>
                <w:sz w:val="20"/>
                <w:szCs w:val="20"/>
                <w:color w:val="auto"/>
              </w:rPr>
            </w:pPr>
            <w:r>
              <w:rPr>
                <w:rFonts w:ascii="Arial" w:cs="Arial" w:eastAsia="Arial" w:hAnsi="Arial"/>
                <w:sz w:val="12"/>
                <w:szCs w:val="12"/>
                <w:color w:val="auto"/>
              </w:rPr>
              <w:t>Page</w:t>
            </w:r>
          </w:p>
        </w:tc>
        <w:tc>
          <w:tcPr>
            <w:tcW w:w="0" w:type="dxa"/>
            <w:vAlign w:val="bottom"/>
          </w:tcPr>
          <w:p>
            <w:pPr>
              <w:spacing w:after="0"/>
              <w:rPr>
                <w:sz w:val="1"/>
                <w:szCs w:val="1"/>
                <w:color w:val="auto"/>
              </w:rPr>
            </w:pPr>
          </w:p>
        </w:tc>
      </w:tr>
      <w:tr>
        <w:trPr>
          <w:trHeight w:val="144"/>
        </w:trPr>
        <w:tc>
          <w:tcPr>
            <w:tcW w:w="1020" w:type="dxa"/>
            <w:vAlign w:val="bottom"/>
            <w:gridSpan w:val="2"/>
            <w:vMerge w:val="continue"/>
          </w:tcPr>
          <w:p>
            <w:pPr>
              <w:spacing w:after="0"/>
              <w:rPr>
                <w:sz w:val="12"/>
                <w:szCs w:val="12"/>
                <w:color w:val="auto"/>
              </w:rPr>
            </w:pPr>
          </w:p>
        </w:tc>
        <w:tc>
          <w:tcPr>
            <w:tcW w:w="7780" w:type="dxa"/>
            <w:vAlign w:val="bottom"/>
            <w:gridSpan w:val="15"/>
            <w:vMerge w:val="continue"/>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gridSpan w:val="15"/>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Consolidated Statements of Earnings for the Three Months Ended June 30, 2021 and 20</w:t>
              </w:r>
            </w:hyperlink>
            <w:r>
              <w:rPr>
                <w:rFonts w:ascii="Arial" w:cs="Arial" w:eastAsia="Arial" w:hAnsi="Arial"/>
                <w:sz w:val="12"/>
                <w:szCs w:val="12"/>
                <w:color w:val="000000"/>
              </w:rPr>
              <w:t>20</w:t>
            </w:r>
          </w:p>
        </w:tc>
        <w:tc>
          <w:tcPr>
            <w:tcW w:w="25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gridSpan w:val="15"/>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Consolidated Statements of Comprehensive Earnings for the Three Months Ended June 30, 2021 and 20</w:t>
              </w:r>
            </w:hyperlink>
            <w:r>
              <w:rPr>
                <w:rFonts w:ascii="Arial" w:cs="Arial" w:eastAsia="Arial" w:hAnsi="Arial"/>
                <w:sz w:val="12"/>
                <w:szCs w:val="12"/>
                <w:color w:val="000000"/>
              </w:rPr>
              <w:t>20</w:t>
            </w:r>
          </w:p>
        </w:tc>
        <w:tc>
          <w:tcPr>
            <w:tcW w:w="25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8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80" w:type="dxa"/>
            <w:vAlign w:val="bottom"/>
            <w:tcBorders>
              <w:top w:val="single" w:sz="8" w:color="0000EE"/>
            </w:tcBorders>
            <w:gridSpan w:val="14"/>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Consolidated Balance Sheets as of June 30, 2021, and March 31, 202</w:t>
              </w:r>
            </w:hyperlink>
            <w:r>
              <w:rPr>
                <w:rFonts w:ascii="Arial" w:cs="Arial" w:eastAsia="Arial" w:hAnsi="Arial"/>
                <w:sz w:val="12"/>
                <w:szCs w:val="12"/>
                <w:color w:val="000000"/>
              </w:rPr>
              <w:t>1</w:t>
            </w:r>
          </w:p>
        </w:tc>
        <w:tc>
          <w:tcPr>
            <w:tcW w:w="22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gridSpan w:val="15"/>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Consolidated Statements of Cash Flows for the Three Months Ended June 30, 2021 and 20</w:t>
              </w:r>
            </w:hyperlink>
            <w:r>
              <w:rPr>
                <w:rFonts w:ascii="Arial" w:cs="Arial" w:eastAsia="Arial" w:hAnsi="Arial"/>
                <w:sz w:val="12"/>
                <w:szCs w:val="12"/>
                <w:color w:val="000000"/>
              </w:rPr>
              <w:t>20</w:t>
            </w:r>
          </w:p>
        </w:tc>
        <w:tc>
          <w:tcPr>
            <w:tcW w:w="250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80" w:type="dxa"/>
            <w:vAlign w:val="bottom"/>
            <w:gridSpan w:val="15"/>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Consolidated Statements of Stockholders' Equity for the Three Months Ended June 30, 2021 and 20</w:t>
              </w:r>
            </w:hyperlink>
            <w:r>
              <w:rPr>
                <w:rFonts w:ascii="Arial" w:cs="Arial" w:eastAsia="Arial" w:hAnsi="Arial"/>
                <w:sz w:val="12"/>
                <w:szCs w:val="12"/>
                <w:color w:val="000000"/>
              </w:rPr>
              <w:t>20</w:t>
            </w:r>
          </w:p>
        </w:tc>
        <w:tc>
          <w:tcPr>
            <w:tcW w:w="25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8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Borders>
              <w:top w:val="single" w:sz="8" w:color="0000EE"/>
              <w:bottom w:val="single" w:sz="8" w:color="0000EE"/>
            </w:tcBorders>
            <w:gridSpan w:val="6"/>
          </w:tcPr>
          <w:p>
            <w:pPr>
              <w:spacing w:after="0"/>
              <w:rPr>
                <w:rFonts w:ascii="Arial" w:cs="Arial" w:eastAsia="Arial" w:hAnsi="Arial"/>
                <w:sz w:val="12"/>
                <w:szCs w:val="12"/>
                <w:color w:val="0000EE"/>
                <w:w w:val="99"/>
              </w:rPr>
            </w:pPr>
            <w:hyperlink w:anchor="page8">
              <w:r>
                <w:rPr>
                  <w:rFonts w:ascii="Arial" w:cs="Arial" w:eastAsia="Arial" w:hAnsi="Arial"/>
                  <w:sz w:val="12"/>
                  <w:szCs w:val="12"/>
                  <w:color w:val="0000EE"/>
                  <w:w w:val="99"/>
                </w:rPr>
                <w:t>Notes to Unaudited Consolidated Financial Statements</w:t>
              </w:r>
            </w:hyperlink>
          </w:p>
        </w:tc>
        <w:tc>
          <w:tcPr>
            <w:tcW w:w="2380" w:type="dxa"/>
            <w:vAlign w:val="bottom"/>
            <w:tcBorders>
              <w:top w:val="single" w:sz="8" w:color="0000EE"/>
            </w:tcBorders>
            <w:gridSpan w:val="7"/>
          </w:tcPr>
          <w:p>
            <w:pPr>
              <w:spacing w:after="0"/>
              <w:rPr>
                <w:sz w:val="24"/>
                <w:szCs w:val="24"/>
                <w:color w:val="auto"/>
              </w:rPr>
            </w:pPr>
          </w:p>
        </w:tc>
        <w:tc>
          <w:tcPr>
            <w:tcW w:w="2480" w:type="dxa"/>
            <w:vAlign w:val="bottom"/>
            <w:gridSpan w:val="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Item 2.</w:t>
            </w:r>
          </w:p>
        </w:tc>
        <w:tc>
          <w:tcPr>
            <w:tcW w:w="4720" w:type="dxa"/>
            <w:vAlign w:val="bottom"/>
            <w:tcBorders>
              <w:bottom w:val="single" w:sz="8" w:color="0000EE"/>
            </w:tcBorders>
            <w:gridSpan w:val="11"/>
          </w:tcPr>
          <w:p>
            <w:pPr>
              <w:spacing w:after="0"/>
              <w:rPr>
                <w:rFonts w:ascii="Arial" w:cs="Arial" w:eastAsia="Arial" w:hAnsi="Arial"/>
                <w:sz w:val="12"/>
                <w:szCs w:val="12"/>
                <w:color w:val="0000EE"/>
                <w:w w:val="99"/>
              </w:rPr>
            </w:pPr>
            <w:hyperlink w:anchor="page23">
              <w:r>
                <w:rPr>
                  <w:rFonts w:ascii="Arial" w:cs="Arial" w:eastAsia="Arial" w:hAnsi="Arial"/>
                  <w:sz w:val="12"/>
                  <w:szCs w:val="12"/>
                  <w:color w:val="0000EE"/>
                  <w:w w:val="99"/>
                </w:rPr>
                <w:t>Management’s Discussion and Analysis of Financial Condition and Results of Operations</w:t>
              </w:r>
            </w:hyperlink>
          </w:p>
        </w:tc>
        <w:tc>
          <w:tcPr>
            <w:tcW w:w="3060" w:type="dxa"/>
            <w:vAlign w:val="bottom"/>
            <w:gridSpan w:val="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Item 3.</w:t>
            </w:r>
          </w:p>
        </w:tc>
        <w:tc>
          <w:tcPr>
            <w:tcW w:w="3140" w:type="dxa"/>
            <w:vAlign w:val="bottom"/>
            <w:tcBorders>
              <w:bottom w:val="single" w:sz="8" w:color="0000EE"/>
            </w:tcBorders>
            <w:gridSpan w:val="7"/>
          </w:tcPr>
          <w:p>
            <w:pPr>
              <w:spacing w:after="0"/>
              <w:rPr>
                <w:rFonts w:ascii="Arial" w:cs="Arial" w:eastAsia="Arial" w:hAnsi="Arial"/>
                <w:sz w:val="12"/>
                <w:szCs w:val="12"/>
                <w:color w:val="0000EE"/>
                <w:w w:val="99"/>
              </w:rPr>
            </w:pPr>
            <w:hyperlink w:anchor="page36">
              <w:r>
                <w:rPr>
                  <w:rFonts w:ascii="Arial" w:cs="Arial" w:eastAsia="Arial" w:hAnsi="Arial"/>
                  <w:sz w:val="12"/>
                  <w:szCs w:val="12"/>
                  <w:color w:val="0000EE"/>
                  <w:w w:val="99"/>
                </w:rPr>
                <w:t>Quantitative and Qualitative Disclosures About Market Risk</w:t>
              </w:r>
            </w:hyperlink>
          </w:p>
        </w:tc>
        <w:tc>
          <w:tcPr>
            <w:tcW w:w="4640" w:type="dxa"/>
            <w:vAlign w:val="bottom"/>
            <w:gridSpan w:val="8"/>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Item 4.</w:t>
            </w:r>
          </w:p>
        </w:tc>
        <w:tc>
          <w:tcPr>
            <w:tcW w:w="7780" w:type="dxa"/>
            <w:vAlign w:val="bottom"/>
            <w:gridSpan w:val="15"/>
          </w:tcPr>
          <w:p>
            <w:pPr>
              <w:spacing w:after="0"/>
              <w:rPr>
                <w:rFonts w:ascii="Arial" w:cs="Arial" w:eastAsia="Arial" w:hAnsi="Arial"/>
                <w:sz w:val="12"/>
                <w:szCs w:val="12"/>
                <w:color w:val="0000EE"/>
              </w:rPr>
            </w:pPr>
            <w:hyperlink w:anchor="page36">
              <w:r>
                <w:rPr>
                  <w:rFonts w:ascii="Arial" w:cs="Arial" w:eastAsia="Arial" w:hAnsi="Arial"/>
                  <w:sz w:val="12"/>
                  <w:szCs w:val="12"/>
                  <w:color w:val="0000EE"/>
                </w:rPr>
                <w:t>Controls and Procedures</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800" w:type="dxa"/>
            <w:vAlign w:val="bottom"/>
            <w:gridSpan w:val="17"/>
          </w:tcPr>
          <w:p>
            <w:pPr>
              <w:spacing w:after="0"/>
              <w:rPr>
                <w:rFonts w:ascii="Arial" w:cs="Arial" w:eastAsia="Arial" w:hAnsi="Arial"/>
                <w:sz w:val="13"/>
                <w:szCs w:val="13"/>
                <w:b w:val="1"/>
                <w:bCs w:val="1"/>
                <w:color w:val="0000EE"/>
              </w:rPr>
            </w:pPr>
            <w:hyperlink w:anchor="page37">
              <w:r>
                <w:rPr>
                  <w:rFonts w:ascii="Arial" w:cs="Arial" w:eastAsia="Arial" w:hAnsi="Arial"/>
                  <w:sz w:val="13"/>
                  <w:szCs w:val="13"/>
                  <w:b w:val="1"/>
                  <w:bCs w:val="1"/>
                  <w:color w:val="0000EE"/>
                </w:rPr>
                <w:t>PART II. OTHER INFORMATION</w:t>
              </w:r>
            </w:hyperlink>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Item 1.</w:t>
            </w:r>
          </w:p>
        </w:tc>
        <w:tc>
          <w:tcPr>
            <w:tcW w:w="1000" w:type="dxa"/>
            <w:vAlign w:val="bottom"/>
            <w:tcBorders>
              <w:bottom w:val="single" w:sz="8" w:color="0000EE"/>
            </w:tcBorders>
            <w:gridSpan w:val="4"/>
          </w:tcPr>
          <w:p>
            <w:pPr>
              <w:spacing w:after="0"/>
              <w:rPr>
                <w:rFonts w:ascii="Arial" w:cs="Arial" w:eastAsia="Arial" w:hAnsi="Arial"/>
                <w:sz w:val="12"/>
                <w:szCs w:val="12"/>
                <w:color w:val="0000EE"/>
                <w:w w:val="98"/>
              </w:rPr>
            </w:pPr>
            <w:hyperlink w:anchor="page37">
              <w:r>
                <w:rPr>
                  <w:rFonts w:ascii="Arial" w:cs="Arial" w:eastAsia="Arial" w:hAnsi="Arial"/>
                  <w:sz w:val="12"/>
                  <w:szCs w:val="12"/>
                  <w:color w:val="0000EE"/>
                  <w:w w:val="98"/>
                </w:rPr>
                <w:t>Legal Proceedings</w:t>
              </w:r>
            </w:hyperlink>
          </w:p>
        </w:tc>
        <w:tc>
          <w:tcPr>
            <w:tcW w:w="6780" w:type="dxa"/>
            <w:vAlign w:val="bottom"/>
            <w:gridSpan w:val="11"/>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Item 1a.</w:t>
            </w:r>
          </w:p>
        </w:tc>
        <w:tc>
          <w:tcPr>
            <w:tcW w:w="7780" w:type="dxa"/>
            <w:vAlign w:val="bottom"/>
            <w:gridSpan w:val="15"/>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Risk Factors</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Item 2.</w:t>
            </w: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020" w:type="dxa"/>
            <w:vAlign w:val="bottom"/>
            <w:gridSpan w:val="2"/>
            <w:vMerge w:val="continue"/>
          </w:tcPr>
          <w:p>
            <w:pPr>
              <w:spacing w:after="0"/>
              <w:rPr>
                <w:sz w:val="24"/>
                <w:szCs w:val="24"/>
                <w:color w:val="auto"/>
              </w:rPr>
            </w:pPr>
          </w:p>
        </w:tc>
        <w:tc>
          <w:tcPr>
            <w:tcW w:w="3240" w:type="dxa"/>
            <w:vAlign w:val="bottom"/>
            <w:tcBorders>
              <w:bottom w:val="single" w:sz="8" w:color="0000EE"/>
            </w:tcBorders>
            <w:gridSpan w:val="8"/>
          </w:tcPr>
          <w:p>
            <w:pPr>
              <w:spacing w:after="0"/>
              <w:rPr>
                <w:rFonts w:ascii="Arial" w:cs="Arial" w:eastAsia="Arial" w:hAnsi="Arial"/>
                <w:sz w:val="12"/>
                <w:szCs w:val="12"/>
                <w:color w:val="0000EE"/>
                <w:w w:val="99"/>
              </w:rPr>
            </w:pPr>
            <w:hyperlink w:anchor="page37">
              <w:r>
                <w:rPr>
                  <w:rFonts w:ascii="Arial" w:cs="Arial" w:eastAsia="Arial" w:hAnsi="Arial"/>
                  <w:sz w:val="12"/>
                  <w:szCs w:val="12"/>
                  <w:color w:val="0000EE"/>
                  <w:w w:val="99"/>
                </w:rPr>
                <w:t>Unregistered Sales of Equity Securities and Use of Proceeds</w:t>
              </w:r>
            </w:hyperlink>
          </w:p>
        </w:tc>
        <w:tc>
          <w:tcPr>
            <w:tcW w:w="4540" w:type="dxa"/>
            <w:vAlign w:val="bottom"/>
            <w:gridSpan w:val="7"/>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Item 4.</w:t>
            </w:r>
          </w:p>
        </w:tc>
        <w:tc>
          <w:tcPr>
            <w:tcW w:w="7780" w:type="dxa"/>
            <w:vAlign w:val="bottom"/>
            <w:gridSpan w:val="15"/>
          </w:tcPr>
          <w:p>
            <w:pPr>
              <w:spacing w:after="0"/>
              <w:rPr>
                <w:rFonts w:ascii="Arial" w:cs="Arial" w:eastAsia="Arial" w:hAnsi="Arial"/>
                <w:sz w:val="12"/>
                <w:szCs w:val="12"/>
                <w:color w:val="0000EE"/>
              </w:rPr>
            </w:pPr>
            <w:hyperlink w:anchor="page37">
              <w:r>
                <w:rPr>
                  <w:rFonts w:ascii="Arial" w:cs="Arial" w:eastAsia="Arial" w:hAnsi="Arial"/>
                  <w:sz w:val="12"/>
                  <w:szCs w:val="12"/>
                  <w:color w:val="0000EE"/>
                </w:rPr>
                <w:t>Mine Safety Information</w:t>
              </w:r>
            </w:hyperlink>
          </w:p>
        </w:tc>
        <w:tc>
          <w:tcPr>
            <w:tcW w:w="2500" w:type="dxa"/>
            <w:vAlign w:val="bottom"/>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86"/>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Item 6.</w:t>
            </w:r>
          </w:p>
        </w:tc>
        <w:tc>
          <w:tcPr>
            <w:tcW w:w="1320" w:type="dxa"/>
            <w:vAlign w:val="bottom"/>
            <w:tcBorders>
              <w:top w:val="single" w:sz="8" w:color="0000EE"/>
            </w:tcBorders>
            <w:gridSpan w:val="5"/>
          </w:tcPr>
          <w:p>
            <w:pPr>
              <w:spacing w:after="0"/>
              <w:rPr>
                <w:rFonts w:ascii="Arial" w:cs="Arial" w:eastAsia="Arial" w:hAnsi="Arial"/>
                <w:sz w:val="12"/>
                <w:szCs w:val="12"/>
                <w:color w:val="0000EE"/>
              </w:rPr>
            </w:pPr>
            <w:hyperlink w:anchor="page38">
              <w:r>
                <w:rPr>
                  <w:rFonts w:ascii="Arial" w:cs="Arial" w:eastAsia="Arial" w:hAnsi="Arial"/>
                  <w:sz w:val="12"/>
                  <w:szCs w:val="12"/>
                  <w:color w:val="0000EE"/>
                </w:rPr>
                <w:t>Exhibits</w:t>
              </w:r>
            </w:hyperlink>
          </w:p>
        </w:tc>
        <w:tc>
          <w:tcPr>
            <w:tcW w:w="6460" w:type="dxa"/>
            <w:vAlign w:val="bottom"/>
            <w:gridSpan w:val="10"/>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268"/>
        </w:trPr>
        <w:tc>
          <w:tcPr>
            <w:tcW w:w="1020" w:type="dxa"/>
            <w:vAlign w:val="bottom"/>
            <w:gridSpan w:val="2"/>
          </w:tcPr>
          <w:p>
            <w:pPr>
              <w:spacing w:after="0"/>
              <w:rPr>
                <w:rFonts w:ascii="Arial" w:cs="Arial" w:eastAsia="Arial" w:hAnsi="Arial"/>
                <w:sz w:val="12"/>
                <w:szCs w:val="12"/>
                <w:b w:val="1"/>
                <w:bCs w:val="1"/>
                <w:color w:val="0000EE"/>
              </w:rPr>
            </w:pPr>
            <w:hyperlink w:anchor="page39">
              <w:r>
                <w:rPr>
                  <w:rFonts w:ascii="Arial" w:cs="Arial" w:eastAsia="Arial" w:hAnsi="Arial"/>
                  <w:sz w:val="12"/>
                  <w:szCs w:val="12"/>
                  <w:b w:val="1"/>
                  <w:bCs w:val="1"/>
                  <w:color w:val="0000EE"/>
                </w:rPr>
                <w:t>SIGNATURES</w:t>
              </w:r>
            </w:hyperlink>
          </w:p>
        </w:tc>
        <w:tc>
          <w:tcPr>
            <w:tcW w:w="420" w:type="dxa"/>
            <w:vAlign w:val="bottom"/>
            <w:tcBorders>
              <w:top w:val="single" w:sz="8" w:color="0000EE"/>
            </w:tcBorders>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952"/>
        </w:trPr>
        <w:tc>
          <w:tcPr>
            <w:tcW w:w="760" w:type="dxa"/>
            <w:vAlign w:val="bottom"/>
            <w:tcBorders>
              <w:top w:val="single" w:sz="8" w:color="0000EE"/>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337"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EAGLE MATERIALS INC. AND SUBSIDIARIES CONSOLIDATED STATEMENTS OF EARNINGS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shd w:val="clear" w:color="auto" w:fill="004483"/>
          </w:tcPr>
          <w:p>
            <w:pPr>
              <w:spacing w:after="0"/>
              <w:rPr>
                <w:sz w:val="13"/>
                <w:szCs w:val="13"/>
                <w:color w:val="auto"/>
              </w:rPr>
            </w:pPr>
          </w:p>
        </w:tc>
        <w:tc>
          <w:tcPr>
            <w:tcW w:w="2480" w:type="dxa"/>
            <w:vAlign w:val="bottom"/>
            <w:gridSpan w:val="4"/>
            <w:shd w:val="clear" w:color="auto" w:fill="004483"/>
          </w:tcPr>
          <w:p>
            <w:pPr>
              <w:jc w:val="right"/>
              <w:ind w:right="411"/>
              <w:spacing w:after="0"/>
              <w:rPr>
                <w:sz w:val="20"/>
                <w:szCs w:val="20"/>
                <w:color w:val="auto"/>
              </w:rPr>
            </w:pPr>
            <w:r>
              <w:rPr>
                <w:rFonts w:ascii="Arial" w:cs="Arial" w:eastAsia="Arial" w:hAnsi="Arial"/>
                <w:sz w:val="8"/>
                <w:szCs w:val="8"/>
                <w:b w:val="1"/>
                <w:bCs w:val="1"/>
                <w:color w:val="FFFFFF"/>
              </w:rPr>
              <w:t>For the Three Months Ended June 30,</w:t>
            </w:r>
          </w:p>
        </w:tc>
        <w:tc>
          <w:tcPr>
            <w:tcW w:w="72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107"/>
        </w:trPr>
        <w:tc>
          <w:tcPr>
            <w:tcW w:w="7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9"/>
                <w:szCs w:val="9"/>
                <w:color w:val="auto"/>
              </w:rPr>
            </w:pPr>
          </w:p>
        </w:tc>
      </w:tr>
      <w:tr>
        <w:trPr>
          <w:trHeight w:val="100"/>
        </w:trPr>
        <w:tc>
          <w:tcPr>
            <w:tcW w:w="7300" w:type="dxa"/>
            <w:vAlign w:val="bottom"/>
            <w:tcBorders>
              <w:bottom w:val="single" w:sz="8" w:color="004483"/>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004483"/>
            </w:tcBorders>
          </w:tcPr>
          <w:p>
            <w:pPr>
              <w:spacing w:after="0"/>
              <w:rPr>
                <w:sz w:val="8"/>
                <w:szCs w:val="8"/>
                <w:color w:val="auto"/>
              </w:rPr>
            </w:pPr>
          </w:p>
        </w:tc>
        <w:tc>
          <w:tcPr>
            <w:tcW w:w="2480" w:type="dxa"/>
            <w:vAlign w:val="bottom"/>
            <w:tcBorders>
              <w:bottom w:val="single" w:sz="8" w:color="004483"/>
            </w:tcBorders>
            <w:gridSpan w:val="4"/>
          </w:tcPr>
          <w:p>
            <w:pPr>
              <w:jc w:val="right"/>
              <w:ind w:right="171"/>
              <w:spacing w:after="0"/>
              <w:rPr>
                <w:sz w:val="20"/>
                <w:szCs w:val="20"/>
                <w:color w:val="auto"/>
              </w:rPr>
            </w:pPr>
            <w:r>
              <w:rPr>
                <w:rFonts w:ascii="Arial" w:cs="Arial" w:eastAsia="Arial" w:hAnsi="Arial"/>
                <w:sz w:val="8"/>
                <w:szCs w:val="8"/>
                <w:color w:val="auto"/>
              </w:rPr>
              <w:t>(dollars in thousands, except share and per share data)</w:t>
            </w:r>
          </w:p>
        </w:tc>
        <w:tc>
          <w:tcPr>
            <w:tcW w:w="72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Revenue</w:t>
            </w:r>
          </w:p>
        </w:tc>
        <w:tc>
          <w:tcPr>
            <w:tcW w:w="500" w:type="dxa"/>
            <w:vAlign w:val="bottom"/>
            <w:tcBorders>
              <w:bottom w:val="single" w:sz="8" w:color="A6A6A6"/>
            </w:tcBorders>
          </w:tcPr>
          <w:p>
            <w:pPr>
              <w:jc w:val="right"/>
              <w:ind w:right="433"/>
              <w:spacing w:after="0"/>
              <w:rPr>
                <w:sz w:val="20"/>
                <w:szCs w:val="20"/>
                <w:color w:val="auto"/>
              </w:rPr>
            </w:pPr>
            <w:r>
              <w:rPr>
                <w:rFonts w:ascii="Arial" w:cs="Arial" w:eastAsia="Arial" w:hAnsi="Arial"/>
                <w:sz w:val="5"/>
                <w:szCs w:val="5"/>
                <w:color w:val="auto"/>
                <w:w w:val="70"/>
              </w:rPr>
              <w:t>$</w:t>
            </w: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475,770</w:t>
            </w:r>
          </w:p>
        </w:tc>
        <w:tc>
          <w:tcPr>
            <w:tcW w:w="10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ind w:right="8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426,989</w:t>
            </w:r>
          </w:p>
        </w:tc>
        <w:tc>
          <w:tcPr>
            <w:tcW w:w="120" w:type="dxa"/>
            <w:vAlign w:val="bottom"/>
          </w:tcPr>
          <w:p>
            <w:pPr>
              <w:spacing w:after="0"/>
              <w:rPr>
                <w:sz w:val="11"/>
                <w:szCs w:val="11"/>
                <w:color w:val="auto"/>
              </w:rPr>
            </w:pPr>
          </w:p>
        </w:tc>
      </w:tr>
      <w:tr>
        <w:trPr>
          <w:trHeight w:val="133"/>
        </w:trPr>
        <w:tc>
          <w:tcPr>
            <w:tcW w:w="7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Cost of Goods Sold</w:t>
            </w:r>
          </w:p>
        </w:tc>
        <w:tc>
          <w:tcPr>
            <w:tcW w:w="500" w:type="dxa"/>
            <w:vAlign w:val="bottom"/>
            <w:tcBorders>
              <w:bottom w:val="single" w:sz="8" w:color="004483"/>
            </w:tcBorders>
          </w:tcPr>
          <w:p>
            <w:pPr>
              <w:spacing w:after="0"/>
              <w:rPr>
                <w:sz w:val="11"/>
                <w:szCs w:val="11"/>
                <w:color w:val="auto"/>
              </w:rPr>
            </w:pP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349,259</w:t>
            </w:r>
          </w:p>
        </w:tc>
        <w:tc>
          <w:tcPr>
            <w:tcW w:w="10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1000" w:type="dxa"/>
            <w:vAlign w:val="bottom"/>
            <w:tcBorders>
              <w:bottom w:val="single" w:sz="8" w:color="004483"/>
            </w:tcBorders>
          </w:tcPr>
          <w:p>
            <w:pPr>
              <w:spacing w:after="0"/>
              <w:rPr>
                <w:sz w:val="11"/>
                <w:szCs w:val="11"/>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324,692</w:t>
            </w:r>
          </w:p>
        </w:tc>
        <w:tc>
          <w:tcPr>
            <w:tcW w:w="120" w:type="dxa"/>
            <w:vAlign w:val="bottom"/>
          </w:tcPr>
          <w:p>
            <w:pPr>
              <w:spacing w:after="0"/>
              <w:rPr>
                <w:sz w:val="11"/>
                <w:szCs w:val="11"/>
                <w:color w:val="auto"/>
              </w:rPr>
            </w:pPr>
          </w:p>
        </w:tc>
      </w:tr>
      <w:tr>
        <w:trPr>
          <w:trHeight w:val="133"/>
        </w:trPr>
        <w:tc>
          <w:tcPr>
            <w:tcW w:w="7480" w:type="dxa"/>
            <w:vAlign w:val="bottom"/>
            <w:tcBorders>
              <w:bottom w:val="single" w:sz="8" w:color="A6A6A6"/>
            </w:tcBorders>
            <w:gridSpan w:val="2"/>
          </w:tcPr>
          <w:p>
            <w:pPr>
              <w:ind w:left="320"/>
              <w:spacing w:after="0"/>
              <w:rPr>
                <w:sz w:val="20"/>
                <w:szCs w:val="20"/>
                <w:color w:val="auto"/>
              </w:rPr>
            </w:pPr>
            <w:r>
              <w:rPr>
                <w:rFonts w:ascii="Arial" w:cs="Arial" w:eastAsia="Arial" w:hAnsi="Arial"/>
                <w:sz w:val="11"/>
                <w:szCs w:val="11"/>
                <w:color w:val="auto"/>
              </w:rPr>
              <w:t>Gross Profit</w:t>
            </w:r>
          </w:p>
        </w:tc>
        <w:tc>
          <w:tcPr>
            <w:tcW w:w="50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126,511</w:t>
            </w:r>
          </w:p>
        </w:tc>
        <w:tc>
          <w:tcPr>
            <w:tcW w:w="10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102,297</w:t>
            </w:r>
          </w:p>
        </w:tc>
        <w:tc>
          <w:tcPr>
            <w:tcW w:w="120" w:type="dxa"/>
            <w:vAlign w:val="bottom"/>
          </w:tcPr>
          <w:p>
            <w:pPr>
              <w:spacing w:after="0"/>
              <w:rPr>
                <w:sz w:val="11"/>
                <w:szCs w:val="11"/>
                <w:color w:val="auto"/>
              </w:rPr>
            </w:pPr>
          </w:p>
        </w:tc>
      </w:tr>
      <w:tr>
        <w:trPr>
          <w:trHeight w:val="133"/>
        </w:trPr>
        <w:tc>
          <w:tcPr>
            <w:tcW w:w="7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Equity in Earnings of Unconsolidated Joint Venture</w:t>
            </w:r>
          </w:p>
        </w:tc>
        <w:tc>
          <w:tcPr>
            <w:tcW w:w="50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7,970</w:t>
            </w:r>
          </w:p>
        </w:tc>
        <w:tc>
          <w:tcPr>
            <w:tcW w:w="10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7,796</w:t>
            </w:r>
          </w:p>
        </w:tc>
        <w:tc>
          <w:tcPr>
            <w:tcW w:w="120" w:type="dxa"/>
            <w:vAlign w:val="bottom"/>
          </w:tcPr>
          <w:p>
            <w:pPr>
              <w:spacing w:after="0"/>
              <w:rPr>
                <w:sz w:val="11"/>
                <w:szCs w:val="11"/>
                <w:color w:val="auto"/>
              </w:rPr>
            </w:pPr>
          </w:p>
        </w:tc>
      </w:tr>
      <w:tr>
        <w:trPr>
          <w:trHeight w:val="133"/>
        </w:trPr>
        <w:tc>
          <w:tcPr>
            <w:tcW w:w="7480" w:type="dxa"/>
            <w:vAlign w:val="bottom"/>
            <w:gridSpan w:val="2"/>
          </w:tcPr>
          <w:p>
            <w:pPr>
              <w:ind w:left="160"/>
              <w:spacing w:after="0"/>
              <w:rPr>
                <w:sz w:val="20"/>
                <w:szCs w:val="20"/>
                <w:color w:val="auto"/>
              </w:rPr>
            </w:pPr>
            <w:r>
              <w:rPr>
                <w:rFonts w:ascii="Arial" w:cs="Arial" w:eastAsia="Arial" w:hAnsi="Arial"/>
                <w:sz w:val="11"/>
                <w:szCs w:val="11"/>
                <w:color w:val="auto"/>
              </w:rPr>
              <w:t>Corporate General and Administrative Expense</w:t>
            </w:r>
          </w:p>
        </w:tc>
        <w:tc>
          <w:tcPr>
            <w:tcW w:w="500" w:type="dxa"/>
            <w:vAlign w:val="bottom"/>
          </w:tcPr>
          <w:p>
            <w:pPr>
              <w:spacing w:after="0"/>
              <w:rPr>
                <w:sz w:val="11"/>
                <w:szCs w:val="1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1"/>
                <w:szCs w:val="11"/>
                <w:color w:val="auto"/>
              </w:rPr>
              <w:t>(9,468)</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(17,789)</w:t>
            </w:r>
          </w:p>
        </w:tc>
      </w:tr>
      <w:tr>
        <w:trPr>
          <w:trHeight w:val="133"/>
        </w:trPr>
        <w:tc>
          <w:tcPr>
            <w:tcW w:w="7480" w:type="dxa"/>
            <w:vAlign w:val="bottom"/>
            <w:tcBorders>
              <w:top w:val="single" w:sz="8" w:color="A6A6A6"/>
              <w:bottom w:val="single" w:sz="8" w:color="A6A6A6"/>
            </w:tcBorders>
            <w:gridSpan w:val="2"/>
          </w:tcPr>
          <w:p>
            <w:pPr>
              <w:ind w:left="160"/>
              <w:spacing w:after="0"/>
              <w:rPr>
                <w:sz w:val="20"/>
                <w:szCs w:val="20"/>
                <w:color w:val="auto"/>
              </w:rPr>
            </w:pPr>
            <w:r>
              <w:rPr>
                <w:rFonts w:ascii="Arial" w:cs="Arial" w:eastAsia="Arial" w:hAnsi="Arial"/>
                <w:sz w:val="11"/>
                <w:szCs w:val="11"/>
                <w:color w:val="auto"/>
              </w:rPr>
              <w:t>Gain on Sale of Businesses</w:t>
            </w:r>
          </w:p>
        </w:tc>
        <w:tc>
          <w:tcPr>
            <w:tcW w:w="500" w:type="dxa"/>
            <w:vAlign w:val="bottom"/>
            <w:tcBorders>
              <w:top w:val="single" w:sz="8" w:color="A6A6A6"/>
              <w:bottom w:val="single" w:sz="8" w:color="A6A6A6"/>
            </w:tcBorders>
          </w:tcPr>
          <w:p>
            <w:pPr>
              <w:spacing w:after="0"/>
              <w:rPr>
                <w:sz w:val="11"/>
                <w:szCs w:val="11"/>
                <w:color w:val="auto"/>
              </w:rPr>
            </w:pPr>
          </w:p>
        </w:tc>
        <w:tc>
          <w:tcPr>
            <w:tcW w:w="12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A6A6A6"/>
              <w:bottom w:val="single" w:sz="8" w:color="A6A6A6"/>
            </w:tcBorders>
          </w:tcPr>
          <w:p>
            <w:pPr>
              <w:spacing w:after="0"/>
              <w:rPr>
                <w:sz w:val="11"/>
                <w:szCs w:val="11"/>
                <w:color w:val="auto"/>
              </w:rPr>
            </w:pP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51,973</w:t>
            </w:r>
          </w:p>
        </w:tc>
        <w:tc>
          <w:tcPr>
            <w:tcW w:w="120" w:type="dxa"/>
            <w:vAlign w:val="bottom"/>
          </w:tcPr>
          <w:p>
            <w:pPr>
              <w:spacing w:after="0"/>
              <w:rPr>
                <w:sz w:val="11"/>
                <w:szCs w:val="11"/>
                <w:color w:val="auto"/>
              </w:rPr>
            </w:pPr>
          </w:p>
        </w:tc>
      </w:tr>
      <w:tr>
        <w:trPr>
          <w:trHeight w:val="133"/>
        </w:trPr>
        <w:tc>
          <w:tcPr>
            <w:tcW w:w="7480" w:type="dxa"/>
            <w:vAlign w:val="bottom"/>
            <w:gridSpan w:val="2"/>
          </w:tcPr>
          <w:p>
            <w:pPr>
              <w:ind w:left="160"/>
              <w:spacing w:after="0"/>
              <w:rPr>
                <w:sz w:val="20"/>
                <w:szCs w:val="20"/>
                <w:color w:val="auto"/>
              </w:rPr>
            </w:pPr>
            <w:r>
              <w:rPr>
                <w:rFonts w:ascii="Arial" w:cs="Arial" w:eastAsia="Arial" w:hAnsi="Arial"/>
                <w:sz w:val="11"/>
                <w:szCs w:val="11"/>
                <w:color w:val="auto"/>
              </w:rPr>
              <w:t>Other Non-Operating Income (Loss)</w:t>
            </w:r>
          </w:p>
        </w:tc>
        <w:tc>
          <w:tcPr>
            <w:tcW w:w="50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3,678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(309)</w:t>
            </w:r>
          </w:p>
        </w:tc>
      </w:tr>
      <w:tr>
        <w:trPr>
          <w:trHeight w:val="20"/>
        </w:trPr>
        <w:tc>
          <w:tcPr>
            <w:tcW w:w="73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480" w:type="dxa"/>
            <w:vAlign w:val="bottom"/>
            <w:gridSpan w:val="2"/>
          </w:tcPr>
          <w:p>
            <w:pPr>
              <w:ind w:left="160"/>
              <w:spacing w:after="0"/>
              <w:rPr>
                <w:sz w:val="20"/>
                <w:szCs w:val="20"/>
                <w:color w:val="auto"/>
              </w:rPr>
            </w:pPr>
            <w:r>
              <w:rPr>
                <w:rFonts w:ascii="Arial" w:cs="Arial" w:eastAsia="Arial" w:hAnsi="Arial"/>
                <w:sz w:val="11"/>
                <w:szCs w:val="11"/>
                <w:color w:val="auto"/>
              </w:rPr>
              <w:t>Interest Expense, net</w:t>
            </w:r>
          </w:p>
        </w:tc>
        <w:tc>
          <w:tcPr>
            <w:tcW w:w="500" w:type="dxa"/>
            <w:vAlign w:val="bottom"/>
          </w:tcPr>
          <w:p>
            <w:pPr>
              <w:spacing w:after="0"/>
              <w:rPr>
                <w:sz w:val="11"/>
                <w:szCs w:val="1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1"/>
                <w:szCs w:val="11"/>
                <w:color w:val="auto"/>
              </w:rPr>
              <w:t>(6,972)</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(14,041)</w:t>
            </w:r>
          </w:p>
        </w:tc>
      </w:tr>
      <w:tr>
        <w:trPr>
          <w:trHeight w:val="133"/>
        </w:trPr>
        <w:tc>
          <w:tcPr>
            <w:tcW w:w="7480" w:type="dxa"/>
            <w:vAlign w:val="bottom"/>
            <w:tcBorders>
              <w:top w:val="single" w:sz="8" w:color="A6A6A6"/>
              <w:bottom w:val="single" w:sz="8" w:color="A6A6A6"/>
            </w:tcBorders>
            <w:gridSpan w:val="2"/>
          </w:tcPr>
          <w:p>
            <w:pPr>
              <w:ind w:left="320"/>
              <w:spacing w:after="0"/>
              <w:rPr>
                <w:sz w:val="20"/>
                <w:szCs w:val="20"/>
                <w:color w:val="auto"/>
              </w:rPr>
            </w:pPr>
            <w:r>
              <w:rPr>
                <w:rFonts w:ascii="Arial" w:cs="Arial" w:eastAsia="Arial" w:hAnsi="Arial"/>
                <w:sz w:val="11"/>
                <w:szCs w:val="11"/>
                <w:color w:val="auto"/>
              </w:rPr>
              <w:t>Earnings from Continuing Operations Before Income Taxes</w:t>
            </w:r>
          </w:p>
        </w:tc>
        <w:tc>
          <w:tcPr>
            <w:tcW w:w="500" w:type="dxa"/>
            <w:vAlign w:val="bottom"/>
            <w:tcBorders>
              <w:top w:val="single" w:sz="8" w:color="004483"/>
              <w:bottom w:val="single" w:sz="8" w:color="A6A6A6"/>
            </w:tcBorders>
          </w:tcPr>
          <w:p>
            <w:pPr>
              <w:spacing w:after="0"/>
              <w:rPr>
                <w:sz w:val="11"/>
                <w:szCs w:val="11"/>
                <w:color w:val="auto"/>
              </w:rPr>
            </w:pPr>
          </w:p>
        </w:tc>
        <w:tc>
          <w:tcPr>
            <w:tcW w:w="12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121,719</w:t>
            </w:r>
          </w:p>
        </w:tc>
        <w:tc>
          <w:tcPr>
            <w:tcW w:w="10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129,927</w:t>
            </w:r>
          </w:p>
        </w:tc>
        <w:tc>
          <w:tcPr>
            <w:tcW w:w="120" w:type="dxa"/>
            <w:vAlign w:val="bottom"/>
          </w:tcPr>
          <w:p>
            <w:pPr>
              <w:spacing w:after="0"/>
              <w:rPr>
                <w:sz w:val="11"/>
                <w:szCs w:val="11"/>
                <w:color w:val="auto"/>
              </w:rPr>
            </w:pPr>
          </w:p>
        </w:tc>
      </w:tr>
      <w:tr>
        <w:trPr>
          <w:trHeight w:val="133"/>
        </w:trPr>
        <w:tc>
          <w:tcPr>
            <w:tcW w:w="7480" w:type="dxa"/>
            <w:vAlign w:val="bottom"/>
            <w:gridSpan w:val="2"/>
          </w:tcPr>
          <w:p>
            <w:pPr>
              <w:ind w:left="160"/>
              <w:spacing w:after="0"/>
              <w:rPr>
                <w:sz w:val="20"/>
                <w:szCs w:val="20"/>
                <w:color w:val="auto"/>
              </w:rPr>
            </w:pPr>
            <w:r>
              <w:rPr>
                <w:rFonts w:ascii="Arial" w:cs="Arial" w:eastAsia="Arial" w:hAnsi="Arial"/>
                <w:sz w:val="11"/>
                <w:szCs w:val="11"/>
                <w:color w:val="auto"/>
              </w:rPr>
              <w:t>Income Taxes</w:t>
            </w:r>
          </w:p>
        </w:tc>
        <w:tc>
          <w:tcPr>
            <w:tcW w:w="500" w:type="dxa"/>
            <w:vAlign w:val="bottom"/>
          </w:tcPr>
          <w:p>
            <w:pPr>
              <w:spacing w:after="0"/>
              <w:rPr>
                <w:sz w:val="11"/>
                <w:szCs w:val="1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1"/>
                <w:szCs w:val="11"/>
                <w:color w:val="auto"/>
              </w:rPr>
              <w:t>(26,392)</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(32,836)</w:t>
            </w:r>
          </w:p>
        </w:tc>
      </w:tr>
      <w:tr>
        <w:trPr>
          <w:trHeight w:val="133"/>
        </w:trPr>
        <w:tc>
          <w:tcPr>
            <w:tcW w:w="7480" w:type="dxa"/>
            <w:vAlign w:val="bottom"/>
            <w:tcBorders>
              <w:top w:val="single" w:sz="8" w:color="A6A6A6"/>
              <w:bottom w:val="single" w:sz="8" w:color="A6A6A6"/>
            </w:tcBorders>
            <w:gridSpan w:val="2"/>
          </w:tcPr>
          <w:p>
            <w:pPr>
              <w:ind w:left="320"/>
              <w:spacing w:after="0"/>
              <w:rPr>
                <w:sz w:val="20"/>
                <w:szCs w:val="20"/>
                <w:color w:val="auto"/>
              </w:rPr>
            </w:pPr>
            <w:r>
              <w:rPr>
                <w:rFonts w:ascii="Arial" w:cs="Arial" w:eastAsia="Arial" w:hAnsi="Arial"/>
                <w:sz w:val="11"/>
                <w:szCs w:val="11"/>
                <w:color w:val="auto"/>
              </w:rPr>
              <w:t>Earnings from Continuing Operations</w:t>
            </w:r>
          </w:p>
        </w:tc>
        <w:tc>
          <w:tcPr>
            <w:tcW w:w="500" w:type="dxa"/>
            <w:vAlign w:val="bottom"/>
            <w:tcBorders>
              <w:top w:val="single" w:sz="8" w:color="004483"/>
              <w:bottom w:val="single" w:sz="8" w:color="A6A6A6"/>
            </w:tcBorders>
          </w:tcPr>
          <w:p>
            <w:pPr>
              <w:spacing w:after="0"/>
              <w:rPr>
                <w:sz w:val="11"/>
                <w:szCs w:val="11"/>
                <w:color w:val="auto"/>
              </w:rPr>
            </w:pPr>
          </w:p>
        </w:tc>
        <w:tc>
          <w:tcPr>
            <w:tcW w:w="12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95,327</w:t>
            </w:r>
          </w:p>
        </w:tc>
        <w:tc>
          <w:tcPr>
            <w:tcW w:w="10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004483"/>
              <w:bottom w:val="single" w:sz="8" w:color="A6A6A6"/>
            </w:tcBorders>
          </w:tcPr>
          <w:p>
            <w:pPr>
              <w:spacing w:after="0"/>
              <w:rPr>
                <w:sz w:val="11"/>
                <w:szCs w:val="11"/>
                <w:color w:val="auto"/>
              </w:rPr>
            </w:pPr>
          </w:p>
        </w:tc>
        <w:tc>
          <w:tcPr>
            <w:tcW w:w="7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97,091</w:t>
            </w:r>
          </w:p>
        </w:tc>
        <w:tc>
          <w:tcPr>
            <w:tcW w:w="120" w:type="dxa"/>
            <w:vAlign w:val="bottom"/>
          </w:tcPr>
          <w:p>
            <w:pPr>
              <w:spacing w:after="0"/>
              <w:rPr>
                <w:sz w:val="11"/>
                <w:szCs w:val="11"/>
                <w:color w:val="auto"/>
              </w:rPr>
            </w:pPr>
          </w:p>
        </w:tc>
      </w:tr>
      <w:tr>
        <w:trPr>
          <w:trHeight w:val="133"/>
        </w:trPr>
        <w:tc>
          <w:tcPr>
            <w:tcW w:w="7480" w:type="dxa"/>
            <w:vAlign w:val="bottom"/>
            <w:gridSpan w:val="2"/>
          </w:tcPr>
          <w:p>
            <w:pPr>
              <w:ind w:left="160"/>
              <w:spacing w:after="0"/>
              <w:rPr>
                <w:sz w:val="20"/>
                <w:szCs w:val="20"/>
                <w:color w:val="auto"/>
              </w:rPr>
            </w:pPr>
            <w:r>
              <w:rPr>
                <w:rFonts w:ascii="Arial" w:cs="Arial" w:eastAsia="Arial" w:hAnsi="Arial"/>
                <w:sz w:val="11"/>
                <w:szCs w:val="11"/>
                <w:color w:val="auto"/>
              </w:rPr>
              <w:t>Loss from Discontinued Operations, net of Income Taxes</w:t>
            </w:r>
          </w:p>
        </w:tc>
        <w:tc>
          <w:tcPr>
            <w:tcW w:w="500" w:type="dxa"/>
            <w:vAlign w:val="bottom"/>
          </w:tcPr>
          <w:p>
            <w:pPr>
              <w:spacing w:after="0"/>
              <w:rPr>
                <w:sz w:val="11"/>
                <w:szCs w:val="11"/>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10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(885)</w:t>
            </w:r>
          </w:p>
        </w:tc>
      </w:tr>
      <w:tr>
        <w:trPr>
          <w:trHeight w:val="153"/>
        </w:trPr>
        <w:tc>
          <w:tcPr>
            <w:tcW w:w="7480" w:type="dxa"/>
            <w:vAlign w:val="bottom"/>
            <w:tcBorders>
              <w:top w:val="single" w:sz="8" w:color="A6A6A6"/>
              <w:bottom w:val="single" w:sz="8" w:color="A6A6A6"/>
            </w:tcBorders>
            <w:gridSpan w:val="2"/>
          </w:tcPr>
          <w:p>
            <w:pPr>
              <w:ind w:left="320"/>
              <w:spacing w:after="0"/>
              <w:rPr>
                <w:sz w:val="20"/>
                <w:szCs w:val="20"/>
                <w:color w:val="auto"/>
              </w:rPr>
            </w:pPr>
            <w:r>
              <w:rPr>
                <w:rFonts w:ascii="Arial" w:cs="Arial" w:eastAsia="Arial" w:hAnsi="Arial"/>
                <w:sz w:val="11"/>
                <w:szCs w:val="11"/>
                <w:b w:val="1"/>
                <w:bCs w:val="1"/>
                <w:color w:val="auto"/>
              </w:rPr>
              <w:t>Net Earnings</w:t>
            </w:r>
          </w:p>
        </w:tc>
        <w:tc>
          <w:tcPr>
            <w:tcW w:w="500" w:type="dxa"/>
            <w:vAlign w:val="bottom"/>
            <w:tcBorders>
              <w:top w:val="single" w:sz="8" w:color="004483"/>
              <w:bottom w:val="single" w:sz="8" w:color="004483"/>
            </w:tcBorders>
          </w:tcPr>
          <w:p>
            <w:pPr>
              <w:jc w:val="right"/>
              <w:ind w:right="433"/>
              <w:spacing w:after="0"/>
              <w:rPr>
                <w:sz w:val="20"/>
                <w:szCs w:val="20"/>
                <w:color w:val="auto"/>
              </w:rPr>
            </w:pPr>
            <w:r>
              <w:rPr>
                <w:rFonts w:ascii="Arial" w:cs="Arial" w:eastAsia="Arial" w:hAnsi="Arial"/>
                <w:sz w:val="5"/>
                <w:szCs w:val="5"/>
                <w:b w:val="1"/>
                <w:bCs w:val="1"/>
                <w:color w:val="auto"/>
                <w:w w:val="70"/>
              </w:rPr>
              <w:t>$</w:t>
            </w:r>
          </w:p>
        </w:tc>
        <w:tc>
          <w:tcPr>
            <w:tcW w:w="12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95,327</w:t>
            </w:r>
          </w:p>
        </w:tc>
        <w:tc>
          <w:tcPr>
            <w:tcW w:w="100" w:type="dxa"/>
            <w:vAlign w:val="bottom"/>
          </w:tcPr>
          <w:p>
            <w:pPr>
              <w:spacing w:after="0"/>
              <w:rPr>
                <w:sz w:val="13"/>
                <w:szCs w:val="13"/>
                <w:color w:val="auto"/>
              </w:rPr>
            </w:pPr>
          </w:p>
        </w:tc>
        <w:tc>
          <w:tcPr>
            <w:tcW w:w="180" w:type="dxa"/>
            <w:vAlign w:val="bottom"/>
            <w:tcBorders>
              <w:top w:val="single" w:sz="8" w:color="A6A6A6"/>
              <w:bottom w:val="single" w:sz="8" w:color="A6A6A6"/>
            </w:tcBorders>
          </w:tcPr>
          <w:p>
            <w:pPr>
              <w:spacing w:after="0"/>
              <w:rPr>
                <w:sz w:val="13"/>
                <w:szCs w:val="13"/>
                <w:color w:val="auto"/>
              </w:rPr>
            </w:pPr>
          </w:p>
        </w:tc>
        <w:tc>
          <w:tcPr>
            <w:tcW w:w="1000" w:type="dxa"/>
            <w:vAlign w:val="bottom"/>
            <w:tcBorders>
              <w:top w:val="single" w:sz="8" w:color="004483"/>
              <w:bottom w:val="single" w:sz="8" w:color="004483"/>
            </w:tcBorders>
          </w:tcPr>
          <w:p>
            <w:pPr>
              <w:jc w:val="right"/>
              <w:ind w:right="8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96,206</w:t>
            </w:r>
          </w:p>
        </w:tc>
        <w:tc>
          <w:tcPr>
            <w:tcW w:w="120" w:type="dxa"/>
            <w:vAlign w:val="bottom"/>
          </w:tcPr>
          <w:p>
            <w:pPr>
              <w:spacing w:after="0"/>
              <w:rPr>
                <w:sz w:val="13"/>
                <w:szCs w:val="13"/>
                <w:color w:val="auto"/>
              </w:rPr>
            </w:pPr>
          </w:p>
        </w:tc>
      </w:tr>
      <w:tr>
        <w:trPr>
          <w:trHeight w:val="275"/>
        </w:trPr>
        <w:tc>
          <w:tcPr>
            <w:tcW w:w="7480" w:type="dxa"/>
            <w:vAlign w:val="bottom"/>
            <w:tcBorders>
              <w:bottom w:val="single" w:sz="8" w:color="A6A6A6"/>
            </w:tcBorders>
            <w:gridSpan w:val="2"/>
          </w:tcPr>
          <w:p>
            <w:pPr>
              <w:spacing w:after="0"/>
              <w:rPr>
                <w:sz w:val="20"/>
                <w:szCs w:val="20"/>
                <w:color w:val="auto"/>
              </w:rPr>
            </w:pPr>
            <w:r>
              <w:rPr>
                <w:rFonts w:ascii="Arial" w:cs="Arial" w:eastAsia="Arial" w:hAnsi="Arial"/>
                <w:sz w:val="11"/>
                <w:szCs w:val="11"/>
                <w:b w:val="1"/>
                <w:bCs w:val="1"/>
                <w:color w:val="auto"/>
              </w:rPr>
              <w:t>BASIC EARNINGS (LOSS) PER SHARE</w:t>
            </w:r>
          </w:p>
        </w:tc>
        <w:tc>
          <w:tcPr>
            <w:tcW w:w="500" w:type="dxa"/>
            <w:vAlign w:val="bottom"/>
            <w:tcBorders>
              <w:bottom w:val="single" w:sz="8" w:color="A6A6A6"/>
            </w:tcBorders>
          </w:tcPr>
          <w:p>
            <w:pPr>
              <w:spacing w:after="0"/>
              <w:rPr>
                <w:sz w:val="23"/>
                <w:szCs w:val="23"/>
                <w:color w:val="auto"/>
              </w:rPr>
            </w:pPr>
          </w:p>
        </w:tc>
        <w:tc>
          <w:tcPr>
            <w:tcW w:w="1200" w:type="dxa"/>
            <w:vAlign w:val="bottom"/>
            <w:tcBorders>
              <w:bottom w:val="single" w:sz="8" w:color="A6A6A6"/>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6A6A6"/>
            </w:tcBorders>
          </w:tcPr>
          <w:p>
            <w:pPr>
              <w:spacing w:after="0"/>
              <w:rPr>
                <w:sz w:val="23"/>
                <w:szCs w:val="23"/>
                <w:color w:val="auto"/>
              </w:rPr>
            </w:pPr>
          </w:p>
        </w:tc>
        <w:tc>
          <w:tcPr>
            <w:tcW w:w="1000" w:type="dxa"/>
            <w:vAlign w:val="bottom"/>
            <w:tcBorders>
              <w:bottom w:val="single" w:sz="8" w:color="A6A6A6"/>
            </w:tcBorders>
          </w:tcPr>
          <w:p>
            <w:pPr>
              <w:spacing w:after="0"/>
              <w:rPr>
                <w:sz w:val="23"/>
                <w:szCs w:val="23"/>
                <w:color w:val="auto"/>
              </w:rPr>
            </w:pPr>
          </w:p>
        </w:tc>
        <w:tc>
          <w:tcPr>
            <w:tcW w:w="720" w:type="dxa"/>
            <w:vAlign w:val="bottom"/>
            <w:tcBorders>
              <w:bottom w:val="single" w:sz="8" w:color="A6A6A6"/>
            </w:tcBorders>
          </w:tcPr>
          <w:p>
            <w:pPr>
              <w:spacing w:after="0"/>
              <w:rPr>
                <w:sz w:val="23"/>
                <w:szCs w:val="23"/>
                <w:color w:val="auto"/>
              </w:rPr>
            </w:pPr>
          </w:p>
        </w:tc>
        <w:tc>
          <w:tcPr>
            <w:tcW w:w="120" w:type="dxa"/>
            <w:vAlign w:val="bottom"/>
          </w:tcPr>
          <w:p>
            <w:pPr>
              <w:spacing w:after="0"/>
              <w:rPr>
                <w:sz w:val="23"/>
                <w:szCs w:val="23"/>
                <w:color w:val="auto"/>
              </w:rPr>
            </w:pPr>
          </w:p>
        </w:tc>
      </w:tr>
      <w:tr>
        <w:trPr>
          <w:trHeight w:val="153"/>
        </w:trPr>
        <w:tc>
          <w:tcPr>
            <w:tcW w:w="7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Continuing Operations</w:t>
            </w:r>
          </w:p>
        </w:tc>
        <w:tc>
          <w:tcPr>
            <w:tcW w:w="500" w:type="dxa"/>
            <w:vAlign w:val="bottom"/>
            <w:tcBorders>
              <w:bottom w:val="single" w:sz="8" w:color="004483"/>
            </w:tcBorders>
          </w:tcPr>
          <w:p>
            <w:pPr>
              <w:jc w:val="right"/>
              <w:ind w:right="433"/>
              <w:spacing w:after="0"/>
              <w:rPr>
                <w:sz w:val="20"/>
                <w:szCs w:val="20"/>
                <w:color w:val="auto"/>
              </w:rPr>
            </w:pPr>
            <w:r>
              <w:rPr>
                <w:rFonts w:ascii="Arial" w:cs="Arial" w:eastAsia="Arial" w:hAnsi="Arial"/>
                <w:sz w:val="5"/>
                <w:szCs w:val="5"/>
                <w:color w:val="auto"/>
                <w:w w:val="70"/>
              </w:rPr>
              <w:t>$</w:t>
            </w: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2.27</w:t>
            </w:r>
          </w:p>
        </w:tc>
        <w:tc>
          <w:tcPr>
            <w:tcW w:w="100" w:type="dxa"/>
            <w:vAlign w:val="bottom"/>
            <w:tcBorders>
              <w:bottom w:val="single" w:sz="8" w:color="004483"/>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1000" w:type="dxa"/>
            <w:vAlign w:val="bottom"/>
            <w:tcBorders>
              <w:bottom w:val="single" w:sz="8" w:color="004483"/>
            </w:tcBorders>
          </w:tcPr>
          <w:p>
            <w:pPr>
              <w:jc w:val="right"/>
              <w:ind w:right="8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2.34</w:t>
            </w:r>
          </w:p>
        </w:tc>
        <w:tc>
          <w:tcPr>
            <w:tcW w:w="120" w:type="dxa"/>
            <w:vAlign w:val="bottom"/>
            <w:tcBorders>
              <w:bottom w:val="single" w:sz="8" w:color="004483"/>
            </w:tcBorders>
          </w:tcPr>
          <w:p>
            <w:pPr>
              <w:spacing w:after="0"/>
              <w:rPr>
                <w:sz w:val="13"/>
                <w:szCs w:val="13"/>
                <w:color w:val="auto"/>
              </w:rPr>
            </w:pPr>
          </w:p>
        </w:tc>
      </w:tr>
      <w:tr>
        <w:trPr>
          <w:trHeight w:val="151"/>
        </w:trPr>
        <w:tc>
          <w:tcPr>
            <w:tcW w:w="7480" w:type="dxa"/>
            <w:vAlign w:val="bottom"/>
            <w:gridSpan w:val="2"/>
          </w:tcPr>
          <w:p>
            <w:pPr>
              <w:ind w:left="160"/>
              <w:spacing w:after="0" w:line="120" w:lineRule="exact"/>
              <w:rPr>
                <w:sz w:val="20"/>
                <w:szCs w:val="20"/>
                <w:color w:val="auto"/>
              </w:rPr>
            </w:pPr>
            <w:r>
              <w:rPr>
                <w:rFonts w:ascii="Arial" w:cs="Arial" w:eastAsia="Arial" w:hAnsi="Arial"/>
                <w:sz w:val="11"/>
                <w:szCs w:val="11"/>
                <w:color w:val="auto"/>
              </w:rPr>
              <w:t>Discontinued Operations</w:t>
            </w:r>
          </w:p>
        </w:tc>
        <w:tc>
          <w:tcPr>
            <w:tcW w:w="500" w:type="dxa"/>
            <w:vAlign w:val="bottom"/>
          </w:tcPr>
          <w:p>
            <w:pPr>
              <w:spacing w:after="0"/>
              <w:rPr>
                <w:sz w:val="13"/>
                <w:szCs w:val="13"/>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9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(0.02)</w:t>
            </w:r>
          </w:p>
        </w:tc>
      </w:tr>
      <w:tr>
        <w:trPr>
          <w:trHeight w:val="151"/>
        </w:trPr>
        <w:tc>
          <w:tcPr>
            <w:tcW w:w="7480" w:type="dxa"/>
            <w:vAlign w:val="bottom"/>
            <w:tcBorders>
              <w:top w:val="single" w:sz="8" w:color="A6A6A6"/>
              <w:bottom w:val="single" w:sz="8" w:color="A6A6A6"/>
            </w:tcBorders>
            <w:gridSpan w:val="2"/>
          </w:tcPr>
          <w:p>
            <w:pPr>
              <w:ind w:left="160"/>
              <w:spacing w:after="0" w:line="120" w:lineRule="exact"/>
              <w:rPr>
                <w:sz w:val="20"/>
                <w:szCs w:val="20"/>
                <w:color w:val="auto"/>
              </w:rPr>
            </w:pPr>
            <w:r>
              <w:rPr>
                <w:rFonts w:ascii="Arial" w:cs="Arial" w:eastAsia="Arial" w:hAnsi="Arial"/>
                <w:sz w:val="11"/>
                <w:szCs w:val="11"/>
                <w:color w:val="auto"/>
              </w:rPr>
              <w:t>Net Earnings</w:t>
            </w:r>
          </w:p>
        </w:tc>
        <w:tc>
          <w:tcPr>
            <w:tcW w:w="500" w:type="dxa"/>
            <w:vAlign w:val="bottom"/>
            <w:tcBorders>
              <w:top w:val="single" w:sz="8" w:color="004483"/>
              <w:bottom w:val="single" w:sz="8" w:color="004483"/>
            </w:tcBorders>
          </w:tcPr>
          <w:p>
            <w:pPr>
              <w:jc w:val="right"/>
              <w:ind w:right="433"/>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2.27</w:t>
            </w:r>
          </w:p>
        </w:tc>
        <w:tc>
          <w:tcPr>
            <w:tcW w:w="100" w:type="dxa"/>
            <w:vAlign w:val="bottom"/>
          </w:tcPr>
          <w:p>
            <w:pPr>
              <w:spacing w:after="0"/>
              <w:rPr>
                <w:sz w:val="13"/>
                <w:szCs w:val="13"/>
                <w:color w:val="auto"/>
              </w:rPr>
            </w:pPr>
          </w:p>
        </w:tc>
        <w:tc>
          <w:tcPr>
            <w:tcW w:w="180" w:type="dxa"/>
            <w:vAlign w:val="bottom"/>
            <w:tcBorders>
              <w:top w:val="single" w:sz="8" w:color="A6A6A6"/>
              <w:bottom w:val="single" w:sz="8" w:color="A6A6A6"/>
            </w:tcBorders>
          </w:tcPr>
          <w:p>
            <w:pPr>
              <w:spacing w:after="0"/>
              <w:rPr>
                <w:sz w:val="13"/>
                <w:szCs w:val="13"/>
                <w:color w:val="auto"/>
              </w:rPr>
            </w:pPr>
          </w:p>
        </w:tc>
        <w:tc>
          <w:tcPr>
            <w:tcW w:w="1000" w:type="dxa"/>
            <w:vAlign w:val="bottom"/>
            <w:tcBorders>
              <w:top w:val="single" w:sz="8" w:color="004483"/>
              <w:bottom w:val="single" w:sz="8" w:color="004483"/>
            </w:tcBorders>
          </w:tcPr>
          <w:p>
            <w:pPr>
              <w:jc w:val="right"/>
              <w:ind w:right="89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2.32</w:t>
            </w:r>
          </w:p>
        </w:tc>
        <w:tc>
          <w:tcPr>
            <w:tcW w:w="120" w:type="dxa"/>
            <w:vAlign w:val="bottom"/>
          </w:tcPr>
          <w:p>
            <w:pPr>
              <w:spacing w:after="0"/>
              <w:rPr>
                <w:sz w:val="13"/>
                <w:szCs w:val="13"/>
                <w:color w:val="auto"/>
              </w:rPr>
            </w:pPr>
          </w:p>
        </w:tc>
      </w:tr>
      <w:tr>
        <w:trPr>
          <w:trHeight w:val="127"/>
        </w:trPr>
        <w:tc>
          <w:tcPr>
            <w:tcW w:w="7480" w:type="dxa"/>
            <w:vAlign w:val="bottom"/>
            <w:tcBorders>
              <w:bottom w:val="single" w:sz="8" w:color="A6A6A6"/>
            </w:tcBorders>
            <w:gridSpan w:val="2"/>
          </w:tcPr>
          <w:p>
            <w:pPr>
              <w:spacing w:after="0" w:line="121" w:lineRule="exact"/>
              <w:rPr>
                <w:sz w:val="20"/>
                <w:szCs w:val="20"/>
                <w:color w:val="auto"/>
              </w:rPr>
            </w:pPr>
            <w:r>
              <w:rPr>
                <w:rFonts w:ascii="Arial" w:cs="Arial" w:eastAsia="Arial" w:hAnsi="Arial"/>
                <w:sz w:val="11"/>
                <w:szCs w:val="11"/>
                <w:b w:val="1"/>
                <w:bCs w:val="1"/>
                <w:color w:val="auto"/>
              </w:rPr>
              <w:t>DILUTED EARNINGS PER SHARE</w:t>
            </w:r>
          </w:p>
        </w:tc>
        <w:tc>
          <w:tcPr>
            <w:tcW w:w="50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72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7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Continuing Operations</w:t>
            </w:r>
          </w:p>
        </w:tc>
        <w:tc>
          <w:tcPr>
            <w:tcW w:w="500" w:type="dxa"/>
            <w:vAlign w:val="bottom"/>
            <w:tcBorders>
              <w:bottom w:val="single" w:sz="8" w:color="004483"/>
            </w:tcBorders>
          </w:tcPr>
          <w:p>
            <w:pPr>
              <w:jc w:val="right"/>
              <w:ind w:right="433"/>
              <w:spacing w:after="0"/>
              <w:rPr>
                <w:sz w:val="20"/>
                <w:szCs w:val="20"/>
                <w:color w:val="auto"/>
              </w:rPr>
            </w:pPr>
            <w:r>
              <w:rPr>
                <w:rFonts w:ascii="Arial" w:cs="Arial" w:eastAsia="Arial" w:hAnsi="Arial"/>
                <w:sz w:val="5"/>
                <w:szCs w:val="5"/>
                <w:color w:val="auto"/>
                <w:w w:val="70"/>
              </w:rPr>
              <w:t>$</w:t>
            </w: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2.25</w:t>
            </w:r>
          </w:p>
        </w:tc>
        <w:tc>
          <w:tcPr>
            <w:tcW w:w="100" w:type="dxa"/>
            <w:vAlign w:val="bottom"/>
            <w:tcBorders>
              <w:bottom w:val="single" w:sz="8" w:color="004483"/>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1000" w:type="dxa"/>
            <w:vAlign w:val="bottom"/>
            <w:tcBorders>
              <w:bottom w:val="single" w:sz="8" w:color="004483"/>
            </w:tcBorders>
          </w:tcPr>
          <w:p>
            <w:pPr>
              <w:jc w:val="right"/>
              <w:ind w:right="89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004483"/>
            </w:tcBorders>
          </w:tcPr>
          <w:p>
            <w:pPr>
              <w:spacing w:after="0"/>
              <w:rPr>
                <w:sz w:val="13"/>
                <w:szCs w:val="13"/>
                <w:color w:val="auto"/>
              </w:rPr>
            </w:pPr>
          </w:p>
        </w:tc>
      </w:tr>
      <w:tr>
        <w:trPr>
          <w:trHeight w:val="151"/>
        </w:trPr>
        <w:tc>
          <w:tcPr>
            <w:tcW w:w="7480" w:type="dxa"/>
            <w:vAlign w:val="bottom"/>
            <w:gridSpan w:val="2"/>
          </w:tcPr>
          <w:p>
            <w:pPr>
              <w:ind w:left="160"/>
              <w:spacing w:after="0" w:line="120" w:lineRule="exact"/>
              <w:rPr>
                <w:sz w:val="20"/>
                <w:szCs w:val="20"/>
                <w:color w:val="auto"/>
              </w:rPr>
            </w:pPr>
            <w:r>
              <w:rPr>
                <w:rFonts w:ascii="Arial" w:cs="Arial" w:eastAsia="Arial" w:hAnsi="Arial"/>
                <w:sz w:val="11"/>
                <w:szCs w:val="11"/>
                <w:color w:val="auto"/>
              </w:rPr>
              <w:t>Discontinued Operations</w:t>
            </w:r>
          </w:p>
        </w:tc>
        <w:tc>
          <w:tcPr>
            <w:tcW w:w="500" w:type="dxa"/>
            <w:vAlign w:val="bottom"/>
          </w:tcPr>
          <w:p>
            <w:pPr>
              <w:spacing w:after="0"/>
              <w:rPr>
                <w:sz w:val="13"/>
                <w:szCs w:val="13"/>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9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(0.02)</w:t>
            </w:r>
          </w:p>
        </w:tc>
      </w:tr>
      <w:tr>
        <w:trPr>
          <w:trHeight w:val="151"/>
        </w:trPr>
        <w:tc>
          <w:tcPr>
            <w:tcW w:w="7480" w:type="dxa"/>
            <w:vAlign w:val="bottom"/>
            <w:tcBorders>
              <w:top w:val="single" w:sz="8" w:color="A6A6A6"/>
              <w:bottom w:val="single" w:sz="8" w:color="A6A6A6"/>
            </w:tcBorders>
            <w:gridSpan w:val="2"/>
          </w:tcPr>
          <w:p>
            <w:pPr>
              <w:ind w:left="160"/>
              <w:spacing w:after="0" w:line="120" w:lineRule="exact"/>
              <w:rPr>
                <w:sz w:val="20"/>
                <w:szCs w:val="20"/>
                <w:color w:val="auto"/>
              </w:rPr>
            </w:pPr>
            <w:r>
              <w:rPr>
                <w:rFonts w:ascii="Arial" w:cs="Arial" w:eastAsia="Arial" w:hAnsi="Arial"/>
                <w:sz w:val="11"/>
                <w:szCs w:val="11"/>
                <w:color w:val="auto"/>
              </w:rPr>
              <w:t>Net Earnings</w:t>
            </w:r>
          </w:p>
        </w:tc>
        <w:tc>
          <w:tcPr>
            <w:tcW w:w="500" w:type="dxa"/>
            <w:vAlign w:val="bottom"/>
            <w:tcBorders>
              <w:top w:val="single" w:sz="8" w:color="004483"/>
              <w:bottom w:val="single" w:sz="8" w:color="004483"/>
            </w:tcBorders>
          </w:tcPr>
          <w:p>
            <w:pPr>
              <w:jc w:val="right"/>
              <w:ind w:right="433"/>
              <w:spacing w:after="0"/>
              <w:rPr>
                <w:sz w:val="20"/>
                <w:szCs w:val="20"/>
                <w:color w:val="auto"/>
              </w:rPr>
            </w:pPr>
            <w:r>
              <w:rPr>
                <w:rFonts w:ascii="Arial" w:cs="Arial" w:eastAsia="Arial" w:hAnsi="Arial"/>
                <w:sz w:val="5"/>
                <w:szCs w:val="5"/>
                <w:color w:val="auto"/>
                <w:w w:val="70"/>
              </w:rPr>
              <w:t>$</w:t>
            </w:r>
          </w:p>
        </w:tc>
        <w:tc>
          <w:tcPr>
            <w:tcW w:w="12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2.25</w:t>
            </w:r>
          </w:p>
        </w:tc>
        <w:tc>
          <w:tcPr>
            <w:tcW w:w="100" w:type="dxa"/>
            <w:vAlign w:val="bottom"/>
          </w:tcPr>
          <w:p>
            <w:pPr>
              <w:spacing w:after="0"/>
              <w:rPr>
                <w:sz w:val="13"/>
                <w:szCs w:val="13"/>
                <w:color w:val="auto"/>
              </w:rPr>
            </w:pPr>
          </w:p>
        </w:tc>
        <w:tc>
          <w:tcPr>
            <w:tcW w:w="180" w:type="dxa"/>
            <w:vAlign w:val="bottom"/>
            <w:tcBorders>
              <w:top w:val="single" w:sz="8" w:color="A6A6A6"/>
              <w:bottom w:val="single" w:sz="8" w:color="A6A6A6"/>
            </w:tcBorders>
          </w:tcPr>
          <w:p>
            <w:pPr>
              <w:spacing w:after="0"/>
              <w:rPr>
                <w:sz w:val="13"/>
                <w:szCs w:val="13"/>
                <w:color w:val="auto"/>
              </w:rPr>
            </w:pPr>
          </w:p>
        </w:tc>
        <w:tc>
          <w:tcPr>
            <w:tcW w:w="1000" w:type="dxa"/>
            <w:vAlign w:val="bottom"/>
            <w:tcBorders>
              <w:top w:val="single" w:sz="8" w:color="004483"/>
              <w:bottom w:val="single" w:sz="8" w:color="004483"/>
            </w:tcBorders>
          </w:tcPr>
          <w:p>
            <w:pPr>
              <w:jc w:val="right"/>
              <w:ind w:right="89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color w:val="auto"/>
              </w:rPr>
              <w:t>2.31</w:t>
            </w:r>
          </w:p>
        </w:tc>
        <w:tc>
          <w:tcPr>
            <w:tcW w:w="120" w:type="dxa"/>
            <w:vAlign w:val="bottom"/>
          </w:tcPr>
          <w:p>
            <w:pPr>
              <w:spacing w:after="0"/>
              <w:rPr>
                <w:sz w:val="13"/>
                <w:szCs w:val="13"/>
                <w:color w:val="auto"/>
              </w:rPr>
            </w:pPr>
          </w:p>
        </w:tc>
      </w:tr>
      <w:tr>
        <w:trPr>
          <w:trHeight w:val="127"/>
        </w:trPr>
        <w:tc>
          <w:tcPr>
            <w:tcW w:w="7480" w:type="dxa"/>
            <w:vAlign w:val="bottom"/>
            <w:tcBorders>
              <w:bottom w:val="single" w:sz="8" w:color="A6A6A6"/>
            </w:tcBorders>
            <w:gridSpan w:val="2"/>
          </w:tcPr>
          <w:p>
            <w:pPr>
              <w:spacing w:after="0" w:line="121" w:lineRule="exact"/>
              <w:rPr>
                <w:sz w:val="20"/>
                <w:szCs w:val="20"/>
                <w:color w:val="auto"/>
              </w:rPr>
            </w:pPr>
            <w:r>
              <w:rPr>
                <w:rFonts w:ascii="Arial" w:cs="Arial" w:eastAsia="Arial" w:hAnsi="Arial"/>
                <w:sz w:val="11"/>
                <w:szCs w:val="11"/>
                <w:b w:val="1"/>
                <w:bCs w:val="1"/>
                <w:color w:val="auto"/>
              </w:rPr>
              <w:t>AVERAGE SHARES OUTSTANDING</w:t>
            </w:r>
          </w:p>
        </w:tc>
        <w:tc>
          <w:tcPr>
            <w:tcW w:w="500" w:type="dxa"/>
            <w:vAlign w:val="bottom"/>
            <w:tcBorders>
              <w:bottom w:val="single" w:sz="8" w:color="A6A6A6"/>
            </w:tcBorders>
          </w:tcPr>
          <w:p>
            <w:pPr>
              <w:spacing w:after="0"/>
              <w:rPr>
                <w:sz w:val="11"/>
                <w:szCs w:val="11"/>
                <w:color w:val="auto"/>
              </w:rPr>
            </w:pPr>
          </w:p>
        </w:tc>
        <w:tc>
          <w:tcPr>
            <w:tcW w:w="120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72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7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1"/>
                <w:szCs w:val="11"/>
                <w:color w:val="auto"/>
              </w:rPr>
              <w:t>Basic</w:t>
            </w:r>
          </w:p>
        </w:tc>
        <w:tc>
          <w:tcPr>
            <w:tcW w:w="500" w:type="dxa"/>
            <w:vAlign w:val="bottom"/>
            <w:tcBorders>
              <w:bottom w:val="single" w:sz="8" w:color="004483"/>
            </w:tcBorders>
          </w:tcPr>
          <w:p>
            <w:pPr>
              <w:spacing w:after="0"/>
              <w:rPr>
                <w:sz w:val="13"/>
                <w:szCs w:val="13"/>
                <w:color w:val="auto"/>
              </w:rPr>
            </w:pP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42,028,619</w:t>
            </w:r>
          </w:p>
        </w:tc>
        <w:tc>
          <w:tcPr>
            <w:tcW w:w="100" w:type="dxa"/>
            <w:vAlign w:val="bottom"/>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1000" w:type="dxa"/>
            <w:vAlign w:val="bottom"/>
            <w:tcBorders>
              <w:bottom w:val="single" w:sz="8" w:color="004483"/>
            </w:tcBorders>
          </w:tcPr>
          <w:p>
            <w:pPr>
              <w:spacing w:after="0"/>
              <w:rPr>
                <w:sz w:val="13"/>
                <w:szCs w:val="13"/>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41,410,794</w:t>
            </w:r>
          </w:p>
        </w:tc>
        <w:tc>
          <w:tcPr>
            <w:tcW w:w="120" w:type="dxa"/>
            <w:vAlign w:val="bottom"/>
          </w:tcPr>
          <w:p>
            <w:pPr>
              <w:spacing w:after="0"/>
              <w:rPr>
                <w:sz w:val="13"/>
                <w:szCs w:val="13"/>
                <w:color w:val="auto"/>
              </w:rPr>
            </w:pPr>
          </w:p>
        </w:tc>
      </w:tr>
      <w:tr>
        <w:trPr>
          <w:trHeight w:val="151"/>
        </w:trPr>
        <w:tc>
          <w:tcPr>
            <w:tcW w:w="7480" w:type="dxa"/>
            <w:vAlign w:val="bottom"/>
            <w:tcBorders>
              <w:bottom w:val="single" w:sz="8" w:color="A6A6A6"/>
            </w:tcBorders>
            <w:gridSpan w:val="2"/>
          </w:tcPr>
          <w:p>
            <w:pPr>
              <w:ind w:left="160"/>
              <w:spacing w:after="0" w:line="120" w:lineRule="exact"/>
              <w:rPr>
                <w:sz w:val="20"/>
                <w:szCs w:val="20"/>
                <w:color w:val="auto"/>
              </w:rPr>
            </w:pPr>
            <w:r>
              <w:rPr>
                <w:rFonts w:ascii="Arial" w:cs="Arial" w:eastAsia="Arial" w:hAnsi="Arial"/>
                <w:sz w:val="11"/>
                <w:szCs w:val="11"/>
                <w:color w:val="auto"/>
              </w:rPr>
              <w:t>Diluted</w:t>
            </w:r>
          </w:p>
        </w:tc>
        <w:tc>
          <w:tcPr>
            <w:tcW w:w="500" w:type="dxa"/>
            <w:vAlign w:val="bottom"/>
            <w:tcBorders>
              <w:bottom w:val="single" w:sz="8" w:color="004483"/>
            </w:tcBorders>
          </w:tcPr>
          <w:p>
            <w:pPr>
              <w:spacing w:after="0"/>
              <w:rPr>
                <w:sz w:val="13"/>
                <w:szCs w:val="13"/>
                <w:color w:val="auto"/>
              </w:rPr>
            </w:pP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42,437,366</w:t>
            </w:r>
          </w:p>
        </w:tc>
        <w:tc>
          <w:tcPr>
            <w:tcW w:w="100" w:type="dxa"/>
            <w:vAlign w:val="bottom"/>
            <w:tcBorders>
              <w:bottom w:val="single" w:sz="8" w:color="004483"/>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1000" w:type="dxa"/>
            <w:vAlign w:val="bottom"/>
            <w:tcBorders>
              <w:bottom w:val="single" w:sz="8" w:color="004483"/>
            </w:tcBorders>
          </w:tcPr>
          <w:p>
            <w:pPr>
              <w:spacing w:after="0"/>
              <w:rPr>
                <w:sz w:val="13"/>
                <w:szCs w:val="13"/>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41,563,268</w:t>
            </w:r>
          </w:p>
        </w:tc>
        <w:tc>
          <w:tcPr>
            <w:tcW w:w="120" w:type="dxa"/>
            <w:vAlign w:val="bottom"/>
          </w:tcPr>
          <w:p>
            <w:pPr>
              <w:spacing w:after="0"/>
              <w:rPr>
                <w:sz w:val="13"/>
                <w:szCs w:val="13"/>
                <w:color w:val="auto"/>
              </w:rPr>
            </w:pPr>
          </w:p>
        </w:tc>
      </w:tr>
      <w:tr>
        <w:trPr>
          <w:trHeight w:val="140"/>
        </w:trPr>
        <w:tc>
          <w:tcPr>
            <w:tcW w:w="7480" w:type="dxa"/>
            <w:vAlign w:val="bottom"/>
            <w:tcBorders>
              <w:bottom w:val="single" w:sz="8" w:color="A6A6A6"/>
            </w:tcBorders>
            <w:gridSpan w:val="2"/>
          </w:tcPr>
          <w:p>
            <w:pPr>
              <w:spacing w:after="0" w:line="121" w:lineRule="exact"/>
              <w:rPr>
                <w:sz w:val="20"/>
                <w:szCs w:val="20"/>
                <w:color w:val="auto"/>
              </w:rPr>
            </w:pPr>
            <w:r>
              <w:rPr>
                <w:rFonts w:ascii="Arial" w:cs="Arial" w:eastAsia="Arial" w:hAnsi="Arial"/>
                <w:sz w:val="11"/>
                <w:szCs w:val="11"/>
                <w:b w:val="1"/>
                <w:bCs w:val="1"/>
                <w:color w:val="auto"/>
              </w:rPr>
              <w:t>CASH DIVIDENDS PER SHARE</w:t>
            </w:r>
          </w:p>
        </w:tc>
        <w:tc>
          <w:tcPr>
            <w:tcW w:w="500" w:type="dxa"/>
            <w:vAlign w:val="bottom"/>
            <w:tcBorders>
              <w:bottom w:val="single" w:sz="8" w:color="004483"/>
            </w:tcBorders>
          </w:tcPr>
          <w:p>
            <w:pPr>
              <w:jc w:val="right"/>
              <w:ind w:right="433"/>
              <w:spacing w:after="0"/>
              <w:rPr>
                <w:sz w:val="20"/>
                <w:szCs w:val="20"/>
                <w:color w:val="auto"/>
              </w:rPr>
            </w:pPr>
            <w:r>
              <w:rPr>
                <w:rFonts w:ascii="Arial" w:cs="Arial" w:eastAsia="Arial" w:hAnsi="Arial"/>
                <w:sz w:val="5"/>
                <w:szCs w:val="5"/>
                <w:b w:val="1"/>
                <w:bCs w:val="1"/>
                <w:color w:val="auto"/>
                <w:w w:val="70"/>
              </w:rPr>
              <w:t>$</w:t>
            </w: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1000" w:type="dxa"/>
            <w:vAlign w:val="bottom"/>
            <w:tcBorders>
              <w:bottom w:val="single" w:sz="8" w:color="004483"/>
            </w:tcBorders>
          </w:tcPr>
          <w:p>
            <w:pPr>
              <w:jc w:val="right"/>
              <w:ind w:right="8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0.10</w:t>
            </w:r>
          </w:p>
        </w:tc>
        <w:tc>
          <w:tcPr>
            <w:tcW w:w="120" w:type="dxa"/>
            <w:vAlign w:val="bottom"/>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unaudited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EAGLE MATERIALS INC. AND SUBSIDIARIES CONSOLIDATED STATEMENTS OF COMPREHENSIVE EARNINGS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20" w:type="dxa"/>
            <w:vAlign w:val="bottom"/>
            <w:gridSpan w:val="4"/>
            <w:shd w:val="clear" w:color="auto" w:fill="004483"/>
          </w:tcPr>
          <w:p>
            <w:pPr>
              <w:jc w:val="right"/>
              <w:ind w:right="353"/>
              <w:spacing w:after="0"/>
              <w:rPr>
                <w:sz w:val="20"/>
                <w:szCs w:val="20"/>
                <w:color w:val="auto"/>
              </w:rPr>
            </w:pPr>
            <w:r>
              <w:rPr>
                <w:rFonts w:ascii="Arial" w:cs="Arial" w:eastAsia="Arial" w:hAnsi="Arial"/>
                <w:sz w:val="8"/>
                <w:szCs w:val="8"/>
                <w:b w:val="1"/>
                <w:bCs w:val="1"/>
                <w:color w:val="FFFFFF"/>
              </w:rPr>
              <w:t>For the Three Months Ended June 30,</w:t>
            </w:r>
          </w:p>
        </w:tc>
        <w:tc>
          <w:tcPr>
            <w:tcW w:w="6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20" w:type="dxa"/>
            <w:vAlign w:val="bottom"/>
            <w:tcBorders>
              <w:bottom w:val="single" w:sz="8" w:color="004483"/>
            </w:tcBorders>
            <w:gridSpan w:val="4"/>
          </w:tcPr>
          <w:p>
            <w:pPr>
              <w:jc w:val="right"/>
              <w:ind w:right="673"/>
              <w:spacing w:after="0"/>
              <w:rPr>
                <w:sz w:val="20"/>
                <w:szCs w:val="20"/>
                <w:color w:val="auto"/>
              </w:rPr>
            </w:pPr>
            <w:r>
              <w:rPr>
                <w:rFonts w:ascii="Arial" w:cs="Arial" w:eastAsia="Arial" w:hAnsi="Arial"/>
                <w:sz w:val="8"/>
                <w:szCs w:val="8"/>
                <w:color w:val="auto"/>
              </w:rPr>
              <w:t>(dollars in thousands)</w:t>
            </w:r>
          </w:p>
        </w:tc>
        <w:tc>
          <w:tcPr>
            <w:tcW w:w="6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Earnings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95,327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833"/>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96,206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Actuarial Change in Defined Benefit Plans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Amortization of Net Actuarial Loss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Tax Expense</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(9)</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(8)</w:t>
            </w:r>
          </w:p>
        </w:tc>
      </w:tr>
      <w:tr>
        <w:trPr>
          <w:trHeight w:val="142"/>
        </w:trPr>
        <w:tc>
          <w:tcPr>
            <w:tcW w:w="774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Comprehensive Earnings</w:t>
            </w:r>
          </w:p>
        </w:tc>
        <w:tc>
          <w:tcPr>
            <w:tcW w:w="560" w:type="dxa"/>
            <w:vAlign w:val="bottom"/>
            <w:tcBorders>
              <w:top w:val="single" w:sz="8" w:color="004483"/>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95,354</w:t>
            </w:r>
          </w:p>
        </w:tc>
        <w:tc>
          <w:tcPr>
            <w:tcW w:w="100" w:type="dxa"/>
            <w:vAlign w:val="bottom"/>
          </w:tcPr>
          <w:p>
            <w:pPr>
              <w:spacing w:after="0"/>
              <w:rPr>
                <w:sz w:val="12"/>
                <w:szCs w:val="12"/>
                <w:color w:val="auto"/>
              </w:rPr>
            </w:pPr>
          </w:p>
        </w:tc>
        <w:tc>
          <w:tcPr>
            <w:tcW w:w="200" w:type="dxa"/>
            <w:vAlign w:val="bottom"/>
            <w:tcBorders>
              <w:top w:val="single" w:sz="8" w:color="A6A6A6"/>
            </w:tcBorders>
          </w:tcPr>
          <w:p>
            <w:pPr>
              <w:spacing w:after="0"/>
              <w:rPr>
                <w:sz w:val="12"/>
                <w:szCs w:val="12"/>
                <w:color w:val="auto"/>
              </w:rPr>
            </w:pPr>
          </w:p>
        </w:tc>
        <w:tc>
          <w:tcPr>
            <w:tcW w:w="900" w:type="dxa"/>
            <w:vAlign w:val="bottom"/>
            <w:tcBorders>
              <w:top w:val="single" w:sz="8" w:color="004483"/>
              <w:bottom w:val="single" w:sz="8" w:color="004483"/>
            </w:tcBorders>
          </w:tcPr>
          <w:p>
            <w:pPr>
              <w:jc w:val="right"/>
              <w:ind w:right="833"/>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96,231</w:t>
            </w:r>
          </w:p>
        </w:tc>
        <w:tc>
          <w:tcPr>
            <w:tcW w:w="120" w:type="dxa"/>
            <w:vAlign w:val="bottom"/>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unaudited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color w:val="auto"/>
        </w:rPr>
        <w:t>EAGLE MATERIALS INC. AND SUBSIDIARIES CONSOLIDATED BALANCE SHEETS (unaudited)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20" w:type="dxa"/>
            <w:vAlign w:val="bottom"/>
          </w:tcPr>
          <w:p>
            <w:pPr>
              <w:spacing w:after="0"/>
              <w:rPr>
                <w:sz w:val="13"/>
                <w:szCs w:val="13"/>
                <w:color w:val="auto"/>
              </w:rPr>
            </w:pPr>
          </w:p>
        </w:tc>
        <w:tc>
          <w:tcPr>
            <w:tcW w:w="2140" w:type="dxa"/>
            <w:vAlign w:val="bottom"/>
            <w:shd w:val="clear" w:color="auto" w:fill="004483"/>
          </w:tcPr>
          <w:p>
            <w:pPr>
              <w:jc w:val="right"/>
              <w:ind w:right="818"/>
              <w:spacing w:after="0"/>
              <w:rPr>
                <w:sz w:val="20"/>
                <w:szCs w:val="20"/>
                <w:color w:val="auto"/>
              </w:rPr>
            </w:pPr>
            <w:r>
              <w:rPr>
                <w:rFonts w:ascii="Arial" w:cs="Arial" w:eastAsia="Arial" w:hAnsi="Arial"/>
                <w:sz w:val="8"/>
                <w:szCs w:val="8"/>
                <w:b w:val="1"/>
                <w:bCs w:val="1"/>
                <w:color w:val="FFFFFF"/>
              </w:rPr>
              <w:t>June 30,</w:t>
            </w:r>
          </w:p>
        </w:tc>
        <w:tc>
          <w:tcPr>
            <w:tcW w:w="840" w:type="dxa"/>
            <w:vAlign w:val="bottom"/>
            <w:gridSpan w:val="2"/>
            <w:shd w:val="clear" w:color="auto" w:fill="004483"/>
          </w:tcPr>
          <w:p>
            <w:pPr>
              <w:jc w:val="right"/>
              <w:ind w:right="12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8320" w:type="dxa"/>
            <w:vAlign w:val="bottom"/>
          </w:tcPr>
          <w:p>
            <w:pPr>
              <w:spacing w:after="0"/>
              <w:rPr>
                <w:sz w:val="8"/>
                <w:szCs w:val="8"/>
                <w:color w:val="auto"/>
              </w:rPr>
            </w:pPr>
          </w:p>
        </w:tc>
        <w:tc>
          <w:tcPr>
            <w:tcW w:w="2140" w:type="dxa"/>
            <w:vAlign w:val="bottom"/>
          </w:tcPr>
          <w:p>
            <w:pPr>
              <w:jc w:val="right"/>
              <w:ind w:right="818"/>
              <w:spacing w:after="0"/>
              <w:rPr>
                <w:sz w:val="20"/>
                <w:szCs w:val="20"/>
                <w:color w:val="auto"/>
              </w:rPr>
            </w:pPr>
            <w:r>
              <w:rPr>
                <w:rFonts w:ascii="Arial" w:cs="Arial" w:eastAsia="Arial" w:hAnsi="Arial"/>
                <w:sz w:val="8"/>
                <w:szCs w:val="8"/>
                <w:b w:val="1"/>
                <w:bCs w:val="1"/>
                <w:color w:val="auto"/>
              </w:rPr>
              <w:t>2021</w:t>
            </w: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r>
      <w:tr>
        <w:trPr>
          <w:trHeight w:val="99"/>
        </w:trPr>
        <w:tc>
          <w:tcPr>
            <w:tcW w:w="8320" w:type="dxa"/>
            <w:vAlign w:val="bottom"/>
            <w:tcBorders>
              <w:bottom w:val="single" w:sz="8" w:color="004483"/>
            </w:tcBorders>
          </w:tcPr>
          <w:p>
            <w:pPr>
              <w:spacing w:after="0"/>
              <w:rPr>
                <w:sz w:val="8"/>
                <w:szCs w:val="8"/>
                <w:color w:val="auto"/>
              </w:rPr>
            </w:pPr>
          </w:p>
        </w:tc>
        <w:tc>
          <w:tcPr>
            <w:tcW w:w="2140" w:type="dxa"/>
            <w:vAlign w:val="bottom"/>
            <w:tcBorders>
              <w:bottom w:val="single" w:sz="8" w:color="004483"/>
            </w:tcBorders>
          </w:tcPr>
          <w:p>
            <w:pPr>
              <w:jc w:val="right"/>
              <w:ind w:right="298"/>
              <w:spacing w:after="0"/>
              <w:rPr>
                <w:sz w:val="20"/>
                <w:szCs w:val="20"/>
                <w:color w:val="auto"/>
              </w:rPr>
            </w:pPr>
            <w:r>
              <w:rPr>
                <w:rFonts w:ascii="Arial" w:cs="Arial" w:eastAsia="Arial" w:hAnsi="Arial"/>
                <w:sz w:val="8"/>
                <w:szCs w:val="8"/>
                <w:color w:val="auto"/>
              </w:rPr>
              <w:t>(dollars in thousands)</w:t>
            </w:r>
          </w:p>
        </w:tc>
        <w:tc>
          <w:tcPr>
            <w:tcW w:w="72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bl>
    <w:p>
      <w:pPr>
        <w:spacing w:after="0" w:line="1" w:lineRule="exact"/>
        <w:rPr>
          <w:sz w:val="20"/>
          <w:szCs w:val="20"/>
          <w:color w:val="auto"/>
        </w:rPr>
      </w:pPr>
    </w:p>
    <w:p>
      <w:pPr>
        <w:sectPr>
          <w:pgSz w:w="11900" w:h="16838" w:orient="portrait"/>
          <w:cols w:equalWidth="0" w:num="1">
            <w:col w:w="11300"/>
          </w:cols>
          <w:pgMar w:left="300" w:top="440" w:right="299" w:bottom="1440" w:gutter="0" w:footer="0" w:header="0"/>
        </w:sectPr>
      </w:pPr>
    </w:p>
    <w:p>
      <w:pPr>
        <w:spacing w:after="0"/>
        <w:rPr>
          <w:sz w:val="20"/>
          <w:szCs w:val="20"/>
          <w:color w:val="auto"/>
        </w:rPr>
      </w:pPr>
      <w:r>
        <w:rPr>
          <w:rFonts w:ascii="Arial" w:cs="Arial" w:eastAsia="Arial" w:hAnsi="Arial"/>
          <w:sz w:val="11"/>
          <w:szCs w:val="11"/>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10362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03620" cy="571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Current Assets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83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Cash and Cash Equivalents</w:t>
            </w:r>
          </w:p>
        </w:tc>
        <w:tc>
          <w:tcPr>
            <w:tcW w:w="440" w:type="dxa"/>
            <w:vAlign w:val="bottom"/>
            <w:tcBorders>
              <w:top w:val="single" w:sz="8" w:color="A6A6A6"/>
              <w:bottom w:val="single" w:sz="8" w:color="A6A6A6"/>
            </w:tcBorders>
          </w:tcPr>
          <w:p>
            <w:pPr>
              <w:jc w:val="right"/>
              <w:ind w:right="33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306,542</w:t>
            </w:r>
          </w:p>
        </w:tc>
      </w:tr>
      <w:tr>
        <w:trPr>
          <w:trHeight w:val="131"/>
        </w:trPr>
        <w:tc>
          <w:tcPr>
            <w:tcW w:w="832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Restricted Cash</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5,000</w:t>
            </w:r>
          </w:p>
        </w:tc>
      </w:tr>
      <w:tr>
        <w:trPr>
          <w:trHeight w:val="130"/>
        </w:trPr>
        <w:tc>
          <w:tcPr>
            <w:tcW w:w="8320" w:type="dxa"/>
            <w:vAlign w:val="bottom"/>
          </w:tcPr>
          <w:p>
            <w:pPr>
              <w:ind w:left="160"/>
              <w:spacing w:after="0"/>
              <w:rPr>
                <w:sz w:val="20"/>
                <w:szCs w:val="20"/>
                <w:color w:val="auto"/>
              </w:rPr>
            </w:pPr>
            <w:r>
              <w:rPr>
                <w:rFonts w:ascii="Arial" w:cs="Arial" w:eastAsia="Arial" w:hAnsi="Arial"/>
                <w:sz w:val="11"/>
                <w:szCs w:val="11"/>
                <w:color w:val="auto"/>
              </w:rPr>
              <w:t>Accounts Receivable, net of allowances of $7.0 at June 30, 2021</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8"/>
        </w:trPr>
        <w:tc>
          <w:tcPr>
            <w:tcW w:w="832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and $8.1 at March 31, 2021</w:t>
            </w:r>
          </w:p>
        </w:tc>
        <w:tc>
          <w:tcPr>
            <w:tcW w:w="440" w:type="dxa"/>
            <w:vAlign w:val="bottom"/>
            <w:tcBorders>
              <w:bottom w:val="single" w:sz="8" w:color="A6A6A6"/>
            </w:tcBorders>
          </w:tcPr>
          <w:p>
            <w:pPr>
              <w:spacing w:after="0"/>
              <w:rPr>
                <w:sz w:val="12"/>
                <w:szCs w:val="12"/>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187,411</w:t>
            </w:r>
          </w:p>
        </w:tc>
      </w:tr>
      <w:tr>
        <w:trPr>
          <w:trHeight w:val="133"/>
        </w:trPr>
        <w:tc>
          <w:tcPr>
            <w:tcW w:w="832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Inventories</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217,052</w:t>
            </w:r>
          </w:p>
        </w:tc>
      </w:tr>
      <w:tr>
        <w:trPr>
          <w:trHeight w:val="133"/>
        </w:trPr>
        <w:tc>
          <w:tcPr>
            <w:tcW w:w="832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Income Tax Receivable</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r>
      <w:tr>
        <w:trPr>
          <w:trHeight w:val="133"/>
        </w:trPr>
        <w:tc>
          <w:tcPr>
            <w:tcW w:w="832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Prepaid and Other Assets</w:t>
            </w:r>
          </w:p>
        </w:tc>
        <w:tc>
          <w:tcPr>
            <w:tcW w:w="4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15,298</w:t>
            </w:r>
          </w:p>
        </w:tc>
      </w:tr>
      <w:tr>
        <w:trPr>
          <w:trHeight w:val="133"/>
        </w:trPr>
        <w:tc>
          <w:tcPr>
            <w:tcW w:w="832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Total Current Assets</w:t>
            </w:r>
          </w:p>
        </w:tc>
        <w:tc>
          <w:tcPr>
            <w:tcW w:w="4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731,303</w:t>
            </w: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Property, Plant, and Equipment, net</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1,641,063</w:t>
            </w: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Notes Receivable</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8,485</w:t>
            </w: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Investment in Joint Venture</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76,369</w:t>
            </w: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Operating Lease Right-of-Use Assets</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24,776</w:t>
            </w: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Goodwill and Intangible Assets, net</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391,211</w:t>
            </w: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Other Assets</w:t>
            </w:r>
          </w:p>
        </w:tc>
        <w:tc>
          <w:tcPr>
            <w:tcW w:w="4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17,623</w:t>
            </w:r>
          </w:p>
        </w:tc>
      </w:tr>
      <w:tr>
        <w:trPr>
          <w:trHeight w:val="153"/>
        </w:trPr>
        <w:tc>
          <w:tcPr>
            <w:tcW w:w="8320" w:type="dxa"/>
            <w:vAlign w:val="bottom"/>
            <w:tcBorders>
              <w:bottom w:val="single" w:sz="8" w:color="A6A6A6"/>
            </w:tcBorders>
          </w:tcPr>
          <w:p>
            <w:pPr>
              <w:spacing w:after="0"/>
              <w:rPr>
                <w:sz w:val="13"/>
                <w:szCs w:val="13"/>
                <w:color w:val="auto"/>
              </w:rPr>
            </w:pP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2,890,830</w:t>
            </w:r>
          </w:p>
        </w:tc>
      </w:tr>
      <w:tr>
        <w:trPr>
          <w:trHeight w:val="120"/>
        </w:trPr>
        <w:tc>
          <w:tcPr>
            <w:tcW w:w="8320" w:type="dxa"/>
            <w:vAlign w:val="bottom"/>
          </w:tcPr>
          <w:p>
            <w:pPr>
              <w:spacing w:after="0" w:line="120" w:lineRule="exact"/>
              <w:rPr>
                <w:sz w:val="20"/>
                <w:szCs w:val="20"/>
                <w:color w:val="auto"/>
              </w:rPr>
            </w:pPr>
            <w:r>
              <w:rPr>
                <w:rFonts w:ascii="Arial" w:cs="Arial" w:eastAsia="Arial" w:hAnsi="Arial"/>
                <w:sz w:val="11"/>
                <w:szCs w:val="11"/>
                <w:b w:val="1"/>
                <w:bCs w:val="1"/>
                <w:color w:val="auto"/>
              </w:rPr>
              <w:t>LIABILITIES AND STOCKHOLDERS’ EQUITY</w:t>
            </w: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928" w:hanging="928"/>
        <w:spacing w:after="0"/>
        <w:tabs>
          <w:tab w:leader="none" w:pos="928" w:val="left"/>
        </w:tabs>
        <w:numPr>
          <w:ilvl w:val="0"/>
          <w:numId w:val="2"/>
        </w:numPr>
        <w:rPr>
          <w:rFonts w:ascii="Arial" w:cs="Arial" w:eastAsia="Arial" w:hAnsi="Arial"/>
          <w:sz w:val="9"/>
          <w:szCs w:val="9"/>
          <w:color w:val="auto"/>
        </w:rPr>
      </w:pPr>
      <w:r>
        <w:rPr>
          <w:rFonts w:ascii="Arial" w:cs="Arial" w:eastAsia="Arial" w:hAnsi="Arial"/>
          <w:sz w:val="9"/>
          <w:szCs w:val="9"/>
          <w:color w:val="auto"/>
        </w:rPr>
        <w:t>263,520</w:t>
      </w:r>
    </w:p>
    <w:p>
      <w:pPr>
        <w:spacing w:after="0" w:line="49" w:lineRule="exact"/>
        <w:rPr>
          <w:rFonts w:ascii="Arial" w:cs="Arial" w:eastAsia="Arial" w:hAnsi="Arial"/>
          <w:sz w:val="9"/>
          <w:szCs w:val="9"/>
          <w:color w:val="auto"/>
        </w:rPr>
      </w:pPr>
    </w:p>
    <w:p>
      <w:pPr>
        <w:ind w:left="1048"/>
        <w:spacing w:after="0"/>
        <w:rPr>
          <w:rFonts w:ascii="Arial" w:cs="Arial" w:eastAsia="Arial" w:hAnsi="Arial"/>
          <w:sz w:val="9"/>
          <w:szCs w:val="9"/>
          <w:color w:val="auto"/>
        </w:rPr>
      </w:pPr>
      <w:r>
        <w:rPr>
          <w:rFonts w:ascii="Arial" w:cs="Arial" w:eastAsia="Arial" w:hAnsi="Arial"/>
          <w:sz w:val="9"/>
          <w:szCs w:val="9"/>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23495</wp:posOffset>
            </wp:positionV>
            <wp:extent cx="93726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7260" cy="571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-73025</wp:posOffset>
            </wp:positionV>
            <wp:extent cx="93726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7260" cy="571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-170180</wp:posOffset>
            </wp:positionV>
            <wp:extent cx="93726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7260" cy="571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-267335</wp:posOffset>
            </wp:positionV>
            <wp:extent cx="93726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165"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147,133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235,749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2,838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661,689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1,659,100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8,419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75,399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25,811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392,315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15,948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8890</wp:posOffset>
            </wp:positionV>
            <wp:extent cx="9372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3" w:lineRule="exact"/>
        <w:rPr>
          <w:sz w:val="20"/>
          <w:szCs w:val="20"/>
          <w:color w:val="auto"/>
        </w:rPr>
      </w:pPr>
    </w:p>
    <w:p>
      <w:pPr>
        <w:ind w:left="848" w:hanging="848"/>
        <w:spacing w:after="0"/>
        <w:tabs>
          <w:tab w:leader="none" w:pos="848" w:val="left"/>
        </w:tabs>
        <w:numPr>
          <w:ilvl w:val="0"/>
          <w:numId w:val="3"/>
        </w:numPr>
        <w:rPr>
          <w:rFonts w:ascii="Arial" w:cs="Arial" w:eastAsia="Arial" w:hAnsi="Arial"/>
          <w:sz w:val="9"/>
          <w:szCs w:val="9"/>
          <w:b w:val="1"/>
          <w:bCs w:val="1"/>
          <w:color w:val="auto"/>
        </w:rPr>
      </w:pPr>
      <w:r>
        <w:rPr>
          <w:rFonts w:ascii="Arial" w:cs="Arial" w:eastAsia="Arial" w:hAnsi="Arial"/>
          <w:sz w:val="9"/>
          <w:szCs w:val="9"/>
          <w:b w:val="1"/>
          <w:bCs w:val="1"/>
          <w:color w:val="auto"/>
        </w:rPr>
        <w:t>2,838,681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26035</wp:posOffset>
            </wp:positionV>
            <wp:extent cx="9372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7260" cy="1714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9600" w:space="292"/>
            <w:col w:w="1408"/>
          </w:cols>
          <w:pgMar w:left="300" w:top="440" w:right="29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83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Current Liabilities</w:t>
            </w:r>
          </w:p>
        </w:tc>
        <w:tc>
          <w:tcPr>
            <w:tcW w:w="440" w:type="dxa"/>
            <w:vAlign w:val="bottom"/>
            <w:tcBorders>
              <w:top w:val="single" w:sz="8" w:color="A6A6A6"/>
              <w:bottom w:val="single" w:sz="8" w:color="A6A6A6"/>
            </w:tcBorders>
          </w:tcPr>
          <w:p>
            <w:pPr>
              <w:spacing w:after="0"/>
              <w:rPr>
                <w:sz w:val="12"/>
                <w:szCs w:val="12"/>
                <w:color w:val="auto"/>
              </w:rPr>
            </w:pPr>
          </w:p>
        </w:tc>
        <w:tc>
          <w:tcPr>
            <w:tcW w:w="840" w:type="dxa"/>
            <w:vAlign w:val="bottom"/>
            <w:tcBorders>
              <w:top w:val="single" w:sz="8" w:color="A6A6A6"/>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6A6A6"/>
              <w:bottom w:val="single" w:sz="8" w:color="A6A6A6"/>
            </w:tcBorders>
          </w:tcPr>
          <w:p>
            <w:pPr>
              <w:spacing w:after="0"/>
              <w:rPr>
                <w:sz w:val="12"/>
                <w:szCs w:val="12"/>
                <w:color w:val="auto"/>
              </w:rPr>
            </w:pPr>
          </w:p>
        </w:tc>
        <w:tc>
          <w:tcPr>
            <w:tcW w:w="440" w:type="dxa"/>
            <w:vAlign w:val="bottom"/>
            <w:tcBorders>
              <w:top w:val="single" w:sz="8" w:color="A6A6A6"/>
              <w:bottom w:val="single" w:sz="8" w:color="A6A6A6"/>
            </w:tcBorders>
          </w:tcPr>
          <w:p>
            <w:pPr>
              <w:spacing w:after="0"/>
              <w:rPr>
                <w:sz w:val="12"/>
                <w:szCs w:val="12"/>
                <w:color w:val="auto"/>
              </w:rPr>
            </w:pPr>
          </w:p>
        </w:tc>
        <w:tc>
          <w:tcPr>
            <w:tcW w:w="840" w:type="dxa"/>
            <w:vAlign w:val="bottom"/>
            <w:tcBorders>
              <w:top w:val="single" w:sz="8" w:color="A6A6A6"/>
              <w:bottom w:val="single" w:sz="8" w:color="A6A6A6"/>
            </w:tcBorders>
          </w:tcPr>
          <w:p>
            <w:pPr>
              <w:spacing w:after="0"/>
              <w:rPr>
                <w:sz w:val="12"/>
                <w:szCs w:val="12"/>
                <w:color w:val="auto"/>
              </w:rPr>
            </w:pPr>
          </w:p>
        </w:tc>
        <w:tc>
          <w:tcPr>
            <w:tcW w:w="40" w:type="dxa"/>
            <w:vAlign w:val="bottom"/>
          </w:tcPr>
          <w:p>
            <w:pPr>
              <w:spacing w:after="0"/>
              <w:rPr>
                <w:sz w:val="12"/>
                <w:szCs w:val="12"/>
                <w:color w:val="auto"/>
              </w:rPr>
            </w:pPr>
          </w:p>
        </w:tc>
      </w:tr>
      <w:tr>
        <w:trPr>
          <w:trHeight w:val="133"/>
        </w:trPr>
        <w:tc>
          <w:tcPr>
            <w:tcW w:w="832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Accounts Payable</w:t>
            </w:r>
          </w:p>
        </w:tc>
        <w:tc>
          <w:tcPr>
            <w:tcW w:w="440" w:type="dxa"/>
            <w:vAlign w:val="bottom"/>
            <w:tcBorders>
              <w:bottom w:val="single" w:sz="8" w:color="A6A6A6"/>
            </w:tcBorders>
          </w:tcPr>
          <w:p>
            <w:pPr>
              <w:jc w:val="right"/>
              <w:ind w:right="3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96,923</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jc w:val="right"/>
              <w:ind w:right="373"/>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84,171</w:t>
            </w:r>
          </w:p>
        </w:tc>
        <w:tc>
          <w:tcPr>
            <w:tcW w:w="40" w:type="dxa"/>
            <w:vAlign w:val="bottom"/>
          </w:tcPr>
          <w:p>
            <w:pPr>
              <w:spacing w:after="0"/>
              <w:rPr>
                <w:sz w:val="11"/>
                <w:szCs w:val="11"/>
                <w:color w:val="auto"/>
              </w:rPr>
            </w:pPr>
          </w:p>
        </w:tc>
      </w:tr>
      <w:tr>
        <w:trPr>
          <w:trHeight w:val="133"/>
        </w:trPr>
        <w:tc>
          <w:tcPr>
            <w:tcW w:w="832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Accrued Liabilities</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74,947</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78,840</w:t>
            </w:r>
          </w:p>
        </w:tc>
        <w:tc>
          <w:tcPr>
            <w:tcW w:w="40" w:type="dxa"/>
            <w:vAlign w:val="bottom"/>
          </w:tcPr>
          <w:p>
            <w:pPr>
              <w:spacing w:after="0"/>
              <w:rPr>
                <w:sz w:val="11"/>
                <w:szCs w:val="11"/>
                <w:color w:val="auto"/>
              </w:rPr>
            </w:pPr>
          </w:p>
        </w:tc>
      </w:tr>
      <w:tr>
        <w:trPr>
          <w:trHeight w:val="133"/>
        </w:trPr>
        <w:tc>
          <w:tcPr>
            <w:tcW w:w="8320" w:type="dxa"/>
            <w:vAlign w:val="bottom"/>
          </w:tcPr>
          <w:p>
            <w:pPr>
              <w:ind w:left="160"/>
              <w:spacing w:after="0"/>
              <w:rPr>
                <w:sz w:val="20"/>
                <w:szCs w:val="20"/>
                <w:color w:val="auto"/>
              </w:rPr>
            </w:pPr>
            <w:r>
              <w:rPr>
                <w:rFonts w:ascii="Arial" w:cs="Arial" w:eastAsia="Arial" w:hAnsi="Arial"/>
                <w:sz w:val="11"/>
                <w:szCs w:val="11"/>
                <w:color w:val="auto"/>
              </w:rPr>
              <w:t>Income Taxes Payable</w:t>
            </w:r>
          </w:p>
        </w:tc>
        <w:tc>
          <w:tcPr>
            <w:tcW w:w="4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11,016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33"/>
        </w:trPr>
        <w:tc>
          <w:tcPr>
            <w:tcW w:w="83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Operating Lease Liabilities</w:t>
            </w:r>
          </w:p>
        </w:tc>
        <w:tc>
          <w:tcPr>
            <w:tcW w:w="440" w:type="dxa"/>
            <w:vAlign w:val="bottom"/>
            <w:tcBorders>
              <w:top w:val="single" w:sz="8" w:color="A6A6A6"/>
              <w:bottom w:val="single" w:sz="8" w:color="004483"/>
            </w:tcBorders>
          </w:tcPr>
          <w:p>
            <w:pPr>
              <w:spacing w:after="0"/>
              <w:rPr>
                <w:sz w:val="11"/>
                <w:szCs w:val="11"/>
                <w:color w:val="auto"/>
              </w:rPr>
            </w:pPr>
          </w:p>
        </w:tc>
        <w:tc>
          <w:tcPr>
            <w:tcW w:w="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6,127</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440" w:type="dxa"/>
            <w:vAlign w:val="bottom"/>
            <w:tcBorders>
              <w:top w:val="single" w:sz="8" w:color="A6A6A6"/>
              <w:bottom w:val="single" w:sz="8" w:color="004483"/>
            </w:tcBorders>
          </w:tcPr>
          <w:p>
            <w:pPr>
              <w:spacing w:after="0"/>
              <w:rPr>
                <w:sz w:val="11"/>
                <w:szCs w:val="11"/>
                <w:color w:val="auto"/>
              </w:rPr>
            </w:pPr>
          </w:p>
        </w:tc>
        <w:tc>
          <w:tcPr>
            <w:tcW w:w="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6,343</w:t>
            </w:r>
          </w:p>
        </w:tc>
        <w:tc>
          <w:tcPr>
            <w:tcW w:w="40" w:type="dxa"/>
            <w:vAlign w:val="bottom"/>
          </w:tcPr>
          <w:p>
            <w:pPr>
              <w:spacing w:after="0"/>
              <w:rPr>
                <w:sz w:val="11"/>
                <w:szCs w:val="11"/>
                <w:color w:val="auto"/>
              </w:rPr>
            </w:pPr>
          </w:p>
        </w:tc>
      </w:tr>
      <w:tr>
        <w:trPr>
          <w:trHeight w:val="133"/>
        </w:trPr>
        <w:tc>
          <w:tcPr>
            <w:tcW w:w="832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Total Current Liabilities</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189,013</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169,354</w:t>
            </w:r>
          </w:p>
        </w:tc>
        <w:tc>
          <w:tcPr>
            <w:tcW w:w="40" w:type="dxa"/>
            <w:vAlign w:val="bottom"/>
          </w:tcPr>
          <w:p>
            <w:pPr>
              <w:spacing w:after="0"/>
              <w:rPr>
                <w:sz w:val="11"/>
                <w:szCs w:val="11"/>
                <w:color w:val="auto"/>
              </w:rPr>
            </w:pP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Long-term Debt</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1,009,035</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1,008,616</w:t>
            </w:r>
          </w:p>
        </w:tc>
        <w:tc>
          <w:tcPr>
            <w:tcW w:w="40" w:type="dxa"/>
            <w:vAlign w:val="bottom"/>
          </w:tcPr>
          <w:p>
            <w:pPr>
              <w:spacing w:after="0"/>
              <w:rPr>
                <w:sz w:val="11"/>
                <w:szCs w:val="11"/>
                <w:color w:val="auto"/>
              </w:rPr>
            </w:pP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Noncurrent Operating Lease Liabilities</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32,763</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34,444</w:t>
            </w:r>
          </w:p>
        </w:tc>
        <w:tc>
          <w:tcPr>
            <w:tcW w:w="40" w:type="dxa"/>
            <w:vAlign w:val="bottom"/>
          </w:tcPr>
          <w:p>
            <w:pPr>
              <w:spacing w:after="0"/>
              <w:rPr>
                <w:sz w:val="11"/>
                <w:szCs w:val="11"/>
                <w:color w:val="auto"/>
              </w:rPr>
            </w:pP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Other Long-term Liabilities</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40,902</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41,291</w:t>
            </w:r>
          </w:p>
        </w:tc>
        <w:tc>
          <w:tcPr>
            <w:tcW w:w="40" w:type="dxa"/>
            <w:vAlign w:val="bottom"/>
          </w:tcPr>
          <w:p>
            <w:pPr>
              <w:spacing w:after="0"/>
              <w:rPr>
                <w:sz w:val="11"/>
                <w:szCs w:val="11"/>
                <w:color w:val="auto"/>
              </w:rPr>
            </w:pP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Deferred Income Taxes</w:t>
            </w:r>
          </w:p>
        </w:tc>
        <w:tc>
          <w:tcPr>
            <w:tcW w:w="4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227,785</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4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225,986</w:t>
            </w:r>
          </w:p>
        </w:tc>
        <w:tc>
          <w:tcPr>
            <w:tcW w:w="40" w:type="dxa"/>
            <w:vAlign w:val="bottom"/>
          </w:tcPr>
          <w:p>
            <w:pPr>
              <w:spacing w:after="0"/>
              <w:rPr>
                <w:sz w:val="11"/>
                <w:szCs w:val="11"/>
                <w:color w:val="auto"/>
              </w:rPr>
            </w:pPr>
          </w:p>
        </w:tc>
      </w:tr>
      <w:tr>
        <w:trPr>
          <w:trHeight w:val="133"/>
        </w:trPr>
        <w:tc>
          <w:tcPr>
            <w:tcW w:w="832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Total Liabilities</w:t>
            </w:r>
          </w:p>
        </w:tc>
        <w:tc>
          <w:tcPr>
            <w:tcW w:w="4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1,499,498</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4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1,479,691</w:t>
            </w:r>
          </w:p>
        </w:tc>
        <w:tc>
          <w:tcPr>
            <w:tcW w:w="40" w:type="dxa"/>
            <w:vAlign w:val="bottom"/>
          </w:tcPr>
          <w:p>
            <w:pPr>
              <w:spacing w:after="0"/>
              <w:rPr>
                <w:sz w:val="11"/>
                <w:szCs w:val="11"/>
                <w:color w:val="auto"/>
              </w:rPr>
            </w:pP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Stockholders’ Equity</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spacing w:after="0"/>
              <w:rPr>
                <w:sz w:val="11"/>
                <w:szCs w:val="11"/>
                <w:color w:val="auto"/>
              </w:rPr>
            </w:pPr>
          </w:p>
        </w:tc>
        <w:tc>
          <w:tcPr>
            <w:tcW w:w="40" w:type="dxa"/>
            <w:vAlign w:val="bottom"/>
          </w:tcPr>
          <w:p>
            <w:pPr>
              <w:spacing w:after="0"/>
              <w:rPr>
                <w:sz w:val="11"/>
                <w:szCs w:val="11"/>
                <w:color w:val="auto"/>
              </w:rPr>
            </w:pPr>
          </w:p>
        </w:tc>
      </w:tr>
      <w:tr>
        <w:trPr>
          <w:trHeight w:val="133"/>
        </w:trPr>
        <w:tc>
          <w:tcPr>
            <w:tcW w:w="8320" w:type="dxa"/>
            <w:vAlign w:val="bottom"/>
          </w:tcPr>
          <w:p>
            <w:pPr>
              <w:ind w:left="160"/>
              <w:spacing w:after="0"/>
              <w:rPr>
                <w:sz w:val="20"/>
                <w:szCs w:val="20"/>
                <w:color w:val="auto"/>
              </w:rPr>
            </w:pPr>
            <w:r>
              <w:rPr>
                <w:rFonts w:ascii="Arial" w:cs="Arial" w:eastAsia="Arial" w:hAnsi="Arial"/>
                <w:sz w:val="11"/>
                <w:szCs w:val="11"/>
                <w:color w:val="auto"/>
              </w:rPr>
              <w:t>Preferred Stock, Par Value $0.01; Authorized 5,000,000 Shares; None Issued</w:t>
            </w:r>
          </w:p>
        </w:tc>
        <w:tc>
          <w:tcPr>
            <w:tcW w:w="440" w:type="dxa"/>
            <w:vAlign w:val="bottom"/>
          </w:tcPr>
          <w:p>
            <w:pPr>
              <w:spacing w:after="0"/>
              <w:rPr>
                <w:sz w:val="11"/>
                <w:szCs w:val="1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130"/>
        </w:trPr>
        <w:tc>
          <w:tcPr>
            <w:tcW w:w="8320" w:type="dxa"/>
            <w:vAlign w:val="bottom"/>
            <w:tcBorders>
              <w:top w:val="single" w:sz="8" w:color="A6A6A6"/>
            </w:tcBorders>
          </w:tcPr>
          <w:p>
            <w:pPr>
              <w:ind w:left="160"/>
              <w:spacing w:after="0"/>
              <w:rPr>
                <w:sz w:val="20"/>
                <w:szCs w:val="20"/>
                <w:color w:val="auto"/>
              </w:rPr>
            </w:pPr>
            <w:r>
              <w:rPr>
                <w:rFonts w:ascii="Arial" w:cs="Arial" w:eastAsia="Arial" w:hAnsi="Arial"/>
                <w:sz w:val="11"/>
                <w:szCs w:val="11"/>
                <w:color w:val="auto"/>
              </w:rPr>
              <w:t>Common Stock, Par Value $0.01; Authorized 100,000,000 Shares;</w:t>
            </w:r>
          </w:p>
        </w:tc>
        <w:tc>
          <w:tcPr>
            <w:tcW w:w="440" w:type="dxa"/>
            <w:vAlign w:val="bottom"/>
            <w:tcBorders>
              <w:top w:val="single" w:sz="8" w:color="A6A6A6"/>
            </w:tcBorders>
          </w:tcPr>
          <w:p>
            <w:pPr>
              <w:spacing w:after="0"/>
              <w:rPr>
                <w:sz w:val="11"/>
                <w:szCs w:val="11"/>
                <w:color w:val="auto"/>
              </w:rPr>
            </w:pPr>
          </w:p>
        </w:tc>
        <w:tc>
          <w:tcPr>
            <w:tcW w:w="840" w:type="dxa"/>
            <w:vAlign w:val="bottom"/>
            <w:tcBorders>
              <w:top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6A6A6"/>
            </w:tcBorders>
          </w:tcPr>
          <w:p>
            <w:pPr>
              <w:spacing w:after="0"/>
              <w:rPr>
                <w:sz w:val="11"/>
                <w:szCs w:val="11"/>
                <w:color w:val="auto"/>
              </w:rPr>
            </w:pPr>
          </w:p>
        </w:tc>
        <w:tc>
          <w:tcPr>
            <w:tcW w:w="440" w:type="dxa"/>
            <w:vAlign w:val="bottom"/>
            <w:tcBorders>
              <w:top w:val="single" w:sz="8" w:color="A6A6A6"/>
            </w:tcBorders>
          </w:tcPr>
          <w:p>
            <w:pPr>
              <w:spacing w:after="0"/>
              <w:rPr>
                <w:sz w:val="11"/>
                <w:szCs w:val="11"/>
                <w:color w:val="auto"/>
              </w:rPr>
            </w:pPr>
          </w:p>
        </w:tc>
        <w:tc>
          <w:tcPr>
            <w:tcW w:w="840" w:type="dxa"/>
            <w:vAlign w:val="bottom"/>
            <w:tcBorders>
              <w:top w:val="single" w:sz="8" w:color="A6A6A6"/>
            </w:tcBorders>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8320" w:type="dxa"/>
            <w:vAlign w:val="bottom"/>
            <w:tcBorders>
              <w:bottom w:val="single" w:sz="8" w:color="A6A6A6"/>
            </w:tcBorders>
          </w:tcPr>
          <w:p>
            <w:pPr>
              <w:ind w:left="240"/>
              <w:spacing w:after="0"/>
              <w:rPr>
                <w:sz w:val="20"/>
                <w:szCs w:val="20"/>
                <w:color w:val="auto"/>
              </w:rPr>
            </w:pPr>
            <w:r>
              <w:rPr>
                <w:rFonts w:ascii="Arial" w:cs="Arial" w:eastAsia="Arial" w:hAnsi="Arial"/>
                <w:sz w:val="11"/>
                <w:szCs w:val="11"/>
                <w:color w:val="auto"/>
              </w:rPr>
              <w:t>Issued and Outstanding 42,101,619 and 42,370,878 Shares, respectively</w:t>
            </w:r>
          </w:p>
        </w:tc>
        <w:tc>
          <w:tcPr>
            <w:tcW w:w="440" w:type="dxa"/>
            <w:vAlign w:val="bottom"/>
            <w:tcBorders>
              <w:bottom w:val="single" w:sz="8" w:color="A6A6A6"/>
            </w:tcBorders>
          </w:tcPr>
          <w:p>
            <w:pPr>
              <w:spacing w:after="0"/>
              <w:rPr>
                <w:sz w:val="12"/>
                <w:szCs w:val="12"/>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421</w:t>
            </w:r>
          </w:p>
        </w:tc>
        <w:tc>
          <w:tcPr>
            <w:tcW w:w="120" w:type="dxa"/>
            <w:vAlign w:val="bottom"/>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440" w:type="dxa"/>
            <w:vAlign w:val="bottom"/>
            <w:tcBorders>
              <w:bottom w:val="single" w:sz="8" w:color="A6A6A6"/>
            </w:tcBorders>
          </w:tcPr>
          <w:p>
            <w:pPr>
              <w:spacing w:after="0"/>
              <w:rPr>
                <w:sz w:val="12"/>
                <w:szCs w:val="12"/>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424</w:t>
            </w:r>
          </w:p>
        </w:tc>
        <w:tc>
          <w:tcPr>
            <w:tcW w:w="40" w:type="dxa"/>
            <w:vAlign w:val="bottom"/>
          </w:tcPr>
          <w:p>
            <w:pPr>
              <w:spacing w:after="0"/>
              <w:rPr>
                <w:sz w:val="12"/>
                <w:szCs w:val="12"/>
                <w:color w:val="auto"/>
              </w:rPr>
            </w:pPr>
          </w:p>
        </w:tc>
      </w:tr>
      <w:tr>
        <w:trPr>
          <w:trHeight w:val="133"/>
        </w:trPr>
        <w:tc>
          <w:tcPr>
            <w:tcW w:w="83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Capital in Excess of Par Value</w:t>
            </w: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10,035</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440" w:type="dxa"/>
            <w:vAlign w:val="bottom"/>
            <w:tcBorders>
              <w:bottom w:val="single" w:sz="8" w:color="A6A6A6"/>
            </w:tcBorders>
          </w:tcPr>
          <w:p>
            <w:pPr>
              <w:spacing w:after="0"/>
              <w:rPr>
                <w:sz w:val="11"/>
                <w:szCs w:val="11"/>
                <w:color w:val="auto"/>
              </w:rPr>
            </w:pPr>
          </w:p>
        </w:tc>
        <w:tc>
          <w:tcPr>
            <w:tcW w:w="8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62,497</w:t>
            </w:r>
          </w:p>
        </w:tc>
        <w:tc>
          <w:tcPr>
            <w:tcW w:w="40" w:type="dxa"/>
            <w:vAlign w:val="bottom"/>
          </w:tcPr>
          <w:p>
            <w:pPr>
              <w:spacing w:after="0"/>
              <w:rPr>
                <w:sz w:val="11"/>
                <w:szCs w:val="11"/>
                <w:color w:val="auto"/>
              </w:rPr>
            </w:pPr>
          </w:p>
        </w:tc>
      </w:tr>
      <w:tr>
        <w:trPr>
          <w:trHeight w:val="133"/>
        </w:trPr>
        <w:tc>
          <w:tcPr>
            <w:tcW w:w="8320" w:type="dxa"/>
            <w:vAlign w:val="bottom"/>
          </w:tcPr>
          <w:p>
            <w:pPr>
              <w:spacing w:after="0"/>
              <w:rPr>
                <w:sz w:val="20"/>
                <w:szCs w:val="20"/>
                <w:color w:val="auto"/>
              </w:rPr>
            </w:pPr>
            <w:r>
              <w:rPr>
                <w:rFonts w:ascii="Arial" w:cs="Arial" w:eastAsia="Arial" w:hAnsi="Arial"/>
                <w:sz w:val="11"/>
                <w:szCs w:val="11"/>
                <w:color w:val="auto"/>
              </w:rPr>
              <w:t>Accumulated Other Comprehensive Losses</w:t>
            </w:r>
          </w:p>
        </w:tc>
        <w:tc>
          <w:tcPr>
            <w:tcW w:w="440" w:type="dxa"/>
            <w:vAlign w:val="bottom"/>
          </w:tcPr>
          <w:p>
            <w:pPr>
              <w:spacing w:after="0"/>
              <w:rPr>
                <w:sz w:val="11"/>
                <w:szCs w:val="1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1"/>
                <w:szCs w:val="11"/>
                <w:color w:val="auto"/>
              </w:rPr>
              <w:t>(3,413)</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(3,440)</w:t>
            </w:r>
          </w:p>
        </w:tc>
      </w:tr>
      <w:tr>
        <w:trPr>
          <w:trHeight w:val="133"/>
        </w:trPr>
        <w:tc>
          <w:tcPr>
            <w:tcW w:w="83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Retained Earnings</w:t>
            </w:r>
          </w:p>
        </w:tc>
        <w:tc>
          <w:tcPr>
            <w:tcW w:w="440" w:type="dxa"/>
            <w:vAlign w:val="bottom"/>
            <w:tcBorders>
              <w:top w:val="single" w:sz="8" w:color="A6A6A6"/>
              <w:bottom w:val="single" w:sz="8" w:color="004483"/>
            </w:tcBorders>
          </w:tcPr>
          <w:p>
            <w:pPr>
              <w:spacing w:after="0"/>
              <w:rPr>
                <w:sz w:val="11"/>
                <w:szCs w:val="11"/>
                <w:color w:val="auto"/>
              </w:rPr>
            </w:pPr>
          </w:p>
        </w:tc>
        <w:tc>
          <w:tcPr>
            <w:tcW w:w="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1,384,289</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440" w:type="dxa"/>
            <w:vAlign w:val="bottom"/>
            <w:tcBorders>
              <w:top w:val="single" w:sz="8" w:color="A6A6A6"/>
              <w:bottom w:val="single" w:sz="8" w:color="004483"/>
            </w:tcBorders>
          </w:tcPr>
          <w:p>
            <w:pPr>
              <w:spacing w:after="0"/>
              <w:rPr>
                <w:sz w:val="11"/>
                <w:szCs w:val="11"/>
                <w:color w:val="auto"/>
              </w:rPr>
            </w:pPr>
          </w:p>
        </w:tc>
        <w:tc>
          <w:tcPr>
            <w:tcW w:w="8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1,299,509</w:t>
            </w:r>
          </w:p>
        </w:tc>
        <w:tc>
          <w:tcPr>
            <w:tcW w:w="40" w:type="dxa"/>
            <w:vAlign w:val="bottom"/>
          </w:tcPr>
          <w:p>
            <w:pPr>
              <w:spacing w:after="0"/>
              <w:rPr>
                <w:sz w:val="11"/>
                <w:szCs w:val="11"/>
                <w:color w:val="auto"/>
              </w:rPr>
            </w:pPr>
          </w:p>
        </w:tc>
      </w:tr>
      <w:tr>
        <w:trPr>
          <w:trHeight w:val="133"/>
        </w:trPr>
        <w:tc>
          <w:tcPr>
            <w:tcW w:w="8320" w:type="dxa"/>
            <w:vAlign w:val="bottom"/>
          </w:tcPr>
          <w:p>
            <w:pPr>
              <w:ind w:left="320"/>
              <w:spacing w:after="0"/>
              <w:rPr>
                <w:sz w:val="20"/>
                <w:szCs w:val="20"/>
                <w:color w:val="auto"/>
              </w:rPr>
            </w:pPr>
            <w:r>
              <w:rPr>
                <w:rFonts w:ascii="Arial" w:cs="Arial" w:eastAsia="Arial" w:hAnsi="Arial"/>
                <w:sz w:val="11"/>
                <w:szCs w:val="11"/>
                <w:color w:val="auto"/>
              </w:rPr>
              <w:t>Total Stockholders’ Equity</w:t>
            </w:r>
          </w:p>
        </w:tc>
        <w:tc>
          <w:tcPr>
            <w:tcW w:w="4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1,391,332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bottom w:val="single" w:sz="8" w:color="004483"/>
            </w:tcBorders>
          </w:tcPr>
          <w:p>
            <w:pPr>
              <w:spacing w:after="0"/>
              <w:rPr>
                <w:sz w:val="11"/>
                <w:szCs w:val="11"/>
                <w:color w:val="auto"/>
              </w:rPr>
            </w:pP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1,358,990</w:t>
            </w:r>
          </w:p>
        </w:tc>
        <w:tc>
          <w:tcPr>
            <w:tcW w:w="40" w:type="dxa"/>
            <w:vAlign w:val="bottom"/>
          </w:tcPr>
          <w:p>
            <w:pPr>
              <w:spacing w:after="0"/>
              <w:rPr>
                <w:sz w:val="11"/>
                <w:szCs w:val="11"/>
                <w:color w:val="auto"/>
              </w:rPr>
            </w:pPr>
          </w:p>
        </w:tc>
      </w:tr>
      <w:tr>
        <w:trPr>
          <w:trHeight w:val="142"/>
        </w:trPr>
        <w:tc>
          <w:tcPr>
            <w:tcW w:w="8320" w:type="dxa"/>
            <w:vAlign w:val="bottom"/>
          </w:tcPr>
          <w:p>
            <w:pPr>
              <w:spacing w:after="0"/>
              <w:rPr>
                <w:sz w:val="12"/>
                <w:szCs w:val="12"/>
                <w:color w:val="auto"/>
              </w:rPr>
            </w:pPr>
          </w:p>
        </w:tc>
        <w:tc>
          <w:tcPr>
            <w:tcW w:w="440" w:type="dxa"/>
            <w:vAlign w:val="bottom"/>
            <w:tcBorders>
              <w:bottom w:val="single" w:sz="8" w:color="004483"/>
            </w:tcBorders>
          </w:tcPr>
          <w:p>
            <w:pPr>
              <w:jc w:val="right"/>
              <w:ind w:right="331"/>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2,890,830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004483"/>
            </w:tcBorders>
          </w:tcPr>
          <w:p>
            <w:pPr>
              <w:jc w:val="right"/>
              <w:ind w:right="373"/>
              <w:spacing w:after="0"/>
              <w:rPr>
                <w:sz w:val="20"/>
                <w:szCs w:val="20"/>
                <w:color w:val="auto"/>
              </w:rPr>
            </w:pPr>
            <w:r>
              <w:rPr>
                <w:rFonts w:ascii="Arial" w:cs="Arial" w:eastAsia="Arial" w:hAnsi="Arial"/>
                <w:sz w:val="5"/>
                <w:szCs w:val="5"/>
                <w:b w:val="1"/>
                <w:bCs w:val="1"/>
                <w:color w:val="auto"/>
                <w:w w:val="70"/>
              </w:rPr>
              <w:t>$</w:t>
            </w:r>
          </w:p>
        </w:tc>
        <w:tc>
          <w:tcPr>
            <w:tcW w:w="8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2,838,681</w:t>
            </w:r>
          </w:p>
        </w:tc>
        <w:tc>
          <w:tcPr>
            <w:tcW w:w="40" w:type="dxa"/>
            <w:vAlign w:val="bottom"/>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the unaudited consolidated financial statements.</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40" w:right="2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2"/>
          <w:szCs w:val="12"/>
          <w:b w:val="1"/>
          <w:bCs w:val="1"/>
          <w:color w:val="auto"/>
        </w:rPr>
        <w:t>EAGLE MATERIALS INC. AND SUBSIDIARIES CONSOLIDATED STATEMENTS OF CASH FLOWS (unaudited)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20" w:type="dxa"/>
            <w:vAlign w:val="bottom"/>
          </w:tcPr>
          <w:p>
            <w:pPr>
              <w:spacing w:after="0"/>
              <w:rPr>
                <w:sz w:val="13"/>
                <w:szCs w:val="13"/>
                <w:color w:val="auto"/>
              </w:rPr>
            </w:pPr>
          </w:p>
        </w:tc>
        <w:tc>
          <w:tcPr>
            <w:tcW w:w="520" w:type="dxa"/>
            <w:vAlign w:val="bottom"/>
            <w:shd w:val="clear" w:color="auto" w:fill="004483"/>
          </w:tcPr>
          <w:p>
            <w:pPr>
              <w:spacing w:after="0"/>
              <w:rPr>
                <w:sz w:val="13"/>
                <w:szCs w:val="13"/>
                <w:color w:val="auto"/>
              </w:rPr>
            </w:pPr>
          </w:p>
        </w:tc>
        <w:tc>
          <w:tcPr>
            <w:tcW w:w="2160" w:type="dxa"/>
            <w:vAlign w:val="bottom"/>
            <w:gridSpan w:val="4"/>
            <w:shd w:val="clear" w:color="auto" w:fill="004483"/>
          </w:tcPr>
          <w:p>
            <w:pPr>
              <w:jc w:val="right"/>
              <w:ind w:right="271"/>
              <w:spacing w:after="0"/>
              <w:rPr>
                <w:sz w:val="20"/>
                <w:szCs w:val="20"/>
                <w:color w:val="auto"/>
              </w:rPr>
            </w:pPr>
            <w:r>
              <w:rPr>
                <w:rFonts w:ascii="Arial" w:cs="Arial" w:eastAsia="Arial" w:hAnsi="Arial"/>
                <w:sz w:val="8"/>
                <w:szCs w:val="8"/>
                <w:b w:val="1"/>
                <w:bCs w:val="1"/>
                <w:color w:val="FFFFFF"/>
              </w:rPr>
              <w:t>For the Three Months Ended June 30,</w:t>
            </w:r>
          </w:p>
        </w:tc>
        <w:tc>
          <w:tcPr>
            <w:tcW w:w="6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820" w:type="dxa"/>
            <w:vAlign w:val="bottom"/>
            <w:tcBorders>
              <w:bottom w:val="single" w:sz="8" w:color="004483"/>
            </w:tcBorders>
          </w:tcPr>
          <w:p>
            <w:pPr>
              <w:spacing w:after="0"/>
              <w:rPr>
                <w:sz w:val="8"/>
                <w:szCs w:val="8"/>
                <w:color w:val="auto"/>
              </w:rPr>
            </w:pPr>
          </w:p>
        </w:tc>
        <w:tc>
          <w:tcPr>
            <w:tcW w:w="520" w:type="dxa"/>
            <w:vAlign w:val="bottom"/>
            <w:tcBorders>
              <w:bottom w:val="single" w:sz="8" w:color="004483"/>
            </w:tcBorders>
          </w:tcPr>
          <w:p>
            <w:pPr>
              <w:spacing w:after="0"/>
              <w:rPr>
                <w:sz w:val="8"/>
                <w:szCs w:val="8"/>
                <w:color w:val="auto"/>
              </w:rPr>
            </w:pPr>
          </w:p>
        </w:tc>
        <w:tc>
          <w:tcPr>
            <w:tcW w:w="2160" w:type="dxa"/>
            <w:vAlign w:val="bottom"/>
            <w:tcBorders>
              <w:bottom w:val="single" w:sz="8" w:color="004483"/>
            </w:tcBorders>
            <w:gridSpan w:val="4"/>
          </w:tcPr>
          <w:p>
            <w:pPr>
              <w:jc w:val="right"/>
              <w:ind w:right="591"/>
              <w:spacing w:after="0"/>
              <w:rPr>
                <w:sz w:val="20"/>
                <w:szCs w:val="20"/>
                <w:color w:val="auto"/>
              </w:rPr>
            </w:pPr>
            <w:r>
              <w:rPr>
                <w:rFonts w:ascii="Arial" w:cs="Arial" w:eastAsia="Arial" w:hAnsi="Arial"/>
                <w:sz w:val="8"/>
                <w:szCs w:val="8"/>
                <w:color w:val="auto"/>
              </w:rPr>
              <w:t>(dollars in thousands)</w:t>
            </w:r>
          </w:p>
        </w:tc>
        <w:tc>
          <w:tcPr>
            <w:tcW w:w="68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52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Earnings</w:t>
            </w:r>
          </w:p>
        </w:tc>
        <w:tc>
          <w:tcPr>
            <w:tcW w:w="520" w:type="dxa"/>
            <w:vAlign w:val="bottom"/>
            <w:tcBorders>
              <w:bottom w:val="single" w:sz="8" w:color="A6A6A6"/>
            </w:tcBorders>
          </w:tcPr>
          <w:p>
            <w:pPr>
              <w:jc w:val="right"/>
              <w:ind w:right="453"/>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95,327</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ind w:right="75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96,206</w:t>
            </w:r>
          </w:p>
        </w:tc>
        <w:tc>
          <w:tcPr>
            <w:tcW w:w="120" w:type="dxa"/>
            <w:vAlign w:val="bottom"/>
          </w:tcPr>
          <w:p>
            <w:pPr>
              <w:spacing w:after="0"/>
              <w:rPr>
                <w:sz w:val="11"/>
                <w:szCs w:val="11"/>
                <w:color w:val="auto"/>
              </w:rPr>
            </w:pPr>
          </w:p>
        </w:tc>
      </w:tr>
      <w:tr>
        <w:trPr>
          <w:trHeight w:val="130"/>
        </w:trPr>
        <w:tc>
          <w:tcPr>
            <w:tcW w:w="7820" w:type="dxa"/>
            <w:vAlign w:val="bottom"/>
          </w:tcPr>
          <w:p>
            <w:pPr>
              <w:spacing w:after="0"/>
              <w:rPr>
                <w:sz w:val="20"/>
                <w:szCs w:val="20"/>
                <w:color w:val="auto"/>
              </w:rPr>
            </w:pPr>
            <w:r>
              <w:rPr>
                <w:rFonts w:ascii="Arial" w:cs="Arial" w:eastAsia="Arial" w:hAnsi="Arial"/>
                <w:sz w:val="11"/>
                <w:szCs w:val="11"/>
                <w:color w:val="auto"/>
              </w:rPr>
              <w:t>Adjustments to Reconcile Net Earnings to Net Cash Provided</w:t>
            </w: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8"/>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by Operating Activities, Net of Effect of Non-Cash Activity</w:t>
            </w:r>
          </w:p>
        </w:tc>
        <w:tc>
          <w:tcPr>
            <w:tcW w:w="520" w:type="dxa"/>
            <w:vAlign w:val="bottom"/>
            <w:tcBorders>
              <w:bottom w:val="single" w:sz="8" w:color="A6A6A6"/>
            </w:tcBorders>
          </w:tcPr>
          <w:p>
            <w:pPr>
              <w:spacing w:after="0"/>
              <w:rPr>
                <w:sz w:val="12"/>
                <w:szCs w:val="12"/>
                <w:color w:val="auto"/>
              </w:rPr>
            </w:pPr>
          </w:p>
        </w:tc>
        <w:tc>
          <w:tcPr>
            <w:tcW w:w="100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860" w:type="dxa"/>
            <w:vAlign w:val="bottom"/>
            <w:tcBorders>
              <w:bottom w:val="single" w:sz="8" w:color="A6A6A6"/>
            </w:tcBorders>
          </w:tcPr>
          <w:p>
            <w:pPr>
              <w:spacing w:after="0"/>
              <w:rPr>
                <w:sz w:val="12"/>
                <w:szCs w:val="12"/>
                <w:color w:val="auto"/>
              </w:rPr>
            </w:pPr>
          </w:p>
        </w:tc>
        <w:tc>
          <w:tcPr>
            <w:tcW w:w="68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782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Depreciation, Depletion and Amortization</w:t>
            </w:r>
          </w:p>
        </w:tc>
        <w:tc>
          <w:tcPr>
            <w:tcW w:w="52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31,944</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31,937</w:t>
            </w: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Deferred Income Tax Provision</w:t>
            </w:r>
          </w:p>
        </w:tc>
        <w:tc>
          <w:tcPr>
            <w:tcW w:w="5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1,799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(3,736)</w:t>
            </w:r>
          </w:p>
        </w:tc>
      </w:tr>
      <w:tr>
        <w:trPr>
          <w:trHeight w:val="133"/>
        </w:trPr>
        <w:tc>
          <w:tcPr>
            <w:tcW w:w="78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Stock Compensation Expense</w:t>
            </w:r>
          </w:p>
        </w:tc>
        <w:tc>
          <w:tcPr>
            <w:tcW w:w="52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2,456</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4,760</w:t>
            </w: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Gain on Sale of Subsidiaries</w:t>
            </w:r>
          </w:p>
        </w:tc>
        <w:tc>
          <w:tcPr>
            <w:tcW w:w="5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(51,973)</w:t>
            </w: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Equity in Earnings of Unconsolidated Joint Venture</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(7,970)</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(7,796)</w:t>
            </w:r>
          </w:p>
        </w:tc>
      </w:tr>
      <w:tr>
        <w:trPr>
          <w:trHeight w:val="133"/>
        </w:trPr>
        <w:tc>
          <w:tcPr>
            <w:tcW w:w="78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Distributions from Joint Venture</w:t>
            </w:r>
          </w:p>
        </w:tc>
        <w:tc>
          <w:tcPr>
            <w:tcW w:w="52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7,000</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9,500</w:t>
            </w:r>
          </w:p>
        </w:tc>
        <w:tc>
          <w:tcPr>
            <w:tcW w:w="120" w:type="dxa"/>
            <w:vAlign w:val="bottom"/>
          </w:tcPr>
          <w:p>
            <w:pPr>
              <w:spacing w:after="0"/>
              <w:rPr>
                <w:sz w:val="11"/>
                <w:szCs w:val="11"/>
                <w:color w:val="auto"/>
              </w:rPr>
            </w:pPr>
          </w:p>
        </w:tc>
      </w:tr>
      <w:tr>
        <w:trPr>
          <w:trHeight w:val="133"/>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Changes in Operating Assets and Liabilities</w:t>
            </w:r>
          </w:p>
        </w:tc>
        <w:tc>
          <w:tcPr>
            <w:tcW w:w="52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Accounts and Notes Receivable</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(40,344)</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(45,878)</w:t>
            </w:r>
          </w:p>
        </w:tc>
      </w:tr>
      <w:tr>
        <w:trPr>
          <w:trHeight w:val="133"/>
        </w:trPr>
        <w:tc>
          <w:tcPr>
            <w:tcW w:w="78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Inventories</w:t>
            </w:r>
          </w:p>
        </w:tc>
        <w:tc>
          <w:tcPr>
            <w:tcW w:w="52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18,697</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23,091</w:t>
            </w: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Accounts Payable and Accrued Liabilities</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(2,938)</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4,398</w:t>
            </w:r>
          </w:p>
        </w:tc>
        <w:tc>
          <w:tcPr>
            <w:tcW w:w="120" w:type="dxa"/>
            <w:vAlign w:val="bottom"/>
          </w:tcPr>
          <w:p>
            <w:pPr>
              <w:spacing w:after="0"/>
              <w:rPr>
                <w:sz w:val="11"/>
                <w:szCs w:val="11"/>
                <w:color w:val="auto"/>
              </w:rPr>
            </w:pP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Other Assets</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(8,704)</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(2,030)</w:t>
            </w:r>
          </w:p>
        </w:tc>
      </w:tr>
      <w:tr>
        <w:trPr>
          <w:trHeight w:val="133"/>
        </w:trPr>
        <w:tc>
          <w:tcPr>
            <w:tcW w:w="78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Income Taxes Payable (Receivable)</w:t>
            </w:r>
          </w:p>
        </w:tc>
        <w:tc>
          <w:tcPr>
            <w:tcW w:w="520" w:type="dxa"/>
            <w:vAlign w:val="bottom"/>
            <w:tcBorders>
              <w:top w:val="single" w:sz="8" w:color="A6A6A6"/>
              <w:bottom w:val="single" w:sz="8" w:color="004483"/>
            </w:tcBorders>
          </w:tcPr>
          <w:p>
            <w:pPr>
              <w:spacing w:after="0"/>
              <w:rPr>
                <w:sz w:val="11"/>
                <w:szCs w:val="11"/>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13,854</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A6A6A6"/>
              <w:bottom w:val="single" w:sz="8" w:color="004483"/>
            </w:tcBorders>
          </w:tcPr>
          <w:p>
            <w:pPr>
              <w:spacing w:after="0"/>
              <w:rPr>
                <w:sz w:val="11"/>
                <w:szCs w:val="11"/>
                <w:color w:val="auto"/>
              </w:rPr>
            </w:pPr>
          </w:p>
        </w:tc>
        <w:tc>
          <w:tcPr>
            <w:tcW w:w="6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36,834</w:t>
            </w:r>
          </w:p>
        </w:tc>
        <w:tc>
          <w:tcPr>
            <w:tcW w:w="120" w:type="dxa"/>
            <w:vAlign w:val="bottom"/>
          </w:tcPr>
          <w:p>
            <w:pPr>
              <w:spacing w:after="0"/>
              <w:rPr>
                <w:sz w:val="11"/>
                <w:szCs w:val="11"/>
                <w:color w:val="auto"/>
              </w:rPr>
            </w:pPr>
          </w:p>
        </w:tc>
      </w:tr>
      <w:tr>
        <w:trPr>
          <w:trHeight w:val="133"/>
        </w:trPr>
        <w:tc>
          <w:tcPr>
            <w:tcW w:w="782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Net Cash Provided by Operating Activities</w:t>
            </w:r>
          </w:p>
        </w:tc>
        <w:tc>
          <w:tcPr>
            <w:tcW w:w="52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111,121</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60" w:type="dxa"/>
            <w:vAlign w:val="bottom"/>
            <w:tcBorders>
              <w:bottom w:val="single" w:sz="8" w:color="004483"/>
            </w:tcBorders>
          </w:tcPr>
          <w:p>
            <w:pPr>
              <w:spacing w:after="0"/>
              <w:rPr>
                <w:sz w:val="11"/>
                <w:szCs w:val="11"/>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95,313</w:t>
            </w:r>
          </w:p>
        </w:tc>
        <w:tc>
          <w:tcPr>
            <w:tcW w:w="120" w:type="dxa"/>
            <w:vAlign w:val="bottom"/>
          </w:tcPr>
          <w:p>
            <w:pPr>
              <w:spacing w:after="0"/>
              <w:rPr>
                <w:sz w:val="11"/>
                <w:szCs w:val="11"/>
                <w:color w:val="auto"/>
              </w:rPr>
            </w:pPr>
          </w:p>
        </w:tc>
      </w:tr>
      <w:tr>
        <w:trPr>
          <w:trHeight w:val="133"/>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520" w:type="dxa"/>
            <w:vAlign w:val="bottom"/>
            <w:tcBorders>
              <w:bottom w:val="single" w:sz="8" w:color="A6A6A6"/>
            </w:tcBorders>
          </w:tcPr>
          <w:p>
            <w:pPr>
              <w:spacing w:after="0"/>
              <w:rPr>
                <w:sz w:val="11"/>
                <w:szCs w:val="11"/>
                <w:color w:val="auto"/>
              </w:rPr>
            </w:pPr>
          </w:p>
        </w:tc>
        <w:tc>
          <w:tcPr>
            <w:tcW w:w="10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Additions to Property, Plant, and Equipment</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(11,935)</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(25,991)</w:t>
            </w:r>
          </w:p>
        </w:tc>
      </w:tr>
      <w:tr>
        <w:trPr>
          <w:trHeight w:val="133"/>
        </w:trPr>
        <w:tc>
          <w:tcPr>
            <w:tcW w:w="78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Sale of Businesses</w:t>
            </w:r>
          </w:p>
        </w:tc>
        <w:tc>
          <w:tcPr>
            <w:tcW w:w="520" w:type="dxa"/>
            <w:vAlign w:val="bottom"/>
            <w:tcBorders>
              <w:top w:val="single" w:sz="8" w:color="A6A6A6"/>
              <w:bottom w:val="single" w:sz="8" w:color="004483"/>
            </w:tcBorders>
          </w:tcPr>
          <w:p>
            <w:pPr>
              <w:spacing w:after="0"/>
              <w:rPr>
                <w:sz w:val="11"/>
                <w:szCs w:val="11"/>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A6A6A6"/>
              <w:bottom w:val="single" w:sz="8" w:color="004483"/>
            </w:tcBorders>
          </w:tcPr>
          <w:p>
            <w:pPr>
              <w:spacing w:after="0"/>
              <w:rPr>
                <w:sz w:val="11"/>
                <w:szCs w:val="11"/>
                <w:color w:val="auto"/>
              </w:rPr>
            </w:pPr>
          </w:p>
        </w:tc>
        <w:tc>
          <w:tcPr>
            <w:tcW w:w="6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93,482</w:t>
            </w:r>
          </w:p>
        </w:tc>
        <w:tc>
          <w:tcPr>
            <w:tcW w:w="120" w:type="dxa"/>
            <w:vAlign w:val="bottom"/>
          </w:tcPr>
          <w:p>
            <w:pPr>
              <w:spacing w:after="0"/>
              <w:rPr>
                <w:sz w:val="11"/>
                <w:szCs w:val="11"/>
                <w:color w:val="auto"/>
              </w:rPr>
            </w:pPr>
          </w:p>
        </w:tc>
      </w:tr>
      <w:tr>
        <w:trPr>
          <w:trHeight w:val="133"/>
        </w:trPr>
        <w:tc>
          <w:tcPr>
            <w:tcW w:w="7820" w:type="dxa"/>
            <w:vAlign w:val="bottom"/>
          </w:tcPr>
          <w:p>
            <w:pPr>
              <w:ind w:left="320"/>
              <w:spacing w:after="0"/>
              <w:rPr>
                <w:sz w:val="20"/>
                <w:szCs w:val="20"/>
                <w:color w:val="auto"/>
              </w:rPr>
            </w:pPr>
            <w:r>
              <w:rPr>
                <w:rFonts w:ascii="Arial" w:cs="Arial" w:eastAsia="Arial" w:hAnsi="Arial"/>
                <w:sz w:val="11"/>
                <w:szCs w:val="11"/>
                <w:color w:val="auto"/>
              </w:rPr>
              <w:t>Net Cash Provided by (Used in) Investing Activities</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(11,935)</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67,491</w:t>
            </w:r>
          </w:p>
        </w:tc>
        <w:tc>
          <w:tcPr>
            <w:tcW w:w="120" w:type="dxa"/>
            <w:vAlign w:val="bottom"/>
          </w:tcPr>
          <w:p>
            <w:pPr>
              <w:spacing w:after="0"/>
              <w:rPr>
                <w:sz w:val="11"/>
                <w:szCs w:val="11"/>
                <w:color w:val="auto"/>
              </w:rPr>
            </w:pPr>
          </w:p>
        </w:tc>
      </w:tr>
      <w:tr>
        <w:trPr>
          <w:trHeight w:val="133"/>
        </w:trPr>
        <w:tc>
          <w:tcPr>
            <w:tcW w:w="78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520" w:type="dxa"/>
            <w:vAlign w:val="bottom"/>
            <w:tcBorders>
              <w:top w:val="single" w:sz="8" w:color="004483"/>
              <w:bottom w:val="single" w:sz="8" w:color="A6A6A6"/>
            </w:tcBorders>
          </w:tcPr>
          <w:p>
            <w:pPr>
              <w:spacing w:after="0"/>
              <w:rPr>
                <w:sz w:val="11"/>
                <w:szCs w:val="11"/>
                <w:color w:val="auto"/>
              </w:rPr>
            </w:pPr>
          </w:p>
        </w:tc>
        <w:tc>
          <w:tcPr>
            <w:tcW w:w="100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004483"/>
              <w:bottom w:val="single" w:sz="8" w:color="A6A6A6"/>
            </w:tcBorders>
          </w:tcPr>
          <w:p>
            <w:pPr>
              <w:spacing w:after="0"/>
              <w:rPr>
                <w:sz w:val="11"/>
                <w:szCs w:val="11"/>
                <w:color w:val="auto"/>
              </w:rPr>
            </w:pPr>
          </w:p>
        </w:tc>
        <w:tc>
          <w:tcPr>
            <w:tcW w:w="68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Decrease in Credit Facility</w:t>
            </w:r>
          </w:p>
        </w:tc>
        <w:tc>
          <w:tcPr>
            <w:tcW w:w="5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(75,000)</w:t>
            </w: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Dividends Paid to Stockholders</w:t>
            </w:r>
          </w:p>
        </w:tc>
        <w:tc>
          <w:tcPr>
            <w:tcW w:w="5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(4,163)</w:t>
            </w: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Purchase and Retirement of Common Stock</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(61,929)</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782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Stock Option Exercises</w:t>
            </w:r>
          </w:p>
        </w:tc>
        <w:tc>
          <w:tcPr>
            <w:tcW w:w="520" w:type="dxa"/>
            <w:vAlign w:val="bottom"/>
            <w:tcBorders>
              <w:top w:val="single" w:sz="8" w:color="A6A6A6"/>
              <w:bottom w:val="single" w:sz="8" w:color="A6A6A6"/>
            </w:tcBorders>
          </w:tcPr>
          <w:p>
            <w:pPr>
              <w:spacing w:after="0"/>
              <w:rPr>
                <w:sz w:val="11"/>
                <w:szCs w:val="11"/>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8,222</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Payment of Debt Issuance Costs</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(1,243)</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(1,718)</w:t>
            </w: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160"/>
              <w:spacing w:after="0"/>
              <w:rPr>
                <w:sz w:val="20"/>
                <w:szCs w:val="20"/>
                <w:color w:val="auto"/>
              </w:rPr>
            </w:pPr>
            <w:r>
              <w:rPr>
                <w:rFonts w:ascii="Arial" w:cs="Arial" w:eastAsia="Arial" w:hAnsi="Arial"/>
                <w:sz w:val="11"/>
                <w:szCs w:val="11"/>
                <w:color w:val="auto"/>
              </w:rPr>
              <w:t>Shares Redeemed to Settle Employee Taxes on Stock Compensation</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(1,214)</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(1,130)</w:t>
            </w:r>
          </w:p>
        </w:tc>
      </w:tr>
      <w:tr>
        <w:trPr>
          <w:trHeight w:val="20"/>
        </w:trPr>
        <w:tc>
          <w:tcPr>
            <w:tcW w:w="7820" w:type="dxa"/>
            <w:vAlign w:val="bottom"/>
            <w:shd w:val="clear" w:color="auto" w:fill="A6A6A6"/>
          </w:tcPr>
          <w:p>
            <w:pPr>
              <w:spacing w:after="0" w:line="20" w:lineRule="exact"/>
              <w:rPr>
                <w:sz w:val="1"/>
                <w:szCs w:val="1"/>
                <w:color w:val="auto"/>
              </w:rPr>
            </w:pPr>
          </w:p>
        </w:tc>
        <w:tc>
          <w:tcPr>
            <w:tcW w:w="520" w:type="dxa"/>
            <w:vAlign w:val="bottom"/>
            <w:shd w:val="clear" w:color="auto" w:fill="004483"/>
          </w:tcPr>
          <w:p>
            <w:pPr>
              <w:spacing w:after="0" w:line="20" w:lineRule="exact"/>
              <w:rPr>
                <w:sz w:val="1"/>
                <w:szCs w:val="1"/>
                <w:color w:val="auto"/>
              </w:rPr>
            </w:pPr>
          </w:p>
        </w:tc>
        <w:tc>
          <w:tcPr>
            <w:tcW w:w="10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860" w:type="dxa"/>
            <w:vAlign w:val="bottom"/>
            <w:shd w:val="clear" w:color="auto" w:fill="004483"/>
          </w:tcPr>
          <w:p>
            <w:pPr>
              <w:spacing w:after="0" w:line="20" w:lineRule="exact"/>
              <w:rPr>
                <w:sz w:val="1"/>
                <w:szCs w:val="1"/>
                <w:color w:val="auto"/>
              </w:rPr>
            </w:pPr>
          </w:p>
        </w:tc>
        <w:tc>
          <w:tcPr>
            <w:tcW w:w="6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820" w:type="dxa"/>
            <w:vAlign w:val="bottom"/>
          </w:tcPr>
          <w:p>
            <w:pPr>
              <w:ind w:left="320"/>
              <w:spacing w:after="0"/>
              <w:rPr>
                <w:sz w:val="20"/>
                <w:szCs w:val="20"/>
                <w:color w:val="auto"/>
              </w:rPr>
            </w:pPr>
            <w:r>
              <w:rPr>
                <w:rFonts w:ascii="Arial" w:cs="Arial" w:eastAsia="Arial" w:hAnsi="Arial"/>
                <w:sz w:val="11"/>
                <w:szCs w:val="11"/>
                <w:color w:val="auto"/>
              </w:rPr>
              <w:t>Net Cash Used in Financing Activities</w:t>
            </w:r>
          </w:p>
        </w:tc>
        <w:tc>
          <w:tcPr>
            <w:tcW w:w="52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(56,164)</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(82,011)</w:t>
            </w:r>
          </w:p>
        </w:tc>
      </w:tr>
      <w:tr>
        <w:trPr>
          <w:trHeight w:val="133"/>
        </w:trPr>
        <w:tc>
          <w:tcPr>
            <w:tcW w:w="78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NET INCREASE IN CASH, CASH EQUIVALENTS, AND RESTRICTED CASH</w:t>
            </w:r>
          </w:p>
        </w:tc>
        <w:tc>
          <w:tcPr>
            <w:tcW w:w="520" w:type="dxa"/>
            <w:vAlign w:val="bottom"/>
            <w:tcBorders>
              <w:top w:val="single" w:sz="8" w:color="004483"/>
              <w:bottom w:val="single" w:sz="8" w:color="A6A6A6"/>
            </w:tcBorders>
          </w:tcPr>
          <w:p>
            <w:pPr>
              <w:spacing w:after="0"/>
              <w:rPr>
                <w:sz w:val="11"/>
                <w:szCs w:val="11"/>
                <w:color w:val="auto"/>
              </w:rPr>
            </w:pPr>
          </w:p>
        </w:tc>
        <w:tc>
          <w:tcPr>
            <w:tcW w:w="10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43,022</w:t>
            </w:r>
          </w:p>
        </w:tc>
        <w:tc>
          <w:tcPr>
            <w:tcW w:w="120" w:type="dxa"/>
            <w:vAlign w:val="bottom"/>
          </w:tcPr>
          <w:p>
            <w:pPr>
              <w:spacing w:after="0"/>
              <w:rPr>
                <w:sz w:val="11"/>
                <w:szCs w:val="11"/>
                <w:color w:val="auto"/>
              </w:rPr>
            </w:pPr>
          </w:p>
        </w:tc>
        <w:tc>
          <w:tcPr>
            <w:tcW w:w="18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004483"/>
              <w:bottom w:val="single" w:sz="8" w:color="A6A6A6"/>
            </w:tcBorders>
          </w:tcPr>
          <w:p>
            <w:pPr>
              <w:spacing w:after="0"/>
              <w:rPr>
                <w:sz w:val="11"/>
                <w:szCs w:val="11"/>
                <w:color w:val="auto"/>
              </w:rPr>
            </w:pPr>
          </w:p>
        </w:tc>
        <w:tc>
          <w:tcPr>
            <w:tcW w:w="6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80,793</w:t>
            </w:r>
          </w:p>
        </w:tc>
        <w:tc>
          <w:tcPr>
            <w:tcW w:w="120" w:type="dxa"/>
            <w:vAlign w:val="bottom"/>
          </w:tcPr>
          <w:p>
            <w:pPr>
              <w:spacing w:after="0"/>
              <w:rPr>
                <w:sz w:val="11"/>
                <w:szCs w:val="11"/>
                <w:color w:val="auto"/>
              </w:rPr>
            </w:pPr>
          </w:p>
        </w:tc>
      </w:tr>
      <w:tr>
        <w:trPr>
          <w:trHeight w:val="133"/>
        </w:trPr>
        <w:tc>
          <w:tcPr>
            <w:tcW w:w="782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CASH EQUIVALENTS, AND RESTRICTED CASH AT BEGINNING OF PERIOD</w:t>
            </w:r>
          </w:p>
        </w:tc>
        <w:tc>
          <w:tcPr>
            <w:tcW w:w="520" w:type="dxa"/>
            <w:vAlign w:val="bottom"/>
            <w:tcBorders>
              <w:bottom w:val="single" w:sz="8" w:color="004483"/>
            </w:tcBorders>
          </w:tcPr>
          <w:p>
            <w:pPr>
              <w:spacing w:after="0"/>
              <w:rPr>
                <w:sz w:val="11"/>
                <w:szCs w:val="11"/>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268,520</w:t>
            </w:r>
          </w:p>
        </w:tc>
        <w:tc>
          <w:tcPr>
            <w:tcW w:w="120" w:type="dxa"/>
            <w:vAlign w:val="bottom"/>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860" w:type="dxa"/>
            <w:vAlign w:val="bottom"/>
            <w:tcBorders>
              <w:bottom w:val="single" w:sz="8" w:color="004483"/>
            </w:tcBorders>
          </w:tcPr>
          <w:p>
            <w:pPr>
              <w:spacing w:after="0"/>
              <w:rPr>
                <w:sz w:val="11"/>
                <w:szCs w:val="11"/>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118,648</w:t>
            </w:r>
          </w:p>
        </w:tc>
        <w:tc>
          <w:tcPr>
            <w:tcW w:w="120" w:type="dxa"/>
            <w:vAlign w:val="bottom"/>
          </w:tcPr>
          <w:p>
            <w:pPr>
              <w:spacing w:after="0"/>
              <w:rPr>
                <w:sz w:val="11"/>
                <w:szCs w:val="11"/>
                <w:color w:val="auto"/>
              </w:rPr>
            </w:pPr>
          </w:p>
        </w:tc>
      </w:tr>
      <w:tr>
        <w:trPr>
          <w:trHeight w:val="142"/>
        </w:trPr>
        <w:tc>
          <w:tcPr>
            <w:tcW w:w="7820" w:type="dxa"/>
            <w:vAlign w:val="bottom"/>
          </w:tcPr>
          <w:p>
            <w:pPr>
              <w:spacing w:after="0"/>
              <w:rPr>
                <w:sz w:val="20"/>
                <w:szCs w:val="20"/>
                <w:color w:val="auto"/>
              </w:rPr>
            </w:pPr>
            <w:r>
              <w:rPr>
                <w:rFonts w:ascii="Arial" w:cs="Arial" w:eastAsia="Arial" w:hAnsi="Arial"/>
                <w:sz w:val="11"/>
                <w:szCs w:val="11"/>
                <w:b w:val="1"/>
                <w:bCs w:val="1"/>
                <w:color w:val="auto"/>
              </w:rPr>
              <w:t>CASH, CASH EQUIVALENTS, AND RESTRICTED CASH AT END OF PERIOD</w:t>
            </w:r>
          </w:p>
        </w:tc>
        <w:tc>
          <w:tcPr>
            <w:tcW w:w="520" w:type="dxa"/>
            <w:vAlign w:val="bottom"/>
            <w:tcBorders>
              <w:bottom w:val="single" w:sz="8" w:color="004483"/>
            </w:tcBorders>
          </w:tcPr>
          <w:p>
            <w:pPr>
              <w:jc w:val="right"/>
              <w:ind w:right="453"/>
              <w:spacing w:after="0"/>
              <w:rPr>
                <w:sz w:val="20"/>
                <w:szCs w:val="20"/>
                <w:color w:val="auto"/>
              </w:rPr>
            </w:pPr>
            <w:r>
              <w:rPr>
                <w:rFonts w:ascii="Arial" w:cs="Arial" w:eastAsia="Arial" w:hAnsi="Arial"/>
                <w:sz w:val="5"/>
                <w:szCs w:val="5"/>
                <w:b w:val="1"/>
                <w:bCs w:val="1"/>
                <w:color w:val="auto"/>
                <w:w w:val="70"/>
              </w:rPr>
              <w:t>$</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311,542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004483"/>
            </w:tcBorders>
          </w:tcPr>
          <w:p>
            <w:pPr>
              <w:jc w:val="right"/>
              <w:ind w:right="75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199,441</w:t>
            </w:r>
          </w:p>
        </w:tc>
        <w:tc>
          <w:tcPr>
            <w:tcW w:w="120" w:type="dxa"/>
            <w:vAlign w:val="bottom"/>
          </w:tcPr>
          <w:p>
            <w:pPr>
              <w:spacing w:after="0"/>
              <w:rPr>
                <w:sz w:val="12"/>
                <w:szCs w:val="12"/>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the unaudited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EAGLE MATERIALS INC. AND SUBSIDIARIES CONSOLIDATED STATEMENTS OF STOCKHOLDERS’ EQUITY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Accumulated</w:t>
            </w: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99"/>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Capital in</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Other</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Common</w:t>
            </w:r>
          </w:p>
        </w:tc>
        <w:tc>
          <w:tcPr>
            <w:tcW w:w="320" w:type="dxa"/>
            <w:vAlign w:val="bottom"/>
          </w:tcPr>
          <w:p>
            <w:pPr>
              <w:spacing w:after="0"/>
              <w:rPr>
                <w:sz w:val="8"/>
                <w:szCs w:val="8"/>
                <w:color w:val="auto"/>
              </w:rPr>
            </w:pPr>
          </w:p>
        </w:tc>
        <w:tc>
          <w:tcPr>
            <w:tcW w:w="92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Excess of</w:t>
            </w:r>
          </w:p>
        </w:tc>
        <w:tc>
          <w:tcPr>
            <w:tcW w:w="100" w:type="dxa"/>
            <w:vAlign w:val="bottom"/>
          </w:tcPr>
          <w:p>
            <w:pPr>
              <w:spacing w:after="0"/>
              <w:rPr>
                <w:sz w:val="8"/>
                <w:szCs w:val="8"/>
                <w:color w:val="auto"/>
              </w:rPr>
            </w:pPr>
          </w:p>
        </w:tc>
        <w:tc>
          <w:tcPr>
            <w:tcW w:w="1140" w:type="dxa"/>
            <w:vAlign w:val="bottom"/>
            <w:gridSpan w:val="3"/>
          </w:tcPr>
          <w:p>
            <w:pPr>
              <w:ind w:left="520"/>
              <w:spacing w:after="0" w:line="99" w:lineRule="exact"/>
              <w:rPr>
                <w:sz w:val="20"/>
                <w:szCs w:val="20"/>
                <w:color w:val="auto"/>
              </w:rPr>
            </w:pPr>
            <w:r>
              <w:rPr>
                <w:rFonts w:ascii="Arial" w:cs="Arial" w:eastAsia="Arial" w:hAnsi="Arial"/>
                <w:sz w:val="10"/>
                <w:szCs w:val="10"/>
                <w:b w:val="1"/>
                <w:bCs w:val="1"/>
                <w:color w:val="auto"/>
              </w:rPr>
              <w:t>Retained</w:t>
            </w:r>
          </w:p>
        </w:tc>
        <w:tc>
          <w:tcPr>
            <w:tcW w:w="200" w:type="dxa"/>
            <w:vAlign w:val="bottom"/>
          </w:tcPr>
          <w:p>
            <w:pPr>
              <w:spacing w:after="0"/>
              <w:rPr>
                <w:sz w:val="8"/>
                <w:szCs w:val="8"/>
                <w:color w:val="auto"/>
              </w:rPr>
            </w:pPr>
          </w:p>
        </w:tc>
        <w:tc>
          <w:tcPr>
            <w:tcW w:w="104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Comprehensive</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5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Stock</w:t>
            </w:r>
          </w:p>
        </w:tc>
        <w:tc>
          <w:tcPr>
            <w:tcW w:w="320" w:type="dxa"/>
            <w:vAlign w:val="bottom"/>
          </w:tcPr>
          <w:p>
            <w:pPr>
              <w:spacing w:after="0"/>
              <w:rPr>
                <w:sz w:val="9"/>
                <w:szCs w:val="9"/>
                <w:color w:val="auto"/>
              </w:rPr>
            </w:pPr>
          </w:p>
        </w:tc>
        <w:tc>
          <w:tcPr>
            <w:tcW w:w="92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Par Value</w:t>
            </w:r>
          </w:p>
        </w:tc>
        <w:tc>
          <w:tcPr>
            <w:tcW w:w="100" w:type="dxa"/>
            <w:vAlign w:val="bottom"/>
          </w:tcPr>
          <w:p>
            <w:pPr>
              <w:spacing w:after="0"/>
              <w:rPr>
                <w:sz w:val="9"/>
                <w:szCs w:val="9"/>
                <w:color w:val="auto"/>
              </w:rPr>
            </w:pPr>
          </w:p>
        </w:tc>
        <w:tc>
          <w:tcPr>
            <w:tcW w:w="1140" w:type="dxa"/>
            <w:vAlign w:val="bottom"/>
            <w:gridSpan w:val="3"/>
          </w:tcPr>
          <w:p>
            <w:pPr>
              <w:ind w:left="520"/>
              <w:spacing w:after="0" w:line="114" w:lineRule="exact"/>
              <w:rPr>
                <w:sz w:val="20"/>
                <w:szCs w:val="20"/>
                <w:color w:val="auto"/>
              </w:rPr>
            </w:pPr>
            <w:r>
              <w:rPr>
                <w:rFonts w:ascii="Arial" w:cs="Arial" w:eastAsia="Arial" w:hAnsi="Arial"/>
                <w:sz w:val="10"/>
                <w:szCs w:val="10"/>
                <w:b w:val="1"/>
                <w:bCs w:val="1"/>
                <w:color w:val="auto"/>
              </w:rPr>
              <w:t>Earnings</w:t>
            </w:r>
          </w:p>
        </w:tc>
        <w:tc>
          <w:tcPr>
            <w:tcW w:w="200" w:type="dxa"/>
            <w:vAlign w:val="bottom"/>
          </w:tcPr>
          <w:p>
            <w:pPr>
              <w:spacing w:after="0"/>
              <w:rPr>
                <w:sz w:val="9"/>
                <w:szCs w:val="9"/>
                <w:color w:val="auto"/>
              </w:rPr>
            </w:pPr>
          </w:p>
        </w:tc>
        <w:tc>
          <w:tcPr>
            <w:tcW w:w="104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Losses</w:t>
            </w:r>
          </w:p>
        </w:tc>
        <w:tc>
          <w:tcPr>
            <w:tcW w:w="320" w:type="dxa"/>
            <w:vAlign w:val="bottom"/>
          </w:tcPr>
          <w:p>
            <w:pPr>
              <w:spacing w:after="0"/>
              <w:rPr>
                <w:sz w:val="9"/>
                <w:szCs w:val="9"/>
                <w:color w:val="auto"/>
              </w:rPr>
            </w:pPr>
          </w:p>
        </w:tc>
        <w:tc>
          <w:tcPr>
            <w:tcW w:w="7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rPr>
              <w:t>Total</w:t>
            </w:r>
          </w:p>
        </w:tc>
      </w:tr>
      <w:tr>
        <w:trPr>
          <w:trHeight w:val="99"/>
        </w:trPr>
        <w:tc>
          <w:tcPr>
            <w:tcW w:w="5200" w:type="dxa"/>
            <w:vAlign w:val="bottom"/>
            <w:tcBorders>
              <w:bottom w:val="single" w:sz="8" w:color="004483"/>
            </w:tcBorders>
          </w:tcPr>
          <w:p>
            <w:pPr>
              <w:spacing w:after="0"/>
              <w:rPr>
                <w:sz w:val="8"/>
                <w:szCs w:val="8"/>
                <w:color w:val="auto"/>
              </w:rPr>
            </w:pPr>
          </w:p>
        </w:tc>
        <w:tc>
          <w:tcPr>
            <w:tcW w:w="34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320" w:type="dxa"/>
            <w:vAlign w:val="bottom"/>
            <w:tcBorders>
              <w:bottom w:val="single" w:sz="8" w:color="004483"/>
            </w:tcBorders>
          </w:tcPr>
          <w:p>
            <w:pPr>
              <w:spacing w:after="0"/>
              <w:rPr>
                <w:sz w:val="8"/>
                <w:szCs w:val="8"/>
                <w:color w:val="auto"/>
              </w:rPr>
            </w:pPr>
          </w:p>
        </w:tc>
        <w:tc>
          <w:tcPr>
            <w:tcW w:w="68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140" w:type="dxa"/>
            <w:vAlign w:val="bottom"/>
            <w:tcBorders>
              <w:bottom w:val="single" w:sz="8" w:color="004483"/>
            </w:tcBorders>
            <w:gridSpan w:val="3"/>
          </w:tcPr>
          <w:p>
            <w:pPr>
              <w:ind w:left="40"/>
              <w:spacing w:after="0"/>
              <w:rPr>
                <w:sz w:val="20"/>
                <w:szCs w:val="20"/>
                <w:color w:val="auto"/>
              </w:rPr>
            </w:pPr>
            <w:r>
              <w:rPr>
                <w:rFonts w:ascii="Arial" w:cs="Arial" w:eastAsia="Arial" w:hAnsi="Arial"/>
                <w:sz w:val="8"/>
                <w:szCs w:val="8"/>
                <w:color w:val="auto"/>
              </w:rPr>
              <w:t>(dollars in thousands)</w:t>
            </w:r>
          </w:p>
        </w:tc>
        <w:tc>
          <w:tcPr>
            <w:tcW w:w="20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32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spacing w:after="0"/>
              <w:rPr>
                <w:sz w:val="8"/>
                <w:szCs w:val="8"/>
                <w:color w:val="auto"/>
              </w:rPr>
            </w:pPr>
          </w:p>
        </w:tc>
        <w:tc>
          <w:tcPr>
            <w:tcW w:w="40" w:type="dxa"/>
            <w:vAlign w:val="bottom"/>
          </w:tcPr>
          <w:p>
            <w:pPr>
              <w:spacing w:after="0"/>
              <w:rPr>
                <w:sz w:val="8"/>
                <w:szCs w:val="8"/>
                <w:color w:val="auto"/>
              </w:rPr>
            </w:pPr>
          </w:p>
        </w:tc>
      </w:tr>
      <w:tr>
        <w:trPr>
          <w:trHeight w:val="131"/>
        </w:trPr>
        <w:tc>
          <w:tcPr>
            <w:tcW w:w="5200" w:type="dxa"/>
            <w:vAlign w:val="bottom"/>
          </w:tcPr>
          <w:p>
            <w:pPr>
              <w:spacing w:after="0"/>
              <w:rPr>
                <w:sz w:val="20"/>
                <w:szCs w:val="20"/>
                <w:color w:val="auto"/>
              </w:rPr>
            </w:pPr>
            <w:r>
              <w:rPr>
                <w:rFonts w:ascii="Arial" w:cs="Arial" w:eastAsia="Arial" w:hAnsi="Arial"/>
                <w:sz w:val="11"/>
                <w:szCs w:val="11"/>
                <w:b w:val="1"/>
                <w:bCs w:val="1"/>
                <w:color w:val="auto"/>
              </w:rPr>
              <w:t>Balance at March 31, 2020</w:t>
            </w:r>
          </w:p>
        </w:tc>
        <w:tc>
          <w:tcPr>
            <w:tcW w:w="340" w:type="dxa"/>
            <w:vAlign w:val="bottom"/>
          </w:tcPr>
          <w:p>
            <w:pPr>
              <w:jc w:val="right"/>
              <w:ind w:right="273"/>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10,943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960,065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(3,581)</w:t>
            </w:r>
          </w:p>
        </w:tc>
        <w:tc>
          <w:tcPr>
            <w:tcW w:w="12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967,843</w:t>
            </w:r>
          </w:p>
        </w:tc>
        <w:tc>
          <w:tcPr>
            <w:tcW w:w="40" w:type="dxa"/>
            <w:vAlign w:val="bottom"/>
          </w:tcPr>
          <w:p>
            <w:pPr>
              <w:spacing w:after="0"/>
              <w:rPr>
                <w:sz w:val="11"/>
                <w:szCs w:val="11"/>
                <w:color w:val="auto"/>
              </w:rPr>
            </w:pP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Net Earnings</w:t>
            </w:r>
          </w:p>
        </w:tc>
        <w:tc>
          <w:tcPr>
            <w:tcW w:w="34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96,206</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96,206</w:t>
            </w:r>
          </w:p>
        </w:tc>
        <w:tc>
          <w:tcPr>
            <w:tcW w:w="40" w:type="dxa"/>
            <w:vAlign w:val="bottom"/>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Stock Compensation Expense</w:t>
            </w:r>
          </w:p>
        </w:tc>
        <w:tc>
          <w:tcPr>
            <w:tcW w:w="34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4,758</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4,760</w:t>
            </w:r>
          </w:p>
        </w:tc>
        <w:tc>
          <w:tcPr>
            <w:tcW w:w="40" w:type="dxa"/>
            <w:vAlign w:val="bottom"/>
          </w:tcPr>
          <w:p>
            <w:pPr>
              <w:spacing w:after="0"/>
              <w:rPr>
                <w:sz w:val="11"/>
                <w:szCs w:val="1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Shares Redeemed to Settle Employee Taxes</w:t>
            </w:r>
          </w:p>
        </w:tc>
        <w:tc>
          <w:tcPr>
            <w:tcW w:w="3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(1,130)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(1,130)</w:t>
            </w: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Sale of Business with Unfunded Pension Liability</w:t>
            </w:r>
          </w:p>
        </w:tc>
        <w:tc>
          <w:tcPr>
            <w:tcW w:w="34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254</w:t>
            </w:r>
          </w:p>
        </w:tc>
        <w:tc>
          <w:tcPr>
            <w:tcW w:w="40" w:type="dxa"/>
            <w:vAlign w:val="bottom"/>
          </w:tcPr>
          <w:p>
            <w:pPr>
              <w:spacing w:after="0"/>
              <w:rPr>
                <w:sz w:val="11"/>
                <w:szCs w:val="1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Unfunded Pension Liability, net of tax</w:t>
            </w:r>
          </w:p>
        </w:tc>
        <w:tc>
          <w:tcPr>
            <w:tcW w:w="340" w:type="dxa"/>
            <w:vAlign w:val="bottom"/>
          </w:tcPr>
          <w:p>
            <w:pPr>
              <w:spacing w:after="0"/>
              <w:rPr>
                <w:sz w:val="11"/>
                <w:szCs w:val="11"/>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w:t>
            </w:r>
          </w:p>
        </w:tc>
        <w:tc>
          <w:tcPr>
            <w:tcW w:w="40" w:type="dxa"/>
            <w:vAlign w:val="bottom"/>
          </w:tcPr>
          <w:p>
            <w:pPr>
              <w:spacing w:after="0"/>
              <w:rPr>
                <w:sz w:val="11"/>
                <w:szCs w:val="11"/>
                <w:color w:val="auto"/>
              </w:rPr>
            </w:pPr>
          </w:p>
        </w:tc>
      </w:tr>
      <w:tr>
        <w:trPr>
          <w:trHeight w:val="142"/>
        </w:trPr>
        <w:tc>
          <w:tcPr>
            <w:tcW w:w="520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Balance at June 30, 2020</w:t>
            </w:r>
          </w:p>
        </w:tc>
        <w:tc>
          <w:tcPr>
            <w:tcW w:w="340" w:type="dxa"/>
            <w:vAlign w:val="bottom"/>
            <w:tcBorders>
              <w:top w:val="single" w:sz="8" w:color="004483"/>
              <w:bottom w:val="single" w:sz="8" w:color="004483"/>
            </w:tcBorders>
          </w:tcPr>
          <w:p>
            <w:pPr>
              <w:jc w:val="right"/>
              <w:ind w:right="273"/>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418</w:t>
            </w:r>
          </w:p>
        </w:tc>
        <w:tc>
          <w:tcPr>
            <w:tcW w:w="100" w:type="dxa"/>
            <w:vAlign w:val="bottom"/>
          </w:tcPr>
          <w:p>
            <w:pPr>
              <w:spacing w:after="0"/>
              <w:rPr>
                <w:sz w:val="12"/>
                <w:szCs w:val="12"/>
                <w:color w:val="auto"/>
              </w:rPr>
            </w:pPr>
          </w:p>
        </w:tc>
        <w:tc>
          <w:tcPr>
            <w:tcW w:w="140" w:type="dxa"/>
            <w:vAlign w:val="bottom"/>
            <w:tcBorders>
              <w:top w:val="single" w:sz="8" w:color="A6A6A6"/>
            </w:tcBorders>
          </w:tcPr>
          <w:p>
            <w:pPr>
              <w:spacing w:after="0"/>
              <w:rPr>
                <w:sz w:val="12"/>
                <w:szCs w:val="12"/>
                <w:color w:val="auto"/>
              </w:rPr>
            </w:pPr>
          </w:p>
        </w:tc>
        <w:tc>
          <w:tcPr>
            <w:tcW w:w="320" w:type="dxa"/>
            <w:vAlign w:val="bottom"/>
            <w:tcBorders>
              <w:top w:val="single" w:sz="8" w:color="004483"/>
              <w:bottom w:val="single" w:sz="8" w:color="004483"/>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14,571</w:t>
            </w:r>
          </w:p>
        </w:tc>
        <w:tc>
          <w:tcPr>
            <w:tcW w:w="120" w:type="dxa"/>
            <w:vAlign w:val="bottom"/>
          </w:tcPr>
          <w:p>
            <w:pPr>
              <w:spacing w:after="0"/>
              <w:rPr>
                <w:sz w:val="12"/>
                <w:szCs w:val="12"/>
                <w:color w:val="auto"/>
              </w:rPr>
            </w:pPr>
          </w:p>
        </w:tc>
        <w:tc>
          <w:tcPr>
            <w:tcW w:w="120" w:type="dxa"/>
            <w:vAlign w:val="bottom"/>
            <w:tcBorders>
              <w:top w:val="single" w:sz="8" w:color="A6A6A6"/>
            </w:tcBorders>
          </w:tcPr>
          <w:p>
            <w:pPr>
              <w:spacing w:after="0"/>
              <w:rPr>
                <w:sz w:val="12"/>
                <w:szCs w:val="12"/>
                <w:color w:val="auto"/>
              </w:rPr>
            </w:pPr>
          </w:p>
        </w:tc>
        <w:tc>
          <w:tcPr>
            <w:tcW w:w="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1,056,271</w:t>
            </w:r>
          </w:p>
        </w:tc>
        <w:tc>
          <w:tcPr>
            <w:tcW w:w="120" w:type="dxa"/>
            <w:vAlign w:val="bottom"/>
          </w:tcPr>
          <w:p>
            <w:pPr>
              <w:spacing w:after="0"/>
              <w:rPr>
                <w:sz w:val="12"/>
                <w:szCs w:val="12"/>
                <w:color w:val="auto"/>
              </w:rPr>
            </w:pPr>
          </w:p>
        </w:tc>
        <w:tc>
          <w:tcPr>
            <w:tcW w:w="120" w:type="dxa"/>
            <w:vAlign w:val="bottom"/>
            <w:tcBorders>
              <w:top w:val="single" w:sz="8" w:color="A6A6A6"/>
            </w:tcBorders>
          </w:tcPr>
          <w:p>
            <w:pPr>
              <w:spacing w:after="0"/>
              <w:rPr>
                <w:sz w:val="12"/>
                <w:szCs w:val="12"/>
                <w:color w:val="auto"/>
              </w:rPr>
            </w:pPr>
          </w:p>
        </w:tc>
        <w:tc>
          <w:tcPr>
            <w:tcW w:w="200" w:type="dxa"/>
            <w:vAlign w:val="bottom"/>
            <w:tcBorders>
              <w:top w:val="single" w:sz="8" w:color="004483"/>
              <w:bottom w:val="single" w:sz="8" w:color="004483"/>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(3,302)</w:t>
            </w:r>
          </w:p>
        </w:tc>
        <w:tc>
          <w:tcPr>
            <w:tcW w:w="120" w:type="dxa"/>
            <w:vAlign w:val="bottom"/>
          </w:tcPr>
          <w:p>
            <w:pPr>
              <w:spacing w:after="0"/>
              <w:rPr>
                <w:sz w:val="12"/>
                <w:szCs w:val="12"/>
                <w:color w:val="auto"/>
              </w:rPr>
            </w:pPr>
          </w:p>
        </w:tc>
        <w:tc>
          <w:tcPr>
            <w:tcW w:w="120" w:type="dxa"/>
            <w:vAlign w:val="bottom"/>
            <w:tcBorders>
              <w:top w:val="single" w:sz="8" w:color="A6A6A6"/>
            </w:tcBorders>
          </w:tcPr>
          <w:p>
            <w:pPr>
              <w:spacing w:after="0"/>
              <w:rPr>
                <w:sz w:val="12"/>
                <w:szCs w:val="12"/>
                <w:color w:val="auto"/>
              </w:rPr>
            </w:pPr>
          </w:p>
        </w:tc>
        <w:tc>
          <w:tcPr>
            <w:tcW w:w="320" w:type="dxa"/>
            <w:vAlign w:val="bottom"/>
            <w:tcBorders>
              <w:top w:val="single" w:sz="8" w:color="004483"/>
              <w:bottom w:val="single" w:sz="8" w:color="004483"/>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1,067,958</w:t>
            </w:r>
          </w:p>
        </w:tc>
        <w:tc>
          <w:tcPr>
            <w:tcW w:w="40" w:type="dxa"/>
            <w:vAlign w:val="bottom"/>
          </w:tcPr>
          <w:p>
            <w:pPr>
              <w:spacing w:after="0"/>
              <w:rPr>
                <w:sz w:val="12"/>
                <w:szCs w:val="12"/>
                <w:color w:val="auto"/>
              </w:rPr>
            </w:pPr>
          </w:p>
        </w:tc>
      </w:tr>
      <w:tr>
        <w:trPr>
          <w:trHeight w:val="238"/>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Accumulated</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99"/>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Capital in</w:t>
            </w: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Other</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5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Common</w:t>
            </w:r>
          </w:p>
        </w:tc>
        <w:tc>
          <w:tcPr>
            <w:tcW w:w="320" w:type="dxa"/>
            <w:vAlign w:val="bottom"/>
          </w:tcPr>
          <w:p>
            <w:pPr>
              <w:spacing w:after="0"/>
              <w:rPr>
                <w:sz w:val="8"/>
                <w:szCs w:val="8"/>
                <w:color w:val="auto"/>
              </w:rPr>
            </w:pPr>
          </w:p>
        </w:tc>
        <w:tc>
          <w:tcPr>
            <w:tcW w:w="92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Excess of</w:t>
            </w:r>
          </w:p>
        </w:tc>
        <w:tc>
          <w:tcPr>
            <w:tcW w:w="100" w:type="dxa"/>
            <w:vAlign w:val="bottom"/>
          </w:tcPr>
          <w:p>
            <w:pPr>
              <w:spacing w:after="0"/>
              <w:rPr>
                <w:sz w:val="8"/>
                <w:szCs w:val="8"/>
                <w:color w:val="auto"/>
              </w:rPr>
            </w:pPr>
          </w:p>
        </w:tc>
        <w:tc>
          <w:tcPr>
            <w:tcW w:w="1140" w:type="dxa"/>
            <w:vAlign w:val="bottom"/>
            <w:gridSpan w:val="3"/>
          </w:tcPr>
          <w:p>
            <w:pPr>
              <w:ind w:left="520"/>
              <w:spacing w:after="0" w:line="99" w:lineRule="exact"/>
              <w:rPr>
                <w:sz w:val="20"/>
                <w:szCs w:val="20"/>
                <w:color w:val="auto"/>
              </w:rPr>
            </w:pPr>
            <w:r>
              <w:rPr>
                <w:rFonts w:ascii="Arial" w:cs="Arial" w:eastAsia="Arial" w:hAnsi="Arial"/>
                <w:sz w:val="10"/>
                <w:szCs w:val="10"/>
                <w:b w:val="1"/>
                <w:bCs w:val="1"/>
                <w:color w:val="auto"/>
              </w:rPr>
              <w:t>Retained</w:t>
            </w:r>
          </w:p>
        </w:tc>
        <w:tc>
          <w:tcPr>
            <w:tcW w:w="200" w:type="dxa"/>
            <w:vAlign w:val="bottom"/>
          </w:tcPr>
          <w:p>
            <w:pPr>
              <w:spacing w:after="0"/>
              <w:rPr>
                <w:sz w:val="8"/>
                <w:szCs w:val="8"/>
                <w:color w:val="auto"/>
              </w:rPr>
            </w:pPr>
          </w:p>
        </w:tc>
        <w:tc>
          <w:tcPr>
            <w:tcW w:w="104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Comprehensive</w:t>
            </w: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5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Stock</w:t>
            </w:r>
          </w:p>
        </w:tc>
        <w:tc>
          <w:tcPr>
            <w:tcW w:w="320" w:type="dxa"/>
            <w:vAlign w:val="bottom"/>
          </w:tcPr>
          <w:p>
            <w:pPr>
              <w:spacing w:after="0"/>
              <w:rPr>
                <w:sz w:val="9"/>
                <w:szCs w:val="9"/>
                <w:color w:val="auto"/>
              </w:rPr>
            </w:pPr>
          </w:p>
        </w:tc>
        <w:tc>
          <w:tcPr>
            <w:tcW w:w="92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Par Value</w:t>
            </w:r>
          </w:p>
        </w:tc>
        <w:tc>
          <w:tcPr>
            <w:tcW w:w="100" w:type="dxa"/>
            <w:vAlign w:val="bottom"/>
          </w:tcPr>
          <w:p>
            <w:pPr>
              <w:spacing w:after="0"/>
              <w:rPr>
                <w:sz w:val="9"/>
                <w:szCs w:val="9"/>
                <w:color w:val="auto"/>
              </w:rPr>
            </w:pPr>
          </w:p>
        </w:tc>
        <w:tc>
          <w:tcPr>
            <w:tcW w:w="1140" w:type="dxa"/>
            <w:vAlign w:val="bottom"/>
            <w:gridSpan w:val="3"/>
          </w:tcPr>
          <w:p>
            <w:pPr>
              <w:ind w:left="520"/>
              <w:spacing w:after="0" w:line="114" w:lineRule="exact"/>
              <w:rPr>
                <w:sz w:val="20"/>
                <w:szCs w:val="20"/>
                <w:color w:val="auto"/>
              </w:rPr>
            </w:pPr>
            <w:r>
              <w:rPr>
                <w:rFonts w:ascii="Arial" w:cs="Arial" w:eastAsia="Arial" w:hAnsi="Arial"/>
                <w:sz w:val="10"/>
                <w:szCs w:val="10"/>
                <w:b w:val="1"/>
                <w:bCs w:val="1"/>
                <w:color w:val="auto"/>
              </w:rPr>
              <w:t>Earnings</w:t>
            </w:r>
          </w:p>
        </w:tc>
        <w:tc>
          <w:tcPr>
            <w:tcW w:w="200" w:type="dxa"/>
            <w:vAlign w:val="bottom"/>
          </w:tcPr>
          <w:p>
            <w:pPr>
              <w:spacing w:after="0"/>
              <w:rPr>
                <w:sz w:val="9"/>
                <w:szCs w:val="9"/>
                <w:color w:val="auto"/>
              </w:rPr>
            </w:pPr>
          </w:p>
        </w:tc>
        <w:tc>
          <w:tcPr>
            <w:tcW w:w="1040" w:type="dxa"/>
            <w:vAlign w:val="bottom"/>
            <w:gridSpan w:val="3"/>
          </w:tcPr>
          <w:p>
            <w:pPr>
              <w:jc w:val="right"/>
              <w:ind w:right="240"/>
              <w:spacing w:after="0" w:line="114" w:lineRule="exact"/>
              <w:rPr>
                <w:sz w:val="20"/>
                <w:szCs w:val="20"/>
                <w:color w:val="auto"/>
              </w:rPr>
            </w:pPr>
            <w:r>
              <w:rPr>
                <w:rFonts w:ascii="Arial" w:cs="Arial" w:eastAsia="Arial" w:hAnsi="Arial"/>
                <w:sz w:val="10"/>
                <w:szCs w:val="10"/>
                <w:b w:val="1"/>
                <w:bCs w:val="1"/>
                <w:color w:val="auto"/>
              </w:rPr>
              <w:t>Losses</w:t>
            </w:r>
          </w:p>
        </w:tc>
        <w:tc>
          <w:tcPr>
            <w:tcW w:w="320" w:type="dxa"/>
            <w:vAlign w:val="bottom"/>
          </w:tcPr>
          <w:p>
            <w:pPr>
              <w:spacing w:after="0"/>
              <w:rPr>
                <w:sz w:val="9"/>
                <w:szCs w:val="9"/>
                <w:color w:val="auto"/>
              </w:rPr>
            </w:pPr>
          </w:p>
        </w:tc>
        <w:tc>
          <w:tcPr>
            <w:tcW w:w="7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rPr>
              <w:t>Total</w:t>
            </w:r>
          </w:p>
        </w:tc>
      </w:tr>
      <w:tr>
        <w:trPr>
          <w:trHeight w:val="99"/>
        </w:trPr>
        <w:tc>
          <w:tcPr>
            <w:tcW w:w="5200" w:type="dxa"/>
            <w:vAlign w:val="bottom"/>
            <w:tcBorders>
              <w:bottom w:val="single" w:sz="8" w:color="004483"/>
            </w:tcBorders>
          </w:tcPr>
          <w:p>
            <w:pPr>
              <w:spacing w:after="0"/>
              <w:rPr>
                <w:sz w:val="8"/>
                <w:szCs w:val="8"/>
                <w:color w:val="auto"/>
              </w:rPr>
            </w:pPr>
          </w:p>
        </w:tc>
        <w:tc>
          <w:tcPr>
            <w:tcW w:w="34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320" w:type="dxa"/>
            <w:vAlign w:val="bottom"/>
            <w:tcBorders>
              <w:bottom w:val="single" w:sz="8" w:color="004483"/>
            </w:tcBorders>
          </w:tcPr>
          <w:p>
            <w:pPr>
              <w:spacing w:after="0"/>
              <w:rPr>
                <w:sz w:val="8"/>
                <w:szCs w:val="8"/>
                <w:color w:val="auto"/>
              </w:rPr>
            </w:pPr>
          </w:p>
        </w:tc>
        <w:tc>
          <w:tcPr>
            <w:tcW w:w="68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00" w:type="dxa"/>
            <w:vAlign w:val="bottom"/>
            <w:tcBorders>
              <w:bottom w:val="single" w:sz="8" w:color="004483"/>
            </w:tcBorders>
          </w:tcPr>
          <w:p>
            <w:pPr>
              <w:spacing w:after="0"/>
              <w:rPr>
                <w:sz w:val="8"/>
                <w:szCs w:val="8"/>
                <w:color w:val="auto"/>
              </w:rPr>
            </w:pPr>
          </w:p>
        </w:tc>
        <w:tc>
          <w:tcPr>
            <w:tcW w:w="1140" w:type="dxa"/>
            <w:vAlign w:val="bottom"/>
            <w:tcBorders>
              <w:bottom w:val="single" w:sz="8" w:color="004483"/>
            </w:tcBorders>
            <w:gridSpan w:val="3"/>
          </w:tcPr>
          <w:p>
            <w:pPr>
              <w:ind w:left="40"/>
              <w:spacing w:after="0"/>
              <w:rPr>
                <w:sz w:val="20"/>
                <w:szCs w:val="20"/>
                <w:color w:val="auto"/>
              </w:rPr>
            </w:pPr>
            <w:r>
              <w:rPr>
                <w:rFonts w:ascii="Arial" w:cs="Arial" w:eastAsia="Arial" w:hAnsi="Arial"/>
                <w:sz w:val="8"/>
                <w:szCs w:val="8"/>
                <w:color w:val="auto"/>
              </w:rPr>
              <w:t>(dollars in thousands)</w:t>
            </w:r>
          </w:p>
        </w:tc>
        <w:tc>
          <w:tcPr>
            <w:tcW w:w="20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120" w:type="dxa"/>
            <w:vAlign w:val="bottom"/>
            <w:tcBorders>
              <w:bottom w:val="single" w:sz="8" w:color="004483"/>
            </w:tcBorders>
          </w:tcPr>
          <w:p>
            <w:pPr>
              <w:spacing w:after="0"/>
              <w:rPr>
                <w:sz w:val="8"/>
                <w:szCs w:val="8"/>
                <w:color w:val="auto"/>
              </w:rPr>
            </w:pPr>
          </w:p>
        </w:tc>
        <w:tc>
          <w:tcPr>
            <w:tcW w:w="320" w:type="dxa"/>
            <w:vAlign w:val="bottom"/>
            <w:tcBorders>
              <w:bottom w:val="single" w:sz="8" w:color="004483"/>
            </w:tcBorders>
          </w:tcPr>
          <w:p>
            <w:pPr>
              <w:spacing w:after="0"/>
              <w:rPr>
                <w:sz w:val="8"/>
                <w:szCs w:val="8"/>
                <w:color w:val="auto"/>
              </w:rPr>
            </w:pPr>
          </w:p>
        </w:tc>
        <w:tc>
          <w:tcPr>
            <w:tcW w:w="700" w:type="dxa"/>
            <w:vAlign w:val="bottom"/>
            <w:tcBorders>
              <w:bottom w:val="single" w:sz="8" w:color="004483"/>
            </w:tcBorders>
          </w:tcPr>
          <w:p>
            <w:pPr>
              <w:spacing w:after="0"/>
              <w:rPr>
                <w:sz w:val="8"/>
                <w:szCs w:val="8"/>
                <w:color w:val="auto"/>
              </w:rPr>
            </w:pPr>
          </w:p>
        </w:tc>
        <w:tc>
          <w:tcPr>
            <w:tcW w:w="40" w:type="dxa"/>
            <w:vAlign w:val="bottom"/>
          </w:tcPr>
          <w:p>
            <w:pPr>
              <w:spacing w:after="0"/>
              <w:rPr>
                <w:sz w:val="8"/>
                <w:szCs w:val="8"/>
                <w:color w:val="auto"/>
              </w:rPr>
            </w:pPr>
          </w:p>
        </w:tc>
      </w:tr>
      <w:tr>
        <w:trPr>
          <w:trHeight w:val="131"/>
        </w:trPr>
        <w:tc>
          <w:tcPr>
            <w:tcW w:w="5200" w:type="dxa"/>
            <w:vAlign w:val="bottom"/>
          </w:tcPr>
          <w:p>
            <w:pPr>
              <w:spacing w:after="0"/>
              <w:rPr>
                <w:sz w:val="20"/>
                <w:szCs w:val="20"/>
                <w:color w:val="auto"/>
              </w:rPr>
            </w:pPr>
            <w:r>
              <w:rPr>
                <w:rFonts w:ascii="Arial" w:cs="Arial" w:eastAsia="Arial" w:hAnsi="Arial"/>
                <w:sz w:val="11"/>
                <w:szCs w:val="11"/>
                <w:b w:val="1"/>
                <w:bCs w:val="1"/>
                <w:color w:val="auto"/>
              </w:rPr>
              <w:t>Balance at March 31, 2021</w:t>
            </w:r>
          </w:p>
        </w:tc>
        <w:tc>
          <w:tcPr>
            <w:tcW w:w="340" w:type="dxa"/>
            <w:vAlign w:val="bottom"/>
          </w:tcPr>
          <w:p>
            <w:pPr>
              <w:jc w:val="right"/>
              <w:ind w:right="273"/>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62,497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1,299,509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(3,440)</w:t>
            </w:r>
          </w:p>
        </w:tc>
        <w:tc>
          <w:tcPr>
            <w:tcW w:w="120" w:type="dxa"/>
            <w:vAlign w:val="bottom"/>
          </w:tcPr>
          <w:p>
            <w:pPr>
              <w:spacing w:after="0"/>
              <w:rPr>
                <w:sz w:val="11"/>
                <w:szCs w:val="11"/>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1,358,990</w:t>
            </w:r>
          </w:p>
        </w:tc>
        <w:tc>
          <w:tcPr>
            <w:tcW w:w="40" w:type="dxa"/>
            <w:vAlign w:val="bottom"/>
          </w:tcPr>
          <w:p>
            <w:pPr>
              <w:spacing w:after="0"/>
              <w:rPr>
                <w:sz w:val="11"/>
                <w:szCs w:val="11"/>
                <w:color w:val="auto"/>
              </w:rPr>
            </w:pP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Net Earnings</w:t>
            </w:r>
          </w:p>
        </w:tc>
        <w:tc>
          <w:tcPr>
            <w:tcW w:w="34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95,327</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A6A6A6"/>
            </w:tcBorders>
          </w:tcPr>
          <w:p>
            <w:pPr>
              <w:spacing w:after="0"/>
              <w:rPr>
                <w:sz w:val="11"/>
                <w:szCs w:val="11"/>
                <w:color w:val="auto"/>
              </w:rPr>
            </w:pPr>
          </w:p>
        </w:tc>
        <w:tc>
          <w:tcPr>
            <w:tcW w:w="7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95,327</w:t>
            </w:r>
          </w:p>
        </w:tc>
        <w:tc>
          <w:tcPr>
            <w:tcW w:w="40" w:type="dxa"/>
            <w:vAlign w:val="bottom"/>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Stock Compensation Expense</w:t>
            </w:r>
          </w:p>
        </w:tc>
        <w:tc>
          <w:tcPr>
            <w:tcW w:w="34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2,455</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2,456</w:t>
            </w:r>
          </w:p>
        </w:tc>
        <w:tc>
          <w:tcPr>
            <w:tcW w:w="40" w:type="dxa"/>
            <w:vAlign w:val="bottom"/>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Stock Option Exercises and Restricted Share Issuance</w:t>
            </w:r>
          </w:p>
        </w:tc>
        <w:tc>
          <w:tcPr>
            <w:tcW w:w="34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8,222</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8,222</w:t>
            </w:r>
          </w:p>
        </w:tc>
        <w:tc>
          <w:tcPr>
            <w:tcW w:w="40" w:type="dxa"/>
            <w:vAlign w:val="bottom"/>
          </w:tcPr>
          <w:p>
            <w:pPr>
              <w:spacing w:after="0"/>
              <w:rPr>
                <w:sz w:val="11"/>
                <w:szCs w:val="1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Shares Redeemed to Settle Employee Taxes</w:t>
            </w:r>
          </w:p>
        </w:tc>
        <w:tc>
          <w:tcPr>
            <w:tcW w:w="3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(1,214)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(1,214)</w:t>
            </w:r>
          </w:p>
        </w:tc>
      </w:tr>
      <w:tr>
        <w:trPr>
          <w:trHeight w:val="20"/>
        </w:trPr>
        <w:tc>
          <w:tcPr>
            <w:tcW w:w="52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Purchase and Retirement of Common Stock</w:t>
            </w:r>
          </w:p>
        </w:tc>
        <w:tc>
          <w:tcPr>
            <w:tcW w:w="34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(61,925)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(61,929)</w:t>
            </w:r>
          </w:p>
        </w:tc>
      </w:tr>
      <w:tr>
        <w:trPr>
          <w:trHeight w:val="20"/>
        </w:trPr>
        <w:tc>
          <w:tcPr>
            <w:tcW w:w="52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Dividends to Stockholders</w:t>
            </w:r>
          </w:p>
        </w:tc>
        <w:tc>
          <w:tcPr>
            <w:tcW w:w="3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(10,547)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(10,547)</w:t>
            </w:r>
          </w:p>
        </w:tc>
      </w:tr>
      <w:tr>
        <w:trPr>
          <w:trHeight w:val="13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Unfunded Pension Liability, net of tax</w:t>
            </w:r>
          </w:p>
        </w:tc>
        <w:tc>
          <w:tcPr>
            <w:tcW w:w="340" w:type="dxa"/>
            <w:vAlign w:val="bottom"/>
            <w:tcBorders>
              <w:top w:val="single" w:sz="8" w:color="A6A6A6"/>
              <w:bottom w:val="single" w:sz="8" w:color="004483"/>
            </w:tcBorders>
          </w:tcPr>
          <w:p>
            <w:pPr>
              <w:spacing w:after="0"/>
              <w:rPr>
                <w:sz w:val="11"/>
                <w:szCs w:val="11"/>
                <w:color w:val="auto"/>
              </w:rPr>
            </w:pPr>
          </w:p>
        </w:tc>
        <w:tc>
          <w:tcPr>
            <w:tcW w:w="6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004483"/>
            </w:tcBorders>
          </w:tcPr>
          <w:p>
            <w:pPr>
              <w:spacing w:after="0"/>
              <w:rPr>
                <w:sz w:val="11"/>
                <w:szCs w:val="11"/>
                <w:color w:val="auto"/>
              </w:rPr>
            </w:pPr>
          </w:p>
        </w:tc>
        <w:tc>
          <w:tcPr>
            <w:tcW w:w="6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100" w:type="dxa"/>
            <w:vAlign w:val="bottom"/>
            <w:tcBorders>
              <w:top w:val="single" w:sz="8" w:color="A6A6A6"/>
              <w:bottom w:val="single" w:sz="8" w:color="004483"/>
            </w:tcBorders>
          </w:tcPr>
          <w:p>
            <w:pPr>
              <w:spacing w:after="0"/>
              <w:rPr>
                <w:sz w:val="11"/>
                <w:szCs w:val="11"/>
                <w:color w:val="auto"/>
              </w:rPr>
            </w:pPr>
          </w:p>
        </w:tc>
        <w:tc>
          <w:tcPr>
            <w:tcW w:w="9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200" w:type="dxa"/>
            <w:vAlign w:val="bottom"/>
            <w:tcBorders>
              <w:top w:val="single" w:sz="8" w:color="A6A6A6"/>
              <w:bottom w:val="single" w:sz="8" w:color="004483"/>
            </w:tcBorders>
          </w:tcPr>
          <w:p>
            <w:pPr>
              <w:spacing w:after="0"/>
              <w:rPr>
                <w:sz w:val="11"/>
                <w:szCs w:val="11"/>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1"/>
                <w:szCs w:val="11"/>
                <w:color w:val="auto"/>
              </w:rPr>
            </w:pPr>
          </w:p>
        </w:tc>
        <w:tc>
          <w:tcPr>
            <w:tcW w:w="120" w:type="dxa"/>
            <w:vAlign w:val="bottom"/>
            <w:tcBorders>
              <w:top w:val="single" w:sz="8" w:color="A6A6A6"/>
              <w:bottom w:val="single" w:sz="8" w:color="A6A6A6"/>
            </w:tcBorders>
          </w:tcPr>
          <w:p>
            <w:pPr>
              <w:spacing w:after="0"/>
              <w:rPr>
                <w:sz w:val="11"/>
                <w:szCs w:val="11"/>
                <w:color w:val="auto"/>
              </w:rPr>
            </w:pPr>
          </w:p>
        </w:tc>
        <w:tc>
          <w:tcPr>
            <w:tcW w:w="320" w:type="dxa"/>
            <w:vAlign w:val="bottom"/>
            <w:tcBorders>
              <w:top w:val="single" w:sz="8" w:color="A6A6A6"/>
              <w:bottom w:val="single" w:sz="8" w:color="004483"/>
            </w:tcBorders>
          </w:tcPr>
          <w:p>
            <w:pPr>
              <w:spacing w:after="0"/>
              <w:rPr>
                <w:sz w:val="11"/>
                <w:szCs w:val="11"/>
                <w:color w:val="auto"/>
              </w:rPr>
            </w:pPr>
          </w:p>
        </w:tc>
        <w:tc>
          <w:tcPr>
            <w:tcW w:w="7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27</w:t>
            </w:r>
          </w:p>
        </w:tc>
        <w:tc>
          <w:tcPr>
            <w:tcW w:w="40" w:type="dxa"/>
            <w:vAlign w:val="bottom"/>
          </w:tcPr>
          <w:p>
            <w:pPr>
              <w:spacing w:after="0"/>
              <w:rPr>
                <w:sz w:val="11"/>
                <w:szCs w:val="11"/>
                <w:color w:val="auto"/>
              </w:rPr>
            </w:pPr>
          </w:p>
        </w:tc>
      </w:tr>
      <w:tr>
        <w:trPr>
          <w:trHeight w:val="142"/>
        </w:trPr>
        <w:tc>
          <w:tcPr>
            <w:tcW w:w="5200" w:type="dxa"/>
            <w:vAlign w:val="bottom"/>
          </w:tcPr>
          <w:p>
            <w:pPr>
              <w:spacing w:after="0"/>
              <w:rPr>
                <w:sz w:val="20"/>
                <w:szCs w:val="20"/>
                <w:color w:val="auto"/>
              </w:rPr>
            </w:pPr>
            <w:r>
              <w:rPr>
                <w:rFonts w:ascii="Arial" w:cs="Arial" w:eastAsia="Arial" w:hAnsi="Arial"/>
                <w:sz w:val="11"/>
                <w:szCs w:val="11"/>
                <w:b w:val="1"/>
                <w:bCs w:val="1"/>
                <w:color w:val="auto"/>
              </w:rPr>
              <w:t>Balance at June 30, 2021</w:t>
            </w:r>
          </w:p>
        </w:tc>
        <w:tc>
          <w:tcPr>
            <w:tcW w:w="340" w:type="dxa"/>
            <w:vAlign w:val="bottom"/>
            <w:tcBorders>
              <w:bottom w:val="single" w:sz="8" w:color="004483"/>
            </w:tcBorders>
          </w:tcPr>
          <w:p>
            <w:pPr>
              <w:jc w:val="right"/>
              <w:ind w:right="273"/>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004483"/>
            </w:tcBorders>
          </w:tcPr>
          <w:p>
            <w:pPr>
              <w:spacing w:after="0"/>
              <w:rPr>
                <w:sz w:val="12"/>
                <w:szCs w:val="12"/>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10,035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1,384,289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004483"/>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(3,413)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004483"/>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1,391,332</w:t>
            </w:r>
          </w:p>
        </w:tc>
        <w:tc>
          <w:tcPr>
            <w:tcW w:w="40" w:type="dxa"/>
            <w:vAlign w:val="bottom"/>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notes to the unaudited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287" w:right="379" w:bottom="1440" w:gutter="0" w:footer="0" w:header="0"/>
        </w:sectPr>
      </w:pPr>
    </w:p>
    <w:bookmarkStart w:id="7" w:name="page8"/>
    <w:bookmarkEnd w:id="7"/>
    <w:p>
      <w:pPr>
        <w:ind w:left="8"/>
        <w:spacing w:after="0"/>
        <w:rPr>
          <w:sz w:val="20"/>
          <w:szCs w:val="20"/>
          <w:color w:val="auto"/>
        </w:rPr>
      </w:pPr>
      <w:r>
        <w:rPr>
          <w:rFonts w:ascii="Arial" w:cs="Arial" w:eastAsia="Arial" w:hAnsi="Arial"/>
          <w:sz w:val="16"/>
          <w:szCs w:val="16"/>
          <w:b w:val="1"/>
          <w:bCs w:val="1"/>
          <w:color w:val="auto"/>
        </w:rPr>
        <w:t>Eagle Materials Inc. and Subsidiaries</w:t>
      </w:r>
    </w:p>
    <w:p>
      <w:pPr>
        <w:ind w:left="8"/>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53"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(A) BASIS OF PRESENTATION</w:t>
      </w:r>
    </w:p>
    <w:p>
      <w:pPr>
        <w:spacing w:after="0" w:line="93" w:lineRule="exact"/>
        <w:rPr>
          <w:sz w:val="20"/>
          <w:szCs w:val="20"/>
          <w:color w:val="auto"/>
        </w:rPr>
      </w:pPr>
    </w:p>
    <w:p>
      <w:pPr>
        <w:ind w:left="8" w:right="280"/>
        <w:spacing w:after="0" w:line="269" w:lineRule="auto"/>
        <w:rPr>
          <w:sz w:val="20"/>
          <w:szCs w:val="20"/>
          <w:color w:val="auto"/>
        </w:rPr>
      </w:pPr>
      <w:r>
        <w:rPr>
          <w:rFonts w:ascii="Arial" w:cs="Arial" w:eastAsia="Arial" w:hAnsi="Arial"/>
          <w:sz w:val="12"/>
          <w:szCs w:val="12"/>
          <w:color w:val="auto"/>
        </w:rPr>
        <w:t>The accompanying unaudited consolidated financial statements as of and for the three-month period ended June 30, 2021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21, 2021.</w:t>
      </w:r>
    </w:p>
    <w:p>
      <w:pPr>
        <w:spacing w:after="0" w:line="65" w:lineRule="exact"/>
        <w:rPr>
          <w:sz w:val="20"/>
          <w:szCs w:val="20"/>
          <w:color w:val="auto"/>
        </w:rPr>
      </w:pPr>
    </w:p>
    <w:p>
      <w:pPr>
        <w:ind w:left="8" w:right="60"/>
        <w:spacing w:after="0" w:line="269" w:lineRule="auto"/>
        <w:rPr>
          <w:sz w:val="20"/>
          <w:szCs w:val="20"/>
          <w:color w:val="auto"/>
        </w:rPr>
      </w:pPr>
      <w:r>
        <w:rPr>
          <w:rFonts w:ascii="Arial" w:cs="Arial" w:eastAsia="Arial" w:hAnsi="Arial"/>
          <w:sz w:val="12"/>
          <w:szCs w:val="12"/>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65" w:lineRule="exact"/>
        <w:rPr>
          <w:sz w:val="20"/>
          <w:szCs w:val="20"/>
          <w:color w:val="auto"/>
        </w:rPr>
      </w:pPr>
    </w:p>
    <w:p>
      <w:pPr>
        <w:ind w:left="8" w:right="160"/>
        <w:spacing w:after="0" w:line="271"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Recent Accounting Pronouncements</w:t>
      </w:r>
    </w:p>
    <w:p>
      <w:pPr>
        <w:spacing w:after="0" w:line="93" w:lineRule="exact"/>
        <w:rPr>
          <w:sz w:val="20"/>
          <w:szCs w:val="20"/>
          <w:color w:val="auto"/>
        </w:rPr>
      </w:pPr>
    </w:p>
    <w:p>
      <w:pPr>
        <w:jc w:val="both"/>
        <w:ind w:left="8" w:right="160"/>
        <w:spacing w:after="0" w:line="271" w:lineRule="auto"/>
        <w:rPr>
          <w:sz w:val="20"/>
          <w:szCs w:val="20"/>
          <w:color w:val="auto"/>
        </w:rPr>
      </w:pPr>
      <w:r>
        <w:rPr>
          <w:rFonts w:ascii="Arial" w:cs="Arial" w:eastAsia="Arial" w:hAnsi="Arial"/>
          <w:sz w:val="12"/>
          <w:szCs w:val="12"/>
          <w:color w:val="auto"/>
        </w:rPr>
        <w:t>In December 2019, the FASB issued ASU 2019-12, which simplifies the accounting for income taxes, eliminates certain exceptions within existing income tax guidance, and clarifies certain aspects of the current guidance to promote consistency among reporting entities. We adopted this ASU on April 1, 2021 on a prospective basis. The adoption of this guidance did not have a material effect on our consolidated financial statements.</w:t>
      </w:r>
    </w:p>
    <w:p>
      <w:pPr>
        <w:spacing w:after="0" w:line="154" w:lineRule="exact"/>
        <w:rPr>
          <w:sz w:val="20"/>
          <w:szCs w:val="20"/>
          <w:color w:val="auto"/>
        </w:rPr>
      </w:pPr>
    </w:p>
    <w:p>
      <w:pPr>
        <w:ind w:left="228" w:hanging="228"/>
        <w:spacing w:after="0"/>
        <w:tabs>
          <w:tab w:leader="none" w:pos="228"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SUPPLEMENTAL CASH FLOW INFORMATION</w:t>
      </w:r>
    </w:p>
    <w:p>
      <w:pPr>
        <w:spacing w:after="0" w:line="93" w:lineRule="exact"/>
        <w:rPr>
          <w:rFonts w:ascii="Arial" w:cs="Arial" w:eastAsia="Arial" w:hAnsi="Arial"/>
          <w:sz w:val="13"/>
          <w:szCs w:val="13"/>
          <w:b w:val="1"/>
          <w:bCs w:val="1"/>
          <w:color w:val="auto"/>
        </w:rPr>
      </w:pPr>
    </w:p>
    <w:p>
      <w:pPr>
        <w:ind w:left="8"/>
        <w:spacing w:after="0"/>
        <w:rPr>
          <w:rFonts w:ascii="Arial" w:cs="Arial" w:eastAsia="Arial" w:hAnsi="Arial"/>
          <w:sz w:val="13"/>
          <w:szCs w:val="13"/>
          <w:b w:val="1"/>
          <w:bCs w:val="1"/>
          <w:color w:val="auto"/>
        </w:rPr>
      </w:pPr>
      <w:r>
        <w:rPr>
          <w:rFonts w:ascii="Arial" w:cs="Arial" w:eastAsia="Arial" w:hAnsi="Arial"/>
          <w:sz w:val="12"/>
          <w:szCs w:val="12"/>
          <w:color w:val="auto"/>
        </w:rPr>
        <w:t>Supplemental cash flow information is as follows:</w:t>
      </w:r>
    </w:p>
    <w:p>
      <w:pPr>
        <w:spacing w:after="0" w:line="16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40" w:type="dxa"/>
            <w:vAlign w:val="bottom"/>
            <w:gridSpan w:val="3"/>
            <w:shd w:val="clear" w:color="auto" w:fill="004483"/>
          </w:tcPr>
          <w:p>
            <w:pPr>
              <w:jc w:val="center"/>
              <w:ind w:left="32"/>
              <w:spacing w:after="0"/>
              <w:rPr>
                <w:sz w:val="20"/>
                <w:szCs w:val="20"/>
                <w:color w:val="auto"/>
              </w:rPr>
            </w:pPr>
            <w:r>
              <w:rPr>
                <w:rFonts w:ascii="Arial" w:cs="Arial" w:eastAsia="Arial" w:hAnsi="Arial"/>
                <w:sz w:val="8"/>
                <w:szCs w:val="8"/>
                <w:b w:val="1"/>
                <w:bCs w:val="1"/>
                <w:color w:val="FFFFFF"/>
                <w:w w:val="95"/>
              </w:rPr>
              <w:t>For the Three Months Ended June 30,</w:t>
            </w:r>
          </w:p>
        </w:tc>
        <w:tc>
          <w:tcPr>
            <w:tcW w:w="6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40" w:type="dxa"/>
            <w:vAlign w:val="bottom"/>
            <w:tcBorders>
              <w:bottom w:val="single" w:sz="8" w:color="004483"/>
            </w:tcBorders>
            <w:gridSpan w:val="3"/>
          </w:tcPr>
          <w:p>
            <w:pPr>
              <w:jc w:val="center"/>
              <w:ind w:left="32"/>
              <w:spacing w:after="0"/>
              <w:rPr>
                <w:sz w:val="20"/>
                <w:szCs w:val="20"/>
                <w:color w:val="auto"/>
              </w:rPr>
            </w:pPr>
            <w:r>
              <w:rPr>
                <w:rFonts w:ascii="Arial" w:cs="Arial" w:eastAsia="Arial" w:hAnsi="Arial"/>
                <w:sz w:val="8"/>
                <w:szCs w:val="8"/>
                <w:color w:val="auto"/>
                <w:w w:val="94"/>
              </w:rPr>
              <w:t>(dollars in thousands)</w:t>
            </w:r>
          </w:p>
        </w:tc>
        <w:tc>
          <w:tcPr>
            <w:tcW w:w="64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6"/>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Cash Payments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6A6A6"/>
            </w:tcBorders>
          </w:tcPr>
          <w:p>
            <w:pPr>
              <w:spacing w:after="0"/>
              <w:rPr>
                <w:sz w:val="11"/>
                <w:szCs w:val="11"/>
                <w:color w:val="auto"/>
              </w:rPr>
            </w:pPr>
          </w:p>
        </w:tc>
        <w:tc>
          <w:tcPr>
            <w:tcW w:w="64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46"/>
        </w:trPr>
        <w:tc>
          <w:tcPr>
            <w:tcW w:w="7740" w:type="dxa"/>
            <w:vAlign w:val="bottom"/>
            <w:tcBorders>
              <w:bottom w:val="single" w:sz="8" w:color="A6A6A6"/>
            </w:tcBorders>
          </w:tcPr>
          <w:p>
            <w:pPr>
              <w:ind w:left="80"/>
              <w:spacing w:after="0"/>
              <w:rPr>
                <w:sz w:val="20"/>
                <w:szCs w:val="20"/>
                <w:color w:val="auto"/>
              </w:rPr>
            </w:pPr>
            <w:r>
              <w:rPr>
                <w:rFonts w:ascii="Arial" w:cs="Arial" w:eastAsia="Arial" w:hAnsi="Arial"/>
                <w:sz w:val="11"/>
                <w:szCs w:val="11"/>
                <w:color w:val="auto"/>
              </w:rPr>
              <w:t>Interest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2,945</w:t>
            </w:r>
          </w:p>
        </w:tc>
        <w:tc>
          <w:tcPr>
            <w:tcW w:w="100" w:type="dxa"/>
            <w:vAlign w:val="bottom"/>
          </w:tcPr>
          <w:p>
            <w:pPr>
              <w:spacing w:after="0"/>
              <w:rPr>
                <w:sz w:val="12"/>
                <w:szCs w:val="12"/>
                <w:color w:val="auto"/>
              </w:rPr>
            </w:pPr>
          </w:p>
        </w:tc>
        <w:tc>
          <w:tcPr>
            <w:tcW w:w="1120" w:type="dxa"/>
            <w:vAlign w:val="bottom"/>
            <w:tcBorders>
              <w:bottom w:val="single" w:sz="8" w:color="A6A6A6"/>
            </w:tcBorders>
          </w:tcPr>
          <w:p>
            <w:pPr>
              <w:jc w:val="right"/>
              <w:ind w:right="82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9,562</w:t>
            </w:r>
          </w:p>
        </w:tc>
        <w:tc>
          <w:tcPr>
            <w:tcW w:w="120" w:type="dxa"/>
            <w:vAlign w:val="bottom"/>
          </w:tcPr>
          <w:p>
            <w:pPr>
              <w:spacing w:after="0"/>
              <w:rPr>
                <w:sz w:val="12"/>
                <w:szCs w:val="12"/>
                <w:color w:val="auto"/>
              </w:rPr>
            </w:pPr>
          </w:p>
        </w:tc>
      </w:tr>
      <w:tr>
        <w:trPr>
          <w:trHeight w:val="142"/>
        </w:trPr>
        <w:tc>
          <w:tcPr>
            <w:tcW w:w="7740" w:type="dxa"/>
            <w:vAlign w:val="bottom"/>
          </w:tcPr>
          <w:p>
            <w:pPr>
              <w:ind w:left="80"/>
              <w:spacing w:after="0"/>
              <w:rPr>
                <w:sz w:val="20"/>
                <w:szCs w:val="20"/>
                <w:color w:val="auto"/>
              </w:rPr>
            </w:pPr>
            <w:r>
              <w:rPr>
                <w:rFonts w:ascii="Arial" w:cs="Arial" w:eastAsia="Arial" w:hAnsi="Arial"/>
                <w:sz w:val="11"/>
                <w:szCs w:val="11"/>
                <w:color w:val="auto"/>
              </w:rPr>
              <w:t>Income Taxes</w:t>
            </w:r>
          </w:p>
        </w:tc>
        <w:tc>
          <w:tcPr>
            <w:tcW w:w="5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10,010</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42"/>
        </w:trPr>
        <w:tc>
          <w:tcPr>
            <w:tcW w:w="7740" w:type="dxa"/>
            <w:vAlign w:val="bottom"/>
            <w:tcBorders>
              <w:top w:val="single" w:sz="8" w:color="A6A6A6"/>
              <w:bottom w:val="single" w:sz="8" w:color="A6A6A6"/>
            </w:tcBorders>
          </w:tcPr>
          <w:p>
            <w:pPr>
              <w:ind w:left="80"/>
              <w:spacing w:after="0"/>
              <w:rPr>
                <w:sz w:val="20"/>
                <w:szCs w:val="20"/>
                <w:color w:val="auto"/>
              </w:rPr>
            </w:pPr>
            <w:r>
              <w:rPr>
                <w:rFonts w:ascii="Arial" w:cs="Arial" w:eastAsia="Arial" w:hAnsi="Arial"/>
                <w:sz w:val="11"/>
                <w:szCs w:val="11"/>
                <w:color w:val="auto"/>
              </w:rPr>
              <w:t>Operating Cash Flows Used for Operating Leases</w:t>
            </w:r>
          </w:p>
        </w:tc>
        <w:tc>
          <w:tcPr>
            <w:tcW w:w="560" w:type="dxa"/>
            <w:vAlign w:val="bottom"/>
            <w:tcBorders>
              <w:top w:val="single" w:sz="8" w:color="A6A6A6"/>
              <w:bottom w:val="single" w:sz="8" w:color="A6A6A6"/>
            </w:tcBorders>
          </w:tcPr>
          <w:p>
            <w:pPr>
              <w:spacing w:after="0"/>
              <w:rPr>
                <w:sz w:val="12"/>
                <w:szCs w:val="12"/>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2,030</w:t>
            </w:r>
          </w:p>
        </w:tc>
        <w:tc>
          <w:tcPr>
            <w:tcW w:w="100" w:type="dxa"/>
            <w:vAlign w:val="bottom"/>
          </w:tcPr>
          <w:p>
            <w:pPr>
              <w:spacing w:after="0"/>
              <w:rPr>
                <w:sz w:val="12"/>
                <w:szCs w:val="12"/>
                <w:color w:val="auto"/>
              </w:rPr>
            </w:pPr>
          </w:p>
        </w:tc>
        <w:tc>
          <w:tcPr>
            <w:tcW w:w="1120" w:type="dxa"/>
            <w:vAlign w:val="bottom"/>
            <w:tcBorders>
              <w:top w:val="single" w:sz="8" w:color="A6A6A6"/>
              <w:bottom w:val="single" w:sz="8" w:color="A6A6A6"/>
            </w:tcBorders>
          </w:tcPr>
          <w:p>
            <w:pPr>
              <w:spacing w:after="0"/>
              <w:rPr>
                <w:sz w:val="12"/>
                <w:szCs w:val="12"/>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3,195</w:t>
            </w:r>
          </w:p>
        </w:tc>
        <w:tc>
          <w:tcPr>
            <w:tcW w:w="1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auto"/>
        </w:rPr>
        <w:t>(C) DISCONTINUED OPERATIONS AND OTHER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Discontinued Operations</w:t>
      </w:r>
    </w:p>
    <w:p>
      <w:pPr>
        <w:spacing w:after="0" w:line="99" w:lineRule="exact"/>
        <w:rPr>
          <w:sz w:val="20"/>
          <w:szCs w:val="20"/>
          <w:color w:val="auto"/>
        </w:rPr>
      </w:pPr>
    </w:p>
    <w:p>
      <w:pPr>
        <w:ind w:right="120"/>
        <w:spacing w:after="0" w:line="269" w:lineRule="auto"/>
        <w:rPr>
          <w:sz w:val="20"/>
          <w:szCs w:val="20"/>
          <w:color w:val="auto"/>
        </w:rPr>
      </w:pPr>
      <w:r>
        <w:rPr>
          <w:rFonts w:ascii="Arial" w:cs="Arial" w:eastAsia="Arial" w:hAnsi="Arial"/>
          <w:sz w:val="12"/>
          <w:szCs w:val="12"/>
          <w:color w:val="auto"/>
        </w:rPr>
        <w:t>On September 18, 2020, we sold our Oil and Gas Proppants business (the Proppants Business) to Smart Sand, Inc., a Delaware corporation (the Purchaser), pursuant to an Equity Purchase and Sale Agreement (the Purchase Agreement) between the Company and the Purchaser. The sale of this business excluded certain assets, namely real property and equipment in south Texas, real property in Illinois, and certain other assets. The purchase price (the Purchase Price) paid by the Purchaser for the acquisition of the Proppants Business was $2.0 million paid in shares of common stock of the Purchaser. Shares representing $0.3 million of the Purchase Price are being held in escrow as a source of recovery for any indemnification claims by the Purchaser. The sale resulted in a gain of approximately $9.2 million.</w:t>
      </w:r>
    </w:p>
    <w:p>
      <w:pPr>
        <w:spacing w:after="0" w:line="6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In connection with the execution of the Purchase Agreement, we also entered into a Loan and Security Agreement, dated September 18, 2020 (the Loan and Security Agreement), by and among the Company, as lender; the Purchaser, as borrower; and other parties thereto. Pursuant to the Loan and Security Agreement, the Company will loan the Purchaser up to $5.0 million for working capital and operating, maintenance, and administrative expenses of the Proppants Business during the one-year period following the closing. The Company has deposited the $5.0 million into an escrow account. Up to 50% of the amounts outstanding under the Loan and Security Agreement may be repaid by the Purchaser in shares of the Purchaser’s common stock. Borrowings under the Loan and Security Agreement will bear interest at a fixed rate of 6.00% per annum during the one-year period following the closing. Any amounts after the one-year period will bear interest at a fixed rate of 8.00% per annum and will mature on September 18, 2024. There were no outstanding borrowings at June 30, 2021. The $5.0 million in the escrow account at June 30, 2021 is classified as Restricted Cash on the Consolidated Balance Sheet.</w:t>
      </w:r>
    </w:p>
    <w:p>
      <w:pPr>
        <w:spacing w:after="0" w:line="65" w:lineRule="exact"/>
        <w:rPr>
          <w:sz w:val="20"/>
          <w:szCs w:val="20"/>
          <w:color w:val="auto"/>
        </w:rPr>
      </w:pPr>
    </w:p>
    <w:p>
      <w:pPr>
        <w:jc w:val="both"/>
        <w:ind w:right="260"/>
        <w:spacing w:after="0" w:line="271" w:lineRule="auto"/>
        <w:rPr>
          <w:sz w:val="20"/>
          <w:szCs w:val="20"/>
          <w:color w:val="auto"/>
        </w:rPr>
      </w:pPr>
      <w:r>
        <w:rPr>
          <w:rFonts w:ascii="Arial" w:cs="Arial" w:eastAsia="Arial" w:hAnsi="Arial"/>
          <w:sz w:val="12"/>
          <w:szCs w:val="12"/>
          <w:color w:val="auto"/>
        </w:rPr>
        <w:t>The sale of the Proppants Business, which was previously disclosed as a reportable segment, was determined to meet the discontinued operations accounting criteria. Certain expenses, which were previously included in the Oil and Gas Proppants operating segment, do not qualify for classification within discontinued operations and have been reclassified from the operating segment to continuing operations. These expenses primarily relate to lease agreements not included in the sale of the Proppants Business.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operating results included in Earnings (Loss) from Discontinued Operations for the three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800" w:type="dxa"/>
            <w:vAlign w:val="bottom"/>
          </w:tcPr>
          <w:p>
            <w:pPr>
              <w:spacing w:after="0"/>
              <w:rPr>
                <w:sz w:val="11"/>
                <w:szCs w:val="11"/>
                <w:color w:val="auto"/>
              </w:rPr>
            </w:pPr>
          </w:p>
        </w:tc>
        <w:tc>
          <w:tcPr>
            <w:tcW w:w="1460" w:type="dxa"/>
            <w:vAlign w:val="bottom"/>
            <w:shd w:val="clear" w:color="auto" w:fill="004483"/>
          </w:tcPr>
          <w:p>
            <w:pPr>
              <w:jc w:val="right"/>
              <w:ind w:right="54"/>
              <w:spacing w:after="0"/>
              <w:rPr>
                <w:sz w:val="20"/>
                <w:szCs w:val="20"/>
                <w:color w:val="auto"/>
              </w:rPr>
            </w:pPr>
            <w:r>
              <w:rPr>
                <w:rFonts w:ascii="Arial" w:cs="Arial" w:eastAsia="Arial" w:hAnsi="Arial"/>
                <w:sz w:val="8"/>
                <w:szCs w:val="8"/>
                <w:b w:val="1"/>
                <w:bCs w:val="1"/>
                <w:color w:val="FFFFFF"/>
              </w:rPr>
              <w:t>For the Three Months Ended</w:t>
            </w:r>
          </w:p>
        </w:tc>
        <w:tc>
          <w:tcPr>
            <w:tcW w:w="1040" w:type="dxa"/>
            <w:vAlign w:val="bottom"/>
            <w:gridSpan w:val="2"/>
            <w:shd w:val="clear" w:color="auto" w:fill="004483"/>
          </w:tcPr>
          <w:p>
            <w:pPr>
              <w:jc w:val="right"/>
              <w:ind w:right="440"/>
              <w:spacing w:after="0"/>
              <w:rPr>
                <w:sz w:val="20"/>
                <w:szCs w:val="20"/>
                <w:color w:val="auto"/>
              </w:rPr>
            </w:pPr>
            <w:r>
              <w:rPr>
                <w:rFonts w:ascii="Arial" w:cs="Arial" w:eastAsia="Arial" w:hAnsi="Arial"/>
                <w:sz w:val="8"/>
                <w:szCs w:val="8"/>
                <w:b w:val="1"/>
                <w:bCs w:val="1"/>
                <w:color w:val="FFFFFF"/>
              </w:rPr>
              <w:t>June 30, 2020</w:t>
            </w:r>
          </w:p>
        </w:tc>
      </w:tr>
      <w:tr>
        <w:trPr>
          <w:trHeight w:val="99"/>
        </w:trPr>
        <w:tc>
          <w:tcPr>
            <w:tcW w:w="88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(dollars in thousands)</w:t>
            </w:r>
          </w:p>
        </w:tc>
      </w:tr>
      <w:tr>
        <w:trPr>
          <w:trHeight w:val="131"/>
        </w:trPr>
        <w:tc>
          <w:tcPr>
            <w:tcW w:w="88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Revenue</w:t>
            </w:r>
          </w:p>
        </w:tc>
        <w:tc>
          <w:tcPr>
            <w:tcW w:w="1460" w:type="dxa"/>
            <w:vAlign w:val="bottom"/>
            <w:tcBorders>
              <w:top w:val="single" w:sz="8" w:color="004483"/>
              <w:bottom w:val="single" w:sz="8" w:color="A6A6A6"/>
            </w:tcBorders>
          </w:tcPr>
          <w:p>
            <w:pPr>
              <w:jc w:val="right"/>
              <w:ind w:right="1354"/>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1,031</w:t>
            </w:r>
          </w:p>
        </w:tc>
        <w:tc>
          <w:tcPr>
            <w:tcW w:w="120" w:type="dxa"/>
            <w:vAlign w:val="bottom"/>
          </w:tcPr>
          <w:p>
            <w:pPr>
              <w:spacing w:after="0"/>
              <w:rPr>
                <w:sz w:val="11"/>
                <w:szCs w:val="11"/>
                <w:color w:val="auto"/>
              </w:rPr>
            </w:pPr>
          </w:p>
        </w:tc>
      </w:tr>
      <w:tr>
        <w:trPr>
          <w:trHeight w:val="133"/>
        </w:trPr>
        <w:tc>
          <w:tcPr>
            <w:tcW w:w="88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Cost of Goods Sold</w:t>
            </w:r>
          </w:p>
        </w:tc>
        <w:tc>
          <w:tcPr>
            <w:tcW w:w="14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2,349</w:t>
            </w:r>
          </w:p>
        </w:tc>
        <w:tc>
          <w:tcPr>
            <w:tcW w:w="120" w:type="dxa"/>
            <w:vAlign w:val="bottom"/>
          </w:tcPr>
          <w:p>
            <w:pPr>
              <w:spacing w:after="0"/>
              <w:rPr>
                <w:sz w:val="11"/>
                <w:szCs w:val="11"/>
                <w:color w:val="auto"/>
              </w:rPr>
            </w:pPr>
          </w:p>
        </w:tc>
      </w:tr>
      <w:tr>
        <w:trPr>
          <w:trHeight w:val="133"/>
        </w:trPr>
        <w:tc>
          <w:tcPr>
            <w:tcW w:w="8800" w:type="dxa"/>
            <w:vAlign w:val="bottom"/>
          </w:tcPr>
          <w:p>
            <w:pPr>
              <w:ind w:left="160"/>
              <w:spacing w:after="0"/>
              <w:rPr>
                <w:sz w:val="20"/>
                <w:szCs w:val="20"/>
                <w:color w:val="auto"/>
              </w:rPr>
            </w:pPr>
            <w:r>
              <w:rPr>
                <w:rFonts w:ascii="Arial" w:cs="Arial" w:eastAsia="Arial" w:hAnsi="Arial"/>
                <w:sz w:val="11"/>
                <w:szCs w:val="11"/>
                <w:color w:val="auto"/>
              </w:rPr>
              <w:t>Gross Profit</w:t>
            </w:r>
          </w:p>
        </w:tc>
        <w:tc>
          <w:tcPr>
            <w:tcW w:w="146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(1,318)</w:t>
            </w:r>
          </w:p>
        </w:tc>
      </w:tr>
      <w:tr>
        <w:trPr>
          <w:trHeight w:val="142"/>
        </w:trPr>
        <w:tc>
          <w:tcPr>
            <w:tcW w:w="88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Other Non-Operating Income</w:t>
            </w:r>
          </w:p>
        </w:tc>
        <w:tc>
          <w:tcPr>
            <w:tcW w:w="1460" w:type="dxa"/>
            <w:vAlign w:val="bottom"/>
            <w:tcBorders>
              <w:top w:val="single" w:sz="8" w:color="A6A6A6"/>
              <w:bottom w:val="single" w:sz="8" w:color="auto"/>
            </w:tcBorders>
          </w:tcPr>
          <w:p>
            <w:pPr>
              <w:spacing w:after="0"/>
              <w:rPr>
                <w:sz w:val="12"/>
                <w:szCs w:val="12"/>
                <w:color w:val="auto"/>
              </w:rPr>
            </w:pPr>
          </w:p>
        </w:tc>
        <w:tc>
          <w:tcPr>
            <w:tcW w:w="920" w:type="dxa"/>
            <w:vAlign w:val="bottom"/>
            <w:tcBorders>
              <w:top w:val="single" w:sz="8" w:color="A6A6A6"/>
              <w:bottom w:val="single" w:sz="8" w:color="auto"/>
            </w:tcBorders>
          </w:tcPr>
          <w:p>
            <w:pPr>
              <w:jc w:val="right"/>
              <w:spacing w:after="0"/>
              <w:rPr>
                <w:sz w:val="20"/>
                <w:szCs w:val="20"/>
                <w:color w:val="auto"/>
              </w:rPr>
            </w:pPr>
            <w:r>
              <w:rPr>
                <w:rFonts w:ascii="Arial" w:cs="Arial" w:eastAsia="Arial" w:hAnsi="Arial"/>
                <w:sz w:val="11"/>
                <w:szCs w:val="11"/>
                <w:color w:val="auto"/>
              </w:rPr>
              <w:t>182</w:t>
            </w:r>
          </w:p>
        </w:tc>
        <w:tc>
          <w:tcPr>
            <w:tcW w:w="120" w:type="dxa"/>
            <w:vAlign w:val="bottom"/>
          </w:tcPr>
          <w:p>
            <w:pPr>
              <w:spacing w:after="0"/>
              <w:rPr>
                <w:sz w:val="12"/>
                <w:szCs w:val="12"/>
                <w:color w:val="auto"/>
              </w:rPr>
            </w:pPr>
          </w:p>
        </w:tc>
      </w:tr>
      <w:tr>
        <w:trPr>
          <w:trHeight w:val="142"/>
        </w:trPr>
        <w:tc>
          <w:tcPr>
            <w:tcW w:w="8800" w:type="dxa"/>
            <w:vAlign w:val="bottom"/>
          </w:tcPr>
          <w:p>
            <w:pPr>
              <w:spacing w:after="0"/>
              <w:rPr>
                <w:sz w:val="20"/>
                <w:szCs w:val="20"/>
                <w:color w:val="auto"/>
              </w:rPr>
            </w:pPr>
            <w:r>
              <w:rPr>
                <w:rFonts w:ascii="Arial" w:cs="Arial" w:eastAsia="Arial" w:hAnsi="Arial"/>
                <w:sz w:val="11"/>
                <w:szCs w:val="11"/>
                <w:color w:val="auto"/>
              </w:rPr>
              <w:t>Loss from Discontinued Operations</w:t>
            </w:r>
          </w:p>
        </w:tc>
        <w:tc>
          <w:tcPr>
            <w:tcW w:w="146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(1,136)</w:t>
            </w:r>
          </w:p>
        </w:tc>
      </w:tr>
      <w:tr>
        <w:trPr>
          <w:trHeight w:val="142"/>
        </w:trPr>
        <w:tc>
          <w:tcPr>
            <w:tcW w:w="88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Income Tax Benefit</w:t>
            </w:r>
          </w:p>
        </w:tc>
        <w:tc>
          <w:tcPr>
            <w:tcW w:w="1460" w:type="dxa"/>
            <w:vAlign w:val="bottom"/>
            <w:tcBorders>
              <w:top w:val="single" w:sz="8" w:color="A6A6A6"/>
              <w:bottom w:val="single" w:sz="8" w:color="auto"/>
            </w:tcBorders>
          </w:tcPr>
          <w:p>
            <w:pPr>
              <w:spacing w:after="0"/>
              <w:rPr>
                <w:sz w:val="12"/>
                <w:szCs w:val="12"/>
                <w:color w:val="auto"/>
              </w:rPr>
            </w:pPr>
          </w:p>
        </w:tc>
        <w:tc>
          <w:tcPr>
            <w:tcW w:w="920" w:type="dxa"/>
            <w:vAlign w:val="bottom"/>
            <w:tcBorders>
              <w:top w:val="single" w:sz="8" w:color="A6A6A6"/>
              <w:bottom w:val="single" w:sz="8" w:color="auto"/>
            </w:tcBorders>
          </w:tcPr>
          <w:p>
            <w:pPr>
              <w:jc w:val="right"/>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12"/>
                <w:szCs w:val="12"/>
                <w:color w:val="auto"/>
              </w:rPr>
            </w:pPr>
          </w:p>
        </w:tc>
      </w:tr>
      <w:tr>
        <w:trPr>
          <w:trHeight w:val="135"/>
        </w:trPr>
        <w:tc>
          <w:tcPr>
            <w:tcW w:w="8800" w:type="dxa"/>
            <w:vAlign w:val="bottom"/>
          </w:tcPr>
          <w:p>
            <w:pPr>
              <w:ind w:left="160"/>
              <w:spacing w:after="0"/>
              <w:rPr>
                <w:sz w:val="20"/>
                <w:szCs w:val="20"/>
                <w:color w:val="auto"/>
              </w:rPr>
            </w:pPr>
            <w:r>
              <w:rPr>
                <w:rFonts w:ascii="Arial" w:cs="Arial" w:eastAsia="Arial" w:hAnsi="Arial"/>
                <w:sz w:val="11"/>
                <w:szCs w:val="11"/>
                <w:b w:val="1"/>
                <w:bCs w:val="1"/>
                <w:color w:val="auto"/>
              </w:rPr>
              <w:t>Net Loss from Discontinued Operations</w:t>
            </w:r>
          </w:p>
        </w:tc>
        <w:tc>
          <w:tcPr>
            <w:tcW w:w="1460" w:type="dxa"/>
            <w:vAlign w:val="bottom"/>
          </w:tcPr>
          <w:p>
            <w:pPr>
              <w:jc w:val="right"/>
              <w:ind w:right="1354"/>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(885)</w:t>
            </w:r>
          </w:p>
        </w:tc>
      </w:tr>
      <w:tr>
        <w:trPr>
          <w:trHeight w:val="27"/>
        </w:trPr>
        <w:tc>
          <w:tcPr>
            <w:tcW w:w="8800" w:type="dxa"/>
            <w:vAlign w:val="bottom"/>
            <w:shd w:val="clear" w:color="auto" w:fill="A6A6A6"/>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9"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t>The significant components of our Consolidated Statements of Cash Flows for discontinued operations for the three months ended June 30, 2020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780" w:type="dxa"/>
            <w:vAlign w:val="bottom"/>
          </w:tcPr>
          <w:p>
            <w:pPr>
              <w:spacing w:after="0"/>
              <w:rPr>
                <w:sz w:val="11"/>
                <w:szCs w:val="11"/>
                <w:color w:val="auto"/>
              </w:rPr>
            </w:pPr>
          </w:p>
        </w:tc>
        <w:tc>
          <w:tcPr>
            <w:tcW w:w="200" w:type="dxa"/>
            <w:vAlign w:val="bottom"/>
            <w:tcBorders>
              <w:bottom w:val="single" w:sz="8" w:color="004483"/>
            </w:tcBorders>
            <w:shd w:val="clear" w:color="auto" w:fill="004483"/>
          </w:tcPr>
          <w:p>
            <w:pPr>
              <w:spacing w:after="0"/>
              <w:rPr>
                <w:sz w:val="11"/>
                <w:szCs w:val="11"/>
                <w:color w:val="auto"/>
              </w:rPr>
            </w:pPr>
          </w:p>
        </w:tc>
        <w:tc>
          <w:tcPr>
            <w:tcW w:w="1280" w:type="dxa"/>
            <w:vAlign w:val="bottom"/>
            <w:tcBorders>
              <w:bottom w:val="single" w:sz="8" w:color="004483"/>
            </w:tcBorders>
            <w:shd w:val="clear" w:color="auto" w:fill="004483"/>
          </w:tcPr>
          <w:p>
            <w:pPr>
              <w:ind w:left="120"/>
              <w:spacing w:after="0"/>
              <w:rPr>
                <w:sz w:val="20"/>
                <w:szCs w:val="20"/>
                <w:color w:val="auto"/>
              </w:rPr>
            </w:pPr>
            <w:r>
              <w:rPr>
                <w:rFonts w:ascii="Arial" w:cs="Arial" w:eastAsia="Arial" w:hAnsi="Arial"/>
                <w:sz w:val="8"/>
                <w:szCs w:val="8"/>
                <w:b w:val="1"/>
                <w:bCs w:val="1"/>
                <w:color w:val="FFFFFF"/>
              </w:rPr>
              <w:t>For the Three Months Ended</w:t>
            </w:r>
          </w:p>
        </w:tc>
        <w:tc>
          <w:tcPr>
            <w:tcW w:w="1040" w:type="dxa"/>
            <w:vAlign w:val="bottom"/>
            <w:tcBorders>
              <w:bottom w:val="single" w:sz="8" w:color="004483"/>
            </w:tcBorders>
            <w:gridSpan w:val="2"/>
            <w:shd w:val="clear" w:color="auto" w:fill="004483"/>
          </w:tcPr>
          <w:p>
            <w:pPr>
              <w:ind w:left="100"/>
              <w:spacing w:after="0"/>
              <w:rPr>
                <w:sz w:val="20"/>
                <w:szCs w:val="20"/>
                <w:color w:val="auto"/>
              </w:rPr>
            </w:pPr>
            <w:r>
              <w:rPr>
                <w:rFonts w:ascii="Arial" w:cs="Arial" w:eastAsia="Arial" w:hAnsi="Arial"/>
                <w:sz w:val="8"/>
                <w:szCs w:val="8"/>
                <w:b w:val="1"/>
                <w:bCs w:val="1"/>
                <w:color w:val="FFFFFF"/>
              </w:rPr>
              <w:t>June 30, 2020</w:t>
            </w:r>
          </w:p>
        </w:tc>
      </w:tr>
      <w:tr>
        <w:trPr>
          <w:trHeight w:val="99"/>
        </w:trPr>
        <w:tc>
          <w:tcPr>
            <w:tcW w:w="8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gridSpan w:val="2"/>
          </w:tcPr>
          <w:p>
            <w:pPr>
              <w:ind w:left="180"/>
              <w:spacing w:after="0"/>
              <w:rPr>
                <w:sz w:val="20"/>
                <w:szCs w:val="20"/>
                <w:color w:val="auto"/>
              </w:rPr>
            </w:pPr>
            <w:r>
              <w:rPr>
                <w:rFonts w:ascii="Arial" w:cs="Arial" w:eastAsia="Arial" w:hAnsi="Arial"/>
                <w:sz w:val="8"/>
                <w:szCs w:val="8"/>
                <w:color w:val="auto"/>
              </w:rPr>
              <w:t>(dollars in thousands)</w:t>
            </w:r>
          </w:p>
        </w:tc>
      </w:tr>
      <w:tr>
        <w:trPr>
          <w:trHeight w:val="131"/>
        </w:trPr>
        <w:tc>
          <w:tcPr>
            <w:tcW w:w="878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Depreciation and Amortization</w:t>
            </w:r>
          </w:p>
        </w:tc>
        <w:tc>
          <w:tcPr>
            <w:tcW w:w="200" w:type="dxa"/>
            <w:vAlign w:val="bottom"/>
            <w:tcBorders>
              <w:top w:val="single" w:sz="8" w:color="004483"/>
              <w:bottom w:val="single" w:sz="8" w:color="A6A6A6"/>
            </w:tcBorders>
          </w:tcPr>
          <w:p>
            <w:pPr>
              <w:jc w:val="right"/>
              <w:ind w:right="91"/>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004483"/>
              <w:bottom w:val="single" w:sz="8" w:color="A6A6A6"/>
            </w:tcBorders>
          </w:tcPr>
          <w:p>
            <w:pPr>
              <w:jc w:val="center"/>
              <w:ind w:left="788"/>
              <w:spacing w:after="0"/>
              <w:rPr>
                <w:sz w:val="20"/>
                <w:szCs w:val="20"/>
                <w:color w:val="auto"/>
              </w:rPr>
            </w:pPr>
            <w:r>
              <w:rPr>
                <w:rFonts w:ascii="Arial" w:cs="Arial" w:eastAsia="Arial" w:hAnsi="Arial"/>
                <w:sz w:val="11"/>
                <w:szCs w:val="11"/>
                <w:color w:val="auto"/>
                <w:w w:val="86"/>
              </w:rPr>
              <w:t>121</w:t>
            </w:r>
          </w:p>
        </w:tc>
        <w:tc>
          <w:tcPr>
            <w:tcW w:w="920" w:type="dxa"/>
            <w:vAlign w:val="bottom"/>
            <w:tcBorders>
              <w:top w:val="single" w:sz="8" w:color="004483"/>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87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Net Change in Inventory</w:t>
            </w:r>
          </w:p>
        </w:tc>
        <w:tc>
          <w:tcPr>
            <w:tcW w:w="200" w:type="dxa"/>
            <w:vAlign w:val="bottom"/>
            <w:tcBorders>
              <w:bottom w:val="single" w:sz="8" w:color="A6A6A6"/>
            </w:tcBorders>
          </w:tcPr>
          <w:p>
            <w:pPr>
              <w:spacing w:after="0"/>
              <w:rPr>
                <w:sz w:val="11"/>
                <w:szCs w:val="11"/>
                <w:color w:val="auto"/>
              </w:rPr>
            </w:pPr>
          </w:p>
        </w:tc>
        <w:tc>
          <w:tcPr>
            <w:tcW w:w="1280" w:type="dxa"/>
            <w:vAlign w:val="bottom"/>
            <w:tcBorders>
              <w:bottom w:val="single" w:sz="8" w:color="A6A6A6"/>
            </w:tcBorders>
          </w:tcPr>
          <w:p>
            <w:pPr>
              <w:jc w:val="center"/>
              <w:ind w:left="768"/>
              <w:spacing w:after="0"/>
              <w:rPr>
                <w:sz w:val="20"/>
                <w:szCs w:val="20"/>
                <w:color w:val="auto"/>
              </w:rPr>
            </w:pPr>
            <w:r>
              <w:rPr>
                <w:rFonts w:ascii="Arial" w:cs="Arial" w:eastAsia="Arial" w:hAnsi="Arial"/>
                <w:sz w:val="11"/>
                <w:szCs w:val="11"/>
                <w:color w:val="auto"/>
                <w:w w:val="90"/>
              </w:rPr>
              <w:t>—</w:t>
            </w:r>
          </w:p>
        </w:tc>
        <w:tc>
          <w:tcPr>
            <w:tcW w:w="92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87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Capital Expenditures</w:t>
            </w:r>
          </w:p>
        </w:tc>
        <w:tc>
          <w:tcPr>
            <w:tcW w:w="200" w:type="dxa"/>
            <w:vAlign w:val="bottom"/>
            <w:tcBorders>
              <w:bottom w:val="single" w:sz="8" w:color="A6A6A6"/>
            </w:tcBorders>
          </w:tcPr>
          <w:p>
            <w:pPr>
              <w:spacing w:after="0"/>
              <w:rPr>
                <w:sz w:val="12"/>
                <w:szCs w:val="12"/>
                <w:color w:val="auto"/>
              </w:rPr>
            </w:pPr>
          </w:p>
        </w:tc>
        <w:tc>
          <w:tcPr>
            <w:tcW w:w="1280" w:type="dxa"/>
            <w:vAlign w:val="bottom"/>
            <w:tcBorders>
              <w:bottom w:val="single" w:sz="8" w:color="A6A6A6"/>
            </w:tcBorders>
          </w:tcPr>
          <w:p>
            <w:pPr>
              <w:jc w:val="center"/>
              <w:ind w:left="788"/>
              <w:spacing w:after="0"/>
              <w:rPr>
                <w:sz w:val="20"/>
                <w:szCs w:val="20"/>
                <w:color w:val="auto"/>
              </w:rPr>
            </w:pPr>
            <w:r>
              <w:rPr>
                <w:rFonts w:ascii="Arial" w:cs="Arial" w:eastAsia="Arial" w:hAnsi="Arial"/>
                <w:sz w:val="12"/>
                <w:szCs w:val="12"/>
                <w:color w:val="auto"/>
                <w:w w:val="99"/>
              </w:rPr>
              <w:t>—</w:t>
            </w:r>
          </w:p>
        </w:tc>
        <w:tc>
          <w:tcPr>
            <w:tcW w:w="92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Dispositions</w:t>
      </w:r>
    </w:p>
    <w:p>
      <w:pPr>
        <w:spacing w:after="0" w:line="99" w:lineRule="exact"/>
        <w:rPr>
          <w:sz w:val="20"/>
          <w:szCs w:val="20"/>
          <w:color w:val="auto"/>
        </w:rPr>
      </w:pPr>
    </w:p>
    <w:p>
      <w:pPr>
        <w:ind w:right="180"/>
        <w:spacing w:after="0" w:line="271" w:lineRule="auto"/>
        <w:rPr>
          <w:sz w:val="20"/>
          <w:szCs w:val="20"/>
          <w:color w:val="auto"/>
        </w:rPr>
      </w:pPr>
      <w:r>
        <w:rPr>
          <w:rFonts w:ascii="Arial" w:cs="Arial" w:eastAsia="Arial" w:hAnsi="Arial"/>
          <w:sz w:val="12"/>
          <w:szCs w:val="12"/>
          <w:color w:val="auto"/>
        </w:rPr>
        <w:t>On April 17, 2020, we sold our Western Aggregates LLC (Western) and Mathews Readymix LLC (Mathews) businesses to Teichert, Inc. for an aggregate purchase price of approximately $93.5 million, subject to certain post-closing adjustments. This sale resulted in a gain of approximately $52.0 million. Western and Mathews were part of our Concrete and Aggregates operating segment, and their results of operations were included in our financial statements for the period from April 1, 2020 through April 17, 2020.</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Revenue and Operating Earnings from Western and Mathews, collectively, were approximately $1.7 million and $0.1 million, respectively, for the three months ended June 30, 2020.</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 REVENUE</w:t>
      </w:r>
    </w:p>
    <w:p>
      <w:pPr>
        <w:spacing w:after="0" w:line="102"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We earn Revenue primarily from the sale of products, which include cement, concrete, aggregates, gypsum wallboard and recycled paperboard. The vast majority of Revenue from the sale of cement, concrete, aggregates, and gypsum wallboard are originated by purchase orders from our customers, who are primarily third-party contractors and suppliers. Revenue from our Recycled Paperboard segment is generated primarily through long-term supply agreements that mature between 2023 and 2025. We invoice customers upon shipment, and our collection terms range from 30-75 days. Revenue from the sale of cement, concrete, aggregates, and gypsum wallboard that is not related to long-term supply agreements is recognized upon shipment of the related products to customers, which is when title and ownership are transferred, and the customer is obligated to pay.</w:t>
      </w:r>
    </w:p>
    <w:p>
      <w:pPr>
        <w:spacing w:after="0" w:line="67" w:lineRule="exact"/>
        <w:rPr>
          <w:sz w:val="20"/>
          <w:szCs w:val="20"/>
          <w:color w:val="auto"/>
        </w:rPr>
      </w:pPr>
    </w:p>
    <w:p>
      <w:pPr>
        <w:ind w:right="180"/>
        <w:spacing w:after="0" w:line="269" w:lineRule="auto"/>
        <w:rPr>
          <w:sz w:val="20"/>
          <w:szCs w:val="20"/>
          <w:color w:val="auto"/>
        </w:rPr>
      </w:pPr>
      <w:r>
        <w:rPr>
          <w:rFonts w:ascii="Arial" w:cs="Arial" w:eastAsia="Arial" w:hAnsi="Arial"/>
          <w:sz w:val="12"/>
          <w:szCs w:val="12"/>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65"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4"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that are billed to the customer are recorded as Revenue, while costs we incur for shipping and handling are recorded as expenses and included in Cost of Goods Sold.</w:t>
      </w:r>
    </w:p>
    <w:p>
      <w:pPr>
        <w:spacing w:after="0" w:line="64" w:lineRule="exact"/>
        <w:rPr>
          <w:sz w:val="20"/>
          <w:szCs w:val="20"/>
          <w:color w:val="auto"/>
        </w:rPr>
      </w:pPr>
    </w:p>
    <w:p>
      <w:pPr>
        <w:ind w:right="420"/>
        <w:spacing w:after="0" w:line="277" w:lineRule="auto"/>
        <w:rPr>
          <w:sz w:val="20"/>
          <w:szCs w:val="20"/>
          <w:color w:val="auto"/>
        </w:rPr>
      </w:pPr>
      <w:r>
        <w:rPr>
          <w:rFonts w:ascii="Arial" w:cs="Arial" w:eastAsia="Arial" w:hAnsi="Arial"/>
          <w:sz w:val="12"/>
          <w:szCs w:val="12"/>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3"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color w:val="auto"/>
        </w:rPr>
        <w:t>See Footnote (N) to the Unaudited Consolidated Financial Statements for disaggregation of revenue by segment.</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 ACCOUNTS AND NOTES RECEIVABLE</w:t>
      </w:r>
    </w:p>
    <w:p>
      <w:pPr>
        <w:spacing w:after="0" w:line="102"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Accounts Receivable have been shown net of the allowance for doubtful accounts of $7.0 million and $8.1 million at June 30, 2021 and March 31, 2021, respectively. We perform ongoing credit evaluations of our customers’ financial condition and generally require no collateral from our customers. The allowance for non-collection of receivables is based upon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p>
    <w:p>
      <w:pPr>
        <w:spacing w:after="0" w:line="65"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color w:val="auto"/>
        </w:rPr>
        <w:t>We had Notes Receivable totaling approximately $8.5 million at June 30, 2021, none of which was classified as current. We lend funds to certain companies in the ordinary course of business, and the notes bear interest, on average, at 3.1%. Remaining unpaid amounts, plus accrued interest, mature in fiscal 2025. The notes are collateralized by certain assets of the borrowers, namely property and equipment, and are generally payable monthly. We monitor the credit risk of each borrower by assessing the timeliness of payments, credit history, credit metrics, and our ongoing interactions with each borrower.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 INVENTORIES</w:t>
      </w:r>
    </w:p>
    <w:p>
      <w:pPr>
        <w:spacing w:after="0" w:line="93" w:lineRule="exact"/>
        <w:rPr>
          <w:sz w:val="20"/>
          <w:szCs w:val="20"/>
          <w:color w:val="auto"/>
        </w:rPr>
      </w:pPr>
    </w:p>
    <w:p>
      <w:pPr>
        <w:ind w:right="160"/>
        <w:spacing w:after="0" w:line="271" w:lineRule="auto"/>
        <w:rPr>
          <w:sz w:val="20"/>
          <w:szCs w:val="20"/>
          <w:color w:val="auto"/>
        </w:rPr>
      </w:pPr>
      <w:r>
        <w:rPr>
          <w:rFonts w:ascii="Arial" w:cs="Arial" w:eastAsia="Arial" w:hAnsi="Arial"/>
          <w:sz w:val="12"/>
          <w:szCs w:val="12"/>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converted to tonnage using standard inventory density factors. Inventories consist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40" w:type="dxa"/>
            <w:vAlign w:val="bottom"/>
            <w:shd w:val="clear" w:color="auto" w:fill="004483"/>
          </w:tcPr>
          <w:p>
            <w:pPr>
              <w:spacing w:after="0"/>
              <w:rPr>
                <w:sz w:val="13"/>
                <w:szCs w:val="13"/>
                <w:color w:val="auto"/>
              </w:rPr>
            </w:pPr>
          </w:p>
        </w:tc>
        <w:tc>
          <w:tcPr>
            <w:tcW w:w="1240" w:type="dxa"/>
            <w:vAlign w:val="bottom"/>
            <w:gridSpan w:val="3"/>
            <w:shd w:val="clear" w:color="auto" w:fill="004483"/>
          </w:tcPr>
          <w:p>
            <w:pPr>
              <w:ind w:left="620"/>
              <w:spacing w:after="0"/>
              <w:rPr>
                <w:sz w:val="20"/>
                <w:szCs w:val="20"/>
                <w:color w:val="auto"/>
              </w:rPr>
            </w:pPr>
            <w:r>
              <w:rPr>
                <w:rFonts w:ascii="Arial" w:cs="Arial" w:eastAsia="Arial" w:hAnsi="Arial"/>
                <w:sz w:val="8"/>
                <w:szCs w:val="8"/>
                <w:b w:val="1"/>
                <w:bCs w:val="1"/>
                <w:color w:val="FFFFFF"/>
              </w:rPr>
              <w:t>June 30,</w:t>
            </w:r>
          </w:p>
        </w:tc>
        <w:tc>
          <w:tcPr>
            <w:tcW w:w="700" w:type="dxa"/>
            <w:vAlign w:val="bottom"/>
            <w:shd w:val="clear" w:color="auto" w:fill="004483"/>
          </w:tcPr>
          <w:p>
            <w:pPr>
              <w:spacing w:after="0"/>
              <w:rPr>
                <w:sz w:val="13"/>
                <w:szCs w:val="13"/>
                <w:color w:val="auto"/>
              </w:rPr>
            </w:pPr>
          </w:p>
        </w:tc>
        <w:tc>
          <w:tcPr>
            <w:tcW w:w="980" w:type="dxa"/>
            <w:vAlign w:val="bottom"/>
            <w:gridSpan w:val="2"/>
            <w:shd w:val="clear" w:color="auto" w:fill="004483"/>
          </w:tcPr>
          <w:p>
            <w:pPr>
              <w:ind w:left="50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40" w:type="dxa"/>
            <w:vAlign w:val="bottom"/>
            <w:tcBorders>
              <w:bottom w:val="single" w:sz="8" w:color="004483"/>
            </w:tcBorders>
          </w:tcPr>
          <w:p>
            <w:pPr>
              <w:spacing w:after="0"/>
              <w:rPr>
                <w:sz w:val="8"/>
                <w:szCs w:val="8"/>
                <w:color w:val="auto"/>
              </w:rPr>
            </w:pPr>
          </w:p>
        </w:tc>
        <w:tc>
          <w:tcPr>
            <w:tcW w:w="1940" w:type="dxa"/>
            <w:vAlign w:val="bottom"/>
            <w:tcBorders>
              <w:bottom w:val="single" w:sz="8" w:color="004483"/>
            </w:tcBorders>
            <w:gridSpan w:val="4"/>
          </w:tcPr>
          <w:p>
            <w:pPr>
              <w:jc w:val="right"/>
              <w:ind w:right="473"/>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Raw Materials and Materials-in-Progress</w:t>
            </w:r>
          </w:p>
        </w:tc>
        <w:tc>
          <w:tcPr>
            <w:tcW w:w="640" w:type="dxa"/>
            <w:vAlign w:val="bottom"/>
            <w:tcBorders>
              <w:bottom w:val="single" w:sz="8" w:color="A6A6A6"/>
            </w:tcBorders>
          </w:tcPr>
          <w:p>
            <w:pPr>
              <w:jc w:val="right"/>
              <w:ind w:right="53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79,200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92,696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Finished Cement</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31,815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34,362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Aggregates</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3,211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2,933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Gypsum Wallboard</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4,354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4,177</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Paperboard</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4,321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5,031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Repair Parts and Supplies</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85,020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86,750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Fuel and Coal</w:t>
            </w:r>
          </w:p>
        </w:tc>
        <w:tc>
          <w:tcPr>
            <w:tcW w:w="64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9,131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9,800</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640" w:type="dxa"/>
            <w:vAlign w:val="bottom"/>
            <w:tcBorders>
              <w:bottom w:val="single" w:sz="8" w:color="004483"/>
            </w:tcBorders>
          </w:tcPr>
          <w:p>
            <w:pPr>
              <w:jc w:val="right"/>
              <w:ind w:right="53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217,052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235,749</w:t>
            </w:r>
          </w:p>
        </w:tc>
        <w:tc>
          <w:tcPr>
            <w:tcW w:w="120" w:type="dxa"/>
            <w:vAlign w:val="bottom"/>
          </w:tcPr>
          <w:p>
            <w:pPr>
              <w:spacing w:after="0"/>
              <w:rPr>
                <w:sz w:val="12"/>
                <w:szCs w:val="1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 ACCRUED EXPENSES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Accrued Expenses consist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60" w:type="dxa"/>
            <w:vAlign w:val="bottom"/>
            <w:shd w:val="clear" w:color="auto" w:fill="004483"/>
          </w:tcPr>
          <w:p>
            <w:pPr>
              <w:spacing w:after="0"/>
              <w:rPr>
                <w:sz w:val="13"/>
                <w:szCs w:val="13"/>
                <w:color w:val="auto"/>
              </w:rPr>
            </w:pPr>
          </w:p>
        </w:tc>
        <w:tc>
          <w:tcPr>
            <w:tcW w:w="1220" w:type="dxa"/>
            <w:vAlign w:val="bottom"/>
            <w:gridSpan w:val="3"/>
            <w:shd w:val="clear" w:color="auto" w:fill="004483"/>
          </w:tcPr>
          <w:p>
            <w:pPr>
              <w:ind w:left="600"/>
              <w:spacing w:after="0"/>
              <w:rPr>
                <w:sz w:val="20"/>
                <w:szCs w:val="20"/>
                <w:color w:val="auto"/>
              </w:rPr>
            </w:pPr>
            <w:r>
              <w:rPr>
                <w:rFonts w:ascii="Arial" w:cs="Arial" w:eastAsia="Arial" w:hAnsi="Arial"/>
                <w:sz w:val="8"/>
                <w:szCs w:val="8"/>
                <w:b w:val="1"/>
                <w:bCs w:val="1"/>
                <w:color w:val="FFFFFF"/>
              </w:rPr>
              <w:t>June 30,</w:t>
            </w:r>
          </w:p>
        </w:tc>
        <w:tc>
          <w:tcPr>
            <w:tcW w:w="700" w:type="dxa"/>
            <w:vAlign w:val="bottom"/>
            <w:shd w:val="clear" w:color="auto" w:fill="004483"/>
          </w:tcPr>
          <w:p>
            <w:pPr>
              <w:spacing w:after="0"/>
              <w:rPr>
                <w:sz w:val="13"/>
                <w:szCs w:val="13"/>
                <w:color w:val="auto"/>
              </w:rPr>
            </w:pPr>
          </w:p>
        </w:tc>
        <w:tc>
          <w:tcPr>
            <w:tcW w:w="980" w:type="dxa"/>
            <w:vAlign w:val="bottom"/>
            <w:gridSpan w:val="2"/>
            <w:shd w:val="clear" w:color="auto" w:fill="004483"/>
          </w:tcPr>
          <w:p>
            <w:pPr>
              <w:ind w:left="50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60" w:type="dxa"/>
            <w:vAlign w:val="bottom"/>
            <w:tcBorders>
              <w:bottom w:val="single" w:sz="8" w:color="004483"/>
            </w:tcBorders>
          </w:tcPr>
          <w:p>
            <w:pPr>
              <w:spacing w:after="0"/>
              <w:rPr>
                <w:sz w:val="8"/>
                <w:szCs w:val="8"/>
                <w:color w:val="auto"/>
              </w:rPr>
            </w:pPr>
          </w:p>
        </w:tc>
        <w:tc>
          <w:tcPr>
            <w:tcW w:w="1920" w:type="dxa"/>
            <w:vAlign w:val="bottom"/>
            <w:tcBorders>
              <w:bottom w:val="single" w:sz="8" w:color="004483"/>
            </w:tcBorders>
            <w:gridSpan w:val="4"/>
          </w:tcPr>
          <w:p>
            <w:pPr>
              <w:jc w:val="right"/>
              <w:ind w:right="473"/>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Payroll and Incentive Compensation</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23,023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32,336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Benefits</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15,268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14,979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Interest</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6,632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3,089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Property Taxes</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8,145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6,683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Power and Fuel</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2,089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2,350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Freight</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2,280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1,575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Legal and Professional</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7,274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9,511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Sales and Use Tax</w:t>
            </w:r>
          </w:p>
        </w:tc>
        <w:tc>
          <w:tcPr>
            <w:tcW w:w="660" w:type="dxa"/>
            <w:vAlign w:val="bottom"/>
            <w:tcBorders>
              <w:bottom w:val="single" w:sz="8" w:color="A6A6A6"/>
            </w:tcBorders>
          </w:tcPr>
          <w:p>
            <w:pPr>
              <w:spacing w:after="0"/>
              <w:rPr>
                <w:sz w:val="11"/>
                <w:szCs w:val="11"/>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1,816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1,265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Other</w:t>
            </w:r>
          </w:p>
        </w:tc>
        <w:tc>
          <w:tcPr>
            <w:tcW w:w="660" w:type="dxa"/>
            <w:vAlign w:val="bottom"/>
            <w:tcBorders>
              <w:bottom w:val="single" w:sz="8" w:color="004483"/>
            </w:tcBorders>
          </w:tcPr>
          <w:p>
            <w:pPr>
              <w:spacing w:after="0"/>
              <w:rPr>
                <w:sz w:val="11"/>
                <w:szCs w:val="11"/>
                <w:color w:val="auto"/>
              </w:rPr>
            </w:pP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8,420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7,052</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660" w:type="dxa"/>
            <w:vAlign w:val="bottom"/>
            <w:tcBorders>
              <w:bottom w:val="single" w:sz="8" w:color="004483"/>
            </w:tcBorders>
          </w:tcPr>
          <w:p>
            <w:pPr>
              <w:jc w:val="right"/>
              <w:ind w:right="55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74,947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78,840</w:t>
            </w:r>
          </w:p>
        </w:tc>
        <w:tc>
          <w:tcPr>
            <w:tcW w:w="120" w:type="dxa"/>
            <w:vAlign w:val="bottom"/>
          </w:tcPr>
          <w:p>
            <w:pPr>
              <w:spacing w:after="0"/>
              <w:rPr>
                <w:sz w:val="12"/>
                <w:szCs w:val="12"/>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t>(H) LEASES</w:t>
      </w:r>
    </w:p>
    <w:p>
      <w:pPr>
        <w:spacing w:after="0" w:line="93" w:lineRule="exact"/>
        <w:rPr>
          <w:sz w:val="20"/>
          <w:szCs w:val="20"/>
          <w:color w:val="auto"/>
        </w:rPr>
      </w:pPr>
    </w:p>
    <w:p>
      <w:pPr>
        <w:ind w:right="100"/>
        <w:spacing w:after="0" w:line="301" w:lineRule="auto"/>
        <w:rPr>
          <w:sz w:val="20"/>
          <w:szCs w:val="20"/>
          <w:color w:val="auto"/>
        </w:rPr>
      </w:pPr>
      <w:r>
        <w:rPr>
          <w:rFonts w:ascii="Arial" w:cs="Arial" w:eastAsia="Arial" w:hAnsi="Arial"/>
          <w:sz w:val="11"/>
          <w:szCs w:val="11"/>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twelve months, which are not recorded on the balance sheet.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Lease expense for our operating and short-term leases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560" w:type="dxa"/>
            <w:vAlign w:val="bottom"/>
            <w:tcBorders>
              <w:bottom w:val="single" w:sz="8" w:color="004483"/>
            </w:tcBorders>
            <w:shd w:val="clear" w:color="auto" w:fill="004483"/>
          </w:tcPr>
          <w:p>
            <w:pPr>
              <w:spacing w:after="0"/>
              <w:rPr>
                <w:sz w:val="12"/>
                <w:szCs w:val="12"/>
                <w:color w:val="auto"/>
              </w:rPr>
            </w:pPr>
          </w:p>
        </w:tc>
        <w:tc>
          <w:tcPr>
            <w:tcW w:w="2240" w:type="dxa"/>
            <w:vAlign w:val="bottom"/>
            <w:tcBorders>
              <w:bottom w:val="single" w:sz="8" w:color="004483"/>
            </w:tcBorders>
            <w:gridSpan w:val="4"/>
            <w:shd w:val="clear" w:color="auto" w:fill="004483"/>
          </w:tcPr>
          <w:p>
            <w:pPr>
              <w:jc w:val="right"/>
              <w:ind w:right="373"/>
              <w:spacing w:after="0"/>
              <w:rPr>
                <w:sz w:val="20"/>
                <w:szCs w:val="20"/>
                <w:color w:val="auto"/>
              </w:rPr>
            </w:pPr>
            <w:r>
              <w:rPr>
                <w:rFonts w:ascii="Arial" w:cs="Arial" w:eastAsia="Arial" w:hAnsi="Arial"/>
                <w:sz w:val="8"/>
                <w:szCs w:val="8"/>
                <w:b w:val="1"/>
                <w:bCs w:val="1"/>
                <w:color w:val="FFFFFF"/>
              </w:rPr>
              <w:t>For the Three Months Ended June 30,</w:t>
            </w:r>
          </w:p>
        </w:tc>
        <w:tc>
          <w:tcPr>
            <w:tcW w:w="640" w:type="dxa"/>
            <w:vAlign w:val="bottom"/>
            <w:tcBorders>
              <w:bottom w:val="single" w:sz="8" w:color="004483"/>
            </w:tcBorders>
            <w:shd w:val="clear" w:color="auto" w:fill="004483"/>
          </w:tcPr>
          <w:p>
            <w:pPr>
              <w:spacing w:after="0"/>
              <w:rPr>
                <w:sz w:val="12"/>
                <w:szCs w:val="12"/>
                <w:color w:val="auto"/>
              </w:rPr>
            </w:pPr>
          </w:p>
        </w:tc>
        <w:tc>
          <w:tcPr>
            <w:tcW w:w="120" w:type="dxa"/>
            <w:vAlign w:val="bottom"/>
            <w:tcBorders>
              <w:bottom w:val="single" w:sz="8" w:color="004483"/>
            </w:tcBorders>
            <w:shd w:val="clear" w:color="auto" w:fill="004483"/>
          </w:tcPr>
          <w:p>
            <w:pPr>
              <w:spacing w:after="0"/>
              <w:rPr>
                <w:sz w:val="12"/>
                <w:szCs w:val="12"/>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40" w:type="dxa"/>
            <w:vAlign w:val="bottom"/>
            <w:tcBorders>
              <w:bottom w:val="single" w:sz="8" w:color="004483"/>
            </w:tcBorders>
            <w:gridSpan w:val="4"/>
          </w:tcPr>
          <w:p>
            <w:pPr>
              <w:jc w:val="right"/>
              <w:ind w:right="693"/>
              <w:spacing w:after="0"/>
              <w:rPr>
                <w:sz w:val="20"/>
                <w:szCs w:val="20"/>
                <w:color w:val="auto"/>
              </w:rPr>
            </w:pPr>
            <w:r>
              <w:rPr>
                <w:rFonts w:ascii="Arial" w:cs="Arial" w:eastAsia="Arial" w:hAnsi="Arial"/>
                <w:sz w:val="8"/>
                <w:szCs w:val="8"/>
                <w:color w:val="auto"/>
              </w:rPr>
              <w:t>(dollars in thousands)</w:t>
            </w:r>
          </w:p>
        </w:tc>
        <w:tc>
          <w:tcPr>
            <w:tcW w:w="64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40"/>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Operating Lease Cost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1,514</w:t>
            </w:r>
          </w:p>
        </w:tc>
        <w:tc>
          <w:tcPr>
            <w:tcW w:w="100" w:type="dxa"/>
            <w:vAlign w:val="bottom"/>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920" w:type="dxa"/>
            <w:vAlign w:val="bottom"/>
            <w:tcBorders>
              <w:bottom w:val="single" w:sz="8" w:color="A6A6A6"/>
            </w:tcBorders>
          </w:tcPr>
          <w:p>
            <w:pPr>
              <w:jc w:val="right"/>
              <w:ind w:right="853"/>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1,796</w:t>
            </w:r>
          </w:p>
        </w:tc>
        <w:tc>
          <w:tcPr>
            <w:tcW w:w="120" w:type="dxa"/>
            <w:vAlign w:val="bottom"/>
          </w:tcPr>
          <w:p>
            <w:pPr>
              <w:spacing w:after="0"/>
              <w:rPr>
                <w:sz w:val="12"/>
                <w:szCs w:val="12"/>
                <w:color w:val="auto"/>
              </w:rPr>
            </w:pPr>
          </w:p>
        </w:tc>
      </w:tr>
      <w:tr>
        <w:trPr>
          <w:trHeight w:val="142"/>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Short-Term Lease Cost</w:t>
            </w:r>
          </w:p>
        </w:tc>
        <w:tc>
          <w:tcPr>
            <w:tcW w:w="560" w:type="dxa"/>
            <w:vAlign w:val="bottom"/>
            <w:tcBorders>
              <w:bottom w:val="single" w:sz="8" w:color="004483"/>
            </w:tcBorders>
          </w:tcPr>
          <w:p>
            <w:pPr>
              <w:spacing w:after="0"/>
              <w:rPr>
                <w:sz w:val="12"/>
                <w:szCs w:val="12"/>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502</w:t>
            </w:r>
          </w:p>
        </w:tc>
        <w:tc>
          <w:tcPr>
            <w:tcW w:w="100" w:type="dxa"/>
            <w:vAlign w:val="bottom"/>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920" w:type="dxa"/>
            <w:vAlign w:val="bottom"/>
            <w:tcBorders>
              <w:bottom w:val="single" w:sz="8" w:color="004483"/>
            </w:tcBorders>
          </w:tcPr>
          <w:p>
            <w:pPr>
              <w:spacing w:after="0"/>
              <w:rPr>
                <w:sz w:val="12"/>
                <w:szCs w:val="12"/>
                <w:color w:val="auto"/>
              </w:rPr>
            </w:pP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750</w:t>
            </w:r>
          </w:p>
        </w:tc>
        <w:tc>
          <w:tcPr>
            <w:tcW w:w="120" w:type="dxa"/>
            <w:vAlign w:val="bottom"/>
          </w:tcPr>
          <w:p>
            <w:pPr>
              <w:spacing w:after="0"/>
              <w:rPr>
                <w:sz w:val="12"/>
                <w:szCs w:val="12"/>
                <w:color w:val="auto"/>
              </w:rPr>
            </w:pPr>
          </w:p>
        </w:tc>
      </w:tr>
      <w:tr>
        <w:trPr>
          <w:trHeight w:val="151"/>
        </w:trPr>
        <w:tc>
          <w:tcPr>
            <w:tcW w:w="7740" w:type="dxa"/>
            <w:vAlign w:val="bottom"/>
          </w:tcPr>
          <w:p>
            <w:pPr>
              <w:spacing w:after="0"/>
              <w:rPr>
                <w:sz w:val="20"/>
                <w:szCs w:val="20"/>
                <w:color w:val="auto"/>
              </w:rPr>
            </w:pPr>
            <w:r>
              <w:rPr>
                <w:rFonts w:ascii="Arial" w:cs="Arial" w:eastAsia="Arial" w:hAnsi="Arial"/>
                <w:sz w:val="11"/>
                <w:szCs w:val="11"/>
                <w:b w:val="1"/>
                <w:bCs w:val="1"/>
                <w:color w:val="auto"/>
              </w:rPr>
              <w:t>Total Lease Cost</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004483"/>
            </w:tcBorders>
          </w:tcPr>
          <w:p>
            <w:pPr>
              <w:jc w:val="right"/>
              <w:ind w:right="85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2,546</w:t>
            </w:r>
          </w:p>
        </w:tc>
        <w:tc>
          <w:tcPr>
            <w:tcW w:w="120" w:type="dxa"/>
            <w:vAlign w:val="bottom"/>
          </w:tcPr>
          <w:p>
            <w:pPr>
              <w:spacing w:after="0"/>
              <w:rPr>
                <w:sz w:val="13"/>
                <w:szCs w:val="13"/>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The Right-of-Use Assets and Lease Liabilities are reflected on our Balance Sheet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2580" w:type="dxa"/>
            <w:vAlign w:val="bottom"/>
            <w:shd w:val="clear" w:color="auto" w:fill="004483"/>
          </w:tcPr>
          <w:p>
            <w:pPr>
              <w:jc w:val="right"/>
              <w:ind w:right="978"/>
              <w:spacing w:after="0"/>
              <w:rPr>
                <w:sz w:val="20"/>
                <w:szCs w:val="20"/>
                <w:color w:val="auto"/>
              </w:rPr>
            </w:pPr>
            <w:r>
              <w:rPr>
                <w:rFonts w:ascii="Arial" w:cs="Arial" w:eastAsia="Arial" w:hAnsi="Arial"/>
                <w:sz w:val="8"/>
                <w:szCs w:val="8"/>
                <w:b w:val="1"/>
                <w:bCs w:val="1"/>
                <w:color w:val="F2F2F2"/>
              </w:rPr>
              <w:t>June 30,</w:t>
            </w:r>
          </w:p>
        </w:tc>
        <w:tc>
          <w:tcPr>
            <w:tcW w:w="980" w:type="dxa"/>
            <w:vAlign w:val="bottom"/>
            <w:gridSpan w:val="2"/>
            <w:shd w:val="clear" w:color="auto" w:fill="004483"/>
          </w:tcPr>
          <w:p>
            <w:pPr>
              <w:jc w:val="right"/>
              <w:ind w:right="120"/>
              <w:spacing w:after="0"/>
              <w:rPr>
                <w:sz w:val="20"/>
                <w:szCs w:val="20"/>
                <w:color w:val="auto"/>
              </w:rPr>
            </w:pPr>
            <w:r>
              <w:rPr>
                <w:rFonts w:ascii="Arial" w:cs="Arial" w:eastAsia="Arial" w:hAnsi="Arial"/>
                <w:sz w:val="8"/>
                <w:szCs w:val="8"/>
                <w:b w:val="1"/>
                <w:bCs w:val="1"/>
                <w:color w:val="F2F2F2"/>
              </w:rPr>
              <w:t>March 31,</w:t>
            </w:r>
          </w:p>
        </w:tc>
      </w:tr>
      <w:tr>
        <w:trPr>
          <w:trHeight w:val="99"/>
        </w:trPr>
        <w:tc>
          <w:tcPr>
            <w:tcW w:w="7740" w:type="dxa"/>
            <w:vAlign w:val="bottom"/>
          </w:tcPr>
          <w:p>
            <w:pPr>
              <w:spacing w:after="0"/>
              <w:rPr>
                <w:sz w:val="8"/>
                <w:szCs w:val="8"/>
                <w:color w:val="auto"/>
              </w:rPr>
            </w:pPr>
          </w:p>
        </w:tc>
        <w:tc>
          <w:tcPr>
            <w:tcW w:w="2580" w:type="dxa"/>
            <w:vAlign w:val="bottom"/>
          </w:tcPr>
          <w:p>
            <w:pPr>
              <w:jc w:val="right"/>
              <w:ind w:right="978"/>
              <w:spacing w:after="0"/>
              <w:rPr>
                <w:sz w:val="20"/>
                <w:szCs w:val="20"/>
                <w:color w:val="auto"/>
              </w:rPr>
            </w:pPr>
            <w:r>
              <w:rPr>
                <w:rFonts w:ascii="Arial" w:cs="Arial" w:eastAsia="Arial" w:hAnsi="Arial"/>
                <w:sz w:val="8"/>
                <w:szCs w:val="8"/>
                <w:b w:val="1"/>
                <w:bCs w:val="1"/>
                <w:color w:val="auto"/>
              </w:rPr>
              <w:t>2021</w:t>
            </w: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2580" w:type="dxa"/>
            <w:vAlign w:val="bottom"/>
            <w:tcBorders>
              <w:bottom w:val="single" w:sz="8" w:color="004483"/>
            </w:tcBorders>
          </w:tcPr>
          <w:p>
            <w:pPr>
              <w:jc w:val="right"/>
              <w:ind w:right="458"/>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bl>
    <w:p>
      <w:pPr>
        <w:spacing w:after="0" w:line="1" w:lineRule="exact"/>
        <w:rPr>
          <w:sz w:val="20"/>
          <w:szCs w:val="20"/>
          <w:color w:val="auto"/>
        </w:rPr>
      </w:pPr>
    </w:p>
    <w:p>
      <w:pPr>
        <w:sectPr>
          <w:pgSz w:w="11900" w:h="16838" w:orient="portrait"/>
          <w:cols w:equalWidth="0" w:num="1">
            <w:col w:w="11300"/>
          </w:cols>
          <w:pgMar w:left="300" w:top="499" w:right="299" w:bottom="1440" w:gutter="0" w:footer="0" w:header="0"/>
        </w:sectPr>
      </w:pPr>
    </w:p>
    <w:p>
      <w:pPr>
        <w:spacing w:after="0"/>
        <w:rPr>
          <w:sz w:val="20"/>
          <w:szCs w:val="20"/>
          <w:color w:val="auto"/>
        </w:rPr>
      </w:pPr>
      <w:r>
        <w:rPr>
          <w:rFonts w:ascii="Arial" w:cs="Arial" w:eastAsia="Arial" w:hAnsi="Arial"/>
          <w:sz w:val="11"/>
          <w:szCs w:val="11"/>
          <w:b w:val="1"/>
          <w:bCs w:val="1"/>
          <w:color w:val="auto"/>
        </w:rPr>
        <w:t>Operating Leases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740" w:type="dxa"/>
            <w:vAlign w:val="bottom"/>
            <w:tcBorders>
              <w:top w:val="single" w:sz="8" w:color="A6A6A6"/>
              <w:bottom w:val="single" w:sz="8" w:color="A6A6A6"/>
            </w:tcBorders>
          </w:tcPr>
          <w:p>
            <w:pPr>
              <w:ind w:left="80"/>
              <w:spacing w:after="0"/>
              <w:rPr>
                <w:sz w:val="20"/>
                <w:szCs w:val="20"/>
                <w:color w:val="auto"/>
              </w:rPr>
            </w:pPr>
            <w:r>
              <w:rPr>
                <w:rFonts w:ascii="Arial" w:cs="Arial" w:eastAsia="Arial" w:hAnsi="Arial"/>
                <w:sz w:val="11"/>
                <w:szCs w:val="11"/>
                <w:color w:val="auto"/>
              </w:rPr>
              <w:t>Operating Lease Right-of-Use Assets</w:t>
            </w:r>
          </w:p>
        </w:tc>
        <w:tc>
          <w:tcPr>
            <w:tcW w:w="660" w:type="dxa"/>
            <w:vAlign w:val="bottom"/>
            <w:tcBorders>
              <w:top w:val="single" w:sz="8" w:color="A6A6A6"/>
              <w:bottom w:val="single" w:sz="8" w:color="004483"/>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24,776</w:t>
            </w:r>
          </w:p>
        </w:tc>
      </w:tr>
      <w:tr>
        <w:trPr>
          <w:trHeight w:val="144"/>
        </w:trPr>
        <w:tc>
          <w:tcPr>
            <w:tcW w:w="7740" w:type="dxa"/>
            <w:vAlign w:val="bottom"/>
            <w:tcBorders>
              <w:bottom w:val="single" w:sz="8" w:color="A6A6A6"/>
            </w:tcBorders>
          </w:tcPr>
          <w:p>
            <w:pPr>
              <w:spacing w:after="0"/>
              <w:rPr>
                <w:sz w:val="12"/>
                <w:szCs w:val="12"/>
                <w:color w:val="auto"/>
              </w:rPr>
            </w:pPr>
          </w:p>
        </w:tc>
        <w:tc>
          <w:tcPr>
            <w:tcW w:w="660" w:type="dxa"/>
            <w:vAlign w:val="bottom"/>
            <w:tcBorders>
              <w:bottom w:val="single" w:sz="8" w:color="A6A6A6"/>
            </w:tcBorders>
          </w:tcPr>
          <w:p>
            <w:pPr>
              <w:spacing w:after="0"/>
              <w:rPr>
                <w:sz w:val="12"/>
                <w:szCs w:val="12"/>
                <w:color w:val="auto"/>
              </w:rPr>
            </w:pPr>
          </w:p>
        </w:tc>
        <w:tc>
          <w:tcPr>
            <w:tcW w:w="920" w:type="dxa"/>
            <w:vAlign w:val="bottom"/>
            <w:tcBorders>
              <w:bottom w:val="single" w:sz="8" w:color="A6A6A6"/>
            </w:tcBorders>
          </w:tcPr>
          <w:p>
            <w:pPr>
              <w:spacing w:after="0"/>
              <w:rPr>
                <w:sz w:val="12"/>
                <w:szCs w:val="12"/>
                <w:color w:val="auto"/>
              </w:rPr>
            </w:pPr>
          </w:p>
        </w:tc>
      </w:tr>
      <w:tr>
        <w:trPr>
          <w:trHeight w:val="131"/>
        </w:trPr>
        <w:tc>
          <w:tcPr>
            <w:tcW w:w="7740" w:type="dxa"/>
            <w:vAlign w:val="bottom"/>
            <w:tcBorders>
              <w:bottom w:val="single" w:sz="8" w:color="A6A6A6"/>
            </w:tcBorders>
          </w:tcPr>
          <w:p>
            <w:pPr>
              <w:ind w:left="80"/>
              <w:spacing w:after="0"/>
              <w:rPr>
                <w:sz w:val="20"/>
                <w:szCs w:val="20"/>
                <w:color w:val="auto"/>
              </w:rPr>
            </w:pPr>
            <w:r>
              <w:rPr>
                <w:rFonts w:ascii="Arial" w:cs="Arial" w:eastAsia="Arial" w:hAnsi="Arial"/>
                <w:sz w:val="11"/>
                <w:szCs w:val="11"/>
                <w:color w:val="auto"/>
              </w:rPr>
              <w:t>Current Operating Lease Liabilities</w:t>
            </w:r>
          </w:p>
        </w:tc>
        <w:tc>
          <w:tcPr>
            <w:tcW w:w="660" w:type="dxa"/>
            <w:vAlign w:val="bottom"/>
            <w:tcBorders>
              <w:bottom w:val="single" w:sz="8" w:color="A6A6A6"/>
            </w:tcBorders>
          </w:tcPr>
          <w:p>
            <w:pPr>
              <w:jc w:val="right"/>
              <w:ind w:right="55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6,127</w:t>
            </w:r>
          </w:p>
        </w:tc>
      </w:tr>
      <w:tr>
        <w:trPr>
          <w:trHeight w:val="131"/>
        </w:trPr>
        <w:tc>
          <w:tcPr>
            <w:tcW w:w="7740" w:type="dxa"/>
            <w:vAlign w:val="bottom"/>
          </w:tcPr>
          <w:p>
            <w:pPr>
              <w:ind w:left="80"/>
              <w:spacing w:after="0"/>
              <w:rPr>
                <w:sz w:val="20"/>
                <w:szCs w:val="20"/>
                <w:color w:val="auto"/>
              </w:rPr>
            </w:pPr>
            <w:r>
              <w:rPr>
                <w:rFonts w:ascii="Arial" w:cs="Arial" w:eastAsia="Arial" w:hAnsi="Arial"/>
                <w:sz w:val="11"/>
                <w:szCs w:val="11"/>
                <w:color w:val="auto"/>
              </w:rPr>
              <w:t>Noncurrent Operating Lease Liabilities</w:t>
            </w:r>
          </w:p>
        </w:tc>
        <w:tc>
          <w:tcPr>
            <w:tcW w:w="6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32,763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59207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207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267" w:hanging="1267"/>
        <w:spacing w:after="0"/>
        <w:tabs>
          <w:tab w:leader="none" w:pos="1267" w:val="left"/>
        </w:tabs>
        <w:numPr>
          <w:ilvl w:val="0"/>
          <w:numId w:val="5"/>
        </w:numPr>
        <w:rPr>
          <w:rFonts w:ascii="Arial" w:cs="Arial" w:eastAsia="Arial" w:hAnsi="Arial"/>
          <w:sz w:val="9"/>
          <w:szCs w:val="9"/>
          <w:color w:val="auto"/>
        </w:rPr>
      </w:pPr>
      <w:r>
        <w:rPr>
          <w:rFonts w:ascii="Arial" w:cs="Arial" w:eastAsia="Arial" w:hAnsi="Arial"/>
          <w:sz w:val="9"/>
          <w:szCs w:val="9"/>
          <w:color w:val="auto"/>
        </w:rPr>
        <w:t>25,811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132080</wp:posOffset>
            </wp:positionV>
            <wp:extent cx="11201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23495</wp:posOffset>
            </wp:positionV>
            <wp:extent cx="1120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20140" cy="1714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-73025</wp:posOffset>
            </wp:positionV>
            <wp:extent cx="11201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201" w:lineRule="exact"/>
        <w:rPr>
          <w:sz w:val="20"/>
          <w:szCs w:val="20"/>
          <w:color w:val="auto"/>
        </w:rPr>
      </w:pPr>
    </w:p>
    <w:p>
      <w:pPr>
        <w:ind w:left="1327" w:hanging="1327"/>
        <w:spacing w:after="0"/>
        <w:tabs>
          <w:tab w:leader="none" w:pos="1327" w:val="left"/>
        </w:tabs>
        <w:numPr>
          <w:ilvl w:val="0"/>
          <w:numId w:val="6"/>
        </w:numPr>
        <w:rPr>
          <w:rFonts w:ascii="Arial" w:cs="Arial" w:eastAsia="Arial" w:hAnsi="Arial"/>
          <w:sz w:val="9"/>
          <w:szCs w:val="9"/>
          <w:color w:val="auto"/>
        </w:rPr>
      </w:pPr>
      <w:r>
        <w:rPr>
          <w:rFonts w:ascii="Arial" w:cs="Arial" w:eastAsia="Arial" w:hAnsi="Arial"/>
          <w:sz w:val="9"/>
          <w:szCs w:val="9"/>
          <w:color w:val="auto"/>
        </w:rPr>
        <w:t>6,343</w:t>
      </w:r>
    </w:p>
    <w:p>
      <w:pPr>
        <w:spacing w:after="0" w:line="49" w:lineRule="exact"/>
        <w:rPr>
          <w:rFonts w:ascii="Arial" w:cs="Arial" w:eastAsia="Arial" w:hAnsi="Arial"/>
          <w:sz w:val="9"/>
          <w:szCs w:val="9"/>
          <w:color w:val="auto"/>
        </w:rPr>
      </w:pPr>
    </w:p>
    <w:p>
      <w:pPr>
        <w:ind w:left="1267"/>
        <w:spacing w:after="0"/>
        <w:rPr>
          <w:rFonts w:ascii="Arial" w:cs="Arial" w:eastAsia="Arial" w:hAnsi="Arial"/>
          <w:sz w:val="9"/>
          <w:szCs w:val="9"/>
          <w:color w:val="auto"/>
        </w:rPr>
      </w:pPr>
      <w:r>
        <w:rPr>
          <w:rFonts w:ascii="Arial" w:cs="Arial" w:eastAsia="Arial" w:hAnsi="Arial"/>
          <w:sz w:val="9"/>
          <w:szCs w:val="9"/>
          <w:color w:val="auto"/>
        </w:rPr>
        <w:t>34,444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23495</wp:posOffset>
            </wp:positionV>
            <wp:extent cx="11201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0140" cy="571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-73025</wp:posOffset>
            </wp:positionV>
            <wp:extent cx="11201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20140" cy="571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9320" w:space="293"/>
            <w:col w:w="1687"/>
          </w:cols>
          <w:pgMar w:left="300" w:top="499" w:right="299" w:bottom="1440" w:gutter="0" w:footer="0" w:header="0"/>
          <w:type w:val="continuous"/>
        </w:sectPr>
      </w:pPr>
    </w:p>
    <w:p>
      <w:pPr>
        <w:spacing w:after="0"/>
        <w:tabs>
          <w:tab w:leader="none" w:pos="7740" w:val="left"/>
          <w:tab w:leader="none" w:pos="9000" w:val="left"/>
          <w:tab w:leader="none" w:pos="9600" w:val="left"/>
          <w:tab w:leader="none" w:pos="10860" w:val="left"/>
        </w:tabs>
        <w:rPr>
          <w:sz w:val="20"/>
          <w:szCs w:val="20"/>
          <w:color w:val="auto"/>
        </w:rPr>
      </w:pPr>
      <w:r>
        <w:rPr>
          <w:rFonts w:ascii="Arial" w:cs="Arial" w:eastAsia="Arial" w:hAnsi="Arial"/>
          <w:sz w:val="11"/>
          <w:szCs w:val="11"/>
          <w:b w:val="1"/>
          <w:bCs w:val="1"/>
          <w:color w:val="auto"/>
        </w:rPr>
        <w:t>Total Operating Lease Liabilities</w:t>
      </w:r>
      <w:r>
        <w:rPr>
          <w:sz w:val="20"/>
          <w:szCs w:val="20"/>
          <w:color w:val="auto"/>
        </w:rPr>
        <w:tab/>
      </w:r>
      <w:r>
        <w:rPr>
          <w:rFonts w:ascii="Arial" w:cs="Arial" w:eastAsia="Arial" w:hAnsi="Arial"/>
          <w:sz w:val="11"/>
          <w:szCs w:val="11"/>
          <w:b w:val="1"/>
          <w:bCs w:val="1"/>
          <w:color w:val="auto"/>
        </w:rPr>
        <w:t>$</w:t>
      </w:r>
      <w:r>
        <w:rPr>
          <w:sz w:val="20"/>
          <w:szCs w:val="20"/>
          <w:color w:val="auto"/>
        </w:rPr>
        <w:tab/>
      </w:r>
      <w:r>
        <w:rPr>
          <w:rFonts w:ascii="Arial" w:cs="Arial" w:eastAsia="Arial" w:hAnsi="Arial"/>
          <w:sz w:val="11"/>
          <w:szCs w:val="11"/>
          <w:b w:val="1"/>
          <w:bCs w:val="1"/>
          <w:color w:val="auto"/>
        </w:rPr>
        <w:t>38,890</w:t>
      </w:r>
      <w:r>
        <w:rPr>
          <w:sz w:val="20"/>
          <w:szCs w:val="20"/>
          <w:color w:val="auto"/>
        </w:rPr>
        <w:tab/>
      </w:r>
      <w:r>
        <w:rPr>
          <w:rFonts w:ascii="Arial" w:cs="Arial" w:eastAsia="Arial" w:hAnsi="Arial"/>
          <w:sz w:val="11"/>
          <w:szCs w:val="11"/>
          <w:b w:val="1"/>
          <w:bCs w:val="1"/>
          <w:color w:val="auto"/>
        </w:rPr>
        <w:t>$</w:t>
      </w:r>
      <w:r>
        <w:rPr>
          <w:sz w:val="20"/>
          <w:szCs w:val="20"/>
          <w:color w:val="auto"/>
        </w:rPr>
        <w:tab/>
      </w:r>
      <w:r>
        <w:rPr>
          <w:rFonts w:ascii="Arial" w:cs="Arial" w:eastAsia="Arial" w:hAnsi="Arial"/>
          <w:sz w:val="9"/>
          <w:szCs w:val="9"/>
          <w:b w:val="1"/>
          <w:bCs w:val="1"/>
          <w:color w:val="auto"/>
        </w:rPr>
        <w:t>40,787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11430</wp:posOffset>
            </wp:positionV>
            <wp:extent cx="21831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83130" cy="1714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Future payments for operating leases are as follows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9280" w:type="dxa"/>
            <w:vAlign w:val="bottom"/>
          </w:tcPr>
          <w:p>
            <w:pPr>
              <w:spacing w:after="0"/>
              <w:rPr>
                <w:sz w:val="20"/>
                <w:szCs w:val="20"/>
                <w:color w:val="auto"/>
              </w:rPr>
            </w:pPr>
            <w:r>
              <w:rPr>
                <w:rFonts w:ascii="Arial" w:cs="Arial" w:eastAsia="Arial" w:hAnsi="Arial"/>
                <w:sz w:val="8"/>
                <w:szCs w:val="8"/>
                <w:b w:val="1"/>
                <w:bCs w:val="1"/>
                <w:color w:val="auto"/>
              </w:rPr>
              <w:t>Fiscal Year</w:t>
            </w:r>
          </w:p>
        </w:tc>
        <w:tc>
          <w:tcPr>
            <w:tcW w:w="420" w:type="dxa"/>
            <w:vAlign w:val="bottom"/>
          </w:tcPr>
          <w:p>
            <w:pPr>
              <w:spacing w:after="0"/>
              <w:rPr>
                <w:sz w:val="8"/>
                <w:szCs w:val="8"/>
                <w:color w:val="auto"/>
              </w:rPr>
            </w:pPr>
          </w:p>
        </w:tc>
        <w:tc>
          <w:tcPr>
            <w:tcW w:w="1580" w:type="dxa"/>
            <w:vAlign w:val="bottom"/>
            <w:gridSpan w:val="2"/>
          </w:tcPr>
          <w:p>
            <w:pPr>
              <w:jc w:val="right"/>
              <w:ind w:right="920"/>
              <w:spacing w:after="0"/>
              <w:rPr>
                <w:sz w:val="20"/>
                <w:szCs w:val="20"/>
                <w:color w:val="auto"/>
              </w:rPr>
            </w:pPr>
            <w:r>
              <w:rPr>
                <w:rFonts w:ascii="Arial" w:cs="Arial" w:eastAsia="Arial" w:hAnsi="Arial"/>
                <w:sz w:val="8"/>
                <w:szCs w:val="8"/>
                <w:b w:val="1"/>
                <w:bCs w:val="1"/>
                <w:color w:val="auto"/>
              </w:rPr>
              <w:t>Amount</w:t>
            </w:r>
          </w:p>
        </w:tc>
      </w:tr>
      <w:tr>
        <w:trPr>
          <w:trHeight w:val="131"/>
        </w:trPr>
        <w:tc>
          <w:tcPr>
            <w:tcW w:w="928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2022 (remaining nine months)</w:t>
            </w:r>
          </w:p>
        </w:tc>
        <w:tc>
          <w:tcPr>
            <w:tcW w:w="420" w:type="dxa"/>
            <w:vAlign w:val="bottom"/>
            <w:tcBorders>
              <w:top w:val="single" w:sz="8" w:color="004483"/>
              <w:bottom w:val="single" w:sz="8" w:color="A6A6A6"/>
            </w:tcBorders>
          </w:tcPr>
          <w:p>
            <w:pPr>
              <w:jc w:val="right"/>
              <w:ind w:right="353"/>
              <w:spacing w:after="0"/>
              <w:rPr>
                <w:sz w:val="20"/>
                <w:szCs w:val="20"/>
                <w:color w:val="auto"/>
              </w:rPr>
            </w:pPr>
            <w:r>
              <w:rPr>
                <w:rFonts w:ascii="Arial" w:cs="Arial" w:eastAsia="Arial" w:hAnsi="Arial"/>
                <w:sz w:val="5"/>
                <w:szCs w:val="5"/>
                <w:color w:val="auto"/>
                <w:w w:val="70"/>
              </w:rPr>
              <w:t>$</w:t>
            </w:r>
          </w:p>
        </w:tc>
        <w:tc>
          <w:tcPr>
            <w:tcW w:w="14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5,539</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2023</w:t>
            </w:r>
          </w:p>
        </w:tc>
        <w:tc>
          <w:tcPr>
            <w:tcW w:w="42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6,948</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2024</w:t>
            </w:r>
          </w:p>
        </w:tc>
        <w:tc>
          <w:tcPr>
            <w:tcW w:w="42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5,949</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5,589</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2026</w:t>
            </w:r>
          </w:p>
        </w:tc>
        <w:tc>
          <w:tcPr>
            <w:tcW w:w="42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4,118</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Thereafter</w:t>
            </w:r>
          </w:p>
        </w:tc>
        <w:tc>
          <w:tcPr>
            <w:tcW w:w="420" w:type="dxa"/>
            <w:vAlign w:val="bottom"/>
            <w:tcBorders>
              <w:bottom w:val="single" w:sz="8" w:color="004483"/>
            </w:tcBorders>
          </w:tcPr>
          <w:p>
            <w:pPr>
              <w:spacing w:after="0"/>
              <w:rPr>
                <w:sz w:val="11"/>
                <w:szCs w:val="11"/>
                <w:color w:val="auto"/>
              </w:rPr>
            </w:pPr>
          </w:p>
        </w:tc>
        <w:tc>
          <w:tcPr>
            <w:tcW w:w="14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20,365</w:t>
            </w:r>
          </w:p>
        </w:tc>
        <w:tc>
          <w:tcPr>
            <w:tcW w:w="120" w:type="dxa"/>
            <w:vAlign w:val="bottom"/>
          </w:tcPr>
          <w:p>
            <w:pPr>
              <w:spacing w:after="0"/>
              <w:rPr>
                <w:sz w:val="11"/>
                <w:szCs w:val="11"/>
                <w:color w:val="auto"/>
              </w:rPr>
            </w:pPr>
          </w:p>
        </w:tc>
      </w:tr>
      <w:tr>
        <w:trPr>
          <w:trHeight w:val="133"/>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Total Lease Payments</w:t>
            </w:r>
          </w:p>
        </w:tc>
        <w:tc>
          <w:tcPr>
            <w:tcW w:w="420" w:type="dxa"/>
            <w:vAlign w:val="bottom"/>
            <w:tcBorders>
              <w:bottom w:val="single" w:sz="8" w:color="A6A6A6"/>
            </w:tcBorders>
          </w:tcPr>
          <w:p>
            <w:pPr>
              <w:jc w:val="right"/>
              <w:ind w:right="353"/>
              <w:spacing w:after="0"/>
              <w:rPr>
                <w:sz w:val="20"/>
                <w:szCs w:val="20"/>
                <w:color w:val="auto"/>
              </w:rPr>
            </w:pPr>
            <w:r>
              <w:rPr>
                <w:rFonts w:ascii="Arial" w:cs="Arial" w:eastAsia="Arial" w:hAnsi="Arial"/>
                <w:sz w:val="5"/>
                <w:szCs w:val="5"/>
                <w:color w:val="auto"/>
                <w:w w:val="70"/>
              </w:rPr>
              <w:t>$</w:t>
            </w: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48,508</w:t>
            </w:r>
          </w:p>
        </w:tc>
        <w:tc>
          <w:tcPr>
            <w:tcW w:w="120" w:type="dxa"/>
            <w:vAlign w:val="bottom"/>
          </w:tcPr>
          <w:p>
            <w:pPr>
              <w:spacing w:after="0"/>
              <w:rPr>
                <w:sz w:val="11"/>
                <w:szCs w:val="11"/>
                <w:color w:val="auto"/>
              </w:rPr>
            </w:pPr>
          </w:p>
        </w:tc>
      </w:tr>
      <w:tr>
        <w:trPr>
          <w:trHeight w:val="133"/>
        </w:trPr>
        <w:tc>
          <w:tcPr>
            <w:tcW w:w="9280" w:type="dxa"/>
            <w:vAlign w:val="bottom"/>
          </w:tcPr>
          <w:p>
            <w:pPr>
              <w:spacing w:after="0"/>
              <w:rPr>
                <w:sz w:val="20"/>
                <w:szCs w:val="20"/>
                <w:color w:val="auto"/>
              </w:rPr>
            </w:pPr>
            <w:r>
              <w:rPr>
                <w:rFonts w:ascii="Arial" w:cs="Arial" w:eastAsia="Arial" w:hAnsi="Arial"/>
                <w:sz w:val="11"/>
                <w:szCs w:val="11"/>
                <w:color w:val="auto"/>
              </w:rPr>
              <w:t>Less: Imputed Interest</w:t>
            </w:r>
          </w:p>
        </w:tc>
        <w:tc>
          <w:tcPr>
            <w:tcW w:w="420" w:type="dxa"/>
            <w:vAlign w:val="bottom"/>
          </w:tcPr>
          <w:p>
            <w:pPr>
              <w:spacing w:after="0"/>
              <w:rPr>
                <w:sz w:val="11"/>
                <w:szCs w:val="11"/>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1"/>
                <w:szCs w:val="11"/>
                <w:color w:val="auto"/>
              </w:rPr>
              <w:t>(9,618)</w:t>
            </w:r>
          </w:p>
        </w:tc>
      </w:tr>
      <w:tr>
        <w:trPr>
          <w:trHeight w:val="142"/>
        </w:trPr>
        <w:tc>
          <w:tcPr>
            <w:tcW w:w="928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Present Value of Lease Liabilities</w:t>
            </w:r>
          </w:p>
        </w:tc>
        <w:tc>
          <w:tcPr>
            <w:tcW w:w="420" w:type="dxa"/>
            <w:vAlign w:val="bottom"/>
            <w:tcBorders>
              <w:top w:val="single" w:sz="8" w:color="004483"/>
              <w:bottom w:val="single" w:sz="8" w:color="004483"/>
            </w:tcBorders>
          </w:tcPr>
          <w:p>
            <w:pPr>
              <w:jc w:val="right"/>
              <w:ind w:right="353"/>
              <w:spacing w:after="0"/>
              <w:rPr>
                <w:sz w:val="20"/>
                <w:szCs w:val="20"/>
                <w:color w:val="auto"/>
              </w:rPr>
            </w:pPr>
            <w:r>
              <w:rPr>
                <w:rFonts w:ascii="Arial" w:cs="Arial" w:eastAsia="Arial" w:hAnsi="Arial"/>
                <w:sz w:val="5"/>
                <w:szCs w:val="5"/>
                <w:b w:val="1"/>
                <w:bCs w:val="1"/>
                <w:color w:val="auto"/>
                <w:w w:val="70"/>
              </w:rPr>
              <w:t>$</w:t>
            </w:r>
          </w:p>
        </w:tc>
        <w:tc>
          <w:tcPr>
            <w:tcW w:w="14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38,890</w:t>
            </w:r>
          </w:p>
        </w:tc>
        <w:tc>
          <w:tcPr>
            <w:tcW w:w="120" w:type="dxa"/>
            <w:vAlign w:val="bottom"/>
          </w:tcPr>
          <w:p>
            <w:pPr>
              <w:spacing w:after="0"/>
              <w:rPr>
                <w:sz w:val="12"/>
                <w:szCs w:val="12"/>
                <w:color w:val="auto"/>
              </w:rPr>
            </w:pPr>
          </w:p>
        </w:tc>
      </w:tr>
      <w:tr>
        <w:trPr>
          <w:trHeight w:val="144"/>
        </w:trPr>
        <w:tc>
          <w:tcPr>
            <w:tcW w:w="9280" w:type="dxa"/>
            <w:vAlign w:val="bottom"/>
            <w:tcBorders>
              <w:bottom w:val="single" w:sz="8" w:color="A6A6A6"/>
            </w:tcBorders>
          </w:tcPr>
          <w:p>
            <w:pPr>
              <w:spacing w:after="0"/>
              <w:rPr>
                <w:sz w:val="12"/>
                <w:szCs w:val="12"/>
                <w:color w:val="auto"/>
              </w:rPr>
            </w:pPr>
          </w:p>
        </w:tc>
        <w:tc>
          <w:tcPr>
            <w:tcW w:w="420" w:type="dxa"/>
            <w:vAlign w:val="bottom"/>
            <w:tcBorders>
              <w:bottom w:val="single" w:sz="8" w:color="A6A6A6"/>
            </w:tcBorders>
          </w:tcPr>
          <w:p>
            <w:pPr>
              <w:spacing w:after="0"/>
              <w:rPr>
                <w:sz w:val="12"/>
                <w:szCs w:val="12"/>
                <w:color w:val="auto"/>
              </w:rPr>
            </w:pPr>
          </w:p>
        </w:tc>
        <w:tc>
          <w:tcPr>
            <w:tcW w:w="146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1"/>
        </w:trPr>
        <w:tc>
          <w:tcPr>
            <w:tcW w:w="928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Weighted-Average Remaining Lease Term (in years)</w:t>
            </w:r>
          </w:p>
        </w:tc>
        <w:tc>
          <w:tcPr>
            <w:tcW w:w="420" w:type="dxa"/>
            <w:vAlign w:val="bottom"/>
            <w:tcBorders>
              <w:bottom w:val="single" w:sz="8" w:color="A6A6A6"/>
            </w:tcBorders>
          </w:tcPr>
          <w:p>
            <w:pPr>
              <w:spacing w:after="0"/>
              <w:rPr>
                <w:sz w:val="11"/>
                <w:szCs w:val="11"/>
                <w:color w:val="auto"/>
              </w:rPr>
            </w:pPr>
          </w:p>
        </w:tc>
        <w:tc>
          <w:tcPr>
            <w:tcW w:w="146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10.5</w:t>
            </w:r>
          </w:p>
        </w:tc>
        <w:tc>
          <w:tcPr>
            <w:tcW w:w="120" w:type="dxa"/>
            <w:vAlign w:val="bottom"/>
          </w:tcPr>
          <w:p>
            <w:pPr>
              <w:spacing w:after="0"/>
              <w:rPr>
                <w:sz w:val="11"/>
                <w:szCs w:val="11"/>
                <w:color w:val="auto"/>
              </w:rPr>
            </w:pPr>
          </w:p>
        </w:tc>
      </w:tr>
      <w:tr>
        <w:trPr>
          <w:trHeight w:val="133"/>
        </w:trPr>
        <w:tc>
          <w:tcPr>
            <w:tcW w:w="9280" w:type="dxa"/>
            <w:vAlign w:val="bottom"/>
          </w:tcPr>
          <w:p>
            <w:pPr>
              <w:spacing w:after="0"/>
              <w:rPr>
                <w:sz w:val="20"/>
                <w:szCs w:val="20"/>
                <w:color w:val="auto"/>
              </w:rPr>
            </w:pPr>
            <w:r>
              <w:rPr>
                <w:rFonts w:ascii="Arial" w:cs="Arial" w:eastAsia="Arial" w:hAnsi="Arial"/>
                <w:sz w:val="11"/>
                <w:szCs w:val="11"/>
                <w:b w:val="1"/>
                <w:bCs w:val="1"/>
                <w:color w:val="auto"/>
              </w:rPr>
              <w:t>Weighted-Average Discount Rate</w:t>
            </w:r>
          </w:p>
        </w:tc>
        <w:tc>
          <w:tcPr>
            <w:tcW w:w="4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b w:val="1"/>
                <w:bCs w:val="1"/>
                <w:color w:val="auto"/>
              </w:rPr>
              <w:t>3.79%</w:t>
            </w:r>
          </w:p>
        </w:tc>
      </w:tr>
      <w:tr>
        <w:trPr>
          <w:trHeight w:val="20"/>
        </w:trPr>
        <w:tc>
          <w:tcPr>
            <w:tcW w:w="928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99" w:right="2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b w:val="1"/>
          <w:bCs w:val="1"/>
          <w:color w:val="auto"/>
        </w:rPr>
        <w:t>(I) SHARE-BASED EMPLOYEE COMPENSATION</w:t>
      </w:r>
    </w:p>
    <w:p>
      <w:pPr>
        <w:spacing w:after="0" w:line="93"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(RSUs), restricted stock, and stock appreciation rights to employees of the Company and members of the Board of Directors. The Compensation Committee of our Board of Directors specifies the terms for grants of equity awards under the Plan.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Long-Term Compensation Plans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May 2021, the Compensation Committee of the Board of Directors approved the granting to certain officers and key employees an aggregate of 4,293 performance-vesting stock options that will be earned only if certain performance conditions are satisfied (the Fiscal 2022 Employee Performance Stock Option Grant). The performance criteria for the Fiscal 2022 Employee Performance Stock Option Grant is based upon the achievement of certain levels of return on equity (as defined in the option agreements), ranging from 10.0% to 20.0%, for the fiscal year ending March 31, 2022. All stock options will be earned if the return on equity is 20.0% or greater, and the percentage of shares earned will be reduced proportionately to approximately 66.7% if the return on equity is 10.0%. If the Company does not achieve a return on equity of at least</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10.0%, all granted stock options will be forfeited. Following any such reduction, restrictions on the earned stock options will lapse and the earned options will vest ratably over four years, with the initial fourth vesting promptly following the determination date, and the remaining options vesting on March 31, 2023 through 2025. The stock options have a term of ten years from the date of grant. The Compensation Committee also approved the granting of 3,578 time-vesting stock options to the same officers and key employees, which vest ratably over four years (the Fiscal 2022 Employee Time-Vesting Stock Option Grant).</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The weighted-average assumptions used in the Black-Scholes model to value the option awards in fiscal 2022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5880" w:type="dxa"/>
            <w:vAlign w:val="bottom"/>
            <w:tcBorders>
              <w:bottom w:val="single" w:sz="8" w:color="004483"/>
            </w:tcBorders>
          </w:tcPr>
          <w:p>
            <w:pPr>
              <w:spacing w:after="0"/>
              <w:rPr>
                <w:sz w:val="8"/>
                <w:szCs w:val="8"/>
                <w:color w:val="auto"/>
              </w:rPr>
            </w:pPr>
          </w:p>
        </w:tc>
        <w:tc>
          <w:tcPr>
            <w:tcW w:w="530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2022</w:t>
            </w:r>
          </w:p>
        </w:tc>
        <w:tc>
          <w:tcPr>
            <w:tcW w:w="80" w:type="dxa"/>
            <w:vAlign w:val="bottom"/>
          </w:tcPr>
          <w:p>
            <w:pPr>
              <w:spacing w:after="0"/>
              <w:rPr>
                <w:sz w:val="8"/>
                <w:szCs w:val="8"/>
                <w:color w:val="auto"/>
              </w:rPr>
            </w:pPr>
          </w:p>
        </w:tc>
      </w:tr>
      <w:tr>
        <w:trPr>
          <w:trHeight w:val="131"/>
        </w:trPr>
        <w:tc>
          <w:tcPr>
            <w:tcW w:w="5880" w:type="dxa"/>
            <w:vAlign w:val="bottom"/>
          </w:tcPr>
          <w:p>
            <w:pPr>
              <w:spacing w:after="0"/>
              <w:rPr>
                <w:sz w:val="20"/>
                <w:szCs w:val="20"/>
                <w:color w:val="auto"/>
              </w:rPr>
            </w:pPr>
            <w:r>
              <w:rPr>
                <w:rFonts w:ascii="Arial" w:cs="Arial" w:eastAsia="Arial" w:hAnsi="Arial"/>
                <w:sz w:val="11"/>
                <w:szCs w:val="11"/>
                <w:color w:val="auto"/>
              </w:rPr>
              <w:t>Dividend Yield</w:t>
            </w:r>
          </w:p>
        </w:tc>
        <w:tc>
          <w:tcPr>
            <w:tcW w:w="5380" w:type="dxa"/>
            <w:vAlign w:val="bottom"/>
            <w:gridSpan w:val="2"/>
          </w:tcPr>
          <w:p>
            <w:pPr>
              <w:jc w:val="right"/>
              <w:spacing w:after="0"/>
              <w:rPr>
                <w:sz w:val="20"/>
                <w:szCs w:val="20"/>
                <w:color w:val="auto"/>
              </w:rPr>
            </w:pPr>
            <w:r>
              <w:rPr>
                <w:rFonts w:ascii="Arial" w:cs="Arial" w:eastAsia="Arial" w:hAnsi="Arial"/>
                <w:sz w:val="11"/>
                <w:szCs w:val="11"/>
                <w:color w:val="auto"/>
              </w:rPr>
              <w:t>0.8%</w:t>
            </w:r>
          </w:p>
        </w:tc>
      </w:tr>
      <w:tr>
        <w:trPr>
          <w:trHeight w:val="20"/>
        </w:trPr>
        <w:tc>
          <w:tcPr>
            <w:tcW w:w="5880" w:type="dxa"/>
            <w:vAlign w:val="bottom"/>
            <w:shd w:val="clear" w:color="auto" w:fill="A6A6A6"/>
          </w:tcPr>
          <w:p>
            <w:pPr>
              <w:spacing w:after="0" w:line="20" w:lineRule="exact"/>
              <w:rPr>
                <w:sz w:val="1"/>
                <w:szCs w:val="1"/>
                <w:color w:val="auto"/>
              </w:rPr>
            </w:pPr>
          </w:p>
        </w:tc>
        <w:tc>
          <w:tcPr>
            <w:tcW w:w="53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5880" w:type="dxa"/>
            <w:vAlign w:val="bottom"/>
          </w:tcPr>
          <w:p>
            <w:pPr>
              <w:spacing w:after="0"/>
              <w:rPr>
                <w:sz w:val="20"/>
                <w:szCs w:val="20"/>
                <w:color w:val="auto"/>
              </w:rPr>
            </w:pPr>
            <w:r>
              <w:rPr>
                <w:rFonts w:ascii="Arial" w:cs="Arial" w:eastAsia="Arial" w:hAnsi="Arial"/>
                <w:sz w:val="11"/>
                <w:szCs w:val="11"/>
                <w:color w:val="auto"/>
              </w:rPr>
              <w:t>Expected Volatility</w:t>
            </w:r>
          </w:p>
        </w:tc>
        <w:tc>
          <w:tcPr>
            <w:tcW w:w="5380" w:type="dxa"/>
            <w:vAlign w:val="bottom"/>
            <w:gridSpan w:val="2"/>
          </w:tcPr>
          <w:p>
            <w:pPr>
              <w:jc w:val="right"/>
              <w:spacing w:after="0"/>
              <w:rPr>
                <w:sz w:val="20"/>
                <w:szCs w:val="20"/>
                <w:color w:val="auto"/>
              </w:rPr>
            </w:pPr>
            <w:r>
              <w:rPr>
                <w:rFonts w:ascii="Arial" w:cs="Arial" w:eastAsia="Arial" w:hAnsi="Arial"/>
                <w:sz w:val="11"/>
                <w:szCs w:val="11"/>
                <w:color w:val="auto"/>
              </w:rPr>
              <w:t>38.4%</w:t>
            </w:r>
          </w:p>
        </w:tc>
      </w:tr>
      <w:tr>
        <w:trPr>
          <w:trHeight w:val="20"/>
        </w:trPr>
        <w:tc>
          <w:tcPr>
            <w:tcW w:w="5880" w:type="dxa"/>
            <w:vAlign w:val="bottom"/>
            <w:shd w:val="clear" w:color="auto" w:fill="A6A6A6"/>
          </w:tcPr>
          <w:p>
            <w:pPr>
              <w:spacing w:after="0" w:line="20" w:lineRule="exact"/>
              <w:rPr>
                <w:sz w:val="1"/>
                <w:szCs w:val="1"/>
                <w:color w:val="auto"/>
              </w:rPr>
            </w:pPr>
          </w:p>
        </w:tc>
        <w:tc>
          <w:tcPr>
            <w:tcW w:w="530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5880" w:type="dxa"/>
            <w:vAlign w:val="bottom"/>
          </w:tcPr>
          <w:p>
            <w:pPr>
              <w:spacing w:after="0"/>
              <w:rPr>
                <w:sz w:val="20"/>
                <w:szCs w:val="20"/>
                <w:color w:val="auto"/>
              </w:rPr>
            </w:pPr>
            <w:r>
              <w:rPr>
                <w:rFonts w:ascii="Arial" w:cs="Arial" w:eastAsia="Arial" w:hAnsi="Arial"/>
                <w:sz w:val="11"/>
                <w:szCs w:val="11"/>
                <w:color w:val="auto"/>
              </w:rPr>
              <w:t>Risk-Free Interest Rate</w:t>
            </w:r>
          </w:p>
        </w:tc>
        <w:tc>
          <w:tcPr>
            <w:tcW w:w="5380" w:type="dxa"/>
            <w:vAlign w:val="bottom"/>
            <w:gridSpan w:val="2"/>
          </w:tcPr>
          <w:p>
            <w:pPr>
              <w:jc w:val="right"/>
              <w:spacing w:after="0"/>
              <w:rPr>
                <w:sz w:val="20"/>
                <w:szCs w:val="20"/>
                <w:color w:val="auto"/>
              </w:rPr>
            </w:pPr>
            <w:r>
              <w:rPr>
                <w:rFonts w:ascii="Arial" w:cs="Arial" w:eastAsia="Arial" w:hAnsi="Arial"/>
                <w:sz w:val="11"/>
                <w:szCs w:val="11"/>
                <w:color w:val="auto"/>
              </w:rPr>
              <w:t>1.1%</w:t>
            </w:r>
          </w:p>
        </w:tc>
      </w:tr>
      <w:tr>
        <w:trPr>
          <w:trHeight w:val="133"/>
        </w:trPr>
        <w:tc>
          <w:tcPr>
            <w:tcW w:w="588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Expected Life</w:t>
            </w:r>
          </w:p>
        </w:tc>
        <w:tc>
          <w:tcPr>
            <w:tcW w:w="53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6.0 years</w:t>
            </w:r>
          </w:p>
        </w:tc>
        <w:tc>
          <w:tcPr>
            <w:tcW w:w="80" w:type="dxa"/>
            <w:vAlign w:val="bottom"/>
          </w:tcPr>
          <w:p>
            <w:pPr>
              <w:spacing w:after="0"/>
              <w:rPr>
                <w:sz w:val="11"/>
                <w:szCs w:val="11"/>
                <w:color w:val="auto"/>
              </w:rPr>
            </w:pPr>
          </w:p>
        </w:tc>
      </w:tr>
    </w:tbl>
    <w:p>
      <w:pPr>
        <w:spacing w:after="0" w:line="161" w:lineRule="exact"/>
        <w:rPr>
          <w:sz w:val="20"/>
          <w:szCs w:val="20"/>
          <w:color w:val="auto"/>
        </w:rPr>
      </w:pPr>
    </w:p>
    <w:p>
      <w:pPr>
        <w:ind w:right="340"/>
        <w:spacing w:after="0" w:line="277" w:lineRule="auto"/>
        <w:rPr>
          <w:sz w:val="20"/>
          <w:szCs w:val="20"/>
          <w:color w:val="auto"/>
        </w:rPr>
      </w:pPr>
      <w:r>
        <w:rPr>
          <w:rFonts w:ascii="Arial" w:cs="Arial" w:eastAsia="Arial" w:hAnsi="Arial"/>
          <w:sz w:val="12"/>
          <w:szCs w:val="12"/>
          <w:color w:val="auto"/>
        </w:rPr>
        <w:t>Stock option expense for all outstanding stock option awards totaled approximately $0.7 million and $1.7 million for the three months ended June 30, 2021 and 2020, respectively. At June 30, 2021, there was approximately $6.3 million of unrecognized compensation cost related to outstanding stock options, which is expected to be recognized over a weighted-average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63"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auto"/>
        </w:rPr>
        <w:t>The following table represents stock option activity for the three months ended June 30,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Weighted-</w:t>
            </w:r>
          </w:p>
        </w:tc>
        <w:tc>
          <w:tcPr>
            <w:tcW w:w="120" w:type="dxa"/>
            <w:vAlign w:val="bottom"/>
          </w:tcPr>
          <w:p>
            <w:pPr>
              <w:spacing w:after="0"/>
              <w:rPr>
                <w:sz w:val="7"/>
                <w:szCs w:val="7"/>
                <w:color w:val="auto"/>
              </w:rPr>
            </w:pPr>
          </w:p>
        </w:tc>
      </w:tr>
      <w:tr>
        <w:trPr>
          <w:trHeight w:val="90"/>
        </w:trPr>
        <w:tc>
          <w:tcPr>
            <w:tcW w:w="5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Average</w:t>
            </w:r>
          </w:p>
        </w:tc>
        <w:tc>
          <w:tcPr>
            <w:tcW w:w="120" w:type="dxa"/>
            <w:vAlign w:val="bottom"/>
          </w:tcPr>
          <w:p>
            <w:pPr>
              <w:spacing w:after="0"/>
              <w:rPr>
                <w:sz w:val="7"/>
                <w:szCs w:val="7"/>
                <w:color w:val="auto"/>
              </w:rPr>
            </w:pPr>
          </w:p>
        </w:tc>
      </w:tr>
      <w:tr>
        <w:trPr>
          <w:trHeight w:val="90"/>
        </w:trPr>
        <w:tc>
          <w:tcPr>
            <w:tcW w:w="5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Number</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Exercise</w:t>
            </w:r>
          </w:p>
        </w:tc>
        <w:tc>
          <w:tcPr>
            <w:tcW w:w="120" w:type="dxa"/>
            <w:vAlign w:val="bottom"/>
          </w:tcPr>
          <w:p>
            <w:pPr>
              <w:spacing w:after="0"/>
              <w:rPr>
                <w:sz w:val="7"/>
                <w:szCs w:val="7"/>
                <w:color w:val="auto"/>
              </w:rPr>
            </w:pPr>
          </w:p>
        </w:tc>
      </w:tr>
      <w:tr>
        <w:trPr>
          <w:trHeight w:val="101"/>
        </w:trPr>
        <w:tc>
          <w:tcPr>
            <w:tcW w:w="5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w w:val="98"/>
              </w:rPr>
              <w:t>of Shares</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Price</w:t>
            </w:r>
          </w:p>
        </w:tc>
        <w:tc>
          <w:tcPr>
            <w:tcW w:w="120" w:type="dxa"/>
            <w:vAlign w:val="bottom"/>
          </w:tcPr>
          <w:p>
            <w:pPr>
              <w:spacing w:after="0"/>
              <w:rPr>
                <w:sz w:val="8"/>
                <w:szCs w:val="8"/>
                <w:color w:val="auto"/>
              </w:rPr>
            </w:pPr>
          </w:p>
        </w:tc>
      </w:tr>
      <w:tr>
        <w:trPr>
          <w:trHeight w:val="131"/>
        </w:trPr>
        <w:tc>
          <w:tcPr>
            <w:tcW w:w="52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auto"/>
              </w:rPr>
              <w:t>Outstanding Options at March 31, 2021</w:t>
            </w:r>
          </w:p>
        </w:tc>
        <w:tc>
          <w:tcPr>
            <w:tcW w:w="1000" w:type="dxa"/>
            <w:vAlign w:val="bottom"/>
            <w:tcBorders>
              <w:top w:val="single" w:sz="8" w:color="004483"/>
              <w:bottom w:val="single" w:sz="8" w:color="A6A6A6"/>
            </w:tcBorders>
          </w:tcPr>
          <w:p>
            <w:pPr>
              <w:spacing w:after="0"/>
              <w:rPr>
                <w:sz w:val="11"/>
                <w:szCs w:val="11"/>
                <w:color w:val="auto"/>
              </w:rPr>
            </w:pPr>
          </w:p>
        </w:tc>
        <w:tc>
          <w:tcPr>
            <w:tcW w:w="100" w:type="dxa"/>
            <w:vAlign w:val="bottom"/>
            <w:tcBorders>
              <w:top w:val="single" w:sz="8" w:color="004483"/>
              <w:bottom w:val="single" w:sz="8" w:color="A6A6A6"/>
            </w:tcBorders>
          </w:tcPr>
          <w:p>
            <w:pPr>
              <w:spacing w:after="0"/>
              <w:rPr>
                <w:sz w:val="11"/>
                <w:szCs w:val="11"/>
                <w:color w:val="auto"/>
              </w:rPr>
            </w:pPr>
          </w:p>
        </w:tc>
        <w:tc>
          <w:tcPr>
            <w:tcW w:w="1260" w:type="dxa"/>
            <w:vAlign w:val="bottom"/>
            <w:tcBorders>
              <w:top w:val="single" w:sz="8" w:color="004483"/>
              <w:bottom w:val="single" w:sz="8" w:color="A6A6A6"/>
            </w:tcBorders>
          </w:tcPr>
          <w:p>
            <w:pPr>
              <w:spacing w:after="0"/>
              <w:rPr>
                <w:sz w:val="11"/>
                <w:szCs w:val="11"/>
                <w:color w:val="auto"/>
              </w:rPr>
            </w:pPr>
          </w:p>
        </w:tc>
        <w:tc>
          <w:tcPr>
            <w:tcW w:w="180" w:type="dxa"/>
            <w:vAlign w:val="bottom"/>
            <w:tcBorders>
              <w:top w:val="single" w:sz="8" w:color="004483"/>
              <w:bottom w:val="single" w:sz="8" w:color="A6A6A6"/>
            </w:tcBorders>
          </w:tcPr>
          <w:p>
            <w:pPr>
              <w:spacing w:after="0"/>
              <w:rPr>
                <w:sz w:val="11"/>
                <w:szCs w:val="11"/>
                <w:color w:val="auto"/>
              </w:rPr>
            </w:pPr>
          </w:p>
        </w:tc>
        <w:tc>
          <w:tcPr>
            <w:tcW w:w="320" w:type="dxa"/>
            <w:vAlign w:val="bottom"/>
            <w:tcBorders>
              <w:top w:val="single" w:sz="8" w:color="004483"/>
              <w:bottom w:val="single" w:sz="8" w:color="A6A6A6"/>
            </w:tcBorders>
          </w:tcPr>
          <w:p>
            <w:pPr>
              <w:spacing w:after="0"/>
              <w:rPr>
                <w:sz w:val="11"/>
                <w:szCs w:val="11"/>
                <w:color w:val="auto"/>
              </w:rPr>
            </w:pPr>
          </w:p>
        </w:tc>
        <w:tc>
          <w:tcPr>
            <w:tcW w:w="1260" w:type="dxa"/>
            <w:vAlign w:val="bottom"/>
            <w:tcBorders>
              <w:top w:val="single" w:sz="8" w:color="004483"/>
              <w:bottom w:val="single" w:sz="8" w:color="A6A6A6"/>
            </w:tcBorders>
            <w:gridSpan w:val="3"/>
          </w:tcPr>
          <w:p>
            <w:pPr>
              <w:jc w:val="right"/>
              <w:spacing w:after="0"/>
              <w:rPr>
                <w:sz w:val="20"/>
                <w:szCs w:val="20"/>
                <w:color w:val="auto"/>
              </w:rPr>
            </w:pPr>
            <w:r>
              <w:rPr>
                <w:rFonts w:ascii="Arial" w:cs="Arial" w:eastAsia="Arial" w:hAnsi="Arial"/>
                <w:sz w:val="11"/>
                <w:szCs w:val="11"/>
                <w:color w:val="auto"/>
              </w:rPr>
              <w:t>708,501</w:t>
            </w:r>
          </w:p>
        </w:tc>
        <w:tc>
          <w:tcPr>
            <w:tcW w:w="100" w:type="dxa"/>
            <w:vAlign w:val="bottom"/>
          </w:tcPr>
          <w:p>
            <w:pPr>
              <w:spacing w:after="0"/>
              <w:rPr>
                <w:sz w:val="11"/>
                <w:szCs w:val="11"/>
                <w:color w:val="auto"/>
              </w:rPr>
            </w:pPr>
          </w:p>
        </w:tc>
        <w:tc>
          <w:tcPr>
            <w:tcW w:w="500" w:type="dxa"/>
            <w:vAlign w:val="bottom"/>
            <w:tcBorders>
              <w:top w:val="single" w:sz="8" w:color="004483"/>
              <w:bottom w:val="single" w:sz="8" w:color="A6A6A6"/>
            </w:tcBorders>
          </w:tcPr>
          <w:p>
            <w:pPr>
              <w:jc w:val="right"/>
              <w:ind w:right="210"/>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004483"/>
              <w:bottom w:val="single" w:sz="8" w:color="A6A6A6"/>
            </w:tcBorders>
          </w:tcPr>
          <w:p>
            <w:pPr>
              <w:spacing w:after="0"/>
              <w:rPr>
                <w:sz w:val="11"/>
                <w:szCs w:val="11"/>
                <w:color w:val="auto"/>
              </w:rPr>
            </w:pPr>
          </w:p>
        </w:tc>
        <w:tc>
          <w:tcPr>
            <w:tcW w:w="560" w:type="dxa"/>
            <w:vAlign w:val="bottom"/>
            <w:tcBorders>
              <w:top w:val="single" w:sz="8" w:color="004483"/>
              <w:bottom w:val="single" w:sz="8" w:color="A6A6A6"/>
            </w:tcBorders>
          </w:tcPr>
          <w:p>
            <w:pPr>
              <w:spacing w:after="0"/>
              <w:rPr>
                <w:sz w:val="11"/>
                <w:szCs w:val="11"/>
                <w:color w:val="auto"/>
              </w:rPr>
            </w:pPr>
          </w:p>
        </w:tc>
        <w:tc>
          <w:tcPr>
            <w:tcW w:w="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83.85</w:t>
            </w:r>
          </w:p>
        </w:tc>
        <w:tc>
          <w:tcPr>
            <w:tcW w:w="120" w:type="dxa"/>
            <w:vAlign w:val="bottom"/>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Granted</w:t>
            </w:r>
          </w:p>
        </w:tc>
        <w:tc>
          <w:tcPr>
            <w:tcW w:w="100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tcPr>
          <w:p>
            <w:pPr>
              <w:spacing w:after="0"/>
              <w:rPr>
                <w:sz w:val="11"/>
                <w:szCs w:val="11"/>
                <w:color w:val="auto"/>
              </w:rPr>
            </w:pPr>
          </w:p>
        </w:tc>
        <w:tc>
          <w:tcPr>
            <w:tcW w:w="180" w:type="dxa"/>
            <w:vAlign w:val="bottom"/>
            <w:tcBorders>
              <w:bottom w:val="single" w:sz="8" w:color="A6A6A6"/>
            </w:tcBorders>
          </w:tcPr>
          <w:p>
            <w:pPr>
              <w:spacing w:after="0"/>
              <w:rPr>
                <w:sz w:val="11"/>
                <w:szCs w:val="11"/>
                <w:color w:val="auto"/>
              </w:rPr>
            </w:pPr>
          </w:p>
        </w:tc>
        <w:tc>
          <w:tcPr>
            <w:tcW w:w="320" w:type="dxa"/>
            <w:vAlign w:val="bottom"/>
            <w:tcBorders>
              <w:bottom w:val="single" w:sz="8" w:color="A6A6A6"/>
            </w:tcBorders>
          </w:tcPr>
          <w:p>
            <w:pPr>
              <w:spacing w:after="0"/>
              <w:rPr>
                <w:sz w:val="11"/>
                <w:szCs w:val="11"/>
                <w:color w:val="auto"/>
              </w:rPr>
            </w:pPr>
          </w:p>
        </w:tc>
        <w:tc>
          <w:tcPr>
            <w:tcW w:w="1260" w:type="dxa"/>
            <w:vAlign w:val="bottom"/>
            <w:tcBorders>
              <w:bottom w:val="single" w:sz="8" w:color="A6A6A6"/>
            </w:tcBorders>
            <w:gridSpan w:val="3"/>
          </w:tcPr>
          <w:p>
            <w:pPr>
              <w:jc w:val="right"/>
              <w:spacing w:after="0"/>
              <w:rPr>
                <w:sz w:val="20"/>
                <w:szCs w:val="20"/>
                <w:color w:val="auto"/>
              </w:rPr>
            </w:pPr>
            <w:r>
              <w:rPr>
                <w:rFonts w:ascii="Arial" w:cs="Arial" w:eastAsia="Arial" w:hAnsi="Arial"/>
                <w:sz w:val="11"/>
                <w:szCs w:val="11"/>
                <w:color w:val="auto"/>
              </w:rPr>
              <w:t>7,871</w:t>
            </w:r>
          </w:p>
        </w:tc>
        <w:tc>
          <w:tcPr>
            <w:tcW w:w="100" w:type="dxa"/>
            <w:vAlign w:val="bottom"/>
          </w:tcPr>
          <w:p>
            <w:pPr>
              <w:spacing w:after="0"/>
              <w:rPr>
                <w:sz w:val="11"/>
                <w:szCs w:val="11"/>
                <w:color w:val="auto"/>
              </w:rPr>
            </w:pPr>
          </w:p>
        </w:tc>
        <w:tc>
          <w:tcPr>
            <w:tcW w:w="500" w:type="dxa"/>
            <w:vAlign w:val="bottom"/>
            <w:tcBorders>
              <w:bottom w:val="single" w:sz="8" w:color="A6A6A6"/>
            </w:tcBorders>
          </w:tcPr>
          <w:p>
            <w:pPr>
              <w:jc w:val="right"/>
              <w:ind w:right="21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6A6A6"/>
            </w:tcBorders>
          </w:tcPr>
          <w:p>
            <w:pPr>
              <w:spacing w:after="0"/>
              <w:rPr>
                <w:sz w:val="11"/>
                <w:szCs w:val="11"/>
                <w:color w:val="auto"/>
              </w:rPr>
            </w:pPr>
          </w:p>
        </w:tc>
        <w:tc>
          <w:tcPr>
            <w:tcW w:w="560" w:type="dxa"/>
            <w:vAlign w:val="bottom"/>
            <w:tcBorders>
              <w:bottom w:val="single" w:sz="8" w:color="A6A6A6"/>
            </w:tcBorders>
          </w:tcPr>
          <w:p>
            <w:pPr>
              <w:spacing w:after="0"/>
              <w:rPr>
                <w:sz w:val="11"/>
                <w:szCs w:val="11"/>
                <w:color w:val="auto"/>
              </w:rPr>
            </w:pP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139.25</w:t>
            </w:r>
          </w:p>
        </w:tc>
        <w:tc>
          <w:tcPr>
            <w:tcW w:w="120" w:type="dxa"/>
            <w:vAlign w:val="bottom"/>
          </w:tcPr>
          <w:p>
            <w:pPr>
              <w:spacing w:after="0"/>
              <w:rPr>
                <w:sz w:val="11"/>
                <w:szCs w:val="1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Exercised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1"/>
                <w:szCs w:val="11"/>
                <w:color w:val="auto"/>
              </w:rPr>
              <w:t>(95,859)</w:t>
            </w:r>
          </w:p>
        </w:tc>
        <w:tc>
          <w:tcPr>
            <w:tcW w:w="500" w:type="dxa"/>
            <w:vAlign w:val="bottom"/>
          </w:tcPr>
          <w:p>
            <w:pPr>
              <w:jc w:val="right"/>
              <w:ind w:right="21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85.77</w:t>
            </w:r>
          </w:p>
        </w:tc>
        <w:tc>
          <w:tcPr>
            <w:tcW w:w="120" w:type="dxa"/>
            <w:vAlign w:val="bottom"/>
          </w:tcPr>
          <w:p>
            <w:pPr>
              <w:spacing w:after="0"/>
              <w:rPr>
                <w:sz w:val="11"/>
                <w:szCs w:val="11"/>
                <w:color w:val="auto"/>
              </w:rPr>
            </w:pPr>
          </w:p>
        </w:tc>
      </w:tr>
      <w:tr>
        <w:trPr>
          <w:trHeight w:val="20"/>
        </w:trPr>
        <w:tc>
          <w:tcPr>
            <w:tcW w:w="520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26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5200" w:type="dxa"/>
            <w:vAlign w:val="bottom"/>
          </w:tcPr>
          <w:p>
            <w:pPr>
              <w:spacing w:after="0"/>
              <w:rPr>
                <w:sz w:val="20"/>
                <w:szCs w:val="20"/>
                <w:color w:val="auto"/>
              </w:rPr>
            </w:pPr>
            <w:r>
              <w:rPr>
                <w:rFonts w:ascii="Arial" w:cs="Arial" w:eastAsia="Arial" w:hAnsi="Arial"/>
                <w:sz w:val="11"/>
                <w:szCs w:val="11"/>
                <w:color w:val="auto"/>
              </w:rPr>
              <w:t>Cancelled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1"/>
                <w:szCs w:val="11"/>
                <w:color w:val="auto"/>
              </w:rPr>
              <w:t>(15,390)</w:t>
            </w:r>
          </w:p>
        </w:tc>
        <w:tc>
          <w:tcPr>
            <w:tcW w:w="500" w:type="dxa"/>
            <w:vAlign w:val="bottom"/>
          </w:tcPr>
          <w:p>
            <w:pPr>
              <w:jc w:val="right"/>
              <w:ind w:right="21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76.63</w:t>
            </w:r>
          </w:p>
        </w:tc>
        <w:tc>
          <w:tcPr>
            <w:tcW w:w="120" w:type="dxa"/>
            <w:vAlign w:val="bottom"/>
          </w:tcPr>
          <w:p>
            <w:pPr>
              <w:spacing w:after="0"/>
              <w:rPr>
                <w:sz w:val="11"/>
                <w:szCs w:val="11"/>
                <w:color w:val="auto"/>
              </w:rPr>
            </w:pPr>
          </w:p>
        </w:tc>
      </w:tr>
      <w:tr>
        <w:trPr>
          <w:trHeight w:val="153"/>
        </w:trPr>
        <w:tc>
          <w:tcPr>
            <w:tcW w:w="520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Outstanding Options at June 30, 2021</w:t>
            </w:r>
          </w:p>
        </w:tc>
        <w:tc>
          <w:tcPr>
            <w:tcW w:w="1000" w:type="dxa"/>
            <w:vAlign w:val="bottom"/>
            <w:tcBorders>
              <w:top w:val="single" w:sz="8" w:color="A6A6A6"/>
              <w:bottom w:val="single" w:sz="8" w:color="A6A6A6"/>
            </w:tcBorders>
          </w:tcPr>
          <w:p>
            <w:pPr>
              <w:spacing w:after="0"/>
              <w:rPr>
                <w:sz w:val="13"/>
                <w:szCs w:val="13"/>
                <w:color w:val="auto"/>
              </w:rPr>
            </w:pPr>
          </w:p>
        </w:tc>
        <w:tc>
          <w:tcPr>
            <w:tcW w:w="100" w:type="dxa"/>
            <w:vAlign w:val="bottom"/>
            <w:tcBorders>
              <w:top w:val="single" w:sz="8" w:color="A6A6A6"/>
              <w:bottom w:val="single" w:sz="8" w:color="A6A6A6"/>
            </w:tcBorders>
          </w:tcPr>
          <w:p>
            <w:pPr>
              <w:spacing w:after="0"/>
              <w:rPr>
                <w:sz w:val="13"/>
                <w:szCs w:val="13"/>
                <w:color w:val="auto"/>
              </w:rPr>
            </w:pPr>
          </w:p>
        </w:tc>
        <w:tc>
          <w:tcPr>
            <w:tcW w:w="1260" w:type="dxa"/>
            <w:vAlign w:val="bottom"/>
            <w:tcBorders>
              <w:top w:val="single" w:sz="8" w:color="A6A6A6"/>
              <w:bottom w:val="single" w:sz="8" w:color="A6A6A6"/>
            </w:tcBorders>
          </w:tcPr>
          <w:p>
            <w:pPr>
              <w:spacing w:after="0"/>
              <w:rPr>
                <w:sz w:val="13"/>
                <w:szCs w:val="13"/>
                <w:color w:val="auto"/>
              </w:rPr>
            </w:pPr>
          </w:p>
        </w:tc>
        <w:tc>
          <w:tcPr>
            <w:tcW w:w="180" w:type="dxa"/>
            <w:vAlign w:val="bottom"/>
            <w:tcBorders>
              <w:top w:val="single" w:sz="8" w:color="A6A6A6"/>
              <w:bottom w:val="single" w:sz="8" w:color="A6A6A6"/>
            </w:tcBorders>
          </w:tcPr>
          <w:p>
            <w:pPr>
              <w:spacing w:after="0"/>
              <w:rPr>
                <w:sz w:val="13"/>
                <w:szCs w:val="13"/>
                <w:color w:val="auto"/>
              </w:rPr>
            </w:pPr>
          </w:p>
        </w:tc>
        <w:tc>
          <w:tcPr>
            <w:tcW w:w="320" w:type="dxa"/>
            <w:vAlign w:val="bottom"/>
            <w:tcBorders>
              <w:top w:val="single" w:sz="8" w:color="004483"/>
              <w:bottom w:val="single" w:sz="8" w:color="004483"/>
            </w:tcBorders>
          </w:tcPr>
          <w:p>
            <w:pPr>
              <w:spacing w:after="0"/>
              <w:rPr>
                <w:sz w:val="13"/>
                <w:szCs w:val="13"/>
                <w:color w:val="auto"/>
              </w:rPr>
            </w:pPr>
          </w:p>
        </w:tc>
        <w:tc>
          <w:tcPr>
            <w:tcW w:w="1260" w:type="dxa"/>
            <w:vAlign w:val="bottom"/>
            <w:tcBorders>
              <w:top w:val="single" w:sz="8" w:color="004483"/>
              <w:bottom w:val="single" w:sz="8" w:color="004483"/>
            </w:tcBorders>
            <w:gridSpan w:val="3"/>
          </w:tcPr>
          <w:p>
            <w:pPr>
              <w:jc w:val="right"/>
              <w:spacing w:after="0"/>
              <w:rPr>
                <w:sz w:val="20"/>
                <w:szCs w:val="20"/>
                <w:color w:val="auto"/>
              </w:rPr>
            </w:pPr>
            <w:r>
              <w:rPr>
                <w:rFonts w:ascii="Arial" w:cs="Arial" w:eastAsia="Arial" w:hAnsi="Arial"/>
                <w:sz w:val="11"/>
                <w:szCs w:val="11"/>
                <w:b w:val="1"/>
                <w:bCs w:val="1"/>
                <w:color w:val="auto"/>
              </w:rPr>
              <w:t>605,123</w:t>
            </w:r>
          </w:p>
        </w:tc>
        <w:tc>
          <w:tcPr>
            <w:tcW w:w="100" w:type="dxa"/>
            <w:vAlign w:val="bottom"/>
          </w:tcPr>
          <w:p>
            <w:pPr>
              <w:spacing w:after="0"/>
              <w:rPr>
                <w:sz w:val="13"/>
                <w:szCs w:val="13"/>
                <w:color w:val="auto"/>
              </w:rPr>
            </w:pPr>
          </w:p>
        </w:tc>
        <w:tc>
          <w:tcPr>
            <w:tcW w:w="500" w:type="dxa"/>
            <w:vAlign w:val="bottom"/>
            <w:tcBorders>
              <w:top w:val="single" w:sz="8" w:color="A6A6A6"/>
              <w:bottom w:val="single" w:sz="8" w:color="A6A6A6"/>
            </w:tcBorders>
          </w:tcPr>
          <w:p>
            <w:pPr>
              <w:spacing w:after="0"/>
              <w:rPr>
                <w:sz w:val="13"/>
                <w:szCs w:val="13"/>
                <w:color w:val="auto"/>
              </w:rPr>
            </w:pPr>
          </w:p>
        </w:tc>
        <w:tc>
          <w:tcPr>
            <w:tcW w:w="120" w:type="dxa"/>
            <w:vAlign w:val="bottom"/>
            <w:tcBorders>
              <w:top w:val="single" w:sz="8" w:color="A6A6A6"/>
              <w:bottom w:val="single" w:sz="8" w:color="A6A6A6"/>
            </w:tcBorders>
          </w:tcPr>
          <w:p>
            <w:pPr>
              <w:spacing w:after="0"/>
              <w:rPr>
                <w:sz w:val="13"/>
                <w:szCs w:val="13"/>
                <w:color w:val="auto"/>
              </w:rPr>
            </w:pPr>
          </w:p>
        </w:tc>
        <w:tc>
          <w:tcPr>
            <w:tcW w:w="560" w:type="dxa"/>
            <w:vAlign w:val="bottom"/>
            <w:tcBorders>
              <w:top w:val="single" w:sz="8" w:color="A6A6A6"/>
              <w:bottom w:val="single" w:sz="8" w:color="A6A6A6"/>
            </w:tcBorders>
          </w:tcPr>
          <w:p>
            <w:pPr>
              <w:spacing w:after="0"/>
              <w:rPr>
                <w:sz w:val="13"/>
                <w:szCs w:val="13"/>
                <w:color w:val="auto"/>
              </w:rPr>
            </w:pPr>
          </w:p>
        </w:tc>
        <w:tc>
          <w:tcPr>
            <w:tcW w:w="580" w:type="dxa"/>
            <w:vAlign w:val="bottom"/>
            <w:tcBorders>
              <w:top w:val="single" w:sz="8" w:color="A6A6A6"/>
              <w:bottom w:val="single" w:sz="8" w:color="A6A6A6"/>
            </w:tcBorders>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520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Options Exercisable at June 30, 2021</w:t>
            </w:r>
          </w:p>
        </w:tc>
        <w:tc>
          <w:tcPr>
            <w:tcW w:w="1000" w:type="dxa"/>
            <w:vAlign w:val="bottom"/>
            <w:tcBorders>
              <w:bottom w:val="single" w:sz="8" w:color="A6A6A6"/>
            </w:tcBorders>
          </w:tcPr>
          <w:p>
            <w:pPr>
              <w:spacing w:after="0"/>
              <w:rPr>
                <w:sz w:val="13"/>
                <w:szCs w:val="13"/>
                <w:color w:val="auto"/>
              </w:rPr>
            </w:pPr>
          </w:p>
        </w:tc>
        <w:tc>
          <w:tcPr>
            <w:tcW w:w="100" w:type="dxa"/>
            <w:vAlign w:val="bottom"/>
            <w:tcBorders>
              <w:bottom w:val="single" w:sz="8" w:color="A6A6A6"/>
            </w:tcBorders>
          </w:tcPr>
          <w:p>
            <w:pPr>
              <w:spacing w:after="0"/>
              <w:rPr>
                <w:sz w:val="13"/>
                <w:szCs w:val="13"/>
                <w:color w:val="auto"/>
              </w:rPr>
            </w:pPr>
          </w:p>
        </w:tc>
        <w:tc>
          <w:tcPr>
            <w:tcW w:w="1260" w:type="dxa"/>
            <w:vAlign w:val="bottom"/>
            <w:tcBorders>
              <w:bottom w:val="single" w:sz="8" w:color="A6A6A6"/>
            </w:tcBorders>
          </w:tcPr>
          <w:p>
            <w:pPr>
              <w:spacing w:after="0"/>
              <w:rPr>
                <w:sz w:val="13"/>
                <w:szCs w:val="13"/>
                <w:color w:val="auto"/>
              </w:rPr>
            </w:pPr>
          </w:p>
        </w:tc>
        <w:tc>
          <w:tcPr>
            <w:tcW w:w="180" w:type="dxa"/>
            <w:vAlign w:val="bottom"/>
            <w:tcBorders>
              <w:bottom w:val="single" w:sz="8" w:color="A6A6A6"/>
            </w:tcBorders>
          </w:tcPr>
          <w:p>
            <w:pPr>
              <w:spacing w:after="0"/>
              <w:rPr>
                <w:sz w:val="13"/>
                <w:szCs w:val="13"/>
                <w:color w:val="auto"/>
              </w:rPr>
            </w:pPr>
          </w:p>
        </w:tc>
        <w:tc>
          <w:tcPr>
            <w:tcW w:w="320" w:type="dxa"/>
            <w:vAlign w:val="bottom"/>
            <w:tcBorders>
              <w:bottom w:val="single" w:sz="8" w:color="004483"/>
            </w:tcBorders>
          </w:tcPr>
          <w:p>
            <w:pPr>
              <w:spacing w:after="0"/>
              <w:rPr>
                <w:sz w:val="13"/>
                <w:szCs w:val="13"/>
                <w:color w:val="auto"/>
              </w:rPr>
            </w:pPr>
          </w:p>
        </w:tc>
        <w:tc>
          <w:tcPr>
            <w:tcW w:w="1260" w:type="dxa"/>
            <w:vAlign w:val="bottom"/>
            <w:tcBorders>
              <w:bottom w:val="single" w:sz="8" w:color="004483"/>
            </w:tcBorders>
            <w:gridSpan w:val="3"/>
          </w:tcPr>
          <w:p>
            <w:pPr>
              <w:jc w:val="right"/>
              <w:spacing w:after="0"/>
              <w:rPr>
                <w:sz w:val="20"/>
                <w:szCs w:val="20"/>
                <w:color w:val="auto"/>
              </w:rPr>
            </w:pPr>
            <w:r>
              <w:rPr>
                <w:rFonts w:ascii="Arial" w:cs="Arial" w:eastAsia="Arial" w:hAnsi="Arial"/>
                <w:sz w:val="11"/>
                <w:szCs w:val="11"/>
                <w:b w:val="1"/>
                <w:bCs w:val="1"/>
                <w:color w:val="auto"/>
              </w:rPr>
              <w:t>346,580</w:t>
            </w:r>
          </w:p>
        </w:tc>
        <w:tc>
          <w:tcPr>
            <w:tcW w:w="100" w:type="dxa"/>
            <w:vAlign w:val="bottom"/>
          </w:tcPr>
          <w:p>
            <w:pPr>
              <w:spacing w:after="0"/>
              <w:rPr>
                <w:sz w:val="13"/>
                <w:szCs w:val="13"/>
                <w:color w:val="auto"/>
              </w:rPr>
            </w:pPr>
          </w:p>
        </w:tc>
        <w:tc>
          <w:tcPr>
            <w:tcW w:w="500" w:type="dxa"/>
            <w:vAlign w:val="bottom"/>
            <w:tcBorders>
              <w:bottom w:val="single" w:sz="8" w:color="A6A6A6"/>
            </w:tcBorders>
          </w:tcPr>
          <w:p>
            <w:pPr>
              <w:spacing w:after="0"/>
              <w:rPr>
                <w:sz w:val="13"/>
                <w:szCs w:val="13"/>
                <w:color w:val="auto"/>
              </w:rPr>
            </w:pPr>
          </w:p>
        </w:tc>
        <w:tc>
          <w:tcPr>
            <w:tcW w:w="120" w:type="dxa"/>
            <w:vAlign w:val="bottom"/>
            <w:tcBorders>
              <w:bottom w:val="single" w:sz="8" w:color="A6A6A6"/>
            </w:tcBorders>
          </w:tcPr>
          <w:p>
            <w:pPr>
              <w:spacing w:after="0"/>
              <w:rPr>
                <w:sz w:val="13"/>
                <w:szCs w:val="13"/>
                <w:color w:val="auto"/>
              </w:rPr>
            </w:pPr>
          </w:p>
        </w:tc>
        <w:tc>
          <w:tcPr>
            <w:tcW w:w="560" w:type="dxa"/>
            <w:vAlign w:val="bottom"/>
            <w:tcBorders>
              <w:bottom w:val="single" w:sz="8" w:color="A6A6A6"/>
            </w:tcBorders>
          </w:tcPr>
          <w:p>
            <w:pPr>
              <w:spacing w:after="0"/>
              <w:rPr>
                <w:sz w:val="13"/>
                <w:szCs w:val="13"/>
                <w:color w:val="auto"/>
              </w:rPr>
            </w:pPr>
          </w:p>
        </w:tc>
        <w:tc>
          <w:tcPr>
            <w:tcW w:w="580" w:type="dxa"/>
            <w:vAlign w:val="bottom"/>
            <w:tcBorders>
              <w:bottom w:val="single" w:sz="8" w:color="A6A6A6"/>
            </w:tcBorders>
          </w:tcPr>
          <w:p>
            <w:pPr>
              <w:spacing w:after="0"/>
              <w:rPr>
                <w:sz w:val="13"/>
                <w:szCs w:val="13"/>
                <w:color w:val="auto"/>
              </w:rPr>
            </w:pPr>
          </w:p>
        </w:tc>
        <w:tc>
          <w:tcPr>
            <w:tcW w:w="120" w:type="dxa"/>
            <w:vAlign w:val="bottom"/>
          </w:tcPr>
          <w:p>
            <w:pPr>
              <w:spacing w:after="0"/>
              <w:rPr>
                <w:sz w:val="13"/>
                <w:szCs w:val="13"/>
                <w:color w:val="auto"/>
              </w:rPr>
            </w:pPr>
          </w:p>
        </w:tc>
      </w:tr>
      <w:tr>
        <w:trPr>
          <w:trHeight w:val="115"/>
        </w:trPr>
        <w:tc>
          <w:tcPr>
            <w:tcW w:w="5200" w:type="dxa"/>
            <w:vAlign w:val="bottom"/>
          </w:tcPr>
          <w:p>
            <w:pPr>
              <w:spacing w:after="0" w:line="115" w:lineRule="exact"/>
              <w:rPr>
                <w:sz w:val="20"/>
                <w:szCs w:val="20"/>
                <w:color w:val="auto"/>
              </w:rPr>
            </w:pPr>
            <w:r>
              <w:rPr>
                <w:rFonts w:ascii="Arial" w:cs="Arial" w:eastAsia="Arial" w:hAnsi="Arial"/>
                <w:sz w:val="11"/>
                <w:szCs w:val="11"/>
                <w:b w:val="1"/>
                <w:bCs w:val="1"/>
                <w:color w:val="auto"/>
              </w:rPr>
              <w:t>Weighted-Average Fair Value of Options Granted</w:t>
            </w: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42"/>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During the Year</w:t>
            </w:r>
          </w:p>
        </w:tc>
        <w:tc>
          <w:tcPr>
            <w:tcW w:w="1000" w:type="dxa"/>
            <w:vAlign w:val="bottom"/>
            <w:tcBorders>
              <w:bottom w:val="single" w:sz="8" w:color="A6A6A6"/>
            </w:tcBorders>
          </w:tcPr>
          <w:p>
            <w:pPr>
              <w:spacing w:after="0"/>
              <w:rPr>
                <w:sz w:val="12"/>
                <w:szCs w:val="12"/>
                <w:color w:val="auto"/>
              </w:rPr>
            </w:pPr>
          </w:p>
        </w:tc>
        <w:tc>
          <w:tcPr>
            <w:tcW w:w="100" w:type="dxa"/>
            <w:vAlign w:val="bottom"/>
            <w:tcBorders>
              <w:bottom w:val="single" w:sz="8" w:color="A6A6A6"/>
            </w:tcBorders>
          </w:tcPr>
          <w:p>
            <w:pPr>
              <w:spacing w:after="0"/>
              <w:rPr>
                <w:sz w:val="12"/>
                <w:szCs w:val="12"/>
                <w:color w:val="auto"/>
              </w:rPr>
            </w:pPr>
          </w:p>
        </w:tc>
        <w:tc>
          <w:tcPr>
            <w:tcW w:w="1260" w:type="dxa"/>
            <w:vAlign w:val="bottom"/>
            <w:tcBorders>
              <w:bottom w:val="single" w:sz="8" w:color="A6A6A6"/>
            </w:tcBorders>
          </w:tcPr>
          <w:p>
            <w:pPr>
              <w:spacing w:after="0"/>
              <w:rPr>
                <w:sz w:val="12"/>
                <w:szCs w:val="12"/>
                <w:color w:val="auto"/>
              </w:rPr>
            </w:pPr>
          </w:p>
        </w:tc>
        <w:tc>
          <w:tcPr>
            <w:tcW w:w="180" w:type="dxa"/>
            <w:vAlign w:val="bottom"/>
            <w:tcBorders>
              <w:bottom w:val="single" w:sz="8" w:color="A6A6A6"/>
            </w:tcBorders>
          </w:tcPr>
          <w:p>
            <w:pPr>
              <w:spacing w:after="0"/>
              <w:rPr>
                <w:sz w:val="12"/>
                <w:szCs w:val="12"/>
                <w:color w:val="auto"/>
              </w:rPr>
            </w:pPr>
          </w:p>
        </w:tc>
        <w:tc>
          <w:tcPr>
            <w:tcW w:w="320" w:type="dxa"/>
            <w:vAlign w:val="bottom"/>
            <w:tcBorders>
              <w:bottom w:val="single" w:sz="8" w:color="A6A6A6"/>
            </w:tcBorders>
          </w:tcPr>
          <w:p>
            <w:pPr>
              <w:jc w:val="right"/>
              <w:ind w:right="21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6A6A6"/>
            </w:tcBorders>
            <w:gridSpan w:val="3"/>
          </w:tcPr>
          <w:p>
            <w:pPr>
              <w:jc w:val="right"/>
              <w:spacing w:after="0"/>
              <w:rPr>
                <w:sz w:val="20"/>
                <w:szCs w:val="20"/>
                <w:color w:val="auto"/>
              </w:rPr>
            </w:pPr>
            <w:r>
              <w:rPr>
                <w:rFonts w:ascii="Arial" w:cs="Arial" w:eastAsia="Arial" w:hAnsi="Arial"/>
                <w:sz w:val="11"/>
                <w:szCs w:val="11"/>
                <w:color w:val="auto"/>
              </w:rPr>
              <w:t>48.92</w:t>
            </w:r>
          </w:p>
        </w:tc>
        <w:tc>
          <w:tcPr>
            <w:tcW w:w="100" w:type="dxa"/>
            <w:vAlign w:val="bottom"/>
          </w:tcPr>
          <w:p>
            <w:pPr>
              <w:spacing w:after="0"/>
              <w:rPr>
                <w:sz w:val="12"/>
                <w:szCs w:val="12"/>
                <w:color w:val="auto"/>
              </w:rPr>
            </w:pPr>
          </w:p>
        </w:tc>
        <w:tc>
          <w:tcPr>
            <w:tcW w:w="500" w:type="dxa"/>
            <w:vAlign w:val="bottom"/>
            <w:tcBorders>
              <w:bottom w:val="single" w:sz="8" w:color="A6A6A6"/>
            </w:tcBorders>
          </w:tcPr>
          <w:p>
            <w:pPr>
              <w:spacing w:after="0"/>
              <w:rPr>
                <w:sz w:val="12"/>
                <w:szCs w:val="12"/>
                <w:color w:val="auto"/>
              </w:rPr>
            </w:pPr>
          </w:p>
        </w:tc>
        <w:tc>
          <w:tcPr>
            <w:tcW w:w="120" w:type="dxa"/>
            <w:vAlign w:val="bottom"/>
            <w:tcBorders>
              <w:bottom w:val="single" w:sz="8" w:color="A6A6A6"/>
            </w:tcBorders>
          </w:tcPr>
          <w:p>
            <w:pPr>
              <w:spacing w:after="0"/>
              <w:rPr>
                <w:sz w:val="12"/>
                <w:szCs w:val="12"/>
                <w:color w:val="auto"/>
              </w:rPr>
            </w:pPr>
          </w:p>
        </w:tc>
        <w:tc>
          <w:tcPr>
            <w:tcW w:w="560" w:type="dxa"/>
            <w:vAlign w:val="bottom"/>
            <w:tcBorders>
              <w:bottom w:val="single" w:sz="8" w:color="A6A6A6"/>
            </w:tcBorders>
          </w:tcPr>
          <w:p>
            <w:pPr>
              <w:spacing w:after="0"/>
              <w:rPr>
                <w:sz w:val="12"/>
                <w:szCs w:val="12"/>
                <w:color w:val="auto"/>
              </w:rPr>
            </w:pPr>
          </w:p>
        </w:tc>
        <w:tc>
          <w:tcPr>
            <w:tcW w:w="580" w:type="dxa"/>
            <w:vAlign w:val="bottom"/>
            <w:tcBorders>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297"/>
        </w:trPr>
        <w:tc>
          <w:tcPr>
            <w:tcW w:w="5200" w:type="dxa"/>
            <w:vAlign w:val="bottom"/>
          </w:tcPr>
          <w:p>
            <w:pPr>
              <w:spacing w:after="0"/>
              <w:rPr>
                <w:sz w:val="20"/>
                <w:szCs w:val="20"/>
                <w:color w:val="auto"/>
              </w:rPr>
            </w:pPr>
            <w:r>
              <w:rPr>
                <w:rFonts w:ascii="Arial" w:cs="Arial" w:eastAsia="Arial" w:hAnsi="Arial"/>
                <w:sz w:val="12"/>
                <w:szCs w:val="12"/>
                <w:color w:val="auto"/>
              </w:rPr>
              <w:t>The following table summarizes information about stock options outstanding at June 30, 2021: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5200" w:type="dxa"/>
            <w:vAlign w:val="bottom"/>
          </w:tcPr>
          <w:p>
            <w:pPr>
              <w:spacing w:after="0"/>
              <w:rPr>
                <w:sz w:val="13"/>
                <w:szCs w:val="13"/>
                <w:color w:val="auto"/>
              </w:rPr>
            </w:pPr>
          </w:p>
        </w:tc>
        <w:tc>
          <w:tcPr>
            <w:tcW w:w="10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260" w:type="dxa"/>
            <w:vAlign w:val="bottom"/>
            <w:shd w:val="clear" w:color="auto" w:fill="004483"/>
          </w:tcPr>
          <w:p>
            <w:pPr>
              <w:jc w:val="right"/>
              <w:ind w:right="193"/>
              <w:spacing w:after="0"/>
              <w:rPr>
                <w:sz w:val="20"/>
                <w:szCs w:val="20"/>
                <w:color w:val="auto"/>
              </w:rPr>
            </w:pPr>
            <w:r>
              <w:rPr>
                <w:rFonts w:ascii="Arial" w:cs="Arial" w:eastAsia="Arial" w:hAnsi="Arial"/>
                <w:sz w:val="8"/>
                <w:szCs w:val="8"/>
                <w:b w:val="1"/>
                <w:bCs w:val="1"/>
                <w:color w:val="FFFFFF"/>
              </w:rPr>
              <w:t>Options Outstanding</w:t>
            </w:r>
          </w:p>
        </w:tc>
        <w:tc>
          <w:tcPr>
            <w:tcW w:w="180" w:type="dxa"/>
            <w:vAlign w:val="bottom"/>
            <w:shd w:val="clear" w:color="auto" w:fill="004483"/>
          </w:tcPr>
          <w:p>
            <w:pPr>
              <w:spacing w:after="0"/>
              <w:rPr>
                <w:sz w:val="13"/>
                <w:szCs w:val="13"/>
                <w:color w:val="auto"/>
              </w:rPr>
            </w:pPr>
          </w:p>
        </w:tc>
        <w:tc>
          <w:tcPr>
            <w:tcW w:w="320" w:type="dxa"/>
            <w:vAlign w:val="bottom"/>
            <w:shd w:val="clear" w:color="auto" w:fill="004483"/>
          </w:tcPr>
          <w:p>
            <w:pPr>
              <w:spacing w:after="0"/>
              <w:rPr>
                <w:sz w:val="13"/>
                <w:szCs w:val="13"/>
                <w:color w:val="auto"/>
              </w:rPr>
            </w:pPr>
          </w:p>
        </w:tc>
        <w:tc>
          <w:tcPr>
            <w:tcW w:w="740" w:type="dxa"/>
            <w:vAlign w:val="bottom"/>
            <w:shd w:val="clear" w:color="auto" w:fill="004483"/>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shd w:val="clear" w:color="auto" w:fill="004483"/>
          </w:tcPr>
          <w:p>
            <w:pPr>
              <w:spacing w:after="0"/>
              <w:rPr>
                <w:sz w:val="13"/>
                <w:szCs w:val="13"/>
                <w:color w:val="auto"/>
              </w:rPr>
            </w:pPr>
          </w:p>
        </w:tc>
        <w:tc>
          <w:tcPr>
            <w:tcW w:w="100" w:type="dxa"/>
            <w:vAlign w:val="bottom"/>
            <w:shd w:val="clear" w:color="auto" w:fill="004483"/>
          </w:tcPr>
          <w:p>
            <w:pPr>
              <w:spacing w:after="0"/>
              <w:rPr>
                <w:sz w:val="13"/>
                <w:szCs w:val="13"/>
                <w:color w:val="auto"/>
              </w:rPr>
            </w:pPr>
          </w:p>
        </w:tc>
        <w:tc>
          <w:tcPr>
            <w:tcW w:w="1180" w:type="dxa"/>
            <w:vAlign w:val="bottom"/>
            <w:gridSpan w:val="3"/>
            <w:shd w:val="clear" w:color="auto" w:fill="004483"/>
          </w:tcPr>
          <w:p>
            <w:pPr>
              <w:jc w:val="right"/>
              <w:ind w:right="146"/>
              <w:spacing w:after="0"/>
              <w:rPr>
                <w:sz w:val="20"/>
                <w:szCs w:val="20"/>
                <w:color w:val="auto"/>
              </w:rPr>
            </w:pPr>
            <w:r>
              <w:rPr>
                <w:rFonts w:ascii="Arial" w:cs="Arial" w:eastAsia="Arial" w:hAnsi="Arial"/>
                <w:sz w:val="8"/>
                <w:szCs w:val="8"/>
                <w:b w:val="1"/>
                <w:bCs w:val="1"/>
                <w:color w:val="FFFFFF"/>
              </w:rPr>
              <w:t>Options Exercisable</w:t>
            </w:r>
          </w:p>
        </w:tc>
        <w:tc>
          <w:tcPr>
            <w:tcW w:w="5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88"/>
        </w:trPr>
        <w:tc>
          <w:tcPr>
            <w:tcW w:w="5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jc w:val="right"/>
              <w:ind w:right="73"/>
              <w:spacing w:after="0" w:line="89" w:lineRule="exact"/>
              <w:rPr>
                <w:sz w:val="20"/>
                <w:szCs w:val="20"/>
                <w:color w:val="auto"/>
              </w:rPr>
            </w:pPr>
            <w:r>
              <w:rPr>
                <w:rFonts w:ascii="Arial" w:cs="Arial" w:eastAsia="Arial" w:hAnsi="Arial"/>
                <w:sz w:val="8"/>
                <w:szCs w:val="8"/>
                <w:b w:val="1"/>
                <w:bCs w:val="1"/>
                <w:color w:val="auto"/>
              </w:rPr>
              <w:t>Weighted-</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5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jc w:val="right"/>
              <w:ind w:right="73"/>
              <w:spacing w:after="0" w:line="90" w:lineRule="exact"/>
              <w:rPr>
                <w:sz w:val="20"/>
                <w:szCs w:val="20"/>
                <w:color w:val="auto"/>
              </w:rPr>
            </w:pPr>
            <w:r>
              <w:rPr>
                <w:rFonts w:ascii="Arial" w:cs="Arial" w:eastAsia="Arial" w:hAnsi="Arial"/>
                <w:sz w:val="8"/>
                <w:szCs w:val="8"/>
                <w:b w:val="1"/>
                <w:bCs w:val="1"/>
                <w:color w:val="auto"/>
              </w:rPr>
              <w:t>Average</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gridSpan w:val="4"/>
          </w:tcPr>
          <w:p>
            <w:pPr>
              <w:jc w:val="right"/>
              <w:ind w:right="740"/>
              <w:spacing w:after="0" w:line="90" w:lineRule="exact"/>
              <w:rPr>
                <w:sz w:val="20"/>
                <w:szCs w:val="20"/>
                <w:color w:val="auto"/>
              </w:rPr>
            </w:pPr>
            <w:r>
              <w:rPr>
                <w:rFonts w:ascii="Arial" w:cs="Arial" w:eastAsia="Arial" w:hAnsi="Arial"/>
                <w:sz w:val="8"/>
                <w:szCs w:val="8"/>
                <w:b w:val="1"/>
                <w:bCs w:val="1"/>
                <w:color w:val="auto"/>
              </w:rPr>
              <w:t>Weighted-</w:t>
            </w: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Weighted-</w:t>
            </w:r>
          </w:p>
        </w:tc>
        <w:tc>
          <w:tcPr>
            <w:tcW w:w="120" w:type="dxa"/>
            <w:vAlign w:val="bottom"/>
          </w:tcPr>
          <w:p>
            <w:pPr>
              <w:spacing w:after="0"/>
              <w:rPr>
                <w:sz w:val="7"/>
                <w:szCs w:val="7"/>
                <w:color w:val="auto"/>
              </w:rPr>
            </w:pPr>
          </w:p>
        </w:tc>
      </w:tr>
      <w:tr>
        <w:trPr>
          <w:trHeight w:val="90"/>
        </w:trPr>
        <w:tc>
          <w:tcPr>
            <w:tcW w:w="5200" w:type="dxa"/>
            <w:vAlign w:val="bottom"/>
          </w:tcPr>
          <w:p>
            <w:pPr>
              <w:spacing w:after="0"/>
              <w:rPr>
                <w:sz w:val="7"/>
                <w:szCs w:val="7"/>
                <w:color w:val="auto"/>
              </w:rPr>
            </w:pPr>
          </w:p>
        </w:tc>
        <w:tc>
          <w:tcPr>
            <w:tcW w:w="1100" w:type="dxa"/>
            <w:vAlign w:val="bottom"/>
            <w:gridSpan w:val="2"/>
          </w:tcPr>
          <w:p>
            <w:pPr>
              <w:jc w:val="right"/>
              <w:ind w:right="100"/>
              <w:spacing w:after="0" w:line="90" w:lineRule="exact"/>
              <w:rPr>
                <w:sz w:val="20"/>
                <w:szCs w:val="20"/>
                <w:color w:val="auto"/>
              </w:rPr>
            </w:pPr>
            <w:r>
              <w:rPr>
                <w:rFonts w:ascii="Arial" w:cs="Arial" w:eastAsia="Arial" w:hAnsi="Arial"/>
                <w:sz w:val="8"/>
                <w:szCs w:val="8"/>
                <w:b w:val="1"/>
                <w:bCs w:val="1"/>
                <w:color w:val="auto"/>
              </w:rPr>
              <w:t>Number of</w:t>
            </w:r>
          </w:p>
        </w:tc>
        <w:tc>
          <w:tcPr>
            <w:tcW w:w="1260" w:type="dxa"/>
            <w:vAlign w:val="bottom"/>
          </w:tcPr>
          <w:p>
            <w:pPr>
              <w:jc w:val="right"/>
              <w:ind w:right="73"/>
              <w:spacing w:after="0" w:line="90" w:lineRule="exact"/>
              <w:rPr>
                <w:sz w:val="20"/>
                <w:szCs w:val="20"/>
                <w:color w:val="auto"/>
              </w:rPr>
            </w:pPr>
            <w:r>
              <w:rPr>
                <w:rFonts w:ascii="Arial" w:cs="Arial" w:eastAsia="Arial" w:hAnsi="Arial"/>
                <w:sz w:val="8"/>
                <w:szCs w:val="8"/>
                <w:b w:val="1"/>
                <w:bCs w:val="1"/>
                <w:color w:val="auto"/>
              </w:rPr>
              <w:t>Remaining</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gridSpan w:val="4"/>
          </w:tcPr>
          <w:p>
            <w:pPr>
              <w:jc w:val="right"/>
              <w:ind w:right="740"/>
              <w:spacing w:after="0" w:line="90" w:lineRule="exact"/>
              <w:rPr>
                <w:sz w:val="20"/>
                <w:szCs w:val="20"/>
                <w:color w:val="auto"/>
              </w:rPr>
            </w:pPr>
            <w:r>
              <w:rPr>
                <w:rFonts w:ascii="Arial" w:cs="Arial" w:eastAsia="Arial" w:hAnsi="Arial"/>
                <w:sz w:val="8"/>
                <w:szCs w:val="8"/>
                <w:b w:val="1"/>
                <w:bCs w:val="1"/>
                <w:color w:val="auto"/>
              </w:rPr>
              <w:t>Average</w:t>
            </w:r>
          </w:p>
        </w:tc>
        <w:tc>
          <w:tcPr>
            <w:tcW w:w="62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Number of</w:t>
            </w:r>
          </w:p>
        </w:tc>
        <w:tc>
          <w:tcPr>
            <w:tcW w:w="56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Average</w:t>
            </w:r>
          </w:p>
        </w:tc>
        <w:tc>
          <w:tcPr>
            <w:tcW w:w="120" w:type="dxa"/>
            <w:vAlign w:val="bottom"/>
          </w:tcPr>
          <w:p>
            <w:pPr>
              <w:spacing w:after="0"/>
              <w:rPr>
                <w:sz w:val="7"/>
                <w:szCs w:val="7"/>
                <w:color w:val="auto"/>
              </w:rPr>
            </w:pPr>
          </w:p>
        </w:tc>
      </w:tr>
      <w:tr>
        <w:trPr>
          <w:trHeight w:val="90"/>
        </w:trPr>
        <w:tc>
          <w:tcPr>
            <w:tcW w:w="5200" w:type="dxa"/>
            <w:vAlign w:val="bottom"/>
          </w:tcPr>
          <w:p>
            <w:pPr>
              <w:spacing w:after="0"/>
              <w:rPr>
                <w:sz w:val="7"/>
                <w:szCs w:val="7"/>
                <w:color w:val="auto"/>
              </w:rPr>
            </w:pPr>
          </w:p>
        </w:tc>
        <w:tc>
          <w:tcPr>
            <w:tcW w:w="1100" w:type="dxa"/>
            <w:vAlign w:val="bottom"/>
            <w:gridSpan w:val="2"/>
          </w:tcPr>
          <w:p>
            <w:pPr>
              <w:jc w:val="right"/>
              <w:ind w:right="100"/>
              <w:spacing w:after="0" w:line="90" w:lineRule="exact"/>
              <w:rPr>
                <w:sz w:val="20"/>
                <w:szCs w:val="20"/>
                <w:color w:val="auto"/>
              </w:rPr>
            </w:pPr>
            <w:r>
              <w:rPr>
                <w:rFonts w:ascii="Arial" w:cs="Arial" w:eastAsia="Arial" w:hAnsi="Arial"/>
                <w:sz w:val="8"/>
                <w:szCs w:val="8"/>
                <w:b w:val="1"/>
                <w:bCs w:val="1"/>
                <w:color w:val="auto"/>
              </w:rPr>
              <w:t>Shares</w:t>
            </w:r>
          </w:p>
        </w:tc>
        <w:tc>
          <w:tcPr>
            <w:tcW w:w="1260" w:type="dxa"/>
            <w:vAlign w:val="bottom"/>
          </w:tcPr>
          <w:p>
            <w:pPr>
              <w:jc w:val="right"/>
              <w:ind w:right="73"/>
              <w:spacing w:after="0" w:line="90" w:lineRule="exact"/>
              <w:rPr>
                <w:sz w:val="20"/>
                <w:szCs w:val="20"/>
                <w:color w:val="auto"/>
              </w:rPr>
            </w:pPr>
            <w:r>
              <w:rPr>
                <w:rFonts w:ascii="Arial" w:cs="Arial" w:eastAsia="Arial" w:hAnsi="Arial"/>
                <w:sz w:val="8"/>
                <w:szCs w:val="8"/>
                <w:b w:val="1"/>
                <w:bCs w:val="1"/>
                <w:color w:val="auto"/>
              </w:rPr>
              <w:t>Contractual</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60" w:type="dxa"/>
            <w:vAlign w:val="bottom"/>
            <w:gridSpan w:val="4"/>
          </w:tcPr>
          <w:p>
            <w:pPr>
              <w:jc w:val="right"/>
              <w:ind w:right="740"/>
              <w:spacing w:after="0" w:line="90" w:lineRule="exact"/>
              <w:rPr>
                <w:sz w:val="20"/>
                <w:szCs w:val="20"/>
                <w:color w:val="auto"/>
              </w:rPr>
            </w:pPr>
            <w:r>
              <w:rPr>
                <w:rFonts w:ascii="Arial" w:cs="Arial" w:eastAsia="Arial" w:hAnsi="Arial"/>
                <w:sz w:val="8"/>
                <w:szCs w:val="8"/>
                <w:b w:val="1"/>
                <w:bCs w:val="1"/>
                <w:color w:val="auto"/>
              </w:rPr>
              <w:t>Exercise</w:t>
            </w:r>
          </w:p>
        </w:tc>
        <w:tc>
          <w:tcPr>
            <w:tcW w:w="620" w:type="dxa"/>
            <w:vAlign w:val="bottom"/>
            <w:gridSpan w:val="2"/>
          </w:tcPr>
          <w:p>
            <w:pPr>
              <w:jc w:val="right"/>
              <w:ind w:right="120"/>
              <w:spacing w:after="0" w:line="90" w:lineRule="exact"/>
              <w:rPr>
                <w:sz w:val="20"/>
                <w:szCs w:val="20"/>
                <w:color w:val="auto"/>
              </w:rPr>
            </w:pPr>
            <w:r>
              <w:rPr>
                <w:rFonts w:ascii="Arial" w:cs="Arial" w:eastAsia="Arial" w:hAnsi="Arial"/>
                <w:sz w:val="8"/>
                <w:szCs w:val="8"/>
                <w:b w:val="1"/>
                <w:bCs w:val="1"/>
                <w:color w:val="auto"/>
              </w:rPr>
              <w:t>Shares</w:t>
            </w:r>
          </w:p>
        </w:tc>
        <w:tc>
          <w:tcPr>
            <w:tcW w:w="560" w:type="dxa"/>
            <w:vAlign w:val="bottom"/>
          </w:tcPr>
          <w:p>
            <w:pPr>
              <w:spacing w:after="0"/>
              <w:rPr>
                <w:sz w:val="7"/>
                <w:szCs w:val="7"/>
                <w:color w:val="auto"/>
              </w:rPr>
            </w:pPr>
          </w:p>
        </w:tc>
        <w:tc>
          <w:tcPr>
            <w:tcW w:w="58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Exercise</w:t>
            </w:r>
          </w:p>
        </w:tc>
        <w:tc>
          <w:tcPr>
            <w:tcW w:w="120" w:type="dxa"/>
            <w:vAlign w:val="bottom"/>
          </w:tcPr>
          <w:p>
            <w:pPr>
              <w:spacing w:after="0"/>
              <w:rPr>
                <w:sz w:val="7"/>
                <w:szCs w:val="7"/>
                <w:color w:val="auto"/>
              </w:rPr>
            </w:pPr>
          </w:p>
        </w:tc>
      </w:tr>
      <w:tr>
        <w:trPr>
          <w:trHeight w:val="101"/>
        </w:trPr>
        <w:tc>
          <w:tcPr>
            <w:tcW w:w="5200" w:type="dxa"/>
            <w:vAlign w:val="bottom"/>
          </w:tcPr>
          <w:p>
            <w:pPr>
              <w:spacing w:after="0"/>
              <w:rPr>
                <w:sz w:val="20"/>
                <w:szCs w:val="20"/>
                <w:color w:val="auto"/>
              </w:rPr>
            </w:pPr>
            <w:r>
              <w:rPr>
                <w:rFonts w:ascii="Arial" w:cs="Arial" w:eastAsia="Arial" w:hAnsi="Arial"/>
                <w:sz w:val="8"/>
                <w:szCs w:val="8"/>
                <w:b w:val="1"/>
                <w:bCs w:val="1"/>
                <w:color w:val="auto"/>
              </w:rPr>
              <w:t>Range of Exercise Prices</w:t>
            </w:r>
          </w:p>
        </w:tc>
        <w:tc>
          <w:tcPr>
            <w:tcW w:w="1100" w:type="dxa"/>
            <w:vAlign w:val="bottom"/>
            <w:gridSpan w:val="2"/>
          </w:tcPr>
          <w:p>
            <w:pPr>
              <w:jc w:val="right"/>
              <w:ind w:right="100"/>
              <w:spacing w:after="0"/>
              <w:rPr>
                <w:sz w:val="20"/>
                <w:szCs w:val="20"/>
                <w:color w:val="auto"/>
              </w:rPr>
            </w:pPr>
            <w:r>
              <w:rPr>
                <w:rFonts w:ascii="Arial" w:cs="Arial" w:eastAsia="Arial" w:hAnsi="Arial"/>
                <w:sz w:val="8"/>
                <w:szCs w:val="8"/>
                <w:b w:val="1"/>
                <w:bCs w:val="1"/>
                <w:color w:val="auto"/>
              </w:rPr>
              <w:t>Outstanding</w:t>
            </w:r>
          </w:p>
        </w:tc>
        <w:tc>
          <w:tcPr>
            <w:tcW w:w="1260" w:type="dxa"/>
            <w:vAlign w:val="bottom"/>
          </w:tcPr>
          <w:p>
            <w:pPr>
              <w:jc w:val="right"/>
              <w:ind w:right="73"/>
              <w:spacing w:after="0"/>
              <w:rPr>
                <w:sz w:val="20"/>
                <w:szCs w:val="20"/>
                <w:color w:val="auto"/>
              </w:rPr>
            </w:pPr>
            <w:r>
              <w:rPr>
                <w:rFonts w:ascii="Arial" w:cs="Arial" w:eastAsia="Arial" w:hAnsi="Arial"/>
                <w:sz w:val="8"/>
                <w:szCs w:val="8"/>
                <w:b w:val="1"/>
                <w:bCs w:val="1"/>
                <w:color w:val="auto"/>
              </w:rPr>
              <w:t>Life (in years)</w:t>
            </w: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gridSpan w:val="4"/>
          </w:tcPr>
          <w:p>
            <w:pPr>
              <w:jc w:val="right"/>
              <w:ind w:right="740"/>
              <w:spacing w:after="0"/>
              <w:rPr>
                <w:sz w:val="20"/>
                <w:szCs w:val="20"/>
                <w:color w:val="auto"/>
              </w:rPr>
            </w:pPr>
            <w:r>
              <w:rPr>
                <w:rFonts w:ascii="Arial" w:cs="Arial" w:eastAsia="Arial" w:hAnsi="Arial"/>
                <w:sz w:val="8"/>
                <w:szCs w:val="8"/>
                <w:b w:val="1"/>
                <w:bCs w:val="1"/>
                <w:color w:val="auto"/>
              </w:rPr>
              <w:t>Price</w:t>
            </w:r>
          </w:p>
        </w:tc>
        <w:tc>
          <w:tcPr>
            <w:tcW w:w="62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Outstanding</w:t>
            </w:r>
          </w:p>
        </w:tc>
        <w:tc>
          <w:tcPr>
            <w:tcW w:w="56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Price</w:t>
            </w:r>
          </w:p>
        </w:tc>
        <w:tc>
          <w:tcPr>
            <w:tcW w:w="120" w:type="dxa"/>
            <w:vAlign w:val="bottom"/>
          </w:tcPr>
          <w:p>
            <w:pPr>
              <w:spacing w:after="0"/>
              <w:rPr>
                <w:sz w:val="8"/>
                <w:szCs w:val="8"/>
                <w:color w:val="auto"/>
              </w:rPr>
            </w:pPr>
          </w:p>
        </w:tc>
      </w:tr>
      <w:tr>
        <w:trPr>
          <w:trHeight w:val="131"/>
        </w:trPr>
        <w:tc>
          <w:tcPr>
            <w:tcW w:w="520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color w:val="auto"/>
              </w:rPr>
              <w:t>$33.69 - $37.34</w:t>
            </w:r>
          </w:p>
        </w:tc>
        <w:tc>
          <w:tcPr>
            <w:tcW w:w="10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12,373</w:t>
            </w:r>
          </w:p>
        </w:tc>
        <w:tc>
          <w:tcPr>
            <w:tcW w:w="100" w:type="dxa"/>
            <w:vAlign w:val="bottom"/>
          </w:tcPr>
          <w:p>
            <w:pPr>
              <w:spacing w:after="0"/>
              <w:rPr>
                <w:sz w:val="11"/>
                <w:szCs w:val="11"/>
                <w:color w:val="auto"/>
              </w:rPr>
            </w:pPr>
          </w:p>
        </w:tc>
        <w:tc>
          <w:tcPr>
            <w:tcW w:w="1260" w:type="dxa"/>
            <w:vAlign w:val="bottom"/>
            <w:tcBorders>
              <w:top w:val="single" w:sz="8" w:color="004483"/>
              <w:bottom w:val="single" w:sz="8" w:color="A6A6A6"/>
            </w:tcBorders>
          </w:tcPr>
          <w:p>
            <w:pPr>
              <w:jc w:val="right"/>
              <w:ind w:right="73"/>
              <w:spacing w:after="0"/>
              <w:rPr>
                <w:sz w:val="20"/>
                <w:szCs w:val="20"/>
                <w:color w:val="auto"/>
              </w:rPr>
            </w:pPr>
            <w:r>
              <w:rPr>
                <w:rFonts w:ascii="Arial" w:cs="Arial" w:eastAsia="Arial" w:hAnsi="Arial"/>
                <w:sz w:val="11"/>
                <w:szCs w:val="11"/>
                <w:color w:val="auto"/>
              </w:rPr>
              <w:t>0.96</w:t>
            </w:r>
          </w:p>
        </w:tc>
        <w:tc>
          <w:tcPr>
            <w:tcW w:w="1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top w:val="single" w:sz="8" w:color="004483"/>
              <w:bottom w:val="single" w:sz="8" w:color="A6A6A6"/>
            </w:tcBorders>
          </w:tcPr>
          <w:p>
            <w:pPr>
              <w:spacing w:after="0"/>
              <w:rPr>
                <w:sz w:val="11"/>
                <w:szCs w:val="11"/>
                <w:color w:val="auto"/>
              </w:rPr>
            </w:pPr>
          </w:p>
        </w:tc>
        <w:tc>
          <w:tcPr>
            <w:tcW w:w="740" w:type="dxa"/>
            <w:vAlign w:val="bottom"/>
            <w:tcBorders>
              <w:top w:val="single" w:sz="8" w:color="004483"/>
              <w:bottom w:val="single" w:sz="8" w:color="A6A6A6"/>
            </w:tcBorders>
          </w:tcPr>
          <w:p>
            <w:pPr>
              <w:jc w:val="right"/>
              <w:ind w:right="69"/>
              <w:spacing w:after="0"/>
              <w:rPr>
                <w:sz w:val="20"/>
                <w:szCs w:val="20"/>
                <w:color w:val="auto"/>
              </w:rPr>
            </w:pPr>
            <w:r>
              <w:rPr>
                <w:rFonts w:ascii="Arial" w:cs="Arial" w:eastAsia="Arial" w:hAnsi="Arial"/>
                <w:sz w:val="11"/>
                <w:szCs w:val="11"/>
                <w:color w:val="auto"/>
              </w:rPr>
              <w:t>34.52</w:t>
            </w:r>
          </w:p>
        </w:tc>
        <w:tc>
          <w:tcPr>
            <w:tcW w:w="120" w:type="dxa"/>
            <w:vAlign w:val="bottom"/>
            <w:tcBorders>
              <w:top w:val="single" w:sz="8" w:color="004483"/>
              <w:bottom w:val="single" w:sz="8" w:color="A6A6A6"/>
            </w:tcBorders>
          </w:tcPr>
          <w:p>
            <w:pPr>
              <w:spacing w:after="0"/>
              <w:rPr>
                <w:sz w:val="11"/>
                <w:szCs w:val="11"/>
                <w:color w:val="auto"/>
              </w:rPr>
            </w:pPr>
          </w:p>
        </w:tc>
        <w:tc>
          <w:tcPr>
            <w:tcW w:w="400" w:type="dxa"/>
            <w:vAlign w:val="bottom"/>
            <w:tcBorders>
              <w:top w:val="single" w:sz="8" w:color="004483"/>
              <w:bottom w:val="single" w:sz="8" w:color="A6A6A6"/>
            </w:tcBorders>
          </w:tcPr>
          <w:p>
            <w:pPr>
              <w:spacing w:after="0"/>
              <w:rPr>
                <w:sz w:val="11"/>
                <w:szCs w:val="11"/>
                <w:color w:val="auto"/>
              </w:rPr>
            </w:pPr>
          </w:p>
        </w:tc>
        <w:tc>
          <w:tcPr>
            <w:tcW w:w="100" w:type="dxa"/>
            <w:vAlign w:val="bottom"/>
            <w:tcBorders>
              <w:top w:val="single" w:sz="8" w:color="004483"/>
              <w:bottom w:val="single" w:sz="8" w:color="A6A6A6"/>
            </w:tcBorders>
          </w:tcPr>
          <w:p>
            <w:pPr>
              <w:spacing w:after="0"/>
              <w:rPr>
                <w:sz w:val="11"/>
                <w:szCs w:val="11"/>
                <w:color w:val="auto"/>
              </w:rPr>
            </w:pPr>
          </w:p>
        </w:tc>
        <w:tc>
          <w:tcPr>
            <w:tcW w:w="5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12,373</w:t>
            </w:r>
          </w:p>
        </w:tc>
        <w:tc>
          <w:tcPr>
            <w:tcW w:w="120" w:type="dxa"/>
            <w:vAlign w:val="bottom"/>
          </w:tcPr>
          <w:p>
            <w:pPr>
              <w:spacing w:after="0"/>
              <w:rPr>
                <w:sz w:val="11"/>
                <w:szCs w:val="11"/>
                <w:color w:val="auto"/>
              </w:rPr>
            </w:pPr>
          </w:p>
        </w:tc>
        <w:tc>
          <w:tcPr>
            <w:tcW w:w="560" w:type="dxa"/>
            <w:vAlign w:val="bottom"/>
            <w:tcBorders>
              <w:top w:val="single" w:sz="8" w:color="004483"/>
              <w:bottom w:val="single" w:sz="8" w:color="A6A6A6"/>
            </w:tcBorders>
          </w:tcPr>
          <w:p>
            <w:pPr>
              <w:jc w:val="right"/>
              <w:ind w:right="326"/>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34.52</w:t>
            </w:r>
          </w:p>
        </w:tc>
        <w:tc>
          <w:tcPr>
            <w:tcW w:w="120" w:type="dxa"/>
            <w:vAlign w:val="bottom"/>
            <w:tcBorders>
              <w:top w:val="single" w:sz="8" w:color="004483"/>
              <w:bottom w:val="single" w:sz="8" w:color="A6A6A6"/>
            </w:tcBorders>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$59.32 - $81.56</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218,382</w:t>
            </w:r>
          </w:p>
        </w:tc>
        <w:tc>
          <w:tcPr>
            <w:tcW w:w="100" w:type="dxa"/>
            <w:vAlign w:val="bottom"/>
          </w:tcPr>
          <w:p>
            <w:pPr>
              <w:spacing w:after="0"/>
              <w:rPr>
                <w:sz w:val="11"/>
                <w:szCs w:val="11"/>
                <w:color w:val="auto"/>
              </w:rPr>
            </w:pPr>
          </w:p>
        </w:tc>
        <w:tc>
          <w:tcPr>
            <w:tcW w:w="1260" w:type="dxa"/>
            <w:vAlign w:val="bottom"/>
            <w:tcBorders>
              <w:bottom w:val="single" w:sz="8" w:color="A6A6A6"/>
            </w:tcBorders>
          </w:tcPr>
          <w:p>
            <w:pPr>
              <w:jc w:val="right"/>
              <w:ind w:right="73"/>
              <w:spacing w:after="0"/>
              <w:rPr>
                <w:sz w:val="20"/>
                <w:szCs w:val="20"/>
                <w:color w:val="auto"/>
              </w:rPr>
            </w:pPr>
            <w:r>
              <w:rPr>
                <w:rFonts w:ascii="Arial" w:cs="Arial" w:eastAsia="Arial" w:hAnsi="Arial"/>
                <w:sz w:val="11"/>
                <w:szCs w:val="11"/>
                <w:color w:val="auto"/>
              </w:rPr>
              <w:t>7.56</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64.92</w:t>
            </w:r>
          </w:p>
        </w:tc>
        <w:tc>
          <w:tcPr>
            <w:tcW w:w="120" w:type="dxa"/>
            <w:vAlign w:val="bottom"/>
            <w:tcBorders>
              <w:bottom w:val="single" w:sz="8" w:color="A6A6A6"/>
            </w:tcBorders>
          </w:tcPr>
          <w:p>
            <w:pPr>
              <w:spacing w:after="0"/>
              <w:rPr>
                <w:sz w:val="11"/>
                <w:szCs w:val="11"/>
                <w:color w:val="auto"/>
              </w:rPr>
            </w:pPr>
          </w:p>
        </w:tc>
        <w:tc>
          <w:tcPr>
            <w:tcW w:w="40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88,160</w:t>
            </w:r>
          </w:p>
        </w:tc>
        <w:tc>
          <w:tcPr>
            <w:tcW w:w="120" w:type="dxa"/>
            <w:vAlign w:val="bottom"/>
          </w:tcPr>
          <w:p>
            <w:pPr>
              <w:spacing w:after="0"/>
              <w:rPr>
                <w:sz w:val="11"/>
                <w:szCs w:val="11"/>
                <w:color w:val="auto"/>
              </w:rPr>
            </w:pPr>
          </w:p>
        </w:tc>
        <w:tc>
          <w:tcPr>
            <w:tcW w:w="560" w:type="dxa"/>
            <w:vAlign w:val="bottom"/>
            <w:tcBorders>
              <w:bottom w:val="single" w:sz="8" w:color="A6A6A6"/>
            </w:tcBorders>
          </w:tcPr>
          <w:p>
            <w:pPr>
              <w:jc w:val="right"/>
              <w:ind w:right="3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70.97</w:t>
            </w:r>
          </w:p>
        </w:tc>
        <w:tc>
          <w:tcPr>
            <w:tcW w:w="120" w:type="dxa"/>
            <w:vAlign w:val="bottom"/>
            <w:tcBorders>
              <w:bottom w:val="single" w:sz="8" w:color="A6A6A6"/>
            </w:tcBorders>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$87.34 - $93.03</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200,296</w:t>
            </w:r>
          </w:p>
        </w:tc>
        <w:tc>
          <w:tcPr>
            <w:tcW w:w="100" w:type="dxa"/>
            <w:vAlign w:val="bottom"/>
          </w:tcPr>
          <w:p>
            <w:pPr>
              <w:spacing w:after="0"/>
              <w:rPr>
                <w:sz w:val="11"/>
                <w:szCs w:val="11"/>
                <w:color w:val="auto"/>
              </w:rPr>
            </w:pPr>
          </w:p>
        </w:tc>
        <w:tc>
          <w:tcPr>
            <w:tcW w:w="1260" w:type="dxa"/>
            <w:vAlign w:val="bottom"/>
            <w:tcBorders>
              <w:bottom w:val="single" w:sz="8" w:color="A6A6A6"/>
            </w:tcBorders>
          </w:tcPr>
          <w:p>
            <w:pPr>
              <w:jc w:val="right"/>
              <w:ind w:right="73"/>
              <w:spacing w:after="0"/>
              <w:rPr>
                <w:sz w:val="20"/>
                <w:szCs w:val="20"/>
                <w:color w:val="auto"/>
              </w:rPr>
            </w:pPr>
            <w:r>
              <w:rPr>
                <w:rFonts w:ascii="Arial" w:cs="Arial" w:eastAsia="Arial" w:hAnsi="Arial"/>
                <w:sz w:val="11"/>
                <w:szCs w:val="11"/>
                <w:color w:val="auto"/>
              </w:rPr>
              <w:t>6.63</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90.84</w:t>
            </w:r>
          </w:p>
        </w:tc>
        <w:tc>
          <w:tcPr>
            <w:tcW w:w="120" w:type="dxa"/>
            <w:vAlign w:val="bottom"/>
            <w:tcBorders>
              <w:bottom w:val="single" w:sz="8" w:color="A6A6A6"/>
            </w:tcBorders>
          </w:tcPr>
          <w:p>
            <w:pPr>
              <w:spacing w:after="0"/>
              <w:rPr>
                <w:sz w:val="11"/>
                <w:szCs w:val="11"/>
                <w:color w:val="auto"/>
              </w:rPr>
            </w:pPr>
          </w:p>
        </w:tc>
        <w:tc>
          <w:tcPr>
            <w:tcW w:w="400" w:type="dxa"/>
            <w:vAlign w:val="bottom"/>
            <w:tcBorders>
              <w:bottom w:val="single" w:sz="8" w:color="A6A6A6"/>
            </w:tcBorders>
          </w:tcPr>
          <w:p>
            <w:pPr>
              <w:spacing w:after="0"/>
              <w:rPr>
                <w:sz w:val="11"/>
                <w:szCs w:val="11"/>
                <w:color w:val="auto"/>
              </w:rPr>
            </w:pPr>
          </w:p>
        </w:tc>
        <w:tc>
          <w:tcPr>
            <w:tcW w:w="100" w:type="dxa"/>
            <w:vAlign w:val="bottom"/>
            <w:tcBorders>
              <w:bottom w:val="single" w:sz="8" w:color="A6A6A6"/>
            </w:tcBorders>
          </w:tcPr>
          <w:p>
            <w:pPr>
              <w:spacing w:after="0"/>
              <w:rPr>
                <w:sz w:val="11"/>
                <w:szCs w:val="11"/>
                <w:color w:val="auto"/>
              </w:rPr>
            </w:pPr>
          </w:p>
        </w:tc>
        <w:tc>
          <w:tcPr>
            <w:tcW w:w="5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116,623</w:t>
            </w:r>
          </w:p>
        </w:tc>
        <w:tc>
          <w:tcPr>
            <w:tcW w:w="120" w:type="dxa"/>
            <w:vAlign w:val="bottom"/>
          </w:tcPr>
          <w:p>
            <w:pPr>
              <w:spacing w:after="0"/>
              <w:rPr>
                <w:sz w:val="11"/>
                <w:szCs w:val="11"/>
                <w:color w:val="auto"/>
              </w:rPr>
            </w:pPr>
          </w:p>
        </w:tc>
        <w:tc>
          <w:tcPr>
            <w:tcW w:w="560" w:type="dxa"/>
            <w:vAlign w:val="bottom"/>
            <w:tcBorders>
              <w:bottom w:val="single" w:sz="8" w:color="A6A6A6"/>
            </w:tcBorders>
          </w:tcPr>
          <w:p>
            <w:pPr>
              <w:jc w:val="right"/>
              <w:ind w:right="3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90.31</w:t>
            </w:r>
          </w:p>
        </w:tc>
        <w:tc>
          <w:tcPr>
            <w:tcW w:w="120" w:type="dxa"/>
            <w:vAlign w:val="bottom"/>
            <w:tcBorders>
              <w:bottom w:val="single" w:sz="8" w:color="A6A6A6"/>
            </w:tcBorders>
          </w:tcPr>
          <w:p>
            <w:pPr>
              <w:spacing w:after="0"/>
              <w:rPr>
                <w:sz w:val="11"/>
                <w:szCs w:val="11"/>
                <w:color w:val="auto"/>
              </w:rPr>
            </w:pPr>
          </w:p>
        </w:tc>
      </w:tr>
      <w:tr>
        <w:trPr>
          <w:trHeight w:val="133"/>
        </w:trPr>
        <w:tc>
          <w:tcPr>
            <w:tcW w:w="520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$99.37 - $139.25</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174,072</w:t>
            </w:r>
          </w:p>
        </w:tc>
        <w:tc>
          <w:tcPr>
            <w:tcW w:w="100" w:type="dxa"/>
            <w:vAlign w:val="bottom"/>
          </w:tcPr>
          <w:p>
            <w:pPr>
              <w:spacing w:after="0"/>
              <w:rPr>
                <w:sz w:val="11"/>
                <w:szCs w:val="11"/>
                <w:color w:val="auto"/>
              </w:rPr>
            </w:pPr>
          </w:p>
        </w:tc>
        <w:tc>
          <w:tcPr>
            <w:tcW w:w="1260" w:type="dxa"/>
            <w:vAlign w:val="bottom"/>
            <w:tcBorders>
              <w:bottom w:val="single" w:sz="8" w:color="A6A6A6"/>
            </w:tcBorders>
          </w:tcPr>
          <w:p>
            <w:pPr>
              <w:jc w:val="right"/>
              <w:ind w:right="73"/>
              <w:spacing w:after="0"/>
              <w:rPr>
                <w:sz w:val="20"/>
                <w:szCs w:val="20"/>
                <w:color w:val="auto"/>
              </w:rPr>
            </w:pPr>
            <w:r>
              <w:rPr>
                <w:rFonts w:ascii="Arial" w:cs="Arial" w:eastAsia="Arial" w:hAnsi="Arial"/>
                <w:sz w:val="11"/>
                <w:szCs w:val="11"/>
                <w:color w:val="auto"/>
              </w:rPr>
              <w:t>6.22</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color w:val="auto"/>
              </w:rPr>
              <w:t>105.17</w:t>
            </w:r>
          </w:p>
        </w:tc>
        <w:tc>
          <w:tcPr>
            <w:tcW w:w="120" w:type="dxa"/>
            <w:vAlign w:val="bottom"/>
            <w:tcBorders>
              <w:bottom w:val="single" w:sz="8" w:color="A6A6A6"/>
            </w:tcBorders>
          </w:tcPr>
          <w:p>
            <w:pPr>
              <w:spacing w:after="0"/>
              <w:rPr>
                <w:sz w:val="11"/>
                <w:szCs w:val="11"/>
                <w:color w:val="auto"/>
              </w:rPr>
            </w:pPr>
          </w:p>
        </w:tc>
        <w:tc>
          <w:tcPr>
            <w:tcW w:w="400" w:type="dxa"/>
            <w:vAlign w:val="bottom"/>
            <w:tcBorders>
              <w:bottom w:val="single" w:sz="8" w:color="004483"/>
            </w:tcBorders>
          </w:tcPr>
          <w:p>
            <w:pPr>
              <w:spacing w:after="0"/>
              <w:rPr>
                <w:sz w:val="11"/>
                <w:szCs w:val="11"/>
                <w:color w:val="auto"/>
              </w:rPr>
            </w:pPr>
          </w:p>
        </w:tc>
        <w:tc>
          <w:tcPr>
            <w:tcW w:w="100" w:type="dxa"/>
            <w:vAlign w:val="bottom"/>
            <w:tcBorders>
              <w:bottom w:val="single" w:sz="8" w:color="004483"/>
            </w:tcBorders>
          </w:tcPr>
          <w:p>
            <w:pPr>
              <w:spacing w:after="0"/>
              <w:rPr>
                <w:sz w:val="11"/>
                <w:szCs w:val="11"/>
                <w:color w:val="auto"/>
              </w:rPr>
            </w:pPr>
          </w:p>
        </w:tc>
        <w:tc>
          <w:tcPr>
            <w:tcW w:w="5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129,424</w:t>
            </w:r>
          </w:p>
        </w:tc>
        <w:tc>
          <w:tcPr>
            <w:tcW w:w="120" w:type="dxa"/>
            <w:vAlign w:val="bottom"/>
          </w:tcPr>
          <w:p>
            <w:pPr>
              <w:spacing w:after="0"/>
              <w:rPr>
                <w:sz w:val="11"/>
                <w:szCs w:val="11"/>
                <w:color w:val="auto"/>
              </w:rPr>
            </w:pPr>
          </w:p>
        </w:tc>
        <w:tc>
          <w:tcPr>
            <w:tcW w:w="560" w:type="dxa"/>
            <w:vAlign w:val="bottom"/>
            <w:tcBorders>
              <w:bottom w:val="single" w:sz="8" w:color="A6A6A6"/>
            </w:tcBorders>
          </w:tcPr>
          <w:p>
            <w:pPr>
              <w:jc w:val="right"/>
              <w:ind w:right="32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103.21</w:t>
            </w:r>
          </w:p>
        </w:tc>
        <w:tc>
          <w:tcPr>
            <w:tcW w:w="120" w:type="dxa"/>
            <w:vAlign w:val="bottom"/>
            <w:tcBorders>
              <w:bottom w:val="single" w:sz="8" w:color="A6A6A6"/>
            </w:tcBorders>
          </w:tcPr>
          <w:p>
            <w:pPr>
              <w:spacing w:after="0"/>
              <w:rPr>
                <w:sz w:val="11"/>
                <w:szCs w:val="11"/>
                <w:color w:val="auto"/>
              </w:rPr>
            </w:pPr>
          </w:p>
        </w:tc>
      </w:tr>
      <w:tr>
        <w:trPr>
          <w:trHeight w:val="142"/>
        </w:trPr>
        <w:tc>
          <w:tcPr>
            <w:tcW w:w="5200" w:type="dxa"/>
            <w:vAlign w:val="bottom"/>
            <w:tcBorders>
              <w:bottom w:val="single" w:sz="8" w:color="A6A6A6"/>
            </w:tcBorders>
          </w:tcPr>
          <w:p>
            <w:pPr>
              <w:spacing w:after="0"/>
              <w:rPr>
                <w:sz w:val="12"/>
                <w:szCs w:val="12"/>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605,123</w:t>
            </w:r>
          </w:p>
        </w:tc>
        <w:tc>
          <w:tcPr>
            <w:tcW w:w="100" w:type="dxa"/>
            <w:vAlign w:val="bottom"/>
          </w:tcPr>
          <w:p>
            <w:pPr>
              <w:spacing w:after="0"/>
              <w:rPr>
                <w:sz w:val="12"/>
                <w:szCs w:val="12"/>
                <w:color w:val="auto"/>
              </w:rPr>
            </w:pPr>
          </w:p>
        </w:tc>
        <w:tc>
          <w:tcPr>
            <w:tcW w:w="1260" w:type="dxa"/>
            <w:vAlign w:val="bottom"/>
            <w:tcBorders>
              <w:bottom w:val="single" w:sz="8" w:color="A6A6A6"/>
            </w:tcBorders>
          </w:tcPr>
          <w:p>
            <w:pPr>
              <w:jc w:val="right"/>
              <w:ind w:right="73"/>
              <w:spacing w:after="0"/>
              <w:rPr>
                <w:sz w:val="20"/>
                <w:szCs w:val="20"/>
                <w:color w:val="auto"/>
              </w:rPr>
            </w:pPr>
            <w:r>
              <w:rPr>
                <w:rFonts w:ascii="Arial" w:cs="Arial" w:eastAsia="Arial" w:hAnsi="Arial"/>
                <w:sz w:val="11"/>
                <w:szCs w:val="11"/>
                <w:b w:val="1"/>
                <w:bCs w:val="1"/>
                <w:color w:val="auto"/>
              </w:rPr>
              <w:t>6.73</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w:t>
            </w:r>
          </w:p>
        </w:tc>
        <w:tc>
          <w:tcPr>
            <w:tcW w:w="320" w:type="dxa"/>
            <w:vAlign w:val="bottom"/>
            <w:tcBorders>
              <w:bottom w:val="single" w:sz="8" w:color="A6A6A6"/>
            </w:tcBorders>
          </w:tcPr>
          <w:p>
            <w:pPr>
              <w:spacing w:after="0"/>
              <w:rPr>
                <w:sz w:val="12"/>
                <w:szCs w:val="12"/>
                <w:color w:val="auto"/>
              </w:rPr>
            </w:pPr>
          </w:p>
        </w:tc>
        <w:tc>
          <w:tcPr>
            <w:tcW w:w="740" w:type="dxa"/>
            <w:vAlign w:val="bottom"/>
            <w:tcBorders>
              <w:bottom w:val="single" w:sz="8" w:color="A6A6A6"/>
            </w:tcBorders>
          </w:tcPr>
          <w:p>
            <w:pPr>
              <w:jc w:val="right"/>
              <w:ind w:right="69"/>
              <w:spacing w:after="0"/>
              <w:rPr>
                <w:sz w:val="20"/>
                <w:szCs w:val="20"/>
                <w:color w:val="auto"/>
              </w:rPr>
            </w:pPr>
            <w:r>
              <w:rPr>
                <w:rFonts w:ascii="Arial" w:cs="Arial" w:eastAsia="Arial" w:hAnsi="Arial"/>
                <w:sz w:val="11"/>
                <w:szCs w:val="11"/>
                <w:b w:val="1"/>
                <w:bCs w:val="1"/>
                <w:color w:val="auto"/>
              </w:rPr>
              <w:t>84.45</w:t>
            </w:r>
          </w:p>
        </w:tc>
        <w:tc>
          <w:tcPr>
            <w:tcW w:w="120" w:type="dxa"/>
            <w:vAlign w:val="bottom"/>
            <w:tcBorders>
              <w:bottom w:val="single" w:sz="8" w:color="A6A6A6"/>
            </w:tcBorders>
          </w:tcPr>
          <w:p>
            <w:pPr>
              <w:spacing w:after="0"/>
              <w:rPr>
                <w:sz w:val="12"/>
                <w:szCs w:val="12"/>
                <w:color w:val="auto"/>
              </w:rPr>
            </w:pPr>
          </w:p>
        </w:tc>
        <w:tc>
          <w:tcPr>
            <w:tcW w:w="400" w:type="dxa"/>
            <w:vAlign w:val="bottom"/>
            <w:tcBorders>
              <w:bottom w:val="single" w:sz="8" w:color="004483"/>
            </w:tcBorders>
          </w:tcPr>
          <w:p>
            <w:pPr>
              <w:spacing w:after="0"/>
              <w:rPr>
                <w:sz w:val="12"/>
                <w:szCs w:val="12"/>
                <w:color w:val="auto"/>
              </w:rPr>
            </w:pPr>
          </w:p>
        </w:tc>
        <w:tc>
          <w:tcPr>
            <w:tcW w:w="100" w:type="dxa"/>
            <w:vAlign w:val="bottom"/>
            <w:tcBorders>
              <w:bottom w:val="single" w:sz="8" w:color="004483"/>
            </w:tcBorders>
          </w:tcPr>
          <w:p>
            <w:pPr>
              <w:spacing w:after="0"/>
              <w:rPr>
                <w:sz w:val="12"/>
                <w:szCs w:val="12"/>
                <w:color w:val="auto"/>
              </w:rPr>
            </w:pPr>
          </w:p>
        </w:tc>
        <w:tc>
          <w:tcPr>
            <w:tcW w:w="5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346,580</w:t>
            </w:r>
          </w:p>
        </w:tc>
        <w:tc>
          <w:tcPr>
            <w:tcW w:w="120" w:type="dxa"/>
            <w:vAlign w:val="bottom"/>
          </w:tcPr>
          <w:p>
            <w:pPr>
              <w:spacing w:after="0"/>
              <w:rPr>
                <w:sz w:val="12"/>
                <w:szCs w:val="12"/>
                <w:color w:val="auto"/>
              </w:rPr>
            </w:pPr>
          </w:p>
        </w:tc>
        <w:tc>
          <w:tcPr>
            <w:tcW w:w="560" w:type="dxa"/>
            <w:vAlign w:val="bottom"/>
            <w:tcBorders>
              <w:bottom w:val="single" w:sz="8" w:color="A6A6A6"/>
            </w:tcBorders>
          </w:tcPr>
          <w:p>
            <w:pPr>
              <w:jc w:val="right"/>
              <w:ind w:right="326"/>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88.22</w:t>
            </w:r>
          </w:p>
        </w:tc>
        <w:tc>
          <w:tcPr>
            <w:tcW w:w="120" w:type="dxa"/>
            <w:vAlign w:val="bottom"/>
            <w:tcBorders>
              <w:bottom w:val="single" w:sz="8" w:color="A6A6A6"/>
            </w:tcBorders>
          </w:tcPr>
          <w:p>
            <w:pPr>
              <w:spacing w:after="0"/>
              <w:rPr>
                <w:sz w:val="12"/>
                <w:szCs w:val="12"/>
                <w:color w:val="auto"/>
              </w:rPr>
            </w:pPr>
          </w:p>
        </w:tc>
      </w:tr>
    </w:tbl>
    <w:p>
      <w:pPr>
        <w:spacing w:after="0" w:line="161" w:lineRule="exact"/>
        <w:rPr>
          <w:sz w:val="20"/>
          <w:szCs w:val="20"/>
          <w:color w:val="auto"/>
        </w:rPr>
      </w:pPr>
    </w:p>
    <w:p>
      <w:pPr>
        <w:ind w:right="360"/>
        <w:spacing w:after="0" w:line="277" w:lineRule="auto"/>
        <w:rPr>
          <w:sz w:val="20"/>
          <w:szCs w:val="20"/>
          <w:color w:val="auto"/>
        </w:rPr>
      </w:pPr>
      <w:r>
        <w:rPr>
          <w:rFonts w:ascii="Arial" w:cs="Arial" w:eastAsia="Arial" w:hAnsi="Arial"/>
          <w:sz w:val="12"/>
          <w:szCs w:val="12"/>
          <w:color w:val="auto"/>
        </w:rPr>
        <w:t>At June 30, 2021, the aggregate intrinsic value for both of the outstanding and exercisable options was approximately $34.9 million and $18.7 million, respectively. The total intrinsic value of options exercised during the three months ended June 30, 2021 was approximately $5.6 million.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w:t>
      </w:r>
    </w:p>
    <w:p>
      <w:pPr>
        <w:spacing w:after="0" w:line="101" w:lineRule="exact"/>
        <w:rPr>
          <w:sz w:val="20"/>
          <w:szCs w:val="20"/>
          <w:color w:val="auto"/>
        </w:rPr>
      </w:pPr>
    </w:p>
    <w:p>
      <w:pPr>
        <w:ind w:right="40"/>
        <w:spacing w:after="0" w:line="267" w:lineRule="auto"/>
        <w:rPr>
          <w:sz w:val="20"/>
          <w:szCs w:val="20"/>
          <w:color w:val="auto"/>
        </w:rPr>
      </w:pPr>
      <w:r>
        <w:rPr>
          <w:rFonts w:ascii="Arial" w:cs="Arial" w:eastAsia="Arial" w:hAnsi="Arial"/>
          <w:sz w:val="12"/>
          <w:szCs w:val="12"/>
          <w:color w:val="auto"/>
        </w:rPr>
        <w:t>In May 2021, the Compensation Committee approved the granting to certain officers and key employees an aggregate of 52,577 shares of performance-vesting restricted stock that will be earned if certain performance conditions are satisfied (the Fiscal 2022 Employee Restricted Stock Performance Award). The performance criteria for the Fiscal 2022 Employee Restricted Stock Performance Award is based upon the achievement of certain levels of return on equity (as defined in the award agreement), ranging from 10.0% to 20.0%, for the fiscal year ending March 31, 2022. All restricted shares will be earned if the return on equity is 20.0% or greater, and the percentage of shares earned will be reduced proportionately to approximately 66.7% if the return on equity is 10.0%. If the Company does not achieve a return on equity of at least 10.0%, all awards will be forfeited. Following any such reduction, restrictions on the earned shares will lapse ratably over four years, with the initial fourth lapsing promptly following the determination date, and the remaining restrictions lapsing on March 31, 2023 through 2025. The Compensation Committee also approved the granting of 43,816 shares of time-vesting restricted stock to the same officers and key employees, which vest ratably over four years (the Fiscal 2022 Employee Restricted Stock Time-Vesting Award). The Fiscal 2022 Employee Restricted Stock Performance Award and the Fiscal 2022 Employee Restricted Stock Time-Vesting Award were valued at the closing price of the stock on the date of grant and are being expensed over a four-year period.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color w:val="auto"/>
        </w:rPr>
        <w:t>The fair value of restricted stock is based on the stock price at the date of grant. The following table summarizes the activity for nonvested restricted shares during the three months ended June 30,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7740" w:type="dxa"/>
            <w:vAlign w:val="bottom"/>
          </w:tcPr>
          <w:p>
            <w:pPr>
              <w:spacing w:after="0"/>
              <w:rPr>
                <w:sz w:val="8"/>
                <w:szCs w:val="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Number of Shares</w:t>
            </w:r>
          </w:p>
        </w:tc>
        <w:tc>
          <w:tcPr>
            <w:tcW w:w="26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Arial" w:cs="Arial" w:eastAsia="Arial" w:hAnsi="Arial"/>
                <w:sz w:val="8"/>
                <w:szCs w:val="8"/>
                <w:b w:val="1"/>
                <w:bCs w:val="1"/>
                <w:color w:val="auto"/>
                <w:w w:val="96"/>
              </w:rPr>
              <w:t>Weighted-Average Grant Date Fair Value</w:t>
            </w:r>
          </w:p>
        </w:tc>
      </w:tr>
      <w:tr>
        <w:trPr>
          <w:trHeight w:val="140"/>
        </w:trPr>
        <w:tc>
          <w:tcPr>
            <w:tcW w:w="7740" w:type="dxa"/>
            <w:vAlign w:val="bottom"/>
            <w:tcBorders>
              <w:top w:val="single" w:sz="8" w:color="004483"/>
              <w:bottom w:val="single" w:sz="8" w:color="A6A6A6"/>
            </w:tcBorders>
          </w:tcPr>
          <w:p>
            <w:pPr>
              <w:spacing w:after="0"/>
              <w:rPr>
                <w:sz w:val="20"/>
                <w:szCs w:val="20"/>
                <w:color w:val="auto"/>
              </w:rPr>
            </w:pPr>
            <w:r>
              <w:rPr>
                <w:rFonts w:ascii="Arial" w:cs="Arial" w:eastAsia="Arial" w:hAnsi="Arial"/>
                <w:sz w:val="11"/>
                <w:szCs w:val="11"/>
                <w:b w:val="1"/>
                <w:bCs w:val="1"/>
                <w:color w:val="auto"/>
              </w:rPr>
              <w:t>Nonvested Restricted Stock at March 31, 2021</w:t>
            </w:r>
          </w:p>
        </w:tc>
        <w:tc>
          <w:tcPr>
            <w:tcW w:w="1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267,090</w:t>
            </w:r>
          </w:p>
        </w:tc>
        <w:tc>
          <w:tcPr>
            <w:tcW w:w="100" w:type="dxa"/>
            <w:vAlign w:val="bottom"/>
          </w:tcPr>
          <w:p>
            <w:pPr>
              <w:spacing w:after="0"/>
              <w:rPr>
                <w:sz w:val="12"/>
                <w:szCs w:val="12"/>
                <w:color w:val="auto"/>
              </w:rPr>
            </w:pPr>
          </w:p>
        </w:tc>
        <w:tc>
          <w:tcPr>
            <w:tcW w:w="2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5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62.56</w:t>
            </w:r>
          </w:p>
        </w:tc>
      </w:tr>
      <w:tr>
        <w:trPr>
          <w:trHeight w:val="142"/>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Granted</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96,393</w:t>
            </w:r>
          </w:p>
        </w:tc>
        <w:tc>
          <w:tcPr>
            <w:tcW w:w="100" w:type="dxa"/>
            <w:vAlign w:val="bottom"/>
          </w:tcPr>
          <w:p>
            <w:pPr>
              <w:spacing w:after="0"/>
              <w:rPr>
                <w:sz w:val="12"/>
                <w:szCs w:val="12"/>
                <w:color w:val="auto"/>
              </w:rPr>
            </w:pPr>
          </w:p>
        </w:tc>
        <w:tc>
          <w:tcPr>
            <w:tcW w:w="2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139.25</w:t>
            </w:r>
          </w:p>
        </w:tc>
      </w:tr>
      <w:tr>
        <w:trPr>
          <w:trHeight w:val="142"/>
        </w:trPr>
        <w:tc>
          <w:tcPr>
            <w:tcW w:w="7740" w:type="dxa"/>
            <w:vAlign w:val="bottom"/>
          </w:tcPr>
          <w:p>
            <w:pPr>
              <w:spacing w:after="0"/>
              <w:rPr>
                <w:sz w:val="20"/>
                <w:szCs w:val="20"/>
                <w:color w:val="auto"/>
              </w:rPr>
            </w:pPr>
            <w:r>
              <w:rPr>
                <w:rFonts w:ascii="Arial" w:cs="Arial" w:eastAsia="Arial" w:hAnsi="Arial"/>
                <w:sz w:val="11"/>
                <w:szCs w:val="11"/>
                <w:color w:val="auto"/>
              </w:rPr>
              <w:t>Vested</w:t>
            </w:r>
          </w:p>
        </w:tc>
        <w:tc>
          <w:tcPr>
            <w:tcW w:w="1680" w:type="dxa"/>
            <w:vAlign w:val="bottom"/>
            <w:gridSpan w:val="2"/>
          </w:tcPr>
          <w:p>
            <w:pPr>
              <w:jc w:val="right"/>
              <w:ind w:right="60"/>
              <w:spacing w:after="0"/>
              <w:rPr>
                <w:sz w:val="20"/>
                <w:szCs w:val="20"/>
                <w:color w:val="auto"/>
              </w:rPr>
            </w:pPr>
            <w:r>
              <w:rPr>
                <w:rFonts w:ascii="Arial" w:cs="Arial" w:eastAsia="Arial" w:hAnsi="Arial"/>
                <w:sz w:val="11"/>
                <w:szCs w:val="11"/>
                <w:color w:val="auto"/>
              </w:rPr>
              <w:t>(20,685)</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60.21</w:t>
            </w:r>
          </w:p>
        </w:tc>
      </w:tr>
      <w:tr>
        <w:trPr>
          <w:trHeight w:val="20"/>
        </w:trPr>
        <w:tc>
          <w:tcPr>
            <w:tcW w:w="7740" w:type="dxa"/>
            <w:vAlign w:val="bottom"/>
            <w:shd w:val="clear" w:color="auto" w:fill="A6A6A6"/>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1"/>
                <w:szCs w:val="11"/>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1"/>
                <w:szCs w:val="11"/>
                <w:color w:val="auto"/>
              </w:rPr>
              <w:t>(5,218)</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75.10</w:t>
            </w:r>
          </w:p>
        </w:tc>
      </w:tr>
      <w:tr>
        <w:trPr>
          <w:trHeight w:val="151"/>
        </w:trPr>
        <w:tc>
          <w:tcPr>
            <w:tcW w:w="774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Nonvested Restricted Stock at June 30, 2021</w:t>
            </w:r>
          </w:p>
        </w:tc>
        <w:tc>
          <w:tcPr>
            <w:tcW w:w="15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337,580</w:t>
            </w:r>
          </w:p>
        </w:tc>
        <w:tc>
          <w:tcPr>
            <w:tcW w:w="100" w:type="dxa"/>
            <w:vAlign w:val="bottom"/>
          </w:tcPr>
          <w:p>
            <w:pPr>
              <w:spacing w:after="0"/>
              <w:rPr>
                <w:sz w:val="13"/>
                <w:szCs w:val="13"/>
                <w:color w:val="auto"/>
              </w:rPr>
            </w:pPr>
          </w:p>
        </w:tc>
        <w:tc>
          <w:tcPr>
            <w:tcW w:w="260" w:type="dxa"/>
            <w:vAlign w:val="bottom"/>
            <w:tcBorders>
              <w:top w:val="single" w:sz="8" w:color="A6A6A6"/>
            </w:tcBorders>
          </w:tcPr>
          <w:p>
            <w:pPr>
              <w:spacing w:after="0"/>
              <w:rPr>
                <w:sz w:val="13"/>
                <w:szCs w:val="13"/>
                <w:color w:val="auto"/>
              </w:rPr>
            </w:pPr>
          </w:p>
        </w:tc>
        <w:tc>
          <w:tcPr>
            <w:tcW w:w="1500" w:type="dxa"/>
            <w:vAlign w:val="bottom"/>
            <w:tcBorders>
              <w:top w:val="single" w:sz="8" w:color="A6A6A6"/>
            </w:tcBorders>
          </w:tcPr>
          <w:p>
            <w:pPr>
              <w:spacing w:after="0"/>
              <w:rPr>
                <w:sz w:val="13"/>
                <w:szCs w:val="13"/>
                <w:color w:val="auto"/>
              </w:rPr>
            </w:pPr>
          </w:p>
        </w:tc>
      </w:tr>
    </w:tbl>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2"/>
          <w:szCs w:val="12"/>
          <w:color w:val="auto"/>
        </w:rPr>
        <w:t>Expense related to restricted shares was approximately $1.8 million and $3.0 million for the three months ended June 30, 2021 and 2020 respectively. At June 30, 2021, there was approximately $23.8 million of unearned compensation from restricted stock, which will be recognized over a weighted-average period of 2.9 years.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The number of shares available for future grants of stock options, restricted stock units, stock appreciation rights, and restricted stock under the Plan was 3,396,823 at June 30, 2021.</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 COMPUTATION OF EARNINGS PER SHARE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The calculation of basic and diluted common shares outstanding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740" w:type="dxa"/>
            <w:vAlign w:val="bottom"/>
          </w:tcPr>
          <w:p>
            <w:pPr>
              <w:spacing w:after="0"/>
              <w:rPr>
                <w:sz w:val="11"/>
                <w:szCs w:val="11"/>
                <w:color w:val="auto"/>
              </w:rPr>
            </w:pPr>
          </w:p>
        </w:tc>
        <w:tc>
          <w:tcPr>
            <w:tcW w:w="2680" w:type="dxa"/>
            <w:vAlign w:val="bottom"/>
            <w:tcBorders>
              <w:bottom w:val="single" w:sz="8" w:color="004483"/>
            </w:tcBorders>
            <w:gridSpan w:val="4"/>
            <w:shd w:val="clear" w:color="auto" w:fill="004483"/>
          </w:tcPr>
          <w:p>
            <w:pPr>
              <w:ind w:left="1040"/>
              <w:spacing w:after="0"/>
              <w:rPr>
                <w:sz w:val="20"/>
                <w:szCs w:val="20"/>
                <w:color w:val="auto"/>
              </w:rPr>
            </w:pPr>
            <w:r>
              <w:rPr>
                <w:rFonts w:ascii="Arial" w:cs="Arial" w:eastAsia="Arial" w:hAnsi="Arial"/>
                <w:sz w:val="8"/>
                <w:szCs w:val="8"/>
                <w:b w:val="1"/>
                <w:bCs w:val="1"/>
                <w:color w:val="FFFFFF"/>
              </w:rPr>
              <w:t>For the Three Months Ended June 30,</w:t>
            </w:r>
          </w:p>
        </w:tc>
        <w:tc>
          <w:tcPr>
            <w:tcW w:w="760" w:type="dxa"/>
            <w:vAlign w:val="bottom"/>
            <w:tcBorders>
              <w:bottom w:val="single" w:sz="8" w:color="004483"/>
            </w:tcBorders>
            <w:shd w:val="clear" w:color="auto" w:fill="004483"/>
          </w:tcPr>
          <w:p>
            <w:pPr>
              <w:spacing w:after="0"/>
              <w:rPr>
                <w:sz w:val="11"/>
                <w:szCs w:val="11"/>
                <w:color w:val="auto"/>
              </w:rPr>
            </w:pPr>
          </w:p>
        </w:tc>
        <w:tc>
          <w:tcPr>
            <w:tcW w:w="120" w:type="dxa"/>
            <w:vAlign w:val="bottom"/>
            <w:tcBorders>
              <w:bottom w:val="single" w:sz="8" w:color="004483"/>
            </w:tcBorders>
            <w:shd w:val="clear" w:color="auto" w:fill="004483"/>
          </w:tcPr>
          <w:p>
            <w:pPr>
              <w:spacing w:after="0"/>
              <w:rPr>
                <w:sz w:val="11"/>
                <w:szCs w:val="11"/>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158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Borders>
              <w:bottom w:val="single" w:sz="8" w:color="004483"/>
            </w:tcBorders>
          </w:tcPr>
          <w:p>
            <w:pPr>
              <w:spacing w:after="0"/>
              <w:rPr>
                <w:sz w:val="8"/>
                <w:szCs w:val="8"/>
                <w:color w:val="auto"/>
              </w:rPr>
            </w:pPr>
          </w:p>
        </w:tc>
        <w:tc>
          <w:tcPr>
            <w:tcW w:w="800" w:type="dxa"/>
            <w:vAlign w:val="bottom"/>
            <w:tcBorders>
              <w:bottom w:val="single" w:sz="8" w:color="004483"/>
            </w:tcBorders>
          </w:tcPr>
          <w:p>
            <w:pPr>
              <w:spacing w:after="0"/>
              <w:rPr>
                <w:sz w:val="8"/>
                <w:szCs w:val="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Weighted-Average Shares of Common Stock Outstanding</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42,028,619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41,410,794</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Effect of Dilutive Shares</w:t>
            </w:r>
          </w:p>
        </w:tc>
        <w:tc>
          <w:tcPr>
            <w:tcW w:w="158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Assumed Exercise of Outstanding Dilutive Options</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652,877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00" w:type="dxa"/>
            <w:vAlign w:val="bottom"/>
            <w:tcBorders>
              <w:bottom w:val="single" w:sz="8" w:color="A6A6A6"/>
            </w:tcBorders>
          </w:tcPr>
          <w:p>
            <w:pPr>
              <w:spacing w:after="0"/>
              <w:rPr>
                <w:sz w:val="11"/>
                <w:szCs w:val="11"/>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130,687</w:t>
            </w:r>
          </w:p>
        </w:tc>
        <w:tc>
          <w:tcPr>
            <w:tcW w:w="120" w:type="dxa"/>
            <w:vAlign w:val="bottom"/>
          </w:tcPr>
          <w:p>
            <w:pPr>
              <w:spacing w:after="0"/>
              <w:rPr>
                <w:sz w:val="11"/>
                <w:szCs w:val="11"/>
                <w:color w:val="auto"/>
              </w:rPr>
            </w:pP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auto"/>
              </w:rPr>
              <w:t>Less Shares Repurchased from Proceeds of Assumed Exercised Options</w:t>
            </w:r>
          </w:p>
        </w:tc>
        <w:tc>
          <w:tcPr>
            <w:tcW w:w="1680" w:type="dxa"/>
            <w:vAlign w:val="bottom"/>
            <w:gridSpan w:val="2"/>
          </w:tcPr>
          <w:p>
            <w:pPr>
              <w:jc w:val="right"/>
              <w:ind w:right="60"/>
              <w:spacing w:after="0"/>
              <w:rPr>
                <w:sz w:val="20"/>
                <w:szCs w:val="20"/>
                <w:color w:val="auto"/>
              </w:rPr>
            </w:pPr>
            <w:r>
              <w:rPr>
                <w:rFonts w:ascii="Arial" w:cs="Arial" w:eastAsia="Arial" w:hAnsi="Arial"/>
                <w:sz w:val="11"/>
                <w:szCs w:val="11"/>
                <w:color w:val="auto"/>
              </w:rPr>
              <w:t>(425,147)</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(61,690)</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Restricted Stock Units</w:t>
            </w:r>
          </w:p>
        </w:tc>
        <w:tc>
          <w:tcPr>
            <w:tcW w:w="15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181,017</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00" w:type="dxa"/>
            <w:vAlign w:val="bottom"/>
            <w:tcBorders>
              <w:top w:val="single" w:sz="8" w:color="A6A6A6"/>
              <w:bottom w:val="single" w:sz="8" w:color="004483"/>
            </w:tcBorders>
          </w:tcPr>
          <w:p>
            <w:pPr>
              <w:spacing w:after="0"/>
              <w:rPr>
                <w:sz w:val="11"/>
                <w:szCs w:val="11"/>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83,477</w:t>
            </w:r>
          </w:p>
        </w:tc>
        <w:tc>
          <w:tcPr>
            <w:tcW w:w="120" w:type="dxa"/>
            <w:vAlign w:val="bottom"/>
          </w:tcPr>
          <w:p>
            <w:pPr>
              <w:spacing w:after="0"/>
              <w:rPr>
                <w:sz w:val="11"/>
                <w:szCs w:val="11"/>
                <w:color w:val="auto"/>
              </w:rPr>
            </w:pPr>
          </w:p>
        </w:tc>
      </w:tr>
      <w:tr>
        <w:trPr>
          <w:trHeight w:val="15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Weighted-Average Common Stock and Dilutive Securities Outstanding</w:t>
            </w:r>
          </w:p>
        </w:tc>
        <w:tc>
          <w:tcPr>
            <w:tcW w:w="15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42,437,366</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800" w:type="dxa"/>
            <w:vAlign w:val="bottom"/>
            <w:tcBorders>
              <w:bottom w:val="single" w:sz="8" w:color="004483"/>
            </w:tcBorders>
          </w:tcPr>
          <w:p>
            <w:pPr>
              <w:spacing w:after="0"/>
              <w:rPr>
                <w:sz w:val="13"/>
                <w:szCs w:val="13"/>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41,563,268</w:t>
            </w:r>
          </w:p>
        </w:tc>
        <w:tc>
          <w:tcPr>
            <w:tcW w:w="120" w:type="dxa"/>
            <w:vAlign w:val="bottom"/>
          </w:tcPr>
          <w:p>
            <w:pPr>
              <w:spacing w:after="0"/>
              <w:rPr>
                <w:sz w:val="13"/>
                <w:szCs w:val="13"/>
                <w:color w:val="auto"/>
              </w:rPr>
            </w:pPr>
          </w:p>
        </w:tc>
      </w:tr>
      <w:tr>
        <w:trPr>
          <w:trHeight w:val="140"/>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Shares Excluded Due to Anti-Dilution Effects</w:t>
            </w:r>
          </w:p>
        </w:tc>
        <w:tc>
          <w:tcPr>
            <w:tcW w:w="15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3,578</w:t>
            </w:r>
          </w:p>
        </w:tc>
        <w:tc>
          <w:tcPr>
            <w:tcW w:w="100" w:type="dxa"/>
            <w:vAlign w:val="bottom"/>
          </w:tcPr>
          <w:p>
            <w:pPr>
              <w:spacing w:after="0"/>
              <w:rPr>
                <w:sz w:val="12"/>
                <w:szCs w:val="12"/>
                <w:color w:val="auto"/>
              </w:rPr>
            </w:pPr>
          </w:p>
        </w:tc>
        <w:tc>
          <w:tcPr>
            <w:tcW w:w="200" w:type="dxa"/>
            <w:vAlign w:val="bottom"/>
            <w:tcBorders>
              <w:bottom w:val="single" w:sz="8" w:color="A6A6A6"/>
            </w:tcBorders>
          </w:tcPr>
          <w:p>
            <w:pPr>
              <w:spacing w:after="0"/>
              <w:rPr>
                <w:sz w:val="12"/>
                <w:szCs w:val="12"/>
                <w:color w:val="auto"/>
              </w:rPr>
            </w:pPr>
          </w:p>
        </w:tc>
        <w:tc>
          <w:tcPr>
            <w:tcW w:w="800" w:type="dxa"/>
            <w:vAlign w:val="bottom"/>
            <w:tcBorders>
              <w:bottom w:val="single" w:sz="8" w:color="004483"/>
            </w:tcBorders>
          </w:tcPr>
          <w:p>
            <w:pPr>
              <w:spacing w:after="0"/>
              <w:rPr>
                <w:sz w:val="12"/>
                <w:szCs w:val="1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1,065,648</w:t>
            </w:r>
          </w:p>
        </w:tc>
        <w:tc>
          <w:tcPr>
            <w:tcW w:w="120" w:type="dxa"/>
            <w:vAlign w:val="bottom"/>
          </w:tcPr>
          <w:p>
            <w:pPr>
              <w:spacing w:after="0"/>
              <w:rPr>
                <w:sz w:val="12"/>
                <w:szCs w:val="12"/>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 PENSION AND EMPLOYEE BENEFIT PLANS</w:t>
      </w:r>
    </w:p>
    <w:p>
      <w:pPr>
        <w:spacing w:after="0" w:line="93" w:lineRule="exact"/>
        <w:rPr>
          <w:sz w:val="20"/>
          <w:szCs w:val="20"/>
          <w:color w:val="auto"/>
        </w:rPr>
      </w:pPr>
    </w:p>
    <w:p>
      <w:pPr>
        <w:ind w:right="220"/>
        <w:spacing w:after="0" w:line="269" w:lineRule="auto"/>
        <w:rPr>
          <w:sz w:val="20"/>
          <w:szCs w:val="20"/>
          <w:color w:val="auto"/>
        </w:rPr>
      </w:pPr>
      <w:r>
        <w:rPr>
          <w:rFonts w:ascii="Arial" w:cs="Arial" w:eastAsia="Arial" w:hAnsi="Arial"/>
          <w:sz w:val="12"/>
          <w:szCs w:val="12"/>
          <w:color w:val="auto"/>
        </w:rPr>
        <w:t>We sponsor several defined benefit pension plans and defined contribution plans, which together cover substantially all our employees. Benefits paid under the defined benefit plans covering certain hourly employees were historically based on years of service and the employee’s qualifying compensation over the last few years of employment. Over the last several years, these plans have been frozen to new participants and new benefits, with the last plan becoming frozen during fiscal 2020. Our pension plans are all fully funded, with plan assets exceeding the benefit obligation at March 31, 2021. Due to the frozen status, and the current funding, of the plans, our expected pension expense for fiscal 2022 is less than $0.1 million for the fiscal year.</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 INCOME TAXES</w:t>
      </w:r>
    </w:p>
    <w:p>
      <w:pPr>
        <w:spacing w:after="0" w:line="102" w:lineRule="exact"/>
        <w:rPr>
          <w:sz w:val="20"/>
          <w:szCs w:val="20"/>
          <w:color w:val="auto"/>
        </w:rPr>
      </w:pPr>
    </w:p>
    <w:p>
      <w:pPr>
        <w:ind w:right="80"/>
        <w:spacing w:after="0" w:line="269" w:lineRule="auto"/>
        <w:rPr>
          <w:sz w:val="20"/>
          <w:szCs w:val="20"/>
          <w:color w:val="auto"/>
        </w:rPr>
      </w:pPr>
      <w:r>
        <w:rPr>
          <w:rFonts w:ascii="Arial" w:cs="Arial" w:eastAsia="Arial" w:hAnsi="Arial"/>
          <w:sz w:val="12"/>
          <w:szCs w:val="12"/>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three months ended June 30, 2021 was approximately 22%, which was lower than the tax rate of 25% for the three months ended June 30, 2020. The effective tax rate was higher than the US Statutory rate of 21% mainly due to state income taxes, partially offset by a benefit recognized related to percentage depletion.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(M) LONG-TERM DEBT</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Long-term Debt at June 30, 2021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600" w:type="dxa"/>
            <w:vAlign w:val="bottom"/>
            <w:shd w:val="clear" w:color="auto" w:fill="004483"/>
          </w:tcPr>
          <w:p>
            <w:pPr>
              <w:spacing w:after="0"/>
              <w:rPr>
                <w:sz w:val="13"/>
                <w:szCs w:val="13"/>
                <w:color w:val="auto"/>
              </w:rPr>
            </w:pPr>
          </w:p>
        </w:tc>
        <w:tc>
          <w:tcPr>
            <w:tcW w:w="1280" w:type="dxa"/>
            <w:vAlign w:val="bottom"/>
            <w:gridSpan w:val="3"/>
            <w:shd w:val="clear" w:color="auto" w:fill="004483"/>
          </w:tcPr>
          <w:p>
            <w:pPr>
              <w:ind w:left="660"/>
              <w:spacing w:after="0"/>
              <w:rPr>
                <w:sz w:val="20"/>
                <w:szCs w:val="20"/>
                <w:color w:val="auto"/>
              </w:rPr>
            </w:pPr>
            <w:r>
              <w:rPr>
                <w:rFonts w:ascii="Arial" w:cs="Arial" w:eastAsia="Arial" w:hAnsi="Arial"/>
                <w:sz w:val="8"/>
                <w:szCs w:val="8"/>
                <w:b w:val="1"/>
                <w:bCs w:val="1"/>
                <w:color w:val="FFFFFF"/>
              </w:rPr>
              <w:t>June 30,</w:t>
            </w:r>
          </w:p>
        </w:tc>
        <w:tc>
          <w:tcPr>
            <w:tcW w:w="660" w:type="dxa"/>
            <w:vAlign w:val="bottom"/>
            <w:shd w:val="clear" w:color="auto" w:fill="004483"/>
          </w:tcPr>
          <w:p>
            <w:pPr>
              <w:spacing w:after="0"/>
              <w:rPr>
                <w:sz w:val="13"/>
                <w:szCs w:val="13"/>
                <w:color w:val="auto"/>
              </w:rPr>
            </w:pPr>
          </w:p>
        </w:tc>
        <w:tc>
          <w:tcPr>
            <w:tcW w:w="1020" w:type="dxa"/>
            <w:vAlign w:val="bottom"/>
            <w:gridSpan w:val="2"/>
            <w:shd w:val="clear" w:color="auto" w:fill="004483"/>
          </w:tcPr>
          <w:p>
            <w:pPr>
              <w:jc w:val="right"/>
              <w:ind w:right="12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00" w:type="dxa"/>
            <w:vAlign w:val="bottom"/>
            <w:tcBorders>
              <w:bottom w:val="single" w:sz="8" w:color="004483"/>
            </w:tcBorders>
          </w:tcPr>
          <w:p>
            <w:pPr>
              <w:spacing w:after="0"/>
              <w:rPr>
                <w:sz w:val="8"/>
                <w:szCs w:val="8"/>
                <w:color w:val="auto"/>
              </w:rPr>
            </w:pPr>
          </w:p>
        </w:tc>
        <w:tc>
          <w:tcPr>
            <w:tcW w:w="1940" w:type="dxa"/>
            <w:vAlign w:val="bottom"/>
            <w:tcBorders>
              <w:bottom w:val="single" w:sz="8" w:color="004483"/>
            </w:tcBorders>
            <w:gridSpan w:val="4"/>
          </w:tcPr>
          <w:p>
            <w:pPr>
              <w:jc w:val="right"/>
              <w:ind w:right="433"/>
              <w:spacing w:after="0"/>
              <w:rPr>
                <w:sz w:val="20"/>
                <w:szCs w:val="20"/>
                <w:color w:val="auto"/>
              </w:rPr>
            </w:pPr>
            <w:r>
              <w:rPr>
                <w:rFonts w:ascii="Arial" w:cs="Arial" w:eastAsia="Arial" w:hAnsi="Arial"/>
                <w:sz w:val="8"/>
                <w:szCs w:val="8"/>
                <w:color w:val="auto"/>
              </w:rPr>
              <w:t>(dollars in thousands)</w:t>
            </w:r>
          </w:p>
        </w:tc>
        <w:tc>
          <w:tcPr>
            <w:tcW w:w="9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Pr>
          <w:p>
            <w:pPr>
              <w:spacing w:after="0"/>
              <w:rPr>
                <w:sz w:val="20"/>
                <w:szCs w:val="20"/>
                <w:color w:val="auto"/>
              </w:rPr>
            </w:pPr>
            <w:r>
              <w:rPr>
                <w:rFonts w:ascii="Arial" w:cs="Arial" w:eastAsia="Arial" w:hAnsi="Arial"/>
                <w:sz w:val="11"/>
                <w:szCs w:val="11"/>
                <w:color w:val="auto"/>
              </w:rPr>
              <w:t>Revolving Credit Facility</w:t>
            </w: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128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593"/>
              <w:spacing w:after="0"/>
              <w:rPr>
                <w:sz w:val="20"/>
                <w:szCs w:val="20"/>
                <w:color w:val="auto"/>
              </w:rPr>
            </w:pPr>
            <w:r>
              <w:rPr>
                <w:rFonts w:ascii="Arial" w:cs="Arial" w:eastAsia="Arial" w:hAnsi="Arial"/>
                <w:sz w:val="5"/>
                <w:szCs w:val="5"/>
                <w:color w:val="auto"/>
                <w:w w:val="70"/>
              </w:rPr>
              <w:t>$</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4.500% Senior Unsecured Notes Due 2026</w:t>
            </w:r>
          </w:p>
        </w:tc>
        <w:tc>
          <w:tcPr>
            <w:tcW w:w="600" w:type="dxa"/>
            <w:vAlign w:val="bottom"/>
            <w:tcBorders>
              <w:top w:val="single" w:sz="8" w:color="A6A6A6"/>
              <w:bottom w:val="single" w:sz="8" w:color="A6A6A6"/>
            </w:tcBorders>
          </w:tcPr>
          <w:p>
            <w:pPr>
              <w:spacing w:after="0"/>
              <w:rPr>
                <w:sz w:val="11"/>
                <w:szCs w:val="11"/>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350,000</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350,000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Term Loan</w:t>
            </w:r>
          </w:p>
        </w:tc>
        <w:tc>
          <w:tcPr>
            <w:tcW w:w="600" w:type="dxa"/>
            <w:vAlign w:val="bottom"/>
            <w:tcBorders>
              <w:bottom w:val="single" w:sz="8" w:color="004483"/>
            </w:tcBorders>
          </w:tcPr>
          <w:p>
            <w:pPr>
              <w:spacing w:after="0"/>
              <w:rPr>
                <w:sz w:val="11"/>
                <w:szCs w:val="11"/>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665,000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004483"/>
            </w:tcBorders>
          </w:tcPr>
          <w:p>
            <w:pPr>
              <w:spacing w:after="0"/>
              <w:rPr>
                <w:sz w:val="11"/>
                <w:szCs w:val="11"/>
                <w:color w:val="auto"/>
              </w:rPr>
            </w:pP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665,000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Total Debt</w:t>
            </w:r>
          </w:p>
        </w:tc>
        <w:tc>
          <w:tcPr>
            <w:tcW w:w="600" w:type="dxa"/>
            <w:vAlign w:val="bottom"/>
            <w:tcBorders>
              <w:bottom w:val="single" w:sz="8" w:color="A6A6A6"/>
            </w:tcBorders>
          </w:tcPr>
          <w:p>
            <w:pPr>
              <w:spacing w:after="0"/>
              <w:rPr>
                <w:sz w:val="11"/>
                <w:szCs w:val="1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1,015,000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1,015,000</w:t>
            </w:r>
          </w:p>
        </w:tc>
        <w:tc>
          <w:tcPr>
            <w:tcW w:w="120" w:type="dxa"/>
            <w:vAlign w:val="bottom"/>
          </w:tcPr>
          <w:p>
            <w:pPr>
              <w:spacing w:after="0"/>
              <w:rPr>
                <w:sz w:val="11"/>
                <w:szCs w:val="11"/>
                <w:color w:val="auto"/>
              </w:rPr>
            </w:pPr>
          </w:p>
        </w:tc>
      </w:tr>
      <w:tr>
        <w:trPr>
          <w:trHeight w:val="133"/>
        </w:trPr>
        <w:tc>
          <w:tcPr>
            <w:tcW w:w="7740" w:type="dxa"/>
            <w:vAlign w:val="bottom"/>
          </w:tcPr>
          <w:p>
            <w:pPr>
              <w:spacing w:after="0"/>
              <w:rPr>
                <w:sz w:val="20"/>
                <w:szCs w:val="20"/>
                <w:color w:val="auto"/>
              </w:rPr>
            </w:pPr>
            <w:r>
              <w:rPr>
                <w:rFonts w:ascii="Arial" w:cs="Arial" w:eastAsia="Arial" w:hAnsi="Arial"/>
                <w:sz w:val="11"/>
                <w:szCs w:val="11"/>
                <w:color w:val="auto"/>
              </w:rPr>
              <w:t>Less: Debt Origination Costs</w:t>
            </w:r>
          </w:p>
        </w:tc>
        <w:tc>
          <w:tcPr>
            <w:tcW w:w="600" w:type="dxa"/>
            <w:vAlign w:val="bottom"/>
          </w:tcPr>
          <w:p>
            <w:pPr>
              <w:spacing w:after="0"/>
              <w:rPr>
                <w:sz w:val="11"/>
                <w:szCs w:val="1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1"/>
                <w:szCs w:val="11"/>
                <w:color w:val="auto"/>
              </w:rPr>
              <w:t>(5,965)</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1"/>
                <w:szCs w:val="11"/>
                <w:color w:val="auto"/>
              </w:rPr>
              <w:t>(6,384)</w:t>
            </w:r>
          </w:p>
        </w:tc>
      </w:tr>
      <w:tr>
        <w:trPr>
          <w:trHeight w:val="142"/>
        </w:trPr>
        <w:tc>
          <w:tcPr>
            <w:tcW w:w="7740" w:type="dxa"/>
            <w:vAlign w:val="bottom"/>
            <w:tcBorders>
              <w:top w:val="single" w:sz="8" w:color="A6A6A6"/>
            </w:tcBorders>
          </w:tcPr>
          <w:p>
            <w:pPr>
              <w:spacing w:after="0"/>
              <w:rPr>
                <w:sz w:val="20"/>
                <w:szCs w:val="20"/>
                <w:color w:val="auto"/>
              </w:rPr>
            </w:pPr>
            <w:r>
              <w:rPr>
                <w:rFonts w:ascii="Arial" w:cs="Arial" w:eastAsia="Arial" w:hAnsi="Arial"/>
                <w:sz w:val="11"/>
                <w:szCs w:val="11"/>
                <w:b w:val="1"/>
                <w:bCs w:val="1"/>
                <w:color w:val="auto"/>
              </w:rPr>
              <w:t>Long-term Debt</w:t>
            </w:r>
          </w:p>
        </w:tc>
        <w:tc>
          <w:tcPr>
            <w:tcW w:w="600" w:type="dxa"/>
            <w:vAlign w:val="bottom"/>
            <w:tcBorders>
              <w:top w:val="single" w:sz="8" w:color="004483"/>
              <w:bottom w:val="single" w:sz="8" w:color="004483"/>
            </w:tcBorders>
          </w:tcPr>
          <w:p>
            <w:pPr>
              <w:jc w:val="right"/>
              <w:ind w:right="491"/>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1,009,035</w:t>
            </w:r>
          </w:p>
        </w:tc>
        <w:tc>
          <w:tcPr>
            <w:tcW w:w="100" w:type="dxa"/>
            <w:vAlign w:val="bottom"/>
          </w:tcPr>
          <w:p>
            <w:pPr>
              <w:spacing w:after="0"/>
              <w:rPr>
                <w:sz w:val="12"/>
                <w:szCs w:val="12"/>
                <w:color w:val="auto"/>
              </w:rPr>
            </w:pPr>
          </w:p>
        </w:tc>
        <w:tc>
          <w:tcPr>
            <w:tcW w:w="200" w:type="dxa"/>
            <w:vAlign w:val="bottom"/>
            <w:tcBorders>
              <w:top w:val="single" w:sz="8" w:color="A6A6A6"/>
            </w:tcBorders>
          </w:tcPr>
          <w:p>
            <w:pPr>
              <w:spacing w:after="0"/>
              <w:rPr>
                <w:sz w:val="12"/>
                <w:szCs w:val="12"/>
                <w:color w:val="auto"/>
              </w:rPr>
            </w:pPr>
          </w:p>
        </w:tc>
        <w:tc>
          <w:tcPr>
            <w:tcW w:w="660" w:type="dxa"/>
            <w:vAlign w:val="bottom"/>
            <w:tcBorders>
              <w:top w:val="single" w:sz="8" w:color="004483"/>
              <w:bottom w:val="single" w:sz="8" w:color="004483"/>
            </w:tcBorders>
          </w:tcPr>
          <w:p>
            <w:pPr>
              <w:jc w:val="right"/>
              <w:ind w:right="593"/>
              <w:spacing w:after="0"/>
              <w:rPr>
                <w:sz w:val="20"/>
                <w:szCs w:val="20"/>
                <w:color w:val="auto"/>
              </w:rPr>
            </w:pPr>
            <w:r>
              <w:rPr>
                <w:rFonts w:ascii="Arial" w:cs="Arial" w:eastAsia="Arial" w:hAnsi="Arial"/>
                <w:sz w:val="5"/>
                <w:szCs w:val="5"/>
                <w:b w:val="1"/>
                <w:bCs w:val="1"/>
                <w:color w:val="auto"/>
                <w:w w:val="70"/>
              </w:rPr>
              <w:t>$</w:t>
            </w:r>
          </w:p>
        </w:tc>
        <w:tc>
          <w:tcPr>
            <w:tcW w:w="9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1,008,616</w:t>
            </w:r>
          </w:p>
        </w:tc>
        <w:tc>
          <w:tcPr>
            <w:tcW w:w="120" w:type="dxa"/>
            <w:vAlign w:val="bottom"/>
          </w:tcPr>
          <w:p>
            <w:pPr>
              <w:spacing w:after="0"/>
              <w:rPr>
                <w:sz w:val="12"/>
                <w:szCs w:val="12"/>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LONG-TERM DEBT AT JUNE 30, 2021</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Credit Facility</w:t>
      </w:r>
    </w:p>
    <w:p>
      <w:pPr>
        <w:spacing w:after="0" w:line="92"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At June 30, 2021, we had a $750.0 million revolving credit facility (the Revolving Credit Facility), that included a $40.0 million letter of credit facility. There were no borrowings outstanding under the Revolving Credit Facility at June 30, 2021, although there were $4.3 million of outstanding letters of credit. All fees and expenses owed under the Revolving Credit Facility were paid on July 1, 2021 and the facility was terminated (as more fully summarized below).</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Term Loan</w:t>
      </w:r>
    </w:p>
    <w:p>
      <w:pPr>
        <w:spacing w:after="0" w:line="101" w:lineRule="exact"/>
        <w:rPr>
          <w:sz w:val="20"/>
          <w:szCs w:val="20"/>
          <w:color w:val="auto"/>
        </w:rPr>
      </w:pPr>
    </w:p>
    <w:p>
      <w:pPr>
        <w:ind w:right="40"/>
        <w:spacing w:after="0" w:line="277" w:lineRule="auto"/>
        <w:rPr>
          <w:sz w:val="20"/>
          <w:szCs w:val="20"/>
          <w:color w:val="auto"/>
        </w:rPr>
      </w:pPr>
      <w:r>
        <w:rPr>
          <w:rFonts w:ascii="Arial" w:cs="Arial" w:eastAsia="Arial" w:hAnsi="Arial"/>
          <w:sz w:val="12"/>
          <w:szCs w:val="12"/>
          <w:color w:val="auto"/>
        </w:rPr>
        <w:t>We had a term loan credit agreement (the Term Loan Facility) establishing a $665.0 million term loan facility which we used to pay a portion of the purchase price for the Kosmos Acquisition and fees and expenses incurred in connection with the Kosmos Acquisition in March 2020. The Term Loan Facility was repaid on July 1, 2021 and terminated.</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4.500% Senior Unsecured Notes Due 2026</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On August 2, 2016, the Company issued $350.0 million aggregate principal amount of 4.500% senior notes (4.500% Senior Unsecured Notes) due August 2026. These notes were redeemed in full on July 19, 2021 (the next succeeding business day following the redemption date). The redemption price included all of the outstanding principal and accrued interest through the redemption date of July 17, 2021, as well as an early termination premium of approximately $8.4 million.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LONG-TERM DEBT SUBSEQUENT TO JUNE 30, 2021</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New Revolving Credit Facility</w:t>
      </w:r>
    </w:p>
    <w:p>
      <w:pPr>
        <w:spacing w:after="0" w:line="101" w:lineRule="exact"/>
        <w:rPr>
          <w:sz w:val="20"/>
          <w:szCs w:val="20"/>
          <w:color w:val="auto"/>
        </w:rPr>
      </w:pPr>
    </w:p>
    <w:p>
      <w:pPr>
        <w:ind w:right="120"/>
        <w:spacing w:after="0" w:line="271" w:lineRule="auto"/>
        <w:rPr>
          <w:sz w:val="20"/>
          <w:szCs w:val="20"/>
          <w:color w:val="auto"/>
        </w:rPr>
      </w:pPr>
      <w:r>
        <w:rPr>
          <w:rFonts w:ascii="Arial" w:cs="Arial" w:eastAsia="Arial" w:hAnsi="Arial"/>
          <w:sz w:val="12"/>
          <w:szCs w:val="12"/>
          <w:color w:val="auto"/>
        </w:rPr>
        <w:t>On July 1, 2021, we terminated the Revolving Credit Facility and entered into an unsecured $750.0 million revolving credit facility (the New Revolving Credit Facility), which terminates on July 1, 2026. The New Revolving Credit Facility also provides the Company the option to increase the borrowing capacity by up to $375.0 million (for a total of $1,125 million in available borrowings), provided that the existing lenders, or new lenders, agree to such increase. The New Revolving Credit Facility includes a $40.0 million letter of credit facility and a swingline loan sub-facility of $25.0 million.</w:t>
      </w:r>
    </w:p>
    <w:p>
      <w:pPr>
        <w:spacing w:after="0" w:line="64"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auto"/>
        </w:rPr>
        <w:t>The New Revolving Credit Facility contains customary covenants for an unsecured investment-grade facility, including covenants that restrict the Company’s and/or its subsidiaries’ (as applicable) ability to incur additional debt; encumber assets; merge with or transfer or sell assets to other persons; and enter into certain affiliate transactions. The New Revolving Credit Facility also requires the Company to maintain at the end of each fiscal quarter a Leverage Ratio of 3.50:1.00 or less and an Interest Coverage Ratio (both ratios, as defined in the New Revolving Credit Facility) equal to or greater than 2.50 to 1.00 (collectively, the Financial Covenants).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36" w:right="299" w:bottom="1440" w:gutter="0" w:footer="0" w:header="0"/>
        </w:sectPr>
      </w:pPr>
    </w:p>
    <w:bookmarkStart w:id="16" w:name="page17"/>
    <w:bookmarkEnd w:id="16"/>
    <w:p>
      <w:pPr>
        <w:ind w:right="60"/>
        <w:spacing w:after="0" w:line="297" w:lineRule="auto"/>
        <w:rPr>
          <w:sz w:val="20"/>
          <w:szCs w:val="20"/>
          <w:color w:val="auto"/>
        </w:rPr>
      </w:pPr>
      <w:r>
        <w:rPr>
          <w:rFonts w:ascii="Arial" w:cs="Arial" w:eastAsia="Arial" w:hAnsi="Arial"/>
          <w:sz w:val="11"/>
          <w:szCs w:val="11"/>
          <w:color w:val="auto"/>
        </w:rPr>
        <w:t>At the Company’s option, principal amounts outstanding under the New Revolving Credit Facility bear interest at a variable rate equal to either (i) the Adjusted LIBO Rate (as defined in the New Revolving Credit Facility) plus an agreed spread (ranging from 100 to 162.5 basis points, which is established based on the Company's credit rating; or (ii) an Alternate Base Rate (as defined in the New Revolving Credit Facility), which is the highest of (a) the Prime Rate (as defined in the New Revolving Credit Facility) in effect on any applicable day, (b) the NYFRB Rate (as defined in the New Revolving Credit Facility) in effect on any applicable day, plus ½ of 1%, and (c) the Adjusted LIBO Rate for a one-month interest period on any applicable day (or if such day is not a Business Day (as defined in the New Revolving Credit Facility),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New Revolving Credit Facility ranging from 9 to 22.5 basis points which is established based on the Company's then credit rating.</w:t>
      </w:r>
    </w:p>
    <w:p>
      <w:pPr>
        <w:spacing w:after="0" w:line="51" w:lineRule="exact"/>
        <w:rPr>
          <w:sz w:val="20"/>
          <w:szCs w:val="20"/>
          <w:color w:val="auto"/>
        </w:rPr>
      </w:pPr>
    </w:p>
    <w:p>
      <w:pPr>
        <w:jc w:val="both"/>
        <w:ind w:right="240"/>
        <w:spacing w:after="0" w:line="269" w:lineRule="auto"/>
        <w:rPr>
          <w:sz w:val="20"/>
          <w:szCs w:val="20"/>
          <w:color w:val="auto"/>
        </w:rPr>
      </w:pPr>
      <w:r>
        <w:rPr>
          <w:rFonts w:ascii="Arial" w:cs="Arial" w:eastAsia="Arial" w:hAnsi="Arial"/>
          <w:sz w:val="12"/>
          <w:szCs w:val="12"/>
          <w:color w:val="auto"/>
        </w:rPr>
        <w:t>The Company pays each lender a participation fee with respect to such lender’s participations in letters of credit, which fee accrues at the same Applicable Rate (as defined in the New Revolving Credit Facility) used to determine the interest rate applicable to Eurodollar Revolving Loans (as defined in the New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65"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Assuming the Financial Covenants had been in effect on June 30, 2021, we would have been in compliance on such date, and, to the extent the Financial Covenants were tested on July 1, 2021, we would have also been in compliance on such date when we entered into the New Revolving Credit Facility. There were no borrowings outstanding under the New Revolving Credit Facility as of July 1, 2021, although we borrowed approximately $100.0 million under the New Revolving Credit Facility on July 19, 2021 to redeem a portion of the 4.500% Senior Unsecured Notes (See discussion of 4.500% Senior Unsecured Notes 2026 above, and 2.500% Senior Unsecured Notes 2031 below for further discussion). In addition to the borrowings, the $4.3 million outstanding letters of credit under the Revolving Credit Facility were transferred to the New Revolving Credit Facility on July 1, 2021. After the repayment of the 4.500% Senior Unsecured Notes, we had $645.7 million of available borrowings under the New Revolving Credit Facility, net of the outstanding letters of credit, all of which is available for future borrowings.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2.500% Senior Unsecured Notes Due 2031</w:t>
      </w:r>
    </w:p>
    <w:p>
      <w:pPr>
        <w:spacing w:after="0" w:line="101"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ten-year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7" w:name="page18"/>
    <w:bookmarkEnd w:id="17"/>
    <w:p>
      <w:pPr>
        <w:ind w:right="460"/>
        <w:spacing w:after="0" w:line="277" w:lineRule="auto"/>
        <w:rPr>
          <w:sz w:val="20"/>
          <w:szCs w:val="20"/>
          <w:color w:val="auto"/>
        </w:rPr>
      </w:pPr>
      <w:r>
        <w:rPr>
          <w:rFonts w:ascii="Arial" w:cs="Arial" w:eastAsia="Arial" w:hAnsi="Arial"/>
          <w:sz w:val="12"/>
          <w:szCs w:val="12"/>
          <w:color w:val="auto"/>
        </w:rPr>
        <w:t>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59"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auto"/>
        </w:rPr>
        <w:t>In connection with the issuance of the 2.500% Senior Unsecured notes, on July 1, 2021 we repaid all outstanding amounts under and terminated the Term Loan Facility. Additionally, on July 19, 2021, we redeemed and paid in full all outstanding amounts due under the 4.500% Senior Unsecured Notes, using proceeds from the 2.500% Senior Unsecured Notes, the New Revolving Credit Facility and cash on hand. In connection with the termination and repayment of the Term Loan Facility and the redemption of the 4.500% Senior Unsecured Notes, we will expense approximately $6.0 million of related debt issuance costs in July 2021.</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Summary of Long-Term Debt at July 19, 2021</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Subsequent to the issuance of the 2.500% Senior Unsecured Notes, the repayment of the Term Loan, and the redemption of the 4.500% Senior Unsecured Notes, our Long-term Debt consists of the following:</w:t>
      </w:r>
    </w:p>
    <w:p>
      <w:pPr>
        <w:sectPr>
          <w:pgSz w:w="11900" w:h="16838" w:orient="portrait"/>
          <w:cols w:equalWidth="0" w:num="1">
            <w:col w:w="11300"/>
          </w:cols>
          <w:pgMar w:left="300" w:top="382" w:right="29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1"/>
          <w:szCs w:val="11"/>
          <w:color w:val="auto"/>
        </w:rPr>
        <w:t>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0374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374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-87630</wp:posOffset>
            </wp:positionV>
            <wp:extent cx="710374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2.500% Senior Unsecured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58978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97880" cy="57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0374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9"/>
          <w:szCs w:val="9"/>
          <w:color w:val="auto"/>
        </w:rPr>
        <w:t>Less: Unamortized Discounts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58978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97880" cy="571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Long-term Debt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320" w:type="dxa"/>
            <w:vAlign w:val="bottom"/>
            <w:shd w:val="clear" w:color="auto" w:fill="004483"/>
          </w:tcPr>
          <w:p>
            <w:pPr>
              <w:spacing w:after="0"/>
              <w:rPr>
                <w:sz w:val="13"/>
                <w:szCs w:val="13"/>
                <w:color w:val="auto"/>
              </w:rPr>
            </w:pPr>
          </w:p>
        </w:tc>
        <w:tc>
          <w:tcPr>
            <w:tcW w:w="1700" w:type="dxa"/>
            <w:vAlign w:val="bottom"/>
            <w:gridSpan w:val="2"/>
            <w:shd w:val="clear" w:color="auto" w:fill="004483"/>
          </w:tcPr>
          <w:p>
            <w:pPr>
              <w:jc w:val="right"/>
              <w:ind w:right="120"/>
              <w:spacing w:after="0"/>
              <w:rPr>
                <w:sz w:val="20"/>
                <w:szCs w:val="20"/>
                <w:color w:val="auto"/>
              </w:rPr>
            </w:pPr>
            <w:r>
              <w:rPr>
                <w:rFonts w:ascii="Arial" w:cs="Arial" w:eastAsia="Arial" w:hAnsi="Arial"/>
                <w:sz w:val="8"/>
                <w:szCs w:val="8"/>
                <w:b w:val="1"/>
                <w:bCs w:val="1"/>
                <w:color w:val="FFFFFF"/>
              </w:rPr>
              <w:t>As of July 19,</w:t>
            </w:r>
          </w:p>
        </w:tc>
      </w:tr>
      <w:tr>
        <w:trPr>
          <w:trHeight w:val="99"/>
        </w:trPr>
        <w:tc>
          <w:tcPr>
            <w:tcW w:w="320" w:type="dxa"/>
            <w:vAlign w:val="bottom"/>
          </w:tcPr>
          <w:p>
            <w:pPr>
              <w:spacing w:after="0"/>
              <w:rPr>
                <w:sz w:val="8"/>
                <w:szCs w:val="8"/>
                <w:color w:val="auto"/>
              </w:rPr>
            </w:pPr>
          </w:p>
        </w:tc>
        <w:tc>
          <w:tcPr>
            <w:tcW w:w="158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r>
      <w:tr>
        <w:trPr>
          <w:trHeight w:val="105"/>
        </w:trPr>
        <w:tc>
          <w:tcPr>
            <w:tcW w:w="320" w:type="dxa"/>
            <w:vAlign w:val="bottom"/>
          </w:tcPr>
          <w:p>
            <w:pPr>
              <w:spacing w:after="0"/>
              <w:rPr>
                <w:sz w:val="9"/>
                <w:szCs w:val="9"/>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8"/>
                <w:szCs w:val="8"/>
                <w:color w:val="auto"/>
              </w:rPr>
              <w:t>(dollars in thousands)</w:t>
            </w:r>
          </w:p>
        </w:tc>
      </w:tr>
      <w:tr>
        <w:trPr>
          <w:trHeight w:val="143"/>
        </w:trPr>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580" w:type="dxa"/>
            <w:vAlign w:val="bottom"/>
          </w:tcPr>
          <w:p>
            <w:pPr>
              <w:jc w:val="right"/>
              <w:spacing w:after="0"/>
              <w:rPr>
                <w:sz w:val="20"/>
                <w:szCs w:val="20"/>
                <w:color w:val="auto"/>
              </w:rPr>
            </w:pPr>
            <w:r>
              <w:rPr>
                <w:rFonts w:ascii="Arial" w:cs="Arial" w:eastAsia="Arial" w:hAnsi="Arial"/>
                <w:sz w:val="11"/>
                <w:szCs w:val="11"/>
                <w:color w:val="auto"/>
              </w:rPr>
              <w:t>100,000</w:t>
            </w:r>
          </w:p>
        </w:tc>
        <w:tc>
          <w:tcPr>
            <w:tcW w:w="120" w:type="dxa"/>
            <w:vAlign w:val="bottom"/>
          </w:tcPr>
          <w:p>
            <w:pPr>
              <w:spacing w:after="0"/>
              <w:rPr>
                <w:sz w:val="12"/>
                <w:szCs w:val="12"/>
                <w:color w:val="auto"/>
              </w:rPr>
            </w:pPr>
          </w:p>
        </w:tc>
      </w:tr>
      <w:tr>
        <w:trPr>
          <w:trHeight w:val="155"/>
        </w:trPr>
        <w:tc>
          <w:tcPr>
            <w:tcW w:w="320" w:type="dxa"/>
            <w:vAlign w:val="bottom"/>
            <w:tcBorders>
              <w:bottom w:val="single" w:sz="8" w:color="004483"/>
            </w:tcBorders>
          </w:tcPr>
          <w:p>
            <w:pPr>
              <w:spacing w:after="0"/>
              <w:rPr>
                <w:sz w:val="13"/>
                <w:szCs w:val="13"/>
                <w:color w:val="auto"/>
              </w:rPr>
            </w:pPr>
          </w:p>
        </w:tc>
        <w:tc>
          <w:tcPr>
            <w:tcW w:w="158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750,000</w:t>
            </w:r>
          </w:p>
        </w:tc>
        <w:tc>
          <w:tcPr>
            <w:tcW w:w="120" w:type="dxa"/>
            <w:vAlign w:val="bottom"/>
          </w:tcPr>
          <w:p>
            <w:pPr>
              <w:spacing w:after="0"/>
              <w:rPr>
                <w:sz w:val="13"/>
                <w:szCs w:val="13"/>
                <w:color w:val="auto"/>
              </w:rPr>
            </w:pPr>
          </w:p>
        </w:tc>
      </w:tr>
      <w:tr>
        <w:trPr>
          <w:trHeight w:val="131"/>
        </w:trPr>
        <w:tc>
          <w:tcPr>
            <w:tcW w:w="3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850,000</w:t>
            </w:r>
          </w:p>
        </w:tc>
        <w:tc>
          <w:tcPr>
            <w:tcW w:w="120" w:type="dxa"/>
            <w:vAlign w:val="bottom"/>
          </w:tcPr>
          <w:p>
            <w:pPr>
              <w:spacing w:after="0"/>
              <w:rPr>
                <w:sz w:val="11"/>
                <w:szCs w:val="11"/>
                <w:color w:val="auto"/>
              </w:rPr>
            </w:pPr>
          </w:p>
        </w:tc>
      </w:tr>
      <w:tr>
        <w:trPr>
          <w:trHeight w:val="155"/>
        </w:trPr>
        <w:tc>
          <w:tcPr>
            <w:tcW w:w="320" w:type="dxa"/>
            <w:vAlign w:val="bottom"/>
          </w:tcPr>
          <w:p>
            <w:pPr>
              <w:spacing w:after="0"/>
              <w:rPr>
                <w:sz w:val="13"/>
                <w:szCs w:val="13"/>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1"/>
                <w:szCs w:val="11"/>
                <w:color w:val="auto"/>
              </w:rPr>
              <w:t>(11,904)</w:t>
            </w:r>
          </w:p>
        </w:tc>
      </w:tr>
      <w:tr>
        <w:trPr>
          <w:trHeight w:val="142"/>
        </w:trPr>
        <w:tc>
          <w:tcPr>
            <w:tcW w:w="320" w:type="dxa"/>
            <w:vAlign w:val="bottom"/>
            <w:tcBorders>
              <w:top w:val="single" w:sz="8" w:color="004483"/>
              <w:bottom w:val="single" w:sz="8" w:color="004483"/>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5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838,096</w:t>
            </w:r>
          </w:p>
        </w:tc>
        <w:tc>
          <w:tcPr>
            <w:tcW w:w="120" w:type="dxa"/>
            <w:vAlign w:val="bottom"/>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2">
            <w:col w:w="8560" w:space="720"/>
            <w:col w:w="2020"/>
          </w:cols>
          <w:pgMar w:left="300" w:top="382" w:right="29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 SEGMENT INFORMATION</w:t>
      </w:r>
    </w:p>
    <w:p>
      <w:pPr>
        <w:spacing w:after="0" w:line="93"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 On September 18, 2020, we sold our Oil and Gas Proppants business, which had been reported as an operating segment. The Oil and Gas Proppants business was determined to meet the discontinued operations accounting criteria; therefore, this segment is no longer separately reported in our reportable segment footnote for any of the periods presented. Certain expenses of the Oil and Gas Proppants business that related to assets not included in the sale, namely real property and equipment in south Texas, real property in Illinois, and certain other assets, are included in Other when reconciling segment operating earnings to consolidated operating earnings. See Footnote (C) for more information about the sale of the Oil and Gas Proppants business.</w:t>
      </w:r>
    </w:p>
    <w:p>
      <w:pPr>
        <w:spacing w:after="0" w:line="65"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59" w:lineRule="exact"/>
        <w:rPr>
          <w:sz w:val="20"/>
          <w:szCs w:val="20"/>
          <w:color w:val="auto"/>
        </w:rPr>
      </w:pPr>
    </w:p>
    <w:p>
      <w:pPr>
        <w:ind w:right="260"/>
        <w:spacing w:after="0" w:line="268" w:lineRule="auto"/>
        <w:rPr>
          <w:sz w:val="20"/>
          <w:szCs w:val="20"/>
          <w:color w:val="auto"/>
        </w:rPr>
      </w:pPr>
      <w:r>
        <w:rPr>
          <w:rFonts w:ascii="Arial" w:cs="Arial" w:eastAsia="Arial" w:hAnsi="Arial"/>
          <w:sz w:val="12"/>
          <w:szCs w:val="12"/>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7" w:lineRule="exact"/>
        <w:rPr>
          <w:sz w:val="20"/>
          <w:szCs w:val="20"/>
          <w:color w:val="auto"/>
        </w:rPr>
      </w:pPr>
    </w:p>
    <w:p>
      <w:pPr>
        <w:ind w:right="180"/>
        <w:spacing w:after="0" w:line="277" w:lineRule="auto"/>
        <w:rPr>
          <w:sz w:val="20"/>
          <w:szCs w:val="20"/>
          <w:color w:val="auto"/>
        </w:rPr>
      </w:pPr>
      <w:r>
        <w:rPr>
          <w:rFonts w:ascii="Arial" w:cs="Arial" w:eastAsia="Arial" w:hAnsi="Arial"/>
          <w:sz w:val="12"/>
          <w:szCs w:val="12"/>
          <w:color w:val="auto"/>
        </w:rPr>
        <w:t>We operate eight modern cement plants (one of which is operated through a joint venture located in Buda, Texas), one slag grinding facility, and 29 cement distribution terminals. Our cement companies focus on the U.S.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type w:val="continuous"/>
        </w:sectPr>
      </w:pPr>
    </w:p>
    <w:bookmarkStart w:id="18" w:name="page19"/>
    <w:bookmarkEnd w:id="18"/>
    <w:p>
      <w:pPr>
        <w:ind w:right="60"/>
        <w:spacing w:after="0" w:line="271" w:lineRule="auto"/>
        <w:rPr>
          <w:sz w:val="20"/>
          <w:szCs w:val="20"/>
          <w:color w:val="auto"/>
        </w:rPr>
      </w:pPr>
      <w:r>
        <w:rPr>
          <w:rFonts w:ascii="Arial" w:cs="Arial" w:eastAsia="Arial" w:hAnsi="Arial"/>
          <w:sz w:val="12"/>
          <w:szCs w:val="12"/>
          <w:color w:val="auto"/>
        </w:rPr>
        <w:t>heartland and operate as an integrated network selling product primarily in California, Colorado, Illinois, Indiana, Iowa, Kentucky, Missouri, Nebraska, Nevada, Ohio, Oklahoma, and Texas. We operate 26 readymix concrete batch plants and three aggregates processing plants in markets that are complementary to our cement network. On April 17, 2020, we sold our Concrete and Aggregates companies in northern California. See Footnote (C) for more information about the sale.</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We operate five gypsum wallboard plants and a recycled paperboard mill. We distribute gypsum wallboard and recycled paperboard throughout the continental U.S., with the exception of the Northeast.</w:t>
      </w:r>
    </w:p>
    <w:p>
      <w:pPr>
        <w:spacing w:after="0" w:line="87"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59" w:lineRule="exact"/>
        <w:rPr>
          <w:sz w:val="20"/>
          <w:szCs w:val="20"/>
          <w:color w:val="auto"/>
        </w:rPr>
      </w:pPr>
    </w:p>
    <w:p>
      <w:pPr>
        <w:ind w:right="240"/>
        <w:spacing w:after="0" w:line="277" w:lineRule="auto"/>
        <w:rPr>
          <w:sz w:val="20"/>
          <w:szCs w:val="20"/>
          <w:color w:val="auto"/>
        </w:rPr>
      </w:pPr>
      <w:r>
        <w:rPr>
          <w:rFonts w:ascii="Arial" w:cs="Arial" w:eastAsia="Arial" w:hAnsi="Arial"/>
          <w:sz w:val="12"/>
          <w:szCs w:val="12"/>
          <w:color w:val="auto"/>
        </w:rPr>
        <w:t>The following table sets forth certain financial information relating to our operations by segment. We do not allocate interest or taxes at the segment level; these costs are disclosed at the consolidated company level.</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180" w:type="dxa"/>
            <w:vAlign w:val="bottom"/>
            <w:gridSpan w:val="4"/>
            <w:shd w:val="clear" w:color="auto" w:fill="004483"/>
          </w:tcPr>
          <w:p>
            <w:pPr>
              <w:jc w:val="center"/>
              <w:ind w:left="89"/>
              <w:spacing w:after="0"/>
              <w:rPr>
                <w:sz w:val="20"/>
                <w:szCs w:val="20"/>
                <w:color w:val="auto"/>
              </w:rPr>
            </w:pPr>
            <w:r>
              <w:rPr>
                <w:rFonts w:ascii="Arial" w:cs="Arial" w:eastAsia="Arial" w:hAnsi="Arial"/>
                <w:sz w:val="8"/>
                <w:szCs w:val="8"/>
                <w:b w:val="1"/>
                <w:bCs w:val="1"/>
                <w:color w:val="FFFFFF"/>
                <w:w w:val="95"/>
              </w:rPr>
              <w:t>For the Three Months Ended June 30,</w:t>
            </w:r>
          </w:p>
        </w:tc>
        <w:tc>
          <w:tcPr>
            <w:tcW w:w="7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80" w:type="dxa"/>
            <w:vAlign w:val="bottom"/>
            <w:tcBorders>
              <w:bottom w:val="single" w:sz="8" w:color="004483"/>
            </w:tcBorders>
            <w:gridSpan w:val="4"/>
          </w:tcPr>
          <w:p>
            <w:pPr>
              <w:jc w:val="center"/>
              <w:ind w:left="89"/>
              <w:spacing w:after="0"/>
              <w:rPr>
                <w:sz w:val="20"/>
                <w:szCs w:val="20"/>
                <w:color w:val="auto"/>
              </w:rPr>
            </w:pPr>
            <w:r>
              <w:rPr>
                <w:rFonts w:ascii="Arial" w:cs="Arial" w:eastAsia="Arial" w:hAnsi="Arial"/>
                <w:sz w:val="8"/>
                <w:szCs w:val="8"/>
                <w:color w:val="auto"/>
                <w:w w:val="94"/>
              </w:rPr>
              <w:t>(dollars in thousands)</w:t>
            </w:r>
          </w:p>
        </w:tc>
        <w:tc>
          <w:tcPr>
            <w:tcW w:w="7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Revenue</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270,255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ind w:right="793"/>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261,411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44,754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44,190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Gypsum Wallboard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166,267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130,150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43,267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bottom w:val="single" w:sz="8" w:color="004483"/>
            </w:tcBorders>
          </w:tcPr>
          <w:p>
            <w:pPr>
              <w:spacing w:after="0"/>
              <w:rPr>
                <w:sz w:val="11"/>
                <w:szCs w:val="11"/>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36,744</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11"/>
                <w:szCs w:val="11"/>
                <w:color w:val="auto"/>
              </w:rPr>
            </w:pP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524,543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472,495</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Less: Intersegment Revenue</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(26,082)</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(20,206)</w:t>
            </w:r>
          </w:p>
        </w:tc>
      </w:tr>
      <w:tr>
        <w:trPr>
          <w:trHeight w:val="20"/>
        </w:trPr>
        <w:tc>
          <w:tcPr>
            <w:tcW w:w="77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Less: Joint Venture Revenue</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(22,691)</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(25,300)</w:t>
            </w:r>
          </w:p>
        </w:tc>
      </w:tr>
      <w:tr>
        <w:trPr>
          <w:trHeight w:val="142"/>
        </w:trPr>
        <w:tc>
          <w:tcPr>
            <w:tcW w:w="7740" w:type="dxa"/>
            <w:vAlign w:val="bottom"/>
            <w:tcBorders>
              <w:top w:val="single" w:sz="8" w:color="A6A6A6"/>
            </w:tcBorders>
          </w:tcPr>
          <w:p>
            <w:pPr>
              <w:spacing w:after="0"/>
              <w:rPr>
                <w:sz w:val="12"/>
                <w:szCs w:val="12"/>
                <w:color w:val="auto"/>
              </w:rPr>
            </w:pPr>
          </w:p>
        </w:tc>
        <w:tc>
          <w:tcPr>
            <w:tcW w:w="560" w:type="dxa"/>
            <w:vAlign w:val="bottom"/>
            <w:tcBorders>
              <w:top w:val="single" w:sz="8" w:color="004483"/>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475,770</w:t>
            </w:r>
          </w:p>
        </w:tc>
        <w:tc>
          <w:tcPr>
            <w:tcW w:w="100" w:type="dxa"/>
            <w:vAlign w:val="bottom"/>
          </w:tcPr>
          <w:p>
            <w:pPr>
              <w:spacing w:after="0"/>
              <w:rPr>
                <w:sz w:val="12"/>
                <w:szCs w:val="12"/>
                <w:color w:val="auto"/>
              </w:rPr>
            </w:pPr>
          </w:p>
        </w:tc>
        <w:tc>
          <w:tcPr>
            <w:tcW w:w="200" w:type="dxa"/>
            <w:vAlign w:val="bottom"/>
            <w:tcBorders>
              <w:top w:val="single" w:sz="8" w:color="A6A6A6"/>
            </w:tcBorders>
          </w:tcPr>
          <w:p>
            <w:pPr>
              <w:spacing w:after="0"/>
              <w:rPr>
                <w:sz w:val="12"/>
                <w:szCs w:val="12"/>
                <w:color w:val="auto"/>
              </w:rPr>
            </w:pPr>
          </w:p>
        </w:tc>
        <w:tc>
          <w:tcPr>
            <w:tcW w:w="860" w:type="dxa"/>
            <w:vAlign w:val="bottom"/>
            <w:tcBorders>
              <w:top w:val="single" w:sz="8" w:color="004483"/>
              <w:bottom w:val="single" w:sz="8" w:color="004483"/>
            </w:tcBorders>
          </w:tcPr>
          <w:p>
            <w:pPr>
              <w:jc w:val="right"/>
              <w:ind w:right="793"/>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426,989</w:t>
            </w:r>
          </w:p>
        </w:tc>
        <w:tc>
          <w:tcPr>
            <w:tcW w:w="120" w:type="dxa"/>
            <w:vAlign w:val="bottom"/>
          </w:tcPr>
          <w:p>
            <w:pPr>
              <w:spacing w:after="0"/>
              <w:rPr>
                <w:sz w:val="12"/>
                <w:szCs w:val="12"/>
                <w:color w:val="auto"/>
              </w:rPr>
            </w:pPr>
          </w:p>
        </w:tc>
      </w:tr>
      <w:tr>
        <w:trPr>
          <w:trHeight w:val="162"/>
        </w:trPr>
        <w:tc>
          <w:tcPr>
            <w:tcW w:w="7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4"/>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180" w:type="dxa"/>
            <w:vAlign w:val="bottom"/>
            <w:gridSpan w:val="4"/>
            <w:shd w:val="clear" w:color="auto" w:fill="004483"/>
          </w:tcPr>
          <w:p>
            <w:pPr>
              <w:jc w:val="center"/>
              <w:ind w:left="89"/>
              <w:spacing w:after="0"/>
              <w:rPr>
                <w:sz w:val="20"/>
                <w:szCs w:val="20"/>
                <w:color w:val="auto"/>
              </w:rPr>
            </w:pPr>
            <w:r>
              <w:rPr>
                <w:rFonts w:ascii="Arial" w:cs="Arial" w:eastAsia="Arial" w:hAnsi="Arial"/>
                <w:sz w:val="8"/>
                <w:szCs w:val="8"/>
                <w:b w:val="1"/>
                <w:bCs w:val="1"/>
                <w:color w:val="FFFFFF"/>
                <w:w w:val="95"/>
              </w:rPr>
              <w:t>For the Three Months Ended June 30,</w:t>
            </w:r>
          </w:p>
        </w:tc>
        <w:tc>
          <w:tcPr>
            <w:tcW w:w="70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80" w:type="dxa"/>
            <w:vAlign w:val="bottom"/>
            <w:tcBorders>
              <w:bottom w:val="single" w:sz="8" w:color="004483"/>
            </w:tcBorders>
            <w:gridSpan w:val="4"/>
          </w:tcPr>
          <w:p>
            <w:pPr>
              <w:jc w:val="center"/>
              <w:ind w:left="89"/>
              <w:spacing w:after="0"/>
              <w:rPr>
                <w:sz w:val="20"/>
                <w:szCs w:val="20"/>
                <w:color w:val="auto"/>
              </w:rPr>
            </w:pPr>
            <w:r>
              <w:rPr>
                <w:rFonts w:ascii="Arial" w:cs="Arial" w:eastAsia="Arial" w:hAnsi="Arial"/>
                <w:sz w:val="8"/>
                <w:szCs w:val="8"/>
                <w:color w:val="auto"/>
                <w:w w:val="94"/>
              </w:rPr>
              <w:t>(dollars in thousands)</w:t>
            </w:r>
          </w:p>
        </w:tc>
        <w:tc>
          <w:tcPr>
            <w:tcW w:w="70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Intersegment Revenue</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7,833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ind w:right="793"/>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6,031</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Pr>
          <w:p>
            <w:pPr>
              <w:spacing w:after="0"/>
              <w:rPr>
                <w:sz w:val="11"/>
                <w:szCs w:val="11"/>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11"/>
                <w:szCs w:val="11"/>
                <w:color w:val="auto"/>
              </w:rPr>
            </w:pP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top w:val="single" w:sz="8" w:color="A6A6A6"/>
              <w:bottom w:val="single" w:sz="8" w:color="004483"/>
            </w:tcBorders>
          </w:tcPr>
          <w:p>
            <w:pPr>
              <w:spacing w:after="0"/>
              <w:rPr>
                <w:sz w:val="11"/>
                <w:szCs w:val="11"/>
                <w:color w:val="auto"/>
              </w:rPr>
            </w:pPr>
          </w:p>
        </w:tc>
        <w:tc>
          <w:tcPr>
            <w:tcW w:w="10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18,249</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60" w:type="dxa"/>
            <w:vAlign w:val="bottom"/>
            <w:tcBorders>
              <w:top w:val="single" w:sz="8" w:color="A6A6A6"/>
              <w:bottom w:val="single" w:sz="8" w:color="004483"/>
            </w:tcBorders>
          </w:tcPr>
          <w:p>
            <w:pPr>
              <w:spacing w:after="0"/>
              <w:rPr>
                <w:sz w:val="11"/>
                <w:szCs w:val="11"/>
                <w:color w:val="auto"/>
              </w:rPr>
            </w:pPr>
          </w:p>
        </w:tc>
        <w:tc>
          <w:tcPr>
            <w:tcW w:w="7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14,069</w:t>
            </w:r>
          </w:p>
        </w:tc>
        <w:tc>
          <w:tcPr>
            <w:tcW w:w="120" w:type="dxa"/>
            <w:vAlign w:val="bottom"/>
          </w:tcPr>
          <w:p>
            <w:pPr>
              <w:spacing w:after="0"/>
              <w:rPr>
                <w:sz w:val="11"/>
                <w:szCs w:val="11"/>
                <w:color w:val="auto"/>
              </w:rPr>
            </w:pPr>
          </w:p>
        </w:tc>
      </w:tr>
      <w:tr>
        <w:trPr>
          <w:trHeight w:val="153"/>
        </w:trPr>
        <w:tc>
          <w:tcPr>
            <w:tcW w:w="7740" w:type="dxa"/>
            <w:vAlign w:val="bottom"/>
            <w:tcBorders>
              <w:bottom w:val="single" w:sz="8" w:color="A6A6A6"/>
            </w:tcBorders>
          </w:tcPr>
          <w:p>
            <w:pPr>
              <w:spacing w:after="0"/>
              <w:rPr>
                <w:sz w:val="13"/>
                <w:szCs w:val="13"/>
                <w:color w:val="auto"/>
              </w:rPr>
            </w:pP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26,082</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860" w:type="dxa"/>
            <w:vAlign w:val="bottom"/>
            <w:tcBorders>
              <w:bottom w:val="single" w:sz="8" w:color="004483"/>
            </w:tcBorders>
          </w:tcPr>
          <w:p>
            <w:pPr>
              <w:jc w:val="right"/>
              <w:ind w:right="793"/>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20,206</w:t>
            </w:r>
          </w:p>
        </w:tc>
        <w:tc>
          <w:tcPr>
            <w:tcW w:w="120" w:type="dxa"/>
            <w:vAlign w:val="bottom"/>
          </w:tcPr>
          <w:p>
            <w:pPr>
              <w:spacing w:after="0"/>
              <w:rPr>
                <w:sz w:val="13"/>
                <w:szCs w:val="13"/>
                <w:color w:val="auto"/>
              </w:rPr>
            </w:pPr>
          </w:p>
        </w:tc>
      </w:tr>
      <w:tr>
        <w:trPr>
          <w:trHeight w:val="126"/>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Cement Sales Volume (M tons)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7"/>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Wholly Owned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1,852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1,866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Joint Venture</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184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60" w:type="dxa"/>
            <w:vAlign w:val="bottom"/>
            <w:tcBorders>
              <w:bottom w:val="single" w:sz="8" w:color="004483"/>
            </w:tcBorders>
          </w:tcPr>
          <w:p>
            <w:pPr>
              <w:spacing w:after="0"/>
              <w:rPr>
                <w:sz w:val="11"/>
                <w:szCs w:val="11"/>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219</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560" w:type="dxa"/>
            <w:vAlign w:val="bottom"/>
            <w:tcBorders>
              <w:bottom w:val="single" w:sz="8" w:color="004483"/>
            </w:tcBorders>
          </w:tcPr>
          <w:p>
            <w:pPr>
              <w:spacing w:after="0"/>
              <w:rPr>
                <w:sz w:val="12"/>
                <w:szCs w:val="12"/>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2,036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004483"/>
            </w:tcBorders>
          </w:tcPr>
          <w:p>
            <w:pPr>
              <w:spacing w:after="0"/>
              <w:rPr>
                <w:sz w:val="12"/>
                <w:szCs w:val="12"/>
                <w:color w:val="auto"/>
              </w:rPr>
            </w:pPr>
          </w:p>
        </w:tc>
        <w:tc>
          <w:tcPr>
            <w:tcW w:w="70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2,085</w:t>
            </w:r>
          </w:p>
        </w:tc>
        <w:tc>
          <w:tcPr>
            <w:tcW w:w="120" w:type="dxa"/>
            <w:vAlign w:val="bottom"/>
          </w:tcPr>
          <w:p>
            <w:pPr>
              <w:spacing w:after="0"/>
              <w:rPr>
                <w:sz w:val="12"/>
                <w:szCs w:val="12"/>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140" w:type="dxa"/>
            <w:vAlign w:val="bottom"/>
            <w:gridSpan w:val="4"/>
            <w:shd w:val="clear" w:color="auto" w:fill="004483"/>
          </w:tcPr>
          <w:p>
            <w:pPr>
              <w:jc w:val="right"/>
              <w:ind w:right="273"/>
              <w:spacing w:after="0"/>
              <w:rPr>
                <w:sz w:val="20"/>
                <w:szCs w:val="20"/>
                <w:color w:val="auto"/>
              </w:rPr>
            </w:pPr>
            <w:r>
              <w:rPr>
                <w:rFonts w:ascii="Arial" w:cs="Arial" w:eastAsia="Arial" w:hAnsi="Arial"/>
                <w:sz w:val="8"/>
                <w:szCs w:val="8"/>
                <w:b w:val="1"/>
                <w:bCs w:val="1"/>
                <w:color w:val="FFFFFF"/>
              </w:rPr>
              <w:t>For the Three Months Ended June 30,</w:t>
            </w:r>
          </w:p>
        </w:tc>
        <w:tc>
          <w:tcPr>
            <w:tcW w:w="74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40" w:type="dxa"/>
            <w:vAlign w:val="bottom"/>
            <w:tcBorders>
              <w:bottom w:val="single" w:sz="8" w:color="004483"/>
            </w:tcBorders>
            <w:gridSpan w:val="4"/>
          </w:tcPr>
          <w:p>
            <w:pPr>
              <w:jc w:val="right"/>
              <w:ind w:right="593"/>
              <w:spacing w:after="0"/>
              <w:rPr>
                <w:sz w:val="20"/>
                <w:szCs w:val="20"/>
                <w:color w:val="auto"/>
              </w:rPr>
            </w:pPr>
            <w:r>
              <w:rPr>
                <w:rFonts w:ascii="Arial" w:cs="Arial" w:eastAsia="Arial" w:hAnsi="Arial"/>
                <w:sz w:val="8"/>
                <w:szCs w:val="8"/>
                <w:color w:val="auto"/>
              </w:rPr>
              <w:t>(dollars in thousands)</w:t>
            </w:r>
          </w:p>
        </w:tc>
        <w:tc>
          <w:tcPr>
            <w:tcW w:w="74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Operating Earnings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62,547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753"/>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60,455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5,344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5,418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Gypsum Wallboard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63,253</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41,325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3,337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004483"/>
            </w:tcBorders>
          </w:tcPr>
          <w:p>
            <w:pPr>
              <w:spacing w:after="0"/>
              <w:rPr>
                <w:sz w:val="11"/>
                <w:szCs w:val="11"/>
                <w:color w:val="auto"/>
              </w:rPr>
            </w:pP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2,895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320"/>
              <w:spacing w:after="0"/>
              <w:rPr>
                <w:sz w:val="20"/>
                <w:szCs w:val="20"/>
                <w:color w:val="auto"/>
              </w:rPr>
            </w:pPr>
            <w:r>
              <w:rPr>
                <w:rFonts w:ascii="Arial" w:cs="Arial" w:eastAsia="Arial" w:hAnsi="Arial"/>
                <w:sz w:val="11"/>
                <w:szCs w:val="11"/>
                <w:color w:val="auto"/>
              </w:rPr>
              <w:t>Sub-Total</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134,481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110,093</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Corporate General and Administrative Expense</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(9,468)</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(17,789)</w:t>
            </w: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Gain on Sale of Businesses</w:t>
            </w:r>
          </w:p>
        </w:tc>
        <w:tc>
          <w:tcPr>
            <w:tcW w:w="560" w:type="dxa"/>
            <w:vAlign w:val="bottom"/>
            <w:tcBorders>
              <w:top w:val="single" w:sz="8" w:color="A6A6A6"/>
              <w:bottom w:val="single" w:sz="8" w:color="A6A6A6"/>
            </w:tcBorders>
          </w:tcPr>
          <w:p>
            <w:pPr>
              <w:spacing w:after="0"/>
              <w:rPr>
                <w:sz w:val="11"/>
                <w:szCs w:val="11"/>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20" w:type="dxa"/>
            <w:vAlign w:val="bottom"/>
            <w:tcBorders>
              <w:top w:val="single" w:sz="8" w:color="A6A6A6"/>
              <w:bottom w:val="single" w:sz="8" w:color="A6A6A6"/>
            </w:tcBorders>
          </w:tcPr>
          <w:p>
            <w:pPr>
              <w:spacing w:after="0"/>
              <w:rPr>
                <w:sz w:val="11"/>
                <w:szCs w:val="11"/>
                <w:color w:val="auto"/>
              </w:rPr>
            </w:pPr>
          </w:p>
        </w:tc>
        <w:tc>
          <w:tcPr>
            <w:tcW w:w="7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51,973</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Other Non-Operating Income (Loss)</w:t>
            </w:r>
          </w:p>
        </w:tc>
        <w:tc>
          <w:tcPr>
            <w:tcW w:w="5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3,678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(309)</w:t>
            </w: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Earnings Before Interest and Income Taxes</w:t>
            </w:r>
          </w:p>
        </w:tc>
        <w:tc>
          <w:tcPr>
            <w:tcW w:w="560" w:type="dxa"/>
            <w:vAlign w:val="bottom"/>
            <w:tcBorders>
              <w:top w:val="single" w:sz="8" w:color="004483"/>
              <w:bottom w:val="single" w:sz="8" w:color="A6A6A6"/>
            </w:tcBorders>
          </w:tcPr>
          <w:p>
            <w:pPr>
              <w:spacing w:after="0"/>
              <w:rPr>
                <w:sz w:val="11"/>
                <w:szCs w:val="11"/>
                <w:color w:val="auto"/>
              </w:rPr>
            </w:pPr>
          </w:p>
        </w:tc>
        <w:tc>
          <w:tcPr>
            <w:tcW w:w="10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128,691</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20" w:type="dxa"/>
            <w:vAlign w:val="bottom"/>
            <w:tcBorders>
              <w:top w:val="single" w:sz="8" w:color="004483"/>
              <w:bottom w:val="single" w:sz="8" w:color="A6A6A6"/>
            </w:tcBorders>
          </w:tcPr>
          <w:p>
            <w:pPr>
              <w:spacing w:after="0"/>
              <w:rPr>
                <w:sz w:val="11"/>
                <w:szCs w:val="11"/>
                <w:color w:val="auto"/>
              </w:rPr>
            </w:pPr>
          </w:p>
        </w:tc>
        <w:tc>
          <w:tcPr>
            <w:tcW w:w="7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1"/>
                <w:szCs w:val="11"/>
                <w:color w:val="auto"/>
              </w:rPr>
              <w:t>143,968</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Interest Expense, net</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(6,972)</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(14,041)</w:t>
            </w:r>
          </w:p>
        </w:tc>
      </w:tr>
      <w:tr>
        <w:trPr>
          <w:trHeight w:val="15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b w:val="1"/>
                <w:bCs w:val="1"/>
                <w:color w:val="auto"/>
              </w:rPr>
              <w:t>Earnings Before Income Taxes</w:t>
            </w:r>
          </w:p>
        </w:tc>
        <w:tc>
          <w:tcPr>
            <w:tcW w:w="560" w:type="dxa"/>
            <w:vAlign w:val="bottom"/>
            <w:tcBorders>
              <w:top w:val="single" w:sz="8" w:color="004483"/>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121,719</w:t>
            </w:r>
          </w:p>
        </w:tc>
        <w:tc>
          <w:tcPr>
            <w:tcW w:w="100" w:type="dxa"/>
            <w:vAlign w:val="bottom"/>
          </w:tcPr>
          <w:p>
            <w:pPr>
              <w:spacing w:after="0"/>
              <w:rPr>
                <w:sz w:val="13"/>
                <w:szCs w:val="13"/>
                <w:color w:val="auto"/>
              </w:rPr>
            </w:pPr>
          </w:p>
        </w:tc>
        <w:tc>
          <w:tcPr>
            <w:tcW w:w="200" w:type="dxa"/>
            <w:vAlign w:val="bottom"/>
            <w:tcBorders>
              <w:top w:val="single" w:sz="8" w:color="A6A6A6"/>
              <w:bottom w:val="single" w:sz="8" w:color="A6A6A6"/>
            </w:tcBorders>
          </w:tcPr>
          <w:p>
            <w:pPr>
              <w:spacing w:after="0"/>
              <w:rPr>
                <w:sz w:val="13"/>
                <w:szCs w:val="13"/>
                <w:color w:val="auto"/>
              </w:rPr>
            </w:pPr>
          </w:p>
        </w:tc>
        <w:tc>
          <w:tcPr>
            <w:tcW w:w="820" w:type="dxa"/>
            <w:vAlign w:val="bottom"/>
            <w:tcBorders>
              <w:top w:val="single" w:sz="8" w:color="004483"/>
              <w:bottom w:val="single" w:sz="8" w:color="004483"/>
            </w:tcBorders>
          </w:tcPr>
          <w:p>
            <w:pPr>
              <w:jc w:val="right"/>
              <w:ind w:right="753"/>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129,927</w:t>
            </w:r>
          </w:p>
        </w:tc>
        <w:tc>
          <w:tcPr>
            <w:tcW w:w="120" w:type="dxa"/>
            <w:vAlign w:val="bottom"/>
          </w:tcPr>
          <w:p>
            <w:pPr>
              <w:spacing w:after="0"/>
              <w:rPr>
                <w:sz w:val="13"/>
                <w:szCs w:val="13"/>
                <w:color w:val="auto"/>
              </w:rPr>
            </w:pPr>
          </w:p>
        </w:tc>
      </w:tr>
      <w:tr>
        <w:trPr>
          <w:trHeight w:val="126"/>
        </w:trPr>
        <w:tc>
          <w:tcPr>
            <w:tcW w:w="7740" w:type="dxa"/>
            <w:vAlign w:val="bottom"/>
            <w:tcBorders>
              <w:bottom w:val="single" w:sz="8" w:color="A6A6A6"/>
            </w:tcBorders>
          </w:tcPr>
          <w:p>
            <w:pPr>
              <w:spacing w:after="0" w:line="120" w:lineRule="exact"/>
              <w:rPr>
                <w:sz w:val="20"/>
                <w:szCs w:val="20"/>
                <w:color w:val="auto"/>
              </w:rPr>
            </w:pPr>
            <w:r>
              <w:rPr>
                <w:rFonts w:ascii="Arial" w:cs="Arial" w:eastAsia="Arial" w:hAnsi="Arial"/>
                <w:sz w:val="11"/>
                <w:szCs w:val="11"/>
                <w:color w:val="auto"/>
              </w:rPr>
              <w:t>Cement Operating Earnings</w:t>
            </w:r>
          </w:p>
        </w:tc>
        <w:tc>
          <w:tcPr>
            <w:tcW w:w="560" w:type="dxa"/>
            <w:vAlign w:val="bottom"/>
            <w:tcBorders>
              <w:bottom w:val="single" w:sz="8" w:color="A6A6A6"/>
            </w:tcBorders>
          </w:tcPr>
          <w:p>
            <w:pPr>
              <w:spacing w:after="0"/>
              <w:rPr>
                <w:sz w:val="10"/>
                <w:szCs w:val="10"/>
                <w:color w:val="auto"/>
              </w:rPr>
            </w:pPr>
          </w:p>
        </w:tc>
        <w:tc>
          <w:tcPr>
            <w:tcW w:w="1020" w:type="dxa"/>
            <w:vAlign w:val="bottom"/>
            <w:tcBorders>
              <w:bottom w:val="single" w:sz="8" w:color="A6A6A6"/>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6A6A6"/>
            </w:tcBorders>
          </w:tcPr>
          <w:p>
            <w:pPr>
              <w:spacing w:after="0"/>
              <w:rPr>
                <w:sz w:val="10"/>
                <w:szCs w:val="10"/>
                <w:color w:val="auto"/>
              </w:rPr>
            </w:pPr>
          </w:p>
        </w:tc>
        <w:tc>
          <w:tcPr>
            <w:tcW w:w="820" w:type="dxa"/>
            <w:vAlign w:val="bottom"/>
            <w:tcBorders>
              <w:bottom w:val="single" w:sz="8" w:color="A6A6A6"/>
            </w:tcBorders>
          </w:tcPr>
          <w:p>
            <w:pPr>
              <w:spacing w:after="0"/>
              <w:rPr>
                <w:sz w:val="10"/>
                <w:szCs w:val="10"/>
                <w:color w:val="auto"/>
              </w:rPr>
            </w:pPr>
          </w:p>
        </w:tc>
        <w:tc>
          <w:tcPr>
            <w:tcW w:w="740" w:type="dxa"/>
            <w:vAlign w:val="bottom"/>
            <w:tcBorders>
              <w:bottom w:val="single" w:sz="8" w:color="A6A6A6"/>
            </w:tcBorders>
          </w:tcPr>
          <w:p>
            <w:pPr>
              <w:spacing w:after="0"/>
              <w:rPr>
                <w:sz w:val="10"/>
                <w:szCs w:val="10"/>
                <w:color w:val="auto"/>
              </w:rPr>
            </w:pPr>
          </w:p>
        </w:tc>
        <w:tc>
          <w:tcPr>
            <w:tcW w:w="120" w:type="dxa"/>
            <w:vAlign w:val="bottom"/>
          </w:tcPr>
          <w:p>
            <w:pPr>
              <w:spacing w:after="0"/>
              <w:rPr>
                <w:sz w:val="10"/>
                <w:szCs w:val="10"/>
                <w:color w:val="auto"/>
              </w:rPr>
            </w:pPr>
          </w:p>
        </w:tc>
      </w:tr>
      <w:tr>
        <w:trPr>
          <w:trHeight w:val="138"/>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Wholly Owned</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54,577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753"/>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52,659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Joint Ventures</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7,970</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004483"/>
            </w:tcBorders>
          </w:tcPr>
          <w:p>
            <w:pPr>
              <w:spacing w:after="0"/>
              <w:rPr>
                <w:sz w:val="11"/>
                <w:szCs w:val="11"/>
                <w:color w:val="auto"/>
              </w:rPr>
            </w:pP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7,796</w:t>
            </w:r>
          </w:p>
        </w:tc>
        <w:tc>
          <w:tcPr>
            <w:tcW w:w="120" w:type="dxa"/>
            <w:vAlign w:val="bottom"/>
          </w:tcPr>
          <w:p>
            <w:pPr>
              <w:spacing w:after="0"/>
              <w:rPr>
                <w:sz w:val="11"/>
                <w:szCs w:val="11"/>
                <w:color w:val="auto"/>
              </w:rPr>
            </w:pPr>
          </w:p>
        </w:tc>
      </w:tr>
      <w:tr>
        <w:trPr>
          <w:trHeight w:val="153"/>
        </w:trPr>
        <w:tc>
          <w:tcPr>
            <w:tcW w:w="7740" w:type="dxa"/>
            <w:vAlign w:val="bottom"/>
            <w:tcBorders>
              <w:bottom w:val="single" w:sz="8" w:color="A6A6A6"/>
            </w:tcBorders>
          </w:tcPr>
          <w:p>
            <w:pPr>
              <w:spacing w:after="0"/>
              <w:rPr>
                <w:sz w:val="13"/>
                <w:szCs w:val="13"/>
                <w:color w:val="auto"/>
              </w:rPr>
            </w:pP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62,547</w:t>
            </w:r>
          </w:p>
        </w:tc>
        <w:tc>
          <w:tcPr>
            <w:tcW w:w="100" w:type="dxa"/>
            <w:vAlign w:val="bottom"/>
          </w:tcPr>
          <w:p>
            <w:pPr>
              <w:spacing w:after="0"/>
              <w:rPr>
                <w:sz w:val="13"/>
                <w:szCs w:val="13"/>
                <w:color w:val="auto"/>
              </w:rPr>
            </w:pPr>
          </w:p>
        </w:tc>
        <w:tc>
          <w:tcPr>
            <w:tcW w:w="200" w:type="dxa"/>
            <w:vAlign w:val="bottom"/>
            <w:tcBorders>
              <w:bottom w:val="single" w:sz="8" w:color="A6A6A6"/>
            </w:tcBorders>
          </w:tcPr>
          <w:p>
            <w:pPr>
              <w:spacing w:after="0"/>
              <w:rPr>
                <w:sz w:val="13"/>
                <w:szCs w:val="13"/>
                <w:color w:val="auto"/>
              </w:rPr>
            </w:pPr>
          </w:p>
        </w:tc>
        <w:tc>
          <w:tcPr>
            <w:tcW w:w="820" w:type="dxa"/>
            <w:vAlign w:val="bottom"/>
            <w:tcBorders>
              <w:bottom w:val="single" w:sz="8" w:color="004483"/>
            </w:tcBorders>
          </w:tcPr>
          <w:p>
            <w:pPr>
              <w:jc w:val="right"/>
              <w:ind w:right="753"/>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60,455</w:t>
            </w:r>
          </w:p>
        </w:tc>
        <w:tc>
          <w:tcPr>
            <w:tcW w:w="120" w:type="dxa"/>
            <w:vAlign w:val="bottom"/>
          </w:tcPr>
          <w:p>
            <w:pPr>
              <w:spacing w:after="0"/>
              <w:rPr>
                <w:sz w:val="13"/>
                <w:szCs w:val="13"/>
                <w:color w:val="auto"/>
              </w:rPr>
            </w:pPr>
          </w:p>
        </w:tc>
      </w:tr>
      <w:tr>
        <w:trPr>
          <w:trHeight w:val="127"/>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Capital Expenditures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7"/>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7,967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753"/>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10,348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546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1,261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Gypsum Wallboard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1,694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6,512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1,117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7,870</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Corporate and Other</w:t>
            </w:r>
          </w:p>
        </w:tc>
        <w:tc>
          <w:tcPr>
            <w:tcW w:w="5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53"/>
        </w:trPr>
        <w:tc>
          <w:tcPr>
            <w:tcW w:w="7740" w:type="dxa"/>
            <w:vAlign w:val="bottom"/>
            <w:tcBorders>
              <w:top w:val="single" w:sz="8" w:color="A6A6A6"/>
              <w:bottom w:val="single" w:sz="8" w:color="A6A6A6"/>
            </w:tcBorders>
          </w:tcPr>
          <w:p>
            <w:pPr>
              <w:spacing w:after="0"/>
              <w:rPr>
                <w:sz w:val="13"/>
                <w:szCs w:val="13"/>
                <w:color w:val="auto"/>
              </w:rPr>
            </w:pPr>
          </w:p>
        </w:tc>
        <w:tc>
          <w:tcPr>
            <w:tcW w:w="560" w:type="dxa"/>
            <w:vAlign w:val="bottom"/>
            <w:tcBorders>
              <w:top w:val="single" w:sz="8" w:color="004483"/>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11,935</w:t>
            </w:r>
          </w:p>
        </w:tc>
        <w:tc>
          <w:tcPr>
            <w:tcW w:w="100" w:type="dxa"/>
            <w:vAlign w:val="bottom"/>
          </w:tcPr>
          <w:p>
            <w:pPr>
              <w:spacing w:after="0"/>
              <w:rPr>
                <w:sz w:val="13"/>
                <w:szCs w:val="13"/>
                <w:color w:val="auto"/>
              </w:rPr>
            </w:pPr>
          </w:p>
        </w:tc>
        <w:tc>
          <w:tcPr>
            <w:tcW w:w="200" w:type="dxa"/>
            <w:vAlign w:val="bottom"/>
            <w:tcBorders>
              <w:top w:val="single" w:sz="8" w:color="A6A6A6"/>
              <w:bottom w:val="single" w:sz="8" w:color="A6A6A6"/>
            </w:tcBorders>
          </w:tcPr>
          <w:p>
            <w:pPr>
              <w:spacing w:after="0"/>
              <w:rPr>
                <w:sz w:val="13"/>
                <w:szCs w:val="13"/>
                <w:color w:val="auto"/>
              </w:rPr>
            </w:pPr>
          </w:p>
        </w:tc>
        <w:tc>
          <w:tcPr>
            <w:tcW w:w="820" w:type="dxa"/>
            <w:vAlign w:val="bottom"/>
            <w:tcBorders>
              <w:top w:val="single" w:sz="8" w:color="004483"/>
              <w:bottom w:val="single" w:sz="8" w:color="004483"/>
            </w:tcBorders>
          </w:tcPr>
          <w:p>
            <w:pPr>
              <w:jc w:val="right"/>
              <w:ind w:right="753"/>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25,991</w:t>
            </w:r>
          </w:p>
        </w:tc>
        <w:tc>
          <w:tcPr>
            <w:tcW w:w="120" w:type="dxa"/>
            <w:vAlign w:val="bottom"/>
          </w:tcPr>
          <w:p>
            <w:pPr>
              <w:spacing w:after="0"/>
              <w:rPr>
                <w:sz w:val="13"/>
                <w:szCs w:val="13"/>
                <w:color w:val="auto"/>
              </w:rPr>
            </w:pPr>
          </w:p>
        </w:tc>
      </w:tr>
      <w:tr>
        <w:trPr>
          <w:trHeight w:val="126"/>
        </w:trPr>
        <w:tc>
          <w:tcPr>
            <w:tcW w:w="7740" w:type="dxa"/>
            <w:vAlign w:val="bottom"/>
            <w:tcBorders>
              <w:bottom w:val="single" w:sz="8" w:color="A6A6A6"/>
            </w:tcBorders>
          </w:tcPr>
          <w:p>
            <w:pPr>
              <w:spacing w:after="0" w:line="121" w:lineRule="exact"/>
              <w:rPr>
                <w:sz w:val="20"/>
                <w:szCs w:val="20"/>
                <w:color w:val="auto"/>
              </w:rPr>
            </w:pPr>
            <w:r>
              <w:rPr>
                <w:rFonts w:ascii="Arial" w:cs="Arial" w:eastAsia="Arial" w:hAnsi="Arial"/>
                <w:sz w:val="11"/>
                <w:szCs w:val="11"/>
                <w:b w:val="1"/>
                <w:bCs w:val="1"/>
                <w:color w:val="auto"/>
              </w:rPr>
              <w:t>Depreciation, Depletion, and Amortization</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7"/>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19,531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753"/>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19,243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2,578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2,721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Gypsum Wallboard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5,396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5,200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3,668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3,352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Corporate and Other</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771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004483"/>
            </w:tcBorders>
          </w:tcPr>
          <w:p>
            <w:pPr>
              <w:spacing w:after="0"/>
              <w:rPr>
                <w:sz w:val="11"/>
                <w:szCs w:val="11"/>
                <w:color w:val="auto"/>
              </w:rPr>
            </w:pP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1,300</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31,944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004483"/>
            </w:tcBorders>
          </w:tcPr>
          <w:p>
            <w:pPr>
              <w:jc w:val="right"/>
              <w:ind w:right="753"/>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31,816</w:t>
            </w:r>
          </w:p>
        </w:tc>
        <w:tc>
          <w:tcPr>
            <w:tcW w:w="120" w:type="dxa"/>
            <w:vAlign w:val="bottom"/>
          </w:tcPr>
          <w:p>
            <w:pPr>
              <w:spacing w:after="0"/>
              <w:rPr>
                <w:sz w:val="12"/>
                <w:szCs w:val="12"/>
                <w:color w:val="auto"/>
              </w:rPr>
            </w:pPr>
          </w:p>
        </w:tc>
      </w:tr>
      <w:tr>
        <w:trPr>
          <w:trHeight w:val="302"/>
        </w:trPr>
        <w:tc>
          <w:tcPr>
            <w:tcW w:w="7740" w:type="dxa"/>
            <w:vAlign w:val="bottom"/>
          </w:tcPr>
          <w:p>
            <w:pPr>
              <w:spacing w:after="0"/>
              <w:rPr>
                <w:sz w:val="20"/>
                <w:szCs w:val="20"/>
                <w:color w:val="auto"/>
              </w:rPr>
            </w:pPr>
            <w:r>
              <w:rPr>
                <w:rFonts w:ascii="Arial" w:cs="Arial" w:eastAsia="Arial" w:hAnsi="Arial"/>
                <w:sz w:val="11"/>
                <w:szCs w:val="11"/>
                <w:b w:val="1"/>
                <w:bCs w:val="1"/>
                <w:color w:val="auto"/>
              </w:rPr>
              <w:t>Discontinued Operations</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7740" w:type="dxa"/>
            <w:vAlign w:val="bottom"/>
          </w:tcPr>
          <w:p>
            <w:pPr>
              <w:ind w:left="160"/>
              <w:spacing w:after="0"/>
              <w:rPr>
                <w:sz w:val="20"/>
                <w:szCs w:val="20"/>
                <w:color w:val="auto"/>
              </w:rPr>
            </w:pPr>
            <w:r>
              <w:rPr>
                <w:rFonts w:ascii="Arial" w:cs="Arial" w:eastAsia="Arial" w:hAnsi="Arial"/>
                <w:sz w:val="11"/>
                <w:szCs w:val="11"/>
                <w:color w:val="auto"/>
              </w:rPr>
              <w:t>Depreciation, Depletion, and Amortization</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w:t>
            </w:r>
          </w:p>
        </w:tc>
        <w:tc>
          <w:tcPr>
            <w:tcW w:w="300" w:type="dxa"/>
            <w:vAlign w:val="bottom"/>
            <w:gridSpan w:val="2"/>
          </w:tcPr>
          <w:p>
            <w:pPr>
              <w:spacing w:after="0"/>
              <w:rPr>
                <w:sz w:val="13"/>
                <w:szCs w:val="13"/>
                <w:color w:val="auto"/>
              </w:rPr>
            </w:pPr>
          </w:p>
        </w:tc>
        <w:tc>
          <w:tcPr>
            <w:tcW w:w="820" w:type="dxa"/>
            <w:vAlign w:val="bottom"/>
            <w:tcBorders>
              <w:bottom w:val="single" w:sz="8" w:color="004483"/>
            </w:tcBorders>
          </w:tcPr>
          <w:p>
            <w:pPr>
              <w:jc w:val="right"/>
              <w:ind w:right="753"/>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121</w:t>
            </w:r>
          </w:p>
        </w:tc>
        <w:tc>
          <w:tcPr>
            <w:tcW w:w="120" w:type="dxa"/>
            <w:vAlign w:val="bottom"/>
          </w:tcPr>
          <w:p>
            <w:pPr>
              <w:spacing w:after="0"/>
              <w:rPr>
                <w:sz w:val="13"/>
                <w:szCs w:val="13"/>
                <w:color w:val="auto"/>
              </w:rPr>
            </w:pPr>
          </w:p>
        </w:tc>
      </w:tr>
      <w:tr>
        <w:trPr>
          <w:trHeight w:val="162"/>
        </w:trPr>
        <w:tc>
          <w:tcPr>
            <w:tcW w:w="7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r>
      <w:tr>
        <w:trPr>
          <w:trHeight w:val="133"/>
        </w:trPr>
        <w:tc>
          <w:tcPr>
            <w:tcW w:w="7740" w:type="dxa"/>
            <w:vAlign w:val="bottom"/>
          </w:tcPr>
          <w:p>
            <w:pPr>
              <w:spacing w:after="0"/>
              <w:rPr>
                <w:sz w:val="11"/>
                <w:szCs w:val="11"/>
                <w:color w:val="auto"/>
              </w:rPr>
            </w:pPr>
          </w:p>
        </w:tc>
        <w:tc>
          <w:tcPr>
            <w:tcW w:w="560" w:type="dxa"/>
            <w:vAlign w:val="bottom"/>
            <w:tcBorders>
              <w:bottom w:val="single" w:sz="8" w:color="004483"/>
            </w:tcBorders>
            <w:shd w:val="clear" w:color="auto" w:fill="004483"/>
          </w:tcPr>
          <w:p>
            <w:pPr>
              <w:spacing w:after="0"/>
              <w:rPr>
                <w:sz w:val="11"/>
                <w:szCs w:val="11"/>
                <w:color w:val="auto"/>
              </w:rPr>
            </w:pPr>
          </w:p>
        </w:tc>
        <w:tc>
          <w:tcPr>
            <w:tcW w:w="1320" w:type="dxa"/>
            <w:vAlign w:val="bottom"/>
            <w:tcBorders>
              <w:bottom w:val="single" w:sz="8" w:color="004483"/>
            </w:tcBorders>
            <w:gridSpan w:val="3"/>
            <w:shd w:val="clear" w:color="auto" w:fill="004483"/>
          </w:tcPr>
          <w:p>
            <w:pPr>
              <w:ind w:left="700"/>
              <w:spacing w:after="0"/>
              <w:rPr>
                <w:sz w:val="20"/>
                <w:szCs w:val="20"/>
                <w:color w:val="auto"/>
              </w:rPr>
            </w:pPr>
            <w:r>
              <w:rPr>
                <w:rFonts w:ascii="Arial" w:cs="Arial" w:eastAsia="Arial" w:hAnsi="Arial"/>
                <w:sz w:val="8"/>
                <w:szCs w:val="8"/>
                <w:b w:val="1"/>
                <w:bCs w:val="1"/>
                <w:color w:val="FFFFFF"/>
              </w:rPr>
              <w:t>June 30,</w:t>
            </w:r>
          </w:p>
        </w:tc>
        <w:tc>
          <w:tcPr>
            <w:tcW w:w="820" w:type="dxa"/>
            <w:vAlign w:val="bottom"/>
            <w:tcBorders>
              <w:bottom w:val="single" w:sz="8" w:color="004483"/>
            </w:tcBorders>
            <w:shd w:val="clear" w:color="auto" w:fill="004483"/>
          </w:tcPr>
          <w:p>
            <w:pPr>
              <w:spacing w:after="0"/>
              <w:rPr>
                <w:sz w:val="11"/>
                <w:szCs w:val="11"/>
                <w:color w:val="auto"/>
              </w:rPr>
            </w:pPr>
          </w:p>
        </w:tc>
        <w:tc>
          <w:tcPr>
            <w:tcW w:w="860" w:type="dxa"/>
            <w:vAlign w:val="bottom"/>
            <w:tcBorders>
              <w:bottom w:val="single" w:sz="8" w:color="004483"/>
            </w:tcBorders>
            <w:gridSpan w:val="2"/>
            <w:shd w:val="clear" w:color="auto" w:fill="004483"/>
          </w:tcPr>
          <w:p>
            <w:pPr>
              <w:jc w:val="right"/>
              <w:ind w:right="12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40" w:type="dxa"/>
            <w:vAlign w:val="bottom"/>
            <w:tcBorders>
              <w:bottom w:val="single" w:sz="8" w:color="004483"/>
            </w:tcBorders>
            <w:gridSpan w:val="4"/>
          </w:tcPr>
          <w:p>
            <w:pPr>
              <w:jc w:val="right"/>
              <w:ind w:right="593"/>
              <w:spacing w:after="0"/>
              <w:rPr>
                <w:sz w:val="20"/>
                <w:szCs w:val="20"/>
                <w:color w:val="auto"/>
              </w:rPr>
            </w:pPr>
            <w:r>
              <w:rPr>
                <w:rFonts w:ascii="Arial" w:cs="Arial" w:eastAsia="Arial" w:hAnsi="Arial"/>
                <w:sz w:val="8"/>
                <w:szCs w:val="8"/>
                <w:color w:val="auto"/>
              </w:rPr>
              <w:t>(dollars in thousands)</w:t>
            </w:r>
          </w:p>
        </w:tc>
        <w:tc>
          <w:tcPr>
            <w:tcW w:w="74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Identifiable Assets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Cement</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1,902,811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jc w:val="right"/>
              <w:ind w:right="753"/>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1,898,930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Concrete and Aggregates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91,306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88,410</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Gypsum Wallboard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365,084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366,352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Paperboard</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185,287</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A6A6A6"/>
            </w:tcBorders>
          </w:tcPr>
          <w:p>
            <w:pPr>
              <w:spacing w:after="0"/>
              <w:rPr>
                <w:sz w:val="11"/>
                <w:szCs w:val="11"/>
                <w:color w:val="auto"/>
              </w:rPr>
            </w:pPr>
          </w:p>
        </w:tc>
        <w:tc>
          <w:tcPr>
            <w:tcW w:w="7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186,156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Corporate and Other</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346,342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20" w:type="dxa"/>
            <w:vAlign w:val="bottom"/>
            <w:tcBorders>
              <w:bottom w:val="single" w:sz="8" w:color="004483"/>
            </w:tcBorders>
          </w:tcPr>
          <w:p>
            <w:pPr>
              <w:spacing w:after="0"/>
              <w:rPr>
                <w:sz w:val="11"/>
                <w:szCs w:val="11"/>
                <w:color w:val="auto"/>
              </w:rPr>
            </w:pP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298,833</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2,890,830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004483"/>
            </w:tcBorders>
          </w:tcPr>
          <w:p>
            <w:pPr>
              <w:jc w:val="right"/>
              <w:ind w:right="753"/>
              <w:spacing w:after="0"/>
              <w:rPr>
                <w:sz w:val="20"/>
                <w:szCs w:val="20"/>
                <w:color w:val="auto"/>
              </w:rPr>
            </w:pPr>
            <w:r>
              <w:rPr>
                <w:rFonts w:ascii="Arial" w:cs="Arial" w:eastAsia="Arial" w:hAnsi="Arial"/>
                <w:sz w:val="5"/>
                <w:szCs w:val="5"/>
                <w:b w:val="1"/>
                <w:bCs w:val="1"/>
                <w:color w:val="auto"/>
                <w:w w:val="70"/>
              </w:rPr>
              <w:t>$</w:t>
            </w:r>
          </w:p>
        </w:tc>
        <w:tc>
          <w:tcPr>
            <w:tcW w:w="7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2,838,681</w:t>
            </w:r>
          </w:p>
        </w:tc>
        <w:tc>
          <w:tcPr>
            <w:tcW w:w="120" w:type="dxa"/>
            <w:vAlign w:val="bottom"/>
          </w:tcPr>
          <w:p>
            <w:pPr>
              <w:spacing w:after="0"/>
              <w:rPr>
                <w:sz w:val="12"/>
                <w:szCs w:val="12"/>
                <w:color w:val="auto"/>
              </w:rPr>
            </w:pPr>
          </w:p>
        </w:tc>
      </w:tr>
    </w:tbl>
    <w:p>
      <w:pPr>
        <w:spacing w:after="0" w:line="80" w:lineRule="exact"/>
        <w:rPr>
          <w:sz w:val="20"/>
          <w:szCs w:val="20"/>
          <w:color w:val="auto"/>
        </w:rPr>
      </w:pPr>
    </w:p>
    <w:p>
      <w:pPr>
        <w:ind w:right="140"/>
        <w:spacing w:after="0" w:line="271" w:lineRule="auto"/>
        <w:rPr>
          <w:sz w:val="20"/>
          <w:szCs w:val="20"/>
          <w:color w:val="auto"/>
        </w:rPr>
      </w:pPr>
      <w:r>
        <w:rPr>
          <w:rFonts w:ascii="Arial" w:cs="Arial" w:eastAsia="Arial" w:hAnsi="Arial"/>
          <w:sz w:val="12"/>
          <w:szCs w:val="12"/>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primarily of cash and cash equivalents, general office assets, and miscellaneous other assets.</w:t>
      </w:r>
    </w:p>
    <w:p>
      <w:pPr>
        <w:spacing w:after="0" w:line="64" w:lineRule="exact"/>
        <w:rPr>
          <w:sz w:val="20"/>
          <w:szCs w:val="20"/>
          <w:color w:val="auto"/>
        </w:rPr>
      </w:pPr>
    </w:p>
    <w:p>
      <w:pPr>
        <w:ind w:right="460"/>
        <w:spacing w:after="0" w:line="277" w:lineRule="auto"/>
        <w:rPr>
          <w:sz w:val="20"/>
          <w:szCs w:val="20"/>
          <w:color w:val="auto"/>
        </w:rPr>
      </w:pPr>
      <w:r>
        <w:rPr>
          <w:rFonts w:ascii="Arial" w:cs="Arial" w:eastAsia="Arial" w:hAnsi="Arial"/>
          <w:sz w:val="12"/>
          <w:szCs w:val="12"/>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08"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color w:val="auto"/>
        </w:rPr>
        <w:t>The segment breakdown of Goodwill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740" w:type="dxa"/>
            <w:vAlign w:val="bottom"/>
          </w:tcPr>
          <w:p>
            <w:pPr>
              <w:spacing w:after="0"/>
              <w:rPr>
                <w:sz w:val="11"/>
                <w:szCs w:val="11"/>
                <w:color w:val="auto"/>
              </w:rPr>
            </w:pPr>
          </w:p>
        </w:tc>
        <w:tc>
          <w:tcPr>
            <w:tcW w:w="640" w:type="dxa"/>
            <w:vAlign w:val="bottom"/>
            <w:tcBorders>
              <w:bottom w:val="single" w:sz="8" w:color="004483"/>
            </w:tcBorders>
            <w:shd w:val="clear" w:color="auto" w:fill="004483"/>
          </w:tcPr>
          <w:p>
            <w:pPr>
              <w:spacing w:after="0"/>
              <w:rPr>
                <w:sz w:val="11"/>
                <w:szCs w:val="11"/>
                <w:color w:val="auto"/>
              </w:rPr>
            </w:pPr>
          </w:p>
        </w:tc>
        <w:tc>
          <w:tcPr>
            <w:tcW w:w="1240" w:type="dxa"/>
            <w:vAlign w:val="bottom"/>
            <w:tcBorders>
              <w:bottom w:val="single" w:sz="8" w:color="004483"/>
            </w:tcBorders>
            <w:gridSpan w:val="3"/>
            <w:shd w:val="clear" w:color="auto" w:fill="004483"/>
          </w:tcPr>
          <w:p>
            <w:pPr>
              <w:ind w:left="620"/>
              <w:spacing w:after="0"/>
              <w:rPr>
                <w:sz w:val="20"/>
                <w:szCs w:val="20"/>
                <w:color w:val="auto"/>
              </w:rPr>
            </w:pPr>
            <w:r>
              <w:rPr>
                <w:rFonts w:ascii="Arial" w:cs="Arial" w:eastAsia="Arial" w:hAnsi="Arial"/>
                <w:sz w:val="8"/>
                <w:szCs w:val="8"/>
                <w:b w:val="1"/>
                <w:bCs w:val="1"/>
                <w:color w:val="FFFFFF"/>
              </w:rPr>
              <w:t>June 30,</w:t>
            </w:r>
          </w:p>
        </w:tc>
        <w:tc>
          <w:tcPr>
            <w:tcW w:w="700" w:type="dxa"/>
            <w:vAlign w:val="bottom"/>
            <w:tcBorders>
              <w:bottom w:val="single" w:sz="8" w:color="004483"/>
            </w:tcBorders>
            <w:shd w:val="clear" w:color="auto" w:fill="004483"/>
          </w:tcPr>
          <w:p>
            <w:pPr>
              <w:spacing w:after="0"/>
              <w:rPr>
                <w:sz w:val="11"/>
                <w:szCs w:val="11"/>
                <w:color w:val="auto"/>
              </w:rPr>
            </w:pPr>
          </w:p>
        </w:tc>
        <w:tc>
          <w:tcPr>
            <w:tcW w:w="980" w:type="dxa"/>
            <w:vAlign w:val="bottom"/>
            <w:tcBorders>
              <w:bottom w:val="single" w:sz="8" w:color="004483"/>
            </w:tcBorders>
            <w:gridSpan w:val="2"/>
            <w:shd w:val="clear" w:color="auto" w:fill="004483"/>
          </w:tcPr>
          <w:p>
            <w:pPr>
              <w:ind w:left="50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640" w:type="dxa"/>
            <w:vAlign w:val="bottom"/>
            <w:tcBorders>
              <w:bottom w:val="single" w:sz="8" w:color="004483"/>
            </w:tcBorders>
          </w:tcPr>
          <w:p>
            <w:pPr>
              <w:spacing w:after="0"/>
              <w:rPr>
                <w:sz w:val="8"/>
                <w:szCs w:val="8"/>
                <w:color w:val="auto"/>
              </w:rPr>
            </w:pPr>
          </w:p>
        </w:tc>
        <w:tc>
          <w:tcPr>
            <w:tcW w:w="1940" w:type="dxa"/>
            <w:vAlign w:val="bottom"/>
            <w:tcBorders>
              <w:bottom w:val="single" w:sz="8" w:color="004483"/>
            </w:tcBorders>
            <w:gridSpan w:val="4"/>
          </w:tcPr>
          <w:p>
            <w:pPr>
              <w:jc w:val="right"/>
              <w:ind w:right="473"/>
              <w:spacing w:after="0"/>
              <w:rPr>
                <w:sz w:val="20"/>
                <w:szCs w:val="20"/>
                <w:color w:val="auto"/>
              </w:rPr>
            </w:pPr>
            <w:r>
              <w:rPr>
                <w:rFonts w:ascii="Arial" w:cs="Arial" w:eastAsia="Arial" w:hAnsi="Arial"/>
                <w:sz w:val="8"/>
                <w:szCs w:val="8"/>
                <w:color w:val="auto"/>
              </w:rPr>
              <w:t>(dollars in thousands)</w:t>
            </w:r>
          </w:p>
        </w:tc>
        <w:tc>
          <w:tcPr>
            <w:tcW w:w="8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Cement</w:t>
            </w:r>
          </w:p>
        </w:tc>
        <w:tc>
          <w:tcPr>
            <w:tcW w:w="640" w:type="dxa"/>
            <w:vAlign w:val="bottom"/>
            <w:tcBorders>
              <w:bottom w:val="single" w:sz="8" w:color="A6A6A6"/>
            </w:tcBorders>
          </w:tcPr>
          <w:p>
            <w:pPr>
              <w:jc w:val="right"/>
              <w:ind w:right="53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203,342</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jc w:val="right"/>
              <w:ind w:right="633"/>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203,342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Concrete and Aggregates</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1,639</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1,639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Gypsum Wallboard</w:t>
            </w:r>
          </w:p>
        </w:tc>
        <w:tc>
          <w:tcPr>
            <w:tcW w:w="640" w:type="dxa"/>
            <w:vAlign w:val="bottom"/>
            <w:tcBorders>
              <w:bottom w:val="single" w:sz="8" w:color="A6A6A6"/>
            </w:tcBorders>
          </w:tcPr>
          <w:p>
            <w:pPr>
              <w:spacing w:after="0"/>
              <w:rPr>
                <w:sz w:val="11"/>
                <w:szCs w:val="11"/>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116,618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A6A6A6"/>
            </w:tcBorders>
          </w:tcPr>
          <w:p>
            <w:pPr>
              <w:spacing w:after="0"/>
              <w:rPr>
                <w:sz w:val="11"/>
                <w:szCs w:val="11"/>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116,618</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Paperboard</w:t>
            </w:r>
          </w:p>
        </w:tc>
        <w:tc>
          <w:tcPr>
            <w:tcW w:w="64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7,538</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700" w:type="dxa"/>
            <w:vAlign w:val="bottom"/>
            <w:tcBorders>
              <w:bottom w:val="single" w:sz="8" w:color="004483"/>
            </w:tcBorders>
          </w:tcPr>
          <w:p>
            <w:pPr>
              <w:spacing w:after="0"/>
              <w:rPr>
                <w:sz w:val="11"/>
                <w:szCs w:val="11"/>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7,538</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12"/>
                <w:szCs w:val="12"/>
                <w:color w:val="auto"/>
              </w:rPr>
            </w:pPr>
          </w:p>
        </w:tc>
        <w:tc>
          <w:tcPr>
            <w:tcW w:w="640" w:type="dxa"/>
            <w:vAlign w:val="bottom"/>
            <w:tcBorders>
              <w:bottom w:val="single" w:sz="8" w:color="004483"/>
            </w:tcBorders>
          </w:tcPr>
          <w:p>
            <w:pPr>
              <w:jc w:val="right"/>
              <w:ind w:right="53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329,137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004483"/>
            </w:tcBorders>
          </w:tcPr>
          <w:p>
            <w:pPr>
              <w:jc w:val="right"/>
              <w:ind w:right="633"/>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329,137</w:t>
            </w:r>
          </w:p>
        </w:tc>
        <w:tc>
          <w:tcPr>
            <w:tcW w:w="120" w:type="dxa"/>
            <w:vAlign w:val="bottom"/>
          </w:tcPr>
          <w:p>
            <w:pPr>
              <w:spacing w:after="0"/>
              <w:rPr>
                <w:sz w:val="12"/>
                <w:szCs w:val="12"/>
                <w:color w:val="auto"/>
              </w:rPr>
            </w:pPr>
          </w:p>
        </w:tc>
      </w:tr>
    </w:tbl>
    <w:p>
      <w:pPr>
        <w:spacing w:after="0" w:line="233" w:lineRule="exact"/>
        <w:rPr>
          <w:sz w:val="20"/>
          <w:szCs w:val="20"/>
          <w:color w:val="auto"/>
        </w:rPr>
      </w:pPr>
    </w:p>
    <w:p>
      <w:pPr>
        <w:ind w:right="300"/>
        <w:spacing w:after="0" w:line="277" w:lineRule="auto"/>
        <w:rPr>
          <w:sz w:val="20"/>
          <w:szCs w:val="20"/>
          <w:color w:val="auto"/>
        </w:rPr>
      </w:pPr>
      <w:r>
        <w:rPr>
          <w:rFonts w:ascii="Arial" w:cs="Arial" w:eastAsia="Arial" w:hAnsi="Arial"/>
          <w:sz w:val="12"/>
          <w:szCs w:val="12"/>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180" w:type="dxa"/>
            <w:vAlign w:val="bottom"/>
            <w:gridSpan w:val="2"/>
            <w:shd w:val="clear" w:color="auto" w:fill="004483"/>
          </w:tcPr>
          <w:p>
            <w:pPr>
              <w:jc w:val="right"/>
              <w:ind w:right="286"/>
              <w:spacing w:after="0"/>
              <w:rPr>
                <w:sz w:val="20"/>
                <w:szCs w:val="20"/>
                <w:color w:val="auto"/>
              </w:rPr>
            </w:pPr>
            <w:r>
              <w:rPr>
                <w:rFonts w:ascii="Arial" w:cs="Arial" w:eastAsia="Arial" w:hAnsi="Arial"/>
                <w:sz w:val="8"/>
                <w:szCs w:val="8"/>
                <w:b w:val="1"/>
                <w:bCs w:val="1"/>
                <w:color w:val="FFFFFF"/>
              </w:rPr>
              <w:t>For the Three Months Ended June 30,</w:t>
            </w:r>
          </w:p>
        </w:tc>
        <w:tc>
          <w:tcPr>
            <w:tcW w:w="8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jc w:val="right"/>
              <w:ind w:right="112"/>
              <w:spacing w:after="0"/>
              <w:rPr>
                <w:sz w:val="20"/>
                <w:szCs w:val="20"/>
                <w:color w:val="auto"/>
              </w:rPr>
            </w:pPr>
            <w:r>
              <w:rPr>
                <w:rFonts w:ascii="Arial" w:cs="Arial" w:eastAsia="Arial" w:hAnsi="Arial"/>
                <w:sz w:val="8"/>
                <w:szCs w:val="8"/>
                <w:b w:val="1"/>
                <w:bCs w:val="1"/>
                <w:color w:val="auto"/>
              </w:rPr>
              <w:t>2021</w:t>
            </w:r>
          </w:p>
        </w:tc>
        <w:tc>
          <w:tcPr>
            <w:tcW w:w="1020" w:type="dxa"/>
            <w:vAlign w:val="bottom"/>
          </w:tcPr>
          <w:p>
            <w:pPr>
              <w:spacing w:after="0"/>
              <w:rPr>
                <w:sz w:val="8"/>
                <w:szCs w:val="8"/>
                <w:color w:val="auto"/>
              </w:rPr>
            </w:pPr>
          </w:p>
        </w:tc>
        <w:tc>
          <w:tcPr>
            <w:tcW w:w="820" w:type="dxa"/>
            <w:vAlign w:val="bottom"/>
          </w:tcPr>
          <w:p>
            <w:pPr>
              <w:jc w:val="right"/>
              <w:ind w:right="70"/>
              <w:spacing w:after="0"/>
              <w:rPr>
                <w:sz w:val="20"/>
                <w:szCs w:val="20"/>
                <w:color w:val="auto"/>
              </w:rPr>
            </w:pPr>
            <w:r>
              <w:rPr>
                <w:rFonts w:ascii="Arial" w:cs="Arial" w:eastAsia="Arial" w:hAnsi="Arial"/>
                <w:sz w:val="8"/>
                <w:szCs w:val="8"/>
                <w:b w:val="1"/>
                <w:bCs w:val="1"/>
                <w:color w:val="auto"/>
              </w:rPr>
              <w:t>2020</w:t>
            </w: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80" w:type="dxa"/>
            <w:vAlign w:val="bottom"/>
            <w:tcBorders>
              <w:bottom w:val="single" w:sz="8" w:color="004483"/>
            </w:tcBorders>
            <w:gridSpan w:val="2"/>
          </w:tcPr>
          <w:p>
            <w:pPr>
              <w:jc w:val="right"/>
              <w:ind w:right="606"/>
              <w:spacing w:after="0"/>
              <w:rPr>
                <w:sz w:val="20"/>
                <w:szCs w:val="20"/>
                <w:color w:val="auto"/>
              </w:rPr>
            </w:pPr>
            <w:r>
              <w:rPr>
                <w:rFonts w:ascii="Arial" w:cs="Arial" w:eastAsia="Arial" w:hAnsi="Arial"/>
                <w:sz w:val="8"/>
                <w:szCs w:val="8"/>
                <w:color w:val="auto"/>
              </w:rPr>
              <w:t>(dollars in thousands)</w:t>
            </w:r>
          </w:p>
        </w:tc>
        <w:tc>
          <w:tcPr>
            <w:tcW w:w="82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Revenue</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45,382</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50,600</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Gross Margin</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16,833</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16,765</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Earnings Before Income Taxes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16,189</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15,727</w:t>
            </w:r>
          </w:p>
        </w:tc>
      </w:tr>
      <w:tr>
        <w:trPr>
          <w:trHeight w:val="153"/>
        </w:trPr>
        <w:tc>
          <w:tcPr>
            <w:tcW w:w="7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33"/>
        </w:trPr>
        <w:tc>
          <w:tcPr>
            <w:tcW w:w="7740" w:type="dxa"/>
            <w:vAlign w:val="bottom"/>
          </w:tcPr>
          <w:p>
            <w:pPr>
              <w:spacing w:after="0"/>
              <w:rPr>
                <w:sz w:val="11"/>
                <w:szCs w:val="11"/>
                <w:color w:val="auto"/>
              </w:rPr>
            </w:pPr>
          </w:p>
        </w:tc>
        <w:tc>
          <w:tcPr>
            <w:tcW w:w="560" w:type="dxa"/>
            <w:vAlign w:val="bottom"/>
            <w:tcBorders>
              <w:bottom w:val="single" w:sz="8" w:color="004483"/>
            </w:tcBorders>
            <w:shd w:val="clear" w:color="auto" w:fill="004483"/>
          </w:tcPr>
          <w:p>
            <w:pPr>
              <w:spacing w:after="0"/>
              <w:rPr>
                <w:sz w:val="11"/>
                <w:szCs w:val="11"/>
                <w:color w:val="auto"/>
              </w:rPr>
            </w:pPr>
          </w:p>
        </w:tc>
        <w:tc>
          <w:tcPr>
            <w:tcW w:w="1160" w:type="dxa"/>
            <w:vAlign w:val="bottom"/>
            <w:tcBorders>
              <w:bottom w:val="single" w:sz="8" w:color="004483"/>
            </w:tcBorders>
            <w:shd w:val="clear" w:color="auto" w:fill="004483"/>
          </w:tcPr>
          <w:p>
            <w:pPr>
              <w:jc w:val="right"/>
              <w:ind w:right="112"/>
              <w:spacing w:after="0"/>
              <w:rPr>
                <w:sz w:val="20"/>
                <w:szCs w:val="20"/>
                <w:color w:val="auto"/>
              </w:rPr>
            </w:pPr>
            <w:r>
              <w:rPr>
                <w:rFonts w:ascii="Arial" w:cs="Arial" w:eastAsia="Arial" w:hAnsi="Arial"/>
                <w:sz w:val="8"/>
                <w:szCs w:val="8"/>
                <w:b w:val="1"/>
                <w:bCs w:val="1"/>
                <w:color w:val="FFFFFF"/>
              </w:rPr>
              <w:t>June 30,</w:t>
            </w:r>
          </w:p>
        </w:tc>
        <w:tc>
          <w:tcPr>
            <w:tcW w:w="1020" w:type="dxa"/>
            <w:vAlign w:val="bottom"/>
            <w:tcBorders>
              <w:bottom w:val="single" w:sz="8" w:color="004483"/>
            </w:tcBorders>
            <w:shd w:val="clear" w:color="auto" w:fill="004483"/>
          </w:tcPr>
          <w:p>
            <w:pPr>
              <w:spacing w:after="0"/>
              <w:rPr>
                <w:sz w:val="11"/>
                <w:szCs w:val="11"/>
                <w:color w:val="auto"/>
              </w:rPr>
            </w:pPr>
          </w:p>
        </w:tc>
        <w:tc>
          <w:tcPr>
            <w:tcW w:w="820" w:type="dxa"/>
            <w:vAlign w:val="bottom"/>
            <w:tcBorders>
              <w:bottom w:val="single" w:sz="8" w:color="004483"/>
            </w:tcBorders>
            <w:shd w:val="clear" w:color="auto" w:fill="004483"/>
          </w:tcPr>
          <w:p>
            <w:pPr>
              <w:jc w:val="right"/>
              <w:ind w:right="70"/>
              <w:spacing w:after="0"/>
              <w:rPr>
                <w:sz w:val="20"/>
                <w:szCs w:val="20"/>
                <w:color w:val="auto"/>
              </w:rPr>
            </w:pPr>
            <w:r>
              <w:rPr>
                <w:rFonts w:ascii="Arial" w:cs="Arial" w:eastAsia="Arial" w:hAnsi="Arial"/>
                <w:sz w:val="8"/>
                <w:szCs w:val="8"/>
                <w:b w:val="1"/>
                <w:bCs w:val="1"/>
                <w:color w:val="FFFFFF"/>
              </w:rPr>
              <w:t>March 31,</w:t>
            </w: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60" w:type="dxa"/>
            <w:vAlign w:val="bottom"/>
          </w:tcPr>
          <w:p>
            <w:pPr>
              <w:jc w:val="right"/>
              <w:ind w:right="112"/>
              <w:spacing w:after="0"/>
              <w:rPr>
                <w:sz w:val="20"/>
                <w:szCs w:val="20"/>
                <w:color w:val="auto"/>
              </w:rPr>
            </w:pPr>
            <w:r>
              <w:rPr>
                <w:rFonts w:ascii="Arial" w:cs="Arial" w:eastAsia="Arial" w:hAnsi="Arial"/>
                <w:sz w:val="8"/>
                <w:szCs w:val="8"/>
                <w:b w:val="1"/>
                <w:bCs w:val="1"/>
                <w:color w:val="auto"/>
              </w:rPr>
              <w:t>2021</w:t>
            </w:r>
          </w:p>
        </w:tc>
        <w:tc>
          <w:tcPr>
            <w:tcW w:w="1020" w:type="dxa"/>
            <w:vAlign w:val="bottom"/>
          </w:tcPr>
          <w:p>
            <w:pPr>
              <w:spacing w:after="0"/>
              <w:rPr>
                <w:sz w:val="8"/>
                <w:szCs w:val="8"/>
                <w:color w:val="auto"/>
              </w:rPr>
            </w:pPr>
          </w:p>
        </w:tc>
        <w:tc>
          <w:tcPr>
            <w:tcW w:w="820" w:type="dxa"/>
            <w:vAlign w:val="bottom"/>
          </w:tcPr>
          <w:p>
            <w:pPr>
              <w:jc w:val="right"/>
              <w:ind w:right="70"/>
              <w:spacing w:after="0"/>
              <w:rPr>
                <w:sz w:val="20"/>
                <w:szCs w:val="20"/>
                <w:color w:val="auto"/>
              </w:rPr>
            </w:pPr>
            <w:r>
              <w:rPr>
                <w:rFonts w:ascii="Arial" w:cs="Arial" w:eastAsia="Arial" w:hAnsi="Arial"/>
                <w:sz w:val="8"/>
                <w:szCs w:val="8"/>
                <w:b w:val="1"/>
                <w:bCs w:val="1"/>
                <w:color w:val="auto"/>
              </w:rPr>
              <w:t>2021</w:t>
            </w: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180" w:type="dxa"/>
            <w:vAlign w:val="bottom"/>
            <w:tcBorders>
              <w:bottom w:val="single" w:sz="8" w:color="004483"/>
            </w:tcBorders>
            <w:gridSpan w:val="2"/>
          </w:tcPr>
          <w:p>
            <w:pPr>
              <w:jc w:val="right"/>
              <w:ind w:right="606"/>
              <w:spacing w:after="0"/>
              <w:rPr>
                <w:sz w:val="20"/>
                <w:szCs w:val="20"/>
                <w:color w:val="auto"/>
              </w:rPr>
            </w:pPr>
            <w:r>
              <w:rPr>
                <w:rFonts w:ascii="Arial" w:cs="Arial" w:eastAsia="Arial" w:hAnsi="Arial"/>
                <w:sz w:val="8"/>
                <w:szCs w:val="8"/>
                <w:color w:val="auto"/>
              </w:rPr>
              <w:t>(dollars in thousands)</w:t>
            </w:r>
          </w:p>
        </w:tc>
        <w:tc>
          <w:tcPr>
            <w:tcW w:w="820" w:type="dxa"/>
            <w:vAlign w:val="bottom"/>
            <w:tcBorders>
              <w:bottom w:val="single" w:sz="8" w:color="004483"/>
            </w:tcBorders>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Current Assets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67,254</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66,871</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Non-Current Assets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107,390</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107,617</w:t>
            </w: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Current Liabilities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6A6A6"/>
            </w:tcBorders>
          </w:tcPr>
          <w:p>
            <w:pPr>
              <w:jc w:val="right"/>
              <w:ind w:right="112"/>
              <w:spacing w:after="0"/>
              <w:rPr>
                <w:sz w:val="20"/>
                <w:szCs w:val="20"/>
                <w:color w:val="auto"/>
              </w:rPr>
            </w:pPr>
            <w:r>
              <w:rPr>
                <w:rFonts w:ascii="Arial" w:cs="Arial" w:eastAsia="Arial" w:hAnsi="Arial"/>
                <w:sz w:val="11"/>
                <w:szCs w:val="11"/>
                <w:color w:val="auto"/>
              </w:rPr>
              <w:t>15,043</w:t>
            </w:r>
          </w:p>
        </w:tc>
        <w:tc>
          <w:tcPr>
            <w:tcW w:w="1020" w:type="dxa"/>
            <w:vAlign w:val="bottom"/>
            <w:tcBorders>
              <w:bottom w:val="single" w:sz="8" w:color="A6A6A6"/>
            </w:tcBorders>
          </w:tcPr>
          <w:p>
            <w:pPr>
              <w:jc w:val="right"/>
              <w:ind w:right="7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6A6A6"/>
            </w:tcBorders>
          </w:tcPr>
          <w:p>
            <w:pPr>
              <w:jc w:val="right"/>
              <w:ind w:right="70"/>
              <w:spacing w:after="0"/>
              <w:rPr>
                <w:sz w:val="20"/>
                <w:szCs w:val="20"/>
                <w:color w:val="auto"/>
              </w:rPr>
            </w:pPr>
            <w:r>
              <w:rPr>
                <w:rFonts w:ascii="Arial" w:cs="Arial" w:eastAsia="Arial" w:hAnsi="Arial"/>
                <w:sz w:val="11"/>
                <w:szCs w:val="11"/>
                <w:color w:val="auto"/>
              </w:rPr>
              <w:t>16,390</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 INTEREST EXPENSE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components are included in Interest Expense, net: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20" w:type="dxa"/>
            <w:vAlign w:val="bottom"/>
            <w:gridSpan w:val="4"/>
            <w:shd w:val="clear" w:color="auto" w:fill="004483"/>
          </w:tcPr>
          <w:p>
            <w:pPr>
              <w:jc w:val="right"/>
              <w:ind w:right="353"/>
              <w:spacing w:after="0"/>
              <w:rPr>
                <w:sz w:val="20"/>
                <w:szCs w:val="20"/>
                <w:color w:val="auto"/>
              </w:rPr>
            </w:pPr>
            <w:r>
              <w:rPr>
                <w:rFonts w:ascii="Arial" w:cs="Arial" w:eastAsia="Arial" w:hAnsi="Arial"/>
                <w:sz w:val="8"/>
                <w:szCs w:val="8"/>
                <w:b w:val="1"/>
                <w:bCs w:val="1"/>
                <w:color w:val="FFFFFF"/>
              </w:rPr>
              <w:t>For the Three Months Ended June 30,</w:t>
            </w:r>
          </w:p>
        </w:tc>
        <w:tc>
          <w:tcPr>
            <w:tcW w:w="6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20" w:type="dxa"/>
            <w:vAlign w:val="bottom"/>
            <w:tcBorders>
              <w:bottom w:val="single" w:sz="8" w:color="004483"/>
            </w:tcBorders>
            <w:gridSpan w:val="4"/>
          </w:tcPr>
          <w:p>
            <w:pPr>
              <w:jc w:val="right"/>
              <w:ind w:right="673"/>
              <w:spacing w:after="0"/>
              <w:rPr>
                <w:sz w:val="20"/>
                <w:szCs w:val="20"/>
                <w:color w:val="auto"/>
              </w:rPr>
            </w:pPr>
            <w:r>
              <w:rPr>
                <w:rFonts w:ascii="Arial" w:cs="Arial" w:eastAsia="Arial" w:hAnsi="Arial"/>
                <w:sz w:val="8"/>
                <w:szCs w:val="8"/>
                <w:color w:val="auto"/>
              </w:rPr>
              <w:t>(dollars in thousands)</w:t>
            </w:r>
          </w:p>
        </w:tc>
        <w:tc>
          <w:tcPr>
            <w:tcW w:w="6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Pr>
          <w:p>
            <w:pPr>
              <w:spacing w:after="0"/>
              <w:rPr>
                <w:sz w:val="20"/>
                <w:szCs w:val="20"/>
                <w:color w:val="auto"/>
              </w:rPr>
            </w:pPr>
            <w:r>
              <w:rPr>
                <w:rFonts w:ascii="Arial" w:cs="Arial" w:eastAsia="Arial" w:hAnsi="Arial"/>
                <w:sz w:val="11"/>
                <w:szCs w:val="11"/>
                <w:color w:val="auto"/>
              </w:rPr>
              <w:t>Interest Income</w:t>
            </w: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(25)</w:t>
            </w:r>
          </w:p>
        </w:tc>
        <w:tc>
          <w:tcPr>
            <w:tcW w:w="200" w:type="dxa"/>
            <w:vAlign w:val="bottom"/>
          </w:tcPr>
          <w:p>
            <w:pPr>
              <w:spacing w:after="0"/>
              <w:rPr>
                <w:sz w:val="11"/>
                <w:szCs w:val="11"/>
                <w:color w:val="auto"/>
              </w:rPr>
            </w:pPr>
          </w:p>
        </w:tc>
        <w:tc>
          <w:tcPr>
            <w:tcW w:w="900" w:type="dxa"/>
            <w:vAlign w:val="bottom"/>
          </w:tcPr>
          <w:p>
            <w:pPr>
              <w:jc w:val="right"/>
              <w:ind w:right="833"/>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Interest Expense</w:t>
            </w:r>
          </w:p>
        </w:tc>
        <w:tc>
          <w:tcPr>
            <w:tcW w:w="560" w:type="dxa"/>
            <w:vAlign w:val="bottom"/>
            <w:tcBorders>
              <w:top w:val="single" w:sz="8" w:color="A6A6A6"/>
              <w:bottom w:val="single" w:sz="8" w:color="A6A6A6"/>
            </w:tcBorders>
          </w:tcPr>
          <w:p>
            <w:pPr>
              <w:spacing w:after="0"/>
              <w:rPr>
                <w:sz w:val="11"/>
                <w:szCs w:val="11"/>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6,126</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spacing w:after="0"/>
              <w:rPr>
                <w:sz w:val="11"/>
                <w:szCs w:val="11"/>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13,019</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Other Expenses</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871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004483"/>
            </w:tcBorders>
          </w:tcPr>
          <w:p>
            <w:pPr>
              <w:spacing w:after="0"/>
              <w:rPr>
                <w:sz w:val="11"/>
                <w:szCs w:val="11"/>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1,022</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1"/>
                <w:szCs w:val="11"/>
                <w:b w:val="1"/>
                <w:bCs w:val="1"/>
                <w:color w:val="auto"/>
              </w:rPr>
              <w:t>Interest Expense, net</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6,972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004483"/>
            </w:tcBorders>
          </w:tcPr>
          <w:p>
            <w:pPr>
              <w:jc w:val="right"/>
              <w:ind w:right="833"/>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14,041</w:t>
            </w:r>
          </w:p>
        </w:tc>
        <w:tc>
          <w:tcPr>
            <w:tcW w:w="120" w:type="dxa"/>
            <w:vAlign w:val="bottom"/>
          </w:tcPr>
          <w:p>
            <w:pPr>
              <w:spacing w:after="0"/>
              <w:rPr>
                <w:sz w:val="12"/>
                <w:szCs w:val="12"/>
                <w:color w:val="auto"/>
              </w:rPr>
            </w:pPr>
          </w:p>
        </w:tc>
      </w:tr>
    </w:tbl>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2"/>
          <w:szCs w:val="12"/>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 COMMITMENTS AND CONTINGENCIES</w:t>
      </w:r>
    </w:p>
    <w:p>
      <w:pPr>
        <w:spacing w:after="0" w:line="93" w:lineRule="exact"/>
        <w:rPr>
          <w:sz w:val="20"/>
          <w:szCs w:val="20"/>
          <w:color w:val="auto"/>
        </w:rPr>
      </w:pPr>
    </w:p>
    <w:p>
      <w:pPr>
        <w:jc w:val="both"/>
        <w:ind w:right="120"/>
        <w:spacing w:after="0" w:line="271" w:lineRule="auto"/>
        <w:rPr>
          <w:sz w:val="20"/>
          <w:szCs w:val="20"/>
          <w:color w:val="auto"/>
        </w:rPr>
      </w:pPr>
      <w:r>
        <w:rPr>
          <w:rFonts w:ascii="Arial" w:cs="Arial" w:eastAsia="Arial" w:hAnsi="Arial"/>
          <w:sz w:val="12"/>
          <w:szCs w:val="12"/>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June 30, 2021, we had contingent liabilities under these outstanding letters of credit of approximately $4.3 million.</w:t>
      </w:r>
    </w:p>
    <w:p>
      <w:pPr>
        <w:spacing w:after="0" w:line="64" w:lineRule="exact"/>
        <w:rPr>
          <w:sz w:val="20"/>
          <w:szCs w:val="20"/>
          <w:color w:val="auto"/>
        </w:rPr>
      </w:pPr>
    </w:p>
    <w:p>
      <w:pPr>
        <w:ind w:right="220"/>
        <w:spacing w:after="0" w:line="277" w:lineRule="auto"/>
        <w:rPr>
          <w:sz w:val="20"/>
          <w:szCs w:val="20"/>
          <w:color w:val="auto"/>
        </w:rPr>
      </w:pPr>
      <w:r>
        <w:rPr>
          <w:rFonts w:ascii="Arial" w:cs="Arial" w:eastAsia="Arial" w:hAnsi="Arial"/>
          <w:sz w:val="12"/>
          <w:szCs w:val="12"/>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21" w:name="page22"/>
    <w:bookmarkEnd w:id="21"/>
    <w:p>
      <w:pPr>
        <w:jc w:val="both"/>
        <w:ind w:right="80"/>
        <w:spacing w:after="0" w:line="271" w:lineRule="auto"/>
        <w:rPr>
          <w:sz w:val="20"/>
          <w:szCs w:val="20"/>
          <w:color w:val="auto"/>
        </w:rPr>
      </w:pPr>
      <w:r>
        <w:rPr>
          <w:rFonts w:ascii="Arial" w:cs="Arial" w:eastAsia="Arial" w:hAnsi="Arial"/>
          <w:sz w:val="12"/>
          <w:szCs w:val="12"/>
          <w:color w:val="auto"/>
        </w:rPr>
        <w:t>regulations and employment-related matters; customer, supplier, and other commercial contractual relationships;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64" w:lineRule="exact"/>
        <w:rPr>
          <w:sz w:val="20"/>
          <w:szCs w:val="20"/>
          <w:color w:val="auto"/>
        </w:rPr>
      </w:pPr>
    </w:p>
    <w:p>
      <w:pPr>
        <w:ind w:right="100"/>
        <w:spacing w:after="0" w:line="271" w:lineRule="auto"/>
        <w:rPr>
          <w:sz w:val="20"/>
          <w:szCs w:val="20"/>
          <w:color w:val="auto"/>
        </w:rPr>
      </w:pPr>
      <w:r>
        <w:rPr>
          <w:rFonts w:ascii="Arial" w:cs="Arial" w:eastAsia="Arial" w:hAnsi="Arial"/>
          <w:sz w:val="12"/>
          <w:szCs w:val="12"/>
          <w:color w:val="auto"/>
        </w:rPr>
        <w:t>We are currently contingently liable for performance under $25.6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 FAIR VALUE OF FINANCIAL INSTRUMENTS</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The fair value of our long-term debt has been estimated based upon our current incremental borrowing rates for similar types of borrowing arrangements. The fair value of our Senior Unsecured Notes at June 30, 2021 is as follows:</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8"/>
          <w:szCs w:val="8"/>
          <w:b w:val="1"/>
          <w:bCs w:val="1"/>
          <w:color w:val="auto"/>
        </w:rPr>
        <w:t>Fair Value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8"/>
          <w:szCs w:val="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0946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pacing w:after="0"/>
        <w:tabs>
          <w:tab w:leader="none" w:pos="8960" w:val="left"/>
          <w:tab w:leader="none" w:pos="10800" w:val="left"/>
        </w:tabs>
        <w:rPr>
          <w:sz w:val="20"/>
          <w:szCs w:val="20"/>
          <w:color w:val="auto"/>
        </w:rPr>
      </w:pPr>
      <w:r>
        <w:rPr>
          <w:rFonts w:ascii="Arial" w:cs="Arial" w:eastAsia="Arial" w:hAnsi="Arial"/>
          <w:sz w:val="11"/>
          <w:szCs w:val="11"/>
          <w:color w:val="auto"/>
        </w:rPr>
        <w:t>4.500% Senior Unsecured Notes Due 2026</w:t>
      </w:r>
      <w:r>
        <w:rPr>
          <w:sz w:val="20"/>
          <w:szCs w:val="20"/>
          <w:color w:val="auto"/>
        </w:rPr>
        <w:tab/>
      </w:r>
      <w:r>
        <w:rPr>
          <w:rFonts w:ascii="Arial" w:cs="Arial" w:eastAsia="Arial" w:hAnsi="Arial"/>
          <w:sz w:val="11"/>
          <w:szCs w:val="11"/>
          <w:color w:val="auto"/>
        </w:rPr>
        <w:t>$</w:t>
      </w:r>
      <w:r>
        <w:rPr>
          <w:sz w:val="20"/>
          <w:szCs w:val="20"/>
          <w:color w:val="auto"/>
        </w:rPr>
        <w:tab/>
      </w:r>
      <w:r>
        <w:rPr>
          <w:rFonts w:ascii="Arial" w:cs="Arial" w:eastAsia="Arial" w:hAnsi="Arial"/>
          <w:sz w:val="9"/>
          <w:szCs w:val="9"/>
          <w:color w:val="auto"/>
        </w:rPr>
        <w:t>358,866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1094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pacing w:after="0" w:line="155" w:lineRule="exact"/>
        <w:rPr>
          <w:sz w:val="20"/>
          <w:szCs w:val="20"/>
          <w:color w:val="auto"/>
        </w:rPr>
      </w:pPr>
    </w:p>
    <w:p>
      <w:pPr>
        <w:jc w:val="both"/>
        <w:ind w:right="40"/>
        <w:spacing w:after="0" w:line="271" w:lineRule="auto"/>
        <w:rPr>
          <w:sz w:val="20"/>
          <w:szCs w:val="20"/>
          <w:color w:val="auto"/>
        </w:rPr>
      </w:pPr>
      <w:r>
        <w:rPr>
          <w:rFonts w:ascii="Arial" w:cs="Arial" w:eastAsia="Arial" w:hAnsi="Arial"/>
          <w:sz w:val="12"/>
          <w:szCs w:val="12"/>
          <w:color w:val="auto"/>
        </w:rPr>
        <w:t>The estimated fair value of our long-term debt was based on quoted prices of similar debt instruments with similar terms that are publicly traded (level 2 input). The carrying values of Cash and Cash Equivalents, Accounts Receivable, Notes Receivable, Accounts Payable, and Accrued Liabilities approximate their fair values at June 30, 2021, due to the short-term maturities of these assets and liabilities. The fair value of our Term Loan also approximates its carrying value at June 30, 2021.</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382" w:right="41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08"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We are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65" w:lineRule="exact"/>
        <w:rPr>
          <w:sz w:val="20"/>
          <w:szCs w:val="20"/>
          <w:color w:val="auto"/>
        </w:rPr>
      </w:pPr>
    </w:p>
    <w:p>
      <w:pPr>
        <w:ind w:right="100"/>
        <w:spacing w:after="0" w:line="271" w:lineRule="auto"/>
        <w:rPr>
          <w:sz w:val="20"/>
          <w:szCs w:val="20"/>
          <w:color w:val="auto"/>
        </w:rPr>
      </w:pPr>
      <w:r>
        <w:rPr>
          <w:rFonts w:ascii="Arial" w:cs="Arial" w:eastAsia="Arial" w:hAnsi="Arial"/>
          <w:sz w:val="12"/>
          <w:szCs w:val="12"/>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months ended June 30, 2021 and 2020, respectively, are presented on a consolidated basis and by these business segments – Cement, Concrete and Aggregates, Gypsum Wallboard, and Recycled Paperboard.</w:t>
      </w:r>
    </w:p>
    <w:p>
      <w:pPr>
        <w:spacing w:after="0" w:line="64" w:lineRule="exact"/>
        <w:rPr>
          <w:sz w:val="20"/>
          <w:szCs w:val="20"/>
          <w:color w:val="auto"/>
        </w:rPr>
      </w:pPr>
    </w:p>
    <w:p>
      <w:pPr>
        <w:jc w:val="both"/>
        <w:ind w:right="120"/>
        <w:spacing w:after="0" w:line="271" w:lineRule="auto"/>
        <w:rPr>
          <w:sz w:val="20"/>
          <w:szCs w:val="20"/>
          <w:color w:val="auto"/>
        </w:rPr>
      </w:pPr>
      <w:r>
        <w:rPr>
          <w:rFonts w:ascii="Arial" w:cs="Arial" w:eastAsia="Arial" w:hAnsi="Arial"/>
          <w:sz w:val="12"/>
          <w:szCs w:val="12"/>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64"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All our business activities are conducted in the United States. These activities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64" w:lineRule="exact"/>
        <w:rPr>
          <w:sz w:val="20"/>
          <w:szCs w:val="20"/>
          <w:color w:val="auto"/>
        </w:rPr>
      </w:pPr>
    </w:p>
    <w:p>
      <w:pPr>
        <w:ind w:right="220"/>
        <w:spacing w:after="0" w:line="271" w:lineRule="auto"/>
        <w:rPr>
          <w:sz w:val="20"/>
          <w:szCs w:val="20"/>
          <w:color w:val="auto"/>
        </w:rPr>
      </w:pPr>
      <w:r>
        <w:rPr>
          <w:rFonts w:ascii="Arial" w:cs="Arial" w:eastAsia="Arial" w:hAnsi="Arial"/>
          <w:sz w:val="12"/>
          <w:szCs w:val="12"/>
          <w:color w:val="auto"/>
        </w:rPr>
        <w:t>On September 18, 2020, we sold our Oil and Gas Proppants business, which had previously been reported as a separate operating segment. Because the sale of the Oil and Gas Proppants business was determined to meet the accounting criteria for discontinued operations, this segment is no longer separately reported in our reportable segment footnote for any of the periods presented. See Footnote (C) in the Unaudited Consolidated Financial Statements for more information about the sale of the Oil and Gas Proppants business.</w:t>
      </w:r>
    </w:p>
    <w:p>
      <w:pPr>
        <w:spacing w:after="0" w:line="64" w:lineRule="exact"/>
        <w:rPr>
          <w:sz w:val="20"/>
          <w:szCs w:val="20"/>
          <w:color w:val="auto"/>
        </w:rPr>
      </w:pPr>
    </w:p>
    <w:p>
      <w:pPr>
        <w:ind w:right="40"/>
        <w:spacing w:after="0" w:line="324" w:lineRule="auto"/>
        <w:rPr>
          <w:sz w:val="20"/>
          <w:szCs w:val="20"/>
          <w:color w:val="auto"/>
        </w:rPr>
      </w:pPr>
      <w:r>
        <w:rPr>
          <w:rFonts w:ascii="Arial" w:cs="Arial" w:eastAsia="Arial" w:hAnsi="Arial"/>
          <w:sz w:val="11"/>
          <w:szCs w:val="11"/>
          <w:color w:val="auto"/>
        </w:rPr>
        <w:t>On April 17, 2020, we sold our Western Aggregates LLC (Western) and Mathews Readymix LLC (Mathews) businesses for an aggregate purchase price of $93.5 million, resulting in a gain of $52.0 million. Western and Mathews were part of our Concrete and Aggregates operating segment, and their results of operations were included in our financial statements for the period from April 1, 2020 through April 17, 2020.</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CONDITIONS AND OUTLOOK</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We remain well positioned to manage our cost structure and meet our customers’ requirements during the remainder of fiscal 2022. In the first quarter of fiscal 2022, residential construction activity remained robust, and infrastructure spending continued at high levels. We expect demand for our Wallboard and Cement businesses to remain strong throughout fiscal 2022. Additionally, if the proposed federal infrastructure program is passed, investment in roads, bridges, and other infrastructure will increase further throughout the country.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12" w:right="299" w:bottom="1440" w:gutter="0" w:footer="0" w:header="0"/>
        </w:sectPr>
      </w:pPr>
    </w:p>
    <w:bookmarkStart w:id="23" w:name="page24"/>
    <w:bookmarkEnd w:id="23"/>
    <w:p>
      <w:pPr>
        <w:ind w:right="240"/>
        <w:spacing w:after="0" w:line="271" w:lineRule="auto"/>
        <w:rPr>
          <w:sz w:val="20"/>
          <w:szCs w:val="20"/>
          <w:color w:val="auto"/>
        </w:rPr>
      </w:pPr>
      <w:r>
        <w:rPr>
          <w:rFonts w:ascii="Arial" w:cs="Arial" w:eastAsia="Arial" w:hAnsi="Arial"/>
          <w:sz w:val="12"/>
          <w:szCs w:val="12"/>
          <w:color w:val="auto"/>
        </w:rPr>
        <w:t>Cement and Concrete and Aggregates markets are affected by infrastructure spending, residential construction, industrial construction activity, and weather. The Portland Cement Association estimates that in calendar 2021 cement consumption will increase approximately 2% over 2020. Despite underlying market demand, our organic Cement sales volume growth is expected to be limited in fiscal 2022 because our integrated cement sales network, which stretches across the U.S. heartland, is operating at high utilization levels.</w:t>
      </w:r>
    </w:p>
    <w:p>
      <w:pPr>
        <w:spacing w:after="0" w:line="64" w:lineRule="exact"/>
        <w:rPr>
          <w:sz w:val="20"/>
          <w:szCs w:val="20"/>
          <w:color w:val="auto"/>
        </w:rPr>
      </w:pPr>
    </w:p>
    <w:p>
      <w:pPr>
        <w:ind w:right="60"/>
        <w:spacing w:after="0" w:line="271" w:lineRule="auto"/>
        <w:rPr>
          <w:sz w:val="20"/>
          <w:szCs w:val="20"/>
          <w:color w:val="auto"/>
        </w:rPr>
      </w:pPr>
      <w:r>
        <w:rPr>
          <w:rFonts w:ascii="Arial" w:cs="Arial" w:eastAsia="Arial" w:hAnsi="Arial"/>
          <w:sz w:val="12"/>
          <w:szCs w:val="12"/>
          <w:color w:val="auto"/>
        </w:rPr>
        <w:t>Our primary Gypsum Wallboard sales network stretches across the southern half of the United States, consistent with our facility network. Wallboard demand is heavily influenced by new residential housing construction, as well as repair and remodeling activity. Residential housing starts increased, on a seasonally adjusted basis, approximately 29% in during the first six-months of calendar 2021, compared with 2020, and are expected to remain strong throughout the remainder of the calendar year. Repair and remodel activity proved resilient in 2020 and is expected to continue to gain strength in calendar 2021.</w:t>
      </w:r>
    </w:p>
    <w:p>
      <w:pPr>
        <w:spacing w:after="0" w:line="64"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Our Recycled Paperboard business sells paper primarily into the gypsum wallboard market, and demand for paper generally follows the demand for gypsum wallboard. The primary raw material used to produce paperboard is Old Carboard Containers (OCC). Prices for OCC increased during the fiscal first quarter of 2022, and we anticipate that they could increase again in the fiscal second quarter before leveling off for the remainder of the fiscal year. Although current gypsum liner customer contracts include price escalators that partially offset and compensate for changes in raw material fiber prices, these increases likely will adversely affect the cost of paper used to manufacture gypsum wallboard by our Gypsum Wallboard segment.</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JUNE 30, 2021 COMPARED WITH THREE MONTHS ENDED JUNE 30,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00" w:type="dxa"/>
            <w:vAlign w:val="bottom"/>
            <w:shd w:val="clear" w:color="auto" w:fill="004483"/>
          </w:tcPr>
          <w:p>
            <w:pPr>
              <w:spacing w:after="0"/>
              <w:rPr>
                <w:sz w:val="13"/>
                <w:szCs w:val="13"/>
                <w:color w:val="auto"/>
              </w:rPr>
            </w:pPr>
          </w:p>
        </w:tc>
        <w:tc>
          <w:tcPr>
            <w:tcW w:w="1920" w:type="dxa"/>
            <w:vAlign w:val="bottom"/>
            <w:gridSpan w:val="4"/>
            <w:shd w:val="clear" w:color="auto" w:fill="004483"/>
          </w:tcPr>
          <w:p>
            <w:pPr>
              <w:jc w:val="right"/>
              <w:ind w:right="131"/>
              <w:spacing w:after="0"/>
              <w:rPr>
                <w:sz w:val="20"/>
                <w:szCs w:val="20"/>
                <w:color w:val="auto"/>
              </w:rPr>
            </w:pPr>
            <w:r>
              <w:rPr>
                <w:rFonts w:ascii="Arial" w:cs="Arial" w:eastAsia="Arial" w:hAnsi="Arial"/>
                <w:sz w:val="8"/>
                <w:szCs w:val="8"/>
                <w:b w:val="1"/>
                <w:bCs w:val="1"/>
                <w:color w:val="FFFFFF"/>
              </w:rPr>
              <w:t>For the Three Months Ended June 30,</w:t>
            </w:r>
          </w:p>
        </w:tc>
        <w:tc>
          <w:tcPr>
            <w:tcW w:w="5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1620" w:type="dxa"/>
            <w:vAlign w:val="bottom"/>
            <w:gridSpan w:val="2"/>
            <w:vMerge w:val="restart"/>
          </w:tcPr>
          <w:p>
            <w:pPr>
              <w:jc w:val="right"/>
              <w:ind w:right="140"/>
              <w:spacing w:after="0"/>
              <w:rPr>
                <w:sz w:val="20"/>
                <w:szCs w:val="20"/>
                <w:color w:val="auto"/>
              </w:rPr>
            </w:pPr>
            <w:r>
              <w:rPr>
                <w:rFonts w:ascii="Arial" w:cs="Arial" w:eastAsia="Arial" w:hAnsi="Arial"/>
                <w:sz w:val="8"/>
                <w:szCs w:val="8"/>
                <w:b w:val="1"/>
                <w:bCs w:val="1"/>
                <w:color w:val="auto"/>
              </w:rPr>
              <w:t>Change</w:t>
            </w:r>
          </w:p>
        </w:tc>
        <w:tc>
          <w:tcPr>
            <w:tcW w:w="0" w:type="dxa"/>
            <w:vAlign w:val="bottom"/>
          </w:tcPr>
          <w:p>
            <w:pPr>
              <w:spacing w:after="0"/>
              <w:rPr>
                <w:sz w:val="1"/>
                <w:szCs w:val="1"/>
                <w:color w:val="auto"/>
              </w:rPr>
            </w:pPr>
          </w:p>
        </w:tc>
      </w:tr>
      <w:tr>
        <w:trPr>
          <w:trHeight w:val="99"/>
        </w:trPr>
        <w:tc>
          <w:tcPr>
            <w:tcW w:w="6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640" w:type="dxa"/>
            <w:vAlign w:val="bottom"/>
            <w:tcBorders>
              <w:bottom w:val="single" w:sz="8" w:color="004483"/>
            </w:tcBorders>
          </w:tcPr>
          <w:p>
            <w:pPr>
              <w:spacing w:after="0"/>
              <w:rPr>
                <w:sz w:val="8"/>
                <w:szCs w:val="8"/>
                <w:color w:val="auto"/>
              </w:rPr>
            </w:pPr>
          </w:p>
        </w:tc>
        <w:tc>
          <w:tcPr>
            <w:tcW w:w="400" w:type="dxa"/>
            <w:vAlign w:val="bottom"/>
            <w:tcBorders>
              <w:bottom w:val="single" w:sz="8" w:color="004483"/>
            </w:tcBorders>
          </w:tcPr>
          <w:p>
            <w:pPr>
              <w:spacing w:after="0"/>
              <w:rPr>
                <w:sz w:val="8"/>
                <w:szCs w:val="8"/>
                <w:color w:val="auto"/>
              </w:rPr>
            </w:pPr>
          </w:p>
        </w:tc>
        <w:tc>
          <w:tcPr>
            <w:tcW w:w="1920" w:type="dxa"/>
            <w:vAlign w:val="bottom"/>
            <w:tcBorders>
              <w:bottom w:val="single" w:sz="8" w:color="004483"/>
            </w:tcBorders>
            <w:gridSpan w:val="4"/>
          </w:tcPr>
          <w:p>
            <w:pPr>
              <w:jc w:val="right"/>
              <w:ind w:right="291"/>
              <w:spacing w:after="0"/>
              <w:rPr>
                <w:sz w:val="20"/>
                <w:szCs w:val="20"/>
                <w:color w:val="auto"/>
              </w:rPr>
            </w:pPr>
            <w:r>
              <w:rPr>
                <w:rFonts w:ascii="Arial" w:cs="Arial" w:eastAsia="Arial" w:hAnsi="Arial"/>
                <w:sz w:val="8"/>
                <w:szCs w:val="8"/>
                <w:color w:val="auto"/>
              </w:rPr>
              <w:t>(in thousands, except per share)</w:t>
            </w:r>
          </w:p>
        </w:tc>
        <w:tc>
          <w:tcPr>
            <w:tcW w:w="58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bottom w:val="single" w:sz="8" w:color="004483"/>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Revenue</w:t>
            </w:r>
          </w:p>
        </w:tc>
        <w:tc>
          <w:tcPr>
            <w:tcW w:w="400" w:type="dxa"/>
            <w:vAlign w:val="bottom"/>
          </w:tcPr>
          <w:p>
            <w:pPr>
              <w:jc w:val="right"/>
              <w:ind w:right="333"/>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475,770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426,989</w:t>
            </w:r>
          </w:p>
        </w:tc>
        <w:tc>
          <w:tcPr>
            <w:tcW w:w="120" w:type="dxa"/>
            <w:vAlign w:val="bottom"/>
          </w:tcPr>
          <w:p>
            <w:pPr>
              <w:spacing w:after="0"/>
              <w:rPr>
                <w:sz w:val="11"/>
                <w:szCs w:val="11"/>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Cost of Goods Sold</w:t>
            </w:r>
          </w:p>
        </w:tc>
        <w:tc>
          <w:tcPr>
            <w:tcW w:w="4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(349,259)</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(324,692)</w:t>
            </w:r>
          </w:p>
        </w:tc>
        <w:tc>
          <w:tcPr>
            <w:tcW w:w="16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5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Gross Profit</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126,511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102,297</w:t>
            </w:r>
          </w:p>
        </w:tc>
        <w:tc>
          <w:tcPr>
            <w:tcW w:w="120" w:type="dxa"/>
            <w:vAlign w:val="bottom"/>
          </w:tcPr>
          <w:p>
            <w:pPr>
              <w:spacing w:after="0"/>
              <w:rPr>
                <w:sz w:val="11"/>
                <w:szCs w:val="11"/>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Equity in Earnings of Unconsolidated Joint Venture</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7,970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7,796</w:t>
            </w:r>
          </w:p>
        </w:tc>
        <w:tc>
          <w:tcPr>
            <w:tcW w:w="120" w:type="dxa"/>
            <w:vAlign w:val="bottom"/>
          </w:tcPr>
          <w:p>
            <w:pPr>
              <w:spacing w:after="0"/>
              <w:rPr>
                <w:sz w:val="11"/>
                <w:szCs w:val="11"/>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Corporate General and Administrative</w:t>
            </w:r>
          </w:p>
        </w:tc>
        <w:tc>
          <w:tcPr>
            <w:tcW w:w="4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(9,468)</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(17,789)</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Gain on Sale of Businesses</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51,973</w:t>
            </w:r>
          </w:p>
        </w:tc>
        <w:tc>
          <w:tcPr>
            <w:tcW w:w="12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Other Non-Operating Income (Loss)</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3,678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(309)</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(1290)%</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Interest Expense, net</w:t>
            </w:r>
          </w:p>
        </w:tc>
        <w:tc>
          <w:tcPr>
            <w:tcW w:w="4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(6,972)</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(14,041)</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(50)%</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5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Earnings from Continuing Operations Before Income Taxes</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121,719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129,927</w:t>
            </w:r>
          </w:p>
        </w:tc>
        <w:tc>
          <w:tcPr>
            <w:tcW w:w="12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Income Tax Expense</w:t>
            </w:r>
          </w:p>
        </w:tc>
        <w:tc>
          <w:tcPr>
            <w:tcW w:w="400" w:type="dxa"/>
            <w:vAlign w:val="bottom"/>
          </w:tcPr>
          <w:p>
            <w:pPr>
              <w:spacing w:after="0"/>
              <w:rPr>
                <w:sz w:val="11"/>
                <w:szCs w:val="1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1"/>
                <w:szCs w:val="11"/>
                <w:color w:val="auto"/>
              </w:rPr>
              <w:t>(26,392)</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(32,836)</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5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b w:val="1"/>
                <w:bCs w:val="1"/>
                <w:color w:val="auto"/>
              </w:rPr>
              <w:t>Net Earnings from Continuing Operations</w:t>
            </w:r>
          </w:p>
        </w:tc>
        <w:tc>
          <w:tcPr>
            <w:tcW w:w="400" w:type="dxa"/>
            <w:vAlign w:val="bottom"/>
          </w:tcPr>
          <w:p>
            <w:pPr>
              <w:jc w:val="right"/>
              <w:ind w:right="333"/>
              <w:spacing w:after="0"/>
              <w:rPr>
                <w:sz w:val="20"/>
                <w:szCs w:val="20"/>
                <w:color w:val="auto"/>
              </w:rPr>
            </w:pPr>
            <w:r>
              <w:rPr>
                <w:rFonts w:ascii="Arial" w:cs="Arial" w:eastAsia="Arial" w:hAnsi="Arial"/>
                <w:sz w:val="5"/>
                <w:szCs w:val="5"/>
                <w:b w:val="1"/>
                <w:bCs w:val="1"/>
                <w:color w:val="auto"/>
                <w:w w:val="70"/>
              </w:rPr>
              <w:t>$</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95,327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97,091</w:t>
            </w:r>
          </w:p>
        </w:tc>
        <w:tc>
          <w:tcPr>
            <w:tcW w:w="12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Net Loss from Discontinued Operations</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(885)</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shd w:val="clear" w:color="auto" w:fill="004483"/>
          </w:tcPr>
          <w:p>
            <w:pPr>
              <w:spacing w:after="0" w:line="20" w:lineRule="exact"/>
              <w:rPr>
                <w:sz w:val="1"/>
                <w:szCs w:val="1"/>
                <w:color w:val="auto"/>
              </w:rPr>
            </w:pPr>
          </w:p>
        </w:tc>
        <w:tc>
          <w:tcPr>
            <w:tcW w:w="58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640" w:type="dxa"/>
            <w:vAlign w:val="bottom"/>
          </w:tcPr>
          <w:p>
            <w:pPr>
              <w:spacing w:after="0"/>
              <w:rPr>
                <w:sz w:val="20"/>
                <w:szCs w:val="20"/>
                <w:color w:val="auto"/>
              </w:rPr>
            </w:pPr>
            <w:r>
              <w:rPr>
                <w:rFonts w:ascii="Arial" w:cs="Arial" w:eastAsia="Arial" w:hAnsi="Arial"/>
                <w:sz w:val="11"/>
                <w:szCs w:val="11"/>
                <w:b w:val="1"/>
                <w:bCs w:val="1"/>
                <w:color w:val="auto"/>
              </w:rPr>
              <w:t>Net Earnings</w:t>
            </w:r>
          </w:p>
        </w:tc>
        <w:tc>
          <w:tcPr>
            <w:tcW w:w="400" w:type="dxa"/>
            <w:vAlign w:val="bottom"/>
          </w:tcPr>
          <w:p>
            <w:pPr>
              <w:jc w:val="right"/>
              <w:ind w:right="333"/>
              <w:spacing w:after="0"/>
              <w:rPr>
                <w:sz w:val="20"/>
                <w:szCs w:val="20"/>
                <w:color w:val="auto"/>
              </w:rPr>
            </w:pPr>
            <w:r>
              <w:rPr>
                <w:rFonts w:ascii="Arial" w:cs="Arial" w:eastAsia="Arial" w:hAnsi="Arial"/>
                <w:sz w:val="5"/>
                <w:szCs w:val="5"/>
                <w:b w:val="1"/>
                <w:bCs w:val="1"/>
                <w:color w:val="auto"/>
                <w:w w:val="70"/>
              </w:rPr>
              <w:t>$</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95,327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96,206</w:t>
            </w:r>
          </w:p>
        </w:tc>
        <w:tc>
          <w:tcPr>
            <w:tcW w:w="12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tcBorders>
              <w:bottom w:val="single" w:sz="8" w:color="004483"/>
            </w:tcBorders>
            <w:shd w:val="clear" w:color="auto" w:fill="004483"/>
          </w:tcPr>
          <w:p>
            <w:pPr>
              <w:spacing w:after="0" w:line="20" w:lineRule="exact"/>
              <w:rPr>
                <w:sz w:val="1"/>
                <w:szCs w:val="1"/>
                <w:color w:val="auto"/>
              </w:rPr>
            </w:pPr>
          </w:p>
        </w:tc>
        <w:tc>
          <w:tcPr>
            <w:tcW w:w="920" w:type="dxa"/>
            <w:vAlign w:val="bottom"/>
            <w:tcBorders>
              <w:bottom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40" w:type="dxa"/>
            <w:vAlign w:val="bottom"/>
            <w:tcBorders>
              <w:bottom w:val="single" w:sz="8" w:color="004483"/>
            </w:tcBorders>
            <w:shd w:val="clear" w:color="auto" w:fill="004483"/>
          </w:tcPr>
          <w:p>
            <w:pPr>
              <w:spacing w:after="0" w:line="20" w:lineRule="exact"/>
              <w:rPr>
                <w:sz w:val="1"/>
                <w:szCs w:val="1"/>
                <w:color w:val="auto"/>
              </w:rPr>
            </w:pPr>
          </w:p>
        </w:tc>
        <w:tc>
          <w:tcPr>
            <w:tcW w:w="580" w:type="dxa"/>
            <w:vAlign w:val="bottom"/>
            <w:tcBorders>
              <w:bottom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tcPr>
          <w:p>
            <w:pPr>
              <w:spacing w:after="0" w:line="121" w:lineRule="exact"/>
              <w:rPr>
                <w:sz w:val="20"/>
                <w:szCs w:val="20"/>
                <w:color w:val="auto"/>
              </w:rPr>
            </w:pPr>
            <w:r>
              <w:rPr>
                <w:rFonts w:ascii="Arial" w:cs="Arial" w:eastAsia="Arial" w:hAnsi="Arial"/>
                <w:sz w:val="11"/>
                <w:szCs w:val="11"/>
                <w:b w:val="1"/>
                <w:bCs w:val="1"/>
                <w:color w:val="auto"/>
              </w:rPr>
              <w:t>Diluted Earnings per Share from Continuing Operations</w:t>
            </w:r>
          </w:p>
        </w:tc>
        <w:tc>
          <w:tcPr>
            <w:tcW w:w="400" w:type="dxa"/>
            <w:vAlign w:val="bottom"/>
          </w:tcPr>
          <w:p>
            <w:pPr>
              <w:jc w:val="right"/>
              <w:ind w:right="333"/>
              <w:spacing w:after="0"/>
              <w:rPr>
                <w:sz w:val="20"/>
                <w:szCs w:val="20"/>
                <w:color w:val="auto"/>
              </w:rPr>
            </w:pPr>
            <w:r>
              <w:rPr>
                <w:rFonts w:ascii="Arial" w:cs="Arial" w:eastAsia="Arial" w:hAnsi="Arial"/>
                <w:sz w:val="5"/>
                <w:szCs w:val="5"/>
                <w:b w:val="1"/>
                <w:bCs w:val="1"/>
                <w:color w:val="auto"/>
                <w:w w:val="70"/>
              </w:rPr>
              <w:t>$</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auto"/>
              </w:rPr>
              <w:t>2.25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631"/>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2.33</w:t>
            </w:r>
          </w:p>
        </w:tc>
        <w:tc>
          <w:tcPr>
            <w:tcW w:w="12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b w:val="1"/>
                <w:bCs w:val="1"/>
                <w:color w:val="auto"/>
              </w:rPr>
              <w:t>(3)%</w:t>
            </w:r>
          </w:p>
        </w:tc>
        <w:tc>
          <w:tcPr>
            <w:tcW w:w="0" w:type="dxa"/>
            <w:vAlign w:val="bottom"/>
          </w:tcPr>
          <w:p>
            <w:pPr>
              <w:spacing w:after="0"/>
              <w:rPr>
                <w:sz w:val="1"/>
                <w:szCs w:val="1"/>
                <w:color w:val="auto"/>
              </w:rPr>
            </w:pPr>
          </w:p>
        </w:tc>
      </w:tr>
      <w:tr>
        <w:trPr>
          <w:trHeight w:val="27"/>
        </w:trPr>
        <w:tc>
          <w:tcPr>
            <w:tcW w:w="6640" w:type="dxa"/>
            <w:vAlign w:val="bottom"/>
            <w:shd w:val="clear" w:color="auto" w:fill="A6A6A6"/>
          </w:tcPr>
          <w:p>
            <w:pPr>
              <w:spacing w:after="0"/>
              <w:rPr>
                <w:sz w:val="2"/>
                <w:szCs w:val="2"/>
                <w:color w:val="auto"/>
              </w:rPr>
            </w:pPr>
          </w:p>
        </w:tc>
        <w:tc>
          <w:tcPr>
            <w:tcW w:w="400" w:type="dxa"/>
            <w:vAlign w:val="bottom"/>
            <w:shd w:val="clear" w:color="auto" w:fill="004483"/>
          </w:tcPr>
          <w:p>
            <w:pPr>
              <w:spacing w:after="0"/>
              <w:rPr>
                <w:sz w:val="2"/>
                <w:szCs w:val="2"/>
                <w:color w:val="auto"/>
              </w:rPr>
            </w:pPr>
          </w:p>
        </w:tc>
        <w:tc>
          <w:tcPr>
            <w:tcW w:w="920" w:type="dxa"/>
            <w:vAlign w:val="bottom"/>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A6A6A6"/>
          </w:tcPr>
          <w:p>
            <w:pPr>
              <w:spacing w:after="0"/>
              <w:rPr>
                <w:sz w:val="2"/>
                <w:szCs w:val="2"/>
                <w:color w:val="auto"/>
              </w:rPr>
            </w:pPr>
          </w:p>
        </w:tc>
        <w:tc>
          <w:tcPr>
            <w:tcW w:w="740" w:type="dxa"/>
            <w:vAlign w:val="bottom"/>
            <w:shd w:val="clear" w:color="auto" w:fill="004483"/>
          </w:tcPr>
          <w:p>
            <w:pPr>
              <w:spacing w:after="0"/>
              <w:rPr>
                <w:sz w:val="2"/>
                <w:szCs w:val="2"/>
                <w:color w:val="auto"/>
              </w:rPr>
            </w:pPr>
          </w:p>
        </w:tc>
        <w:tc>
          <w:tcPr>
            <w:tcW w:w="580" w:type="dxa"/>
            <w:vAlign w:val="bottom"/>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shd w:val="clear" w:color="auto" w:fill="A6A6A6"/>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w:t>
      </w:r>
    </w:p>
    <w:p>
      <w:pPr>
        <w:spacing w:after="0" w:line="101" w:lineRule="exact"/>
        <w:rPr>
          <w:sz w:val="20"/>
          <w:szCs w:val="20"/>
          <w:color w:val="auto"/>
        </w:rPr>
      </w:pPr>
    </w:p>
    <w:p>
      <w:pPr>
        <w:jc w:val="both"/>
        <w:ind w:right="20"/>
        <w:spacing w:after="0" w:line="277" w:lineRule="auto"/>
        <w:rPr>
          <w:sz w:val="20"/>
          <w:szCs w:val="20"/>
          <w:color w:val="auto"/>
        </w:rPr>
      </w:pPr>
      <w:r>
        <w:rPr>
          <w:rFonts w:ascii="Arial" w:cs="Arial" w:eastAsia="Arial" w:hAnsi="Arial"/>
          <w:sz w:val="12"/>
          <w:szCs w:val="12"/>
          <w:color w:val="auto"/>
        </w:rPr>
        <w:t>Revenue increased by $48.8 million, or 11%, to $475.8 million for the three months ended June 30, 2021. The increase in Revenue was due to higher gross sales prices and Sales Volume, which positively affected Revenue by approximately $40.1 million and $8.7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OF GOODS SOLD</w:t>
      </w:r>
    </w:p>
    <w:p>
      <w:pPr>
        <w:spacing w:after="0" w:line="101" w:lineRule="exact"/>
        <w:rPr>
          <w:sz w:val="20"/>
          <w:szCs w:val="20"/>
          <w:color w:val="auto"/>
        </w:rPr>
      </w:pPr>
    </w:p>
    <w:p>
      <w:pPr>
        <w:ind w:right="140"/>
        <w:spacing w:after="0" w:line="277" w:lineRule="auto"/>
        <w:rPr>
          <w:sz w:val="20"/>
          <w:szCs w:val="20"/>
          <w:color w:val="auto"/>
        </w:rPr>
      </w:pPr>
      <w:r>
        <w:rPr>
          <w:rFonts w:ascii="Arial" w:cs="Arial" w:eastAsia="Arial" w:hAnsi="Arial"/>
          <w:sz w:val="12"/>
          <w:szCs w:val="12"/>
          <w:color w:val="auto"/>
        </w:rPr>
        <w:t>Cost of Goods Sold increased by $24.6 million, or 8%, to $349.3 million for the three months ended June 30, 2021. The increase was due to the higher Sales Volume and increased operating costs of $5.8 million and $18.8 million, respectively. The increase in operating costs was primarily related to our Cement and Gypsum Wallboard segments, which are discussed further in the segment analysis.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GROSS PROFIT</w:t>
      </w:r>
    </w:p>
    <w:p>
      <w:pPr>
        <w:spacing w:after="0" w:line="101" w:lineRule="exact"/>
        <w:rPr>
          <w:sz w:val="20"/>
          <w:szCs w:val="20"/>
          <w:color w:val="auto"/>
        </w:rPr>
      </w:pPr>
    </w:p>
    <w:p>
      <w:pPr>
        <w:ind w:right="100"/>
        <w:spacing w:after="0" w:line="277" w:lineRule="auto"/>
        <w:rPr>
          <w:sz w:val="20"/>
          <w:szCs w:val="20"/>
          <w:color w:val="auto"/>
        </w:rPr>
      </w:pPr>
      <w:r>
        <w:rPr>
          <w:rFonts w:ascii="Arial" w:cs="Arial" w:eastAsia="Arial" w:hAnsi="Arial"/>
          <w:sz w:val="12"/>
          <w:szCs w:val="12"/>
          <w:color w:val="auto"/>
        </w:rPr>
        <w:t>Gross Profit increased 24% to $126.5 million during the three months ended June 30, 2021. The was primarily due to higher gross sales prices and Sales Volume, partially offset by increased operating costs. The gross margin increased to 27% from 24%, primarily because of higher gross sales prices, partially offset by an increase in operating costs.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IN EARNINGS OF UNCONSOLIDATED JOINT VENTURE</w:t>
      </w:r>
    </w:p>
    <w:p>
      <w:pPr>
        <w:spacing w:after="0" w:line="101"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Equity in Earnings of our Unconsolidated Joint Venture increased $0.2 million, or 2%, for the three months ended June 30, 2021. The increase was primarily due to higher net sales prices, which raised earnings by approximately $1.4 million. This was partially offset by lower Sales Volume, which adversely affected earnings by approximately $1.2 million.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GENERAL AND ADMINISTRATIVE</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Corporate General and Administrative expenses declined by approximately $8.3 million, or 47%, for the three months ended June 30, 2021. The decrease was primarily due to lower professional and transaction fees incurred in fiscal 2021 of approximately $4.6 million and $2.9 million, respectively. The professional fees related primarily to our strategic portfolio review in the prior year, and the transaction fees mostly related to the sale of Mathews Readymix and Western Aggregates, and the preparation for the sale of the Oil and Gas Proppants business.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GAIN ON SALE OF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On April 17, 2020 we sold Western and Mathews for approximately $93.5 million. See Footnote (C) to the Unaudited Consolidated Financial Statements for more information regarding the sale.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NON-OPERATING INCOME (LOSS)</w:t>
      </w:r>
    </w:p>
    <w:p>
      <w:pPr>
        <w:spacing w:after="0" w:line="101" w:lineRule="exact"/>
        <w:rPr>
          <w:sz w:val="20"/>
          <w:szCs w:val="20"/>
          <w:color w:val="auto"/>
        </w:rPr>
      </w:pPr>
    </w:p>
    <w:p>
      <w:pPr>
        <w:ind w:right="140"/>
        <w:spacing w:after="0" w:line="277" w:lineRule="auto"/>
        <w:rPr>
          <w:sz w:val="20"/>
          <w:szCs w:val="20"/>
          <w:color w:val="auto"/>
        </w:rPr>
      </w:pPr>
      <w:r>
        <w:rPr>
          <w:rFonts w:ascii="Arial" w:cs="Arial" w:eastAsia="Arial" w:hAnsi="Arial"/>
          <w:sz w:val="12"/>
          <w:szCs w:val="12"/>
          <w:color w:val="auto"/>
        </w:rPr>
        <w:t>Other Non-Operating Income (Loss) consists of a variety of items that are unrelated to segment operations and include non-inventoried Aggregates income, asset sales, and other miscellaneous income and cost items. The increase in Other Non-Operating Income (Loss) was primarily due to the sale of land that resulted in a gain of approximately $1.7 million.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EXPENSE, NET</w:t>
      </w:r>
    </w:p>
    <w:p>
      <w:pPr>
        <w:spacing w:after="0" w:line="101" w:lineRule="exact"/>
        <w:rPr>
          <w:sz w:val="20"/>
          <w:szCs w:val="20"/>
          <w:color w:val="auto"/>
        </w:rPr>
      </w:pPr>
    </w:p>
    <w:p>
      <w:pPr>
        <w:ind w:right="80"/>
        <w:spacing w:after="0" w:line="269" w:lineRule="auto"/>
        <w:rPr>
          <w:sz w:val="20"/>
          <w:szCs w:val="20"/>
          <w:color w:val="auto"/>
        </w:rPr>
      </w:pPr>
      <w:r>
        <w:rPr>
          <w:rFonts w:ascii="Arial" w:cs="Arial" w:eastAsia="Arial" w:hAnsi="Arial"/>
          <w:sz w:val="12"/>
          <w:szCs w:val="12"/>
          <w:color w:val="auto"/>
        </w:rPr>
        <w:t>Interest Expense, net decreased by approximately $7.0 million, or 50%, during the three months ended June 30, 2021. The decrease was primarily due to lower interest on borrowings under our Revolving Credit Facility and Term Loan of approximately $4.6 million and $2.3 million, respectively. Interest Expense related to our Revolving Credit Facility was lower because we had no outstanding borrowings under the Revolving Credit Facility during the first quarter of fiscal 2022, compared with average borrowings of approximately $500.0 million during the first quarter of fiscal 2021. Interest Expense on our Term Loan declined due to lower average interest rates.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EARNINGS FROM CONTINUING OPERATIONS BEFORE INCOME TAXES</w:t>
      </w:r>
    </w:p>
    <w:p>
      <w:pPr>
        <w:spacing w:after="0" w:line="101"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Earnings Before Income Taxes decreased to $121.7 million during the three months ended June 30, 2021, primarily as a result of the Gain on Sale of Businesses in the prior year. This was partially offset by higher Gross Profit, Equity in Earnings of Unconsolidated Joint Venture, and Other Non-Operating Income, as well as lower Corporate General and Administrative Expenses and Interest Expense, net.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49"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color w:val="auto"/>
        </w:rPr>
        <w:t>INCOME TAX EXPENSE</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Income Tax Expense of $26.4 million was recorded for the three months ended June 30, 2021, compared with $32.6 million for the three months ended June 30, 2020. The effective tax rate decreased to 22% from 25% in the prior-year period. The decrease in the effective tax rate was primarily due to a discrete penalty related to an uncertain tax position that was recorded during the three months ended June 30, 2020.</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EARNINGS FROM CONTINUING OPERATIONS AND DILUTED EARNINGS PER SHARE FROM CONTINUING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Net Earnings from Continuing Operations decreased 2% to $95.3 million for the three months ended June 30, 2021. Diluted Earnings per Share from Continuing Operations decreased 3% to $2.25 per share.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 FROM DISCONTINUED OPERATIONS</w:t>
      </w:r>
    </w:p>
    <w:p>
      <w:pPr>
        <w:spacing w:after="0" w:line="101" w:lineRule="exact"/>
        <w:rPr>
          <w:sz w:val="20"/>
          <w:szCs w:val="20"/>
          <w:color w:val="auto"/>
        </w:rPr>
      </w:pPr>
    </w:p>
    <w:p>
      <w:pPr>
        <w:ind w:right="60"/>
        <w:spacing w:after="0" w:line="277" w:lineRule="auto"/>
        <w:rPr>
          <w:sz w:val="20"/>
          <w:szCs w:val="20"/>
          <w:color w:val="auto"/>
        </w:rPr>
      </w:pPr>
      <w:r>
        <w:rPr>
          <w:rFonts w:ascii="Arial" w:cs="Arial" w:eastAsia="Arial" w:hAnsi="Arial"/>
          <w:sz w:val="12"/>
          <w:szCs w:val="12"/>
          <w:color w:val="auto"/>
        </w:rPr>
        <w:t>Net Loss from Discontinued Operations declined $0.9 million during the three months ended June 30, 2021. The Proppants business was sold in September 2020, and there will be activity related to this business during fiscal 2022.</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EARNINGS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Net Earnings decreased 1% to $95.3 million for the three months ended June 30, 2021, as discussed above.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593" w:right="359" w:bottom="1440" w:gutter="0" w:footer="0" w:header="0"/>
        </w:sectPr>
      </w:pPr>
    </w:p>
    <w:bookmarkStart w:id="26" w:name="page27"/>
    <w:bookmarkEnd w:id="26"/>
    <w:p>
      <w:pPr>
        <w:ind w:left="8"/>
        <w:spacing w:after="0"/>
        <w:rPr>
          <w:sz w:val="20"/>
          <w:szCs w:val="20"/>
          <w:color w:val="auto"/>
        </w:rPr>
      </w:pPr>
      <w:r>
        <w:rPr>
          <w:rFonts w:ascii="Arial" w:cs="Arial" w:eastAsia="Arial" w:hAnsi="Arial"/>
          <w:sz w:val="12"/>
          <w:szCs w:val="12"/>
          <w:b w:val="1"/>
          <w:bCs w:val="1"/>
          <w:color w:val="auto"/>
        </w:rPr>
        <w:t>THREE MONTHS ENDED JUNE 30, 2021 vs. THREE MONTHS ENDED JUNE 30, 2020 BY SEGMENT</w:t>
      </w:r>
    </w:p>
    <w:p>
      <w:pPr>
        <w:spacing w:after="0" w:line="101" w:lineRule="exact"/>
        <w:rPr>
          <w:sz w:val="20"/>
          <w:szCs w:val="20"/>
          <w:color w:val="auto"/>
        </w:rPr>
      </w:pPr>
    </w:p>
    <w:p>
      <w:pPr>
        <w:ind w:left="8" w:right="220"/>
        <w:spacing w:after="0" w:line="277" w:lineRule="auto"/>
        <w:rPr>
          <w:sz w:val="20"/>
          <w:szCs w:val="20"/>
          <w:color w:val="auto"/>
        </w:rPr>
      </w:pPr>
      <w:r>
        <w:rPr>
          <w:rFonts w:ascii="Arial" w:cs="Arial" w:eastAsia="Arial" w:hAnsi="Arial"/>
          <w:sz w:val="12"/>
          <w:szCs w:val="12"/>
          <w:color w:val="auto"/>
        </w:rPr>
        <w:t>The following presents results within our two business sectors for the three months ended June 30, 2021 and 2020. Revenue and operating results are organized by sector and discussed by individual business segment within each respective business sector.</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Heavy Materials</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CEMENT </w:t>
      </w:r>
      <w:r>
        <w:rPr>
          <w:rFonts w:ascii="Arial" w:cs="Arial" w:eastAsia="Arial" w:hAnsi="Arial"/>
          <w:sz w:val="20"/>
          <w:szCs w:val="20"/>
          <w:b w:val="1"/>
          <w:bCs w:val="1"/>
          <w:color w:val="auto"/>
          <w:vertAlign w:val="superscript"/>
        </w:rPr>
        <w:t>(1)</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00" w:type="dxa"/>
            <w:vAlign w:val="bottom"/>
            <w:tcBorders>
              <w:bottom w:val="single" w:sz="8" w:color="auto"/>
            </w:tcBorders>
            <w:shd w:val="clear" w:color="auto" w:fill="004483"/>
          </w:tcPr>
          <w:p>
            <w:pPr>
              <w:spacing w:after="0"/>
              <w:rPr>
                <w:sz w:val="13"/>
                <w:szCs w:val="13"/>
                <w:color w:val="auto"/>
              </w:rPr>
            </w:pPr>
          </w:p>
        </w:tc>
        <w:tc>
          <w:tcPr>
            <w:tcW w:w="1960" w:type="dxa"/>
            <w:vAlign w:val="bottom"/>
            <w:tcBorders>
              <w:bottom w:val="single" w:sz="8" w:color="auto"/>
            </w:tcBorders>
            <w:gridSpan w:val="4"/>
            <w:shd w:val="clear" w:color="auto" w:fill="004483"/>
          </w:tcPr>
          <w:p>
            <w:pPr>
              <w:jc w:val="right"/>
              <w:ind w:right="220"/>
              <w:spacing w:after="0"/>
              <w:rPr>
                <w:sz w:val="20"/>
                <w:szCs w:val="20"/>
                <w:color w:val="auto"/>
              </w:rPr>
            </w:pPr>
            <w:r>
              <w:rPr>
                <w:rFonts w:ascii="Arial" w:cs="Arial" w:eastAsia="Arial" w:hAnsi="Arial"/>
                <w:sz w:val="8"/>
                <w:szCs w:val="8"/>
                <w:b w:val="1"/>
                <w:bCs w:val="1"/>
                <w:color w:val="FFFFFF"/>
              </w:rPr>
              <w:t>For the Three Months Ended June 30,</w:t>
            </w:r>
          </w:p>
        </w:tc>
        <w:tc>
          <w:tcPr>
            <w:tcW w:w="56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400" w:type="dxa"/>
            <w:vAlign w:val="bottom"/>
            <w:tcBorders>
              <w:bottom w:val="single" w:sz="8" w:color="17385E"/>
            </w:tcBorders>
          </w:tcPr>
          <w:p>
            <w:pPr>
              <w:spacing w:after="0"/>
              <w:rPr>
                <w:sz w:val="8"/>
                <w:szCs w:val="8"/>
                <w:color w:val="auto"/>
              </w:rPr>
            </w:pPr>
          </w:p>
        </w:tc>
        <w:tc>
          <w:tcPr>
            <w:tcW w:w="1960" w:type="dxa"/>
            <w:vAlign w:val="bottom"/>
            <w:tcBorders>
              <w:bottom w:val="single" w:sz="8" w:color="17385E"/>
            </w:tcBorders>
            <w:gridSpan w:val="4"/>
          </w:tcPr>
          <w:p>
            <w:pPr>
              <w:jc w:val="right"/>
              <w:ind w:right="200"/>
              <w:spacing w:after="0"/>
              <w:rPr>
                <w:sz w:val="20"/>
                <w:szCs w:val="20"/>
                <w:color w:val="auto"/>
              </w:rPr>
            </w:pPr>
            <w:r>
              <w:rPr>
                <w:rFonts w:ascii="Arial" w:cs="Arial" w:eastAsia="Arial" w:hAnsi="Arial"/>
                <w:sz w:val="8"/>
                <w:szCs w:val="8"/>
                <w:color w:val="auto"/>
              </w:rPr>
              <w:t>(in thousands, except per ton information)</w:t>
            </w:r>
          </w:p>
        </w:tc>
        <w:tc>
          <w:tcPr>
            <w:tcW w:w="56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Gross Revenue, including Intersegment and Joint Venture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270,255</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261,411</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Less Intersegment Revenue</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(7,833)</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(6,031)</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30%</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Less Joint Venture Revenue</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(22,691)</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(25,300)</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(10)%</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5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Gross Revenue, as reported</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239,731</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230,080</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4%</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Freight and Delivery Costs billed to Customers</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(19,042)</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(16,969)</w:t>
            </w: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12%</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004483"/>
          </w:tcPr>
          <w:p>
            <w:pPr>
              <w:spacing w:after="0" w:line="20" w:lineRule="exact"/>
              <w:rPr>
                <w:sz w:val="1"/>
                <w:szCs w:val="1"/>
                <w:color w:val="auto"/>
              </w:rPr>
            </w:pPr>
          </w:p>
        </w:tc>
        <w:tc>
          <w:tcPr>
            <w:tcW w:w="56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Net Revenue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220,689</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213,111</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4%</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400" w:type="dxa"/>
            <w:vAlign w:val="bottom"/>
            <w:tcBorders>
              <w:top w:val="single" w:sz="8" w:color="A6A6A6"/>
              <w:bottom w:val="single" w:sz="8" w:color="A6A6A6"/>
            </w:tcBorders>
          </w:tcPr>
          <w:p>
            <w:pPr>
              <w:spacing w:after="0"/>
              <w:rPr>
                <w:sz w:val="11"/>
                <w:szCs w:val="11"/>
                <w:color w:val="auto"/>
              </w:rPr>
            </w:pPr>
          </w:p>
        </w:tc>
        <w:tc>
          <w:tcPr>
            <w:tcW w:w="92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60" w:type="dxa"/>
            <w:vAlign w:val="bottom"/>
            <w:tcBorders>
              <w:top w:val="single" w:sz="8" w:color="A6A6A6"/>
              <w:bottom w:val="single" w:sz="8" w:color="A6A6A6"/>
            </w:tcBorders>
          </w:tcPr>
          <w:p>
            <w:pPr>
              <w:spacing w:after="0"/>
              <w:rPr>
                <w:sz w:val="11"/>
                <w:szCs w:val="11"/>
                <w:color w:val="auto"/>
              </w:rPr>
            </w:pPr>
          </w:p>
        </w:tc>
        <w:tc>
          <w:tcPr>
            <w:tcW w:w="56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Sales Volume (M Tons)</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2,036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2,085</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(2)%</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6640" w:type="dxa"/>
            <w:vAlign w:val="bottom"/>
          </w:tcPr>
          <w:p>
            <w:pPr>
              <w:spacing w:after="0" w:line="135" w:lineRule="exact"/>
              <w:rPr>
                <w:sz w:val="20"/>
                <w:szCs w:val="20"/>
                <w:color w:val="auto"/>
              </w:rPr>
            </w:pPr>
            <w:r>
              <w:rPr>
                <w:rFonts w:ascii="Arial" w:cs="Arial" w:eastAsia="Arial" w:hAnsi="Arial"/>
                <w:sz w:val="9"/>
                <w:szCs w:val="9"/>
                <w:color w:val="auto"/>
              </w:rPr>
              <w:t xml:space="preserve">Average Net Sales Price, per ton </w:t>
            </w:r>
            <w:r>
              <w:rPr>
                <w:rFonts w:ascii="Arial" w:cs="Arial" w:eastAsia="Arial" w:hAnsi="Arial"/>
                <w:sz w:val="15"/>
                <w:szCs w:val="15"/>
                <w:color w:val="auto"/>
                <w:vertAlign w:val="superscript"/>
              </w:rPr>
              <w:t>(2)</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116.34</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109.10</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7%</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Operating Margin, per ton</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30.72</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29.00</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6%</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Operating Earnings</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62,547</w:t>
            </w:r>
          </w:p>
        </w:tc>
        <w:tc>
          <w:tcPr>
            <w:tcW w:w="120" w:type="dxa"/>
            <w:vAlign w:val="bottom"/>
          </w:tcPr>
          <w:p>
            <w:pPr>
              <w:spacing w:after="0"/>
              <w:rPr>
                <w:sz w:val="11"/>
                <w:szCs w:val="11"/>
                <w:color w:val="auto"/>
              </w:rPr>
            </w:pPr>
          </w:p>
        </w:tc>
        <w:tc>
          <w:tcPr>
            <w:tcW w:w="920" w:type="dxa"/>
            <w:vAlign w:val="bottom"/>
            <w:gridSpan w:val="2"/>
          </w:tcPr>
          <w:p>
            <w:pPr>
              <w:jc w:val="right"/>
              <w:ind w:right="70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60,455</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3%</w:t>
            </w:r>
          </w:p>
        </w:tc>
      </w:tr>
      <w:tr>
        <w:trPr>
          <w:trHeight w:val="20"/>
        </w:trPr>
        <w:tc>
          <w:tcPr>
            <w:tcW w:w="66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4" w:lineRule="exact"/>
        <w:rPr>
          <w:sz w:val="20"/>
          <w:szCs w:val="20"/>
          <w:color w:val="auto"/>
        </w:rPr>
      </w:pPr>
    </w:p>
    <w:p>
      <w:pPr>
        <w:ind w:left="148" w:hanging="148"/>
        <w:spacing w:after="0"/>
        <w:tabs>
          <w:tab w:leader="none" w:pos="148" w:val="left"/>
        </w:tabs>
        <w:numPr>
          <w:ilvl w:val="0"/>
          <w:numId w:val="7"/>
        </w:numPr>
        <w:rPr>
          <w:rFonts w:ascii="Arial" w:cs="Arial" w:eastAsia="Arial" w:hAnsi="Arial"/>
          <w:sz w:val="10"/>
          <w:szCs w:val="10"/>
          <w:color w:val="auto"/>
        </w:rPr>
      </w:pPr>
      <w:r>
        <w:rPr>
          <w:rFonts w:ascii="Arial" w:cs="Arial" w:eastAsia="Arial" w:hAnsi="Arial"/>
          <w:sz w:val="10"/>
          <w:szCs w:val="10"/>
          <w:color w:val="auto"/>
        </w:rPr>
        <w:t>Total of wholly owned subsidiaries and proportionately consolidated 50% interest of the Joint Venture’s results.</w:t>
      </w:r>
    </w:p>
    <w:p>
      <w:pPr>
        <w:spacing w:after="0" w:line="2" w:lineRule="exact"/>
        <w:rPr>
          <w:rFonts w:ascii="Arial" w:cs="Arial" w:eastAsia="Arial" w:hAnsi="Arial"/>
          <w:sz w:val="10"/>
          <w:szCs w:val="10"/>
          <w:color w:val="auto"/>
        </w:rPr>
      </w:pPr>
    </w:p>
    <w:p>
      <w:pPr>
        <w:ind w:left="148" w:hanging="148"/>
        <w:spacing w:after="0"/>
        <w:tabs>
          <w:tab w:leader="none" w:pos="148"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of freight per ton, including Joint Venture.</w:t>
      </w:r>
    </w:p>
    <w:p>
      <w:pPr>
        <w:spacing w:after="0" w:line="85" w:lineRule="exact"/>
        <w:rPr>
          <w:sz w:val="20"/>
          <w:szCs w:val="20"/>
          <w:color w:val="auto"/>
        </w:rPr>
      </w:pPr>
    </w:p>
    <w:p>
      <w:pPr>
        <w:ind w:left="8" w:right="180"/>
        <w:spacing w:after="0" w:line="277" w:lineRule="auto"/>
        <w:rPr>
          <w:sz w:val="20"/>
          <w:szCs w:val="20"/>
          <w:color w:val="auto"/>
        </w:rPr>
      </w:pPr>
      <w:r>
        <w:rPr>
          <w:rFonts w:ascii="Arial" w:cs="Arial" w:eastAsia="Arial" w:hAnsi="Arial"/>
          <w:sz w:val="12"/>
          <w:szCs w:val="12"/>
          <w:color w:val="auto"/>
        </w:rPr>
        <w:t>Cement Revenue was $270.3 million, a 3% increase, for the three months ended June 30, 2021. The increase was primarily due to higher gross sales prices, which improved Cement Revenue by approximately $12.8 million. This was partially offset by lower Sales Volume, which reduced Revenue by $3.9 million.</w:t>
      </w:r>
    </w:p>
    <w:p>
      <w:pPr>
        <w:spacing w:after="0" w:line="59" w:lineRule="exact"/>
        <w:rPr>
          <w:sz w:val="20"/>
          <w:szCs w:val="20"/>
          <w:color w:val="auto"/>
        </w:rPr>
      </w:pPr>
    </w:p>
    <w:p>
      <w:pPr>
        <w:ind w:left="8"/>
        <w:spacing w:after="0" w:line="268" w:lineRule="auto"/>
        <w:rPr>
          <w:sz w:val="20"/>
          <w:szCs w:val="20"/>
          <w:color w:val="auto"/>
        </w:rPr>
      </w:pPr>
      <w:r>
        <w:rPr>
          <w:rFonts w:ascii="Arial" w:cs="Arial" w:eastAsia="Arial" w:hAnsi="Arial"/>
          <w:sz w:val="12"/>
          <w:szCs w:val="12"/>
          <w:color w:val="auto"/>
        </w:rPr>
        <w:t>Cement Operating Earnings increased by 3% to $62.5 million for the three months ended June 30, 2021. The increase was due to higher gross sales prices, which positively affected Operating Earnings by approximately $12.8 million. This was partially offset by lower Sales Volume and increased operating costs, which negatively affected Operating Earnings by $1.6 million and $9.1 million, respectively. The increase in operating costs was primarily due to higher maintenance, energy and transfer freight costs of approximately $11.0 million, $2.1 million, and $1.6 million, respectively. These increases were partially offset by lower purchased cement costs of $2.2 million and a reduction of $3.7 million of costs at Kosmos Cement related to the recording of acquired inventory at fair value in the first quarter of fiscal 2021. The increase in maintenance expense was due to the shifting of certain maintenance outages in fiscal 2021 to the second and third quarters because of the uncertainty of the impact of the COVID-19 pandemic. During the current fiscal year, we performed maintenance outages during the first quarter for all our plants. The Operating Margin remained consistent at 23%.</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593" w:right="31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CONCRETE AND AGGREGATES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420" w:type="dxa"/>
            <w:vAlign w:val="bottom"/>
            <w:tcBorders>
              <w:bottom w:val="single" w:sz="8" w:color="auto"/>
            </w:tcBorders>
            <w:shd w:val="clear" w:color="auto" w:fill="004483"/>
          </w:tcPr>
          <w:p>
            <w:pPr>
              <w:spacing w:after="0"/>
              <w:rPr>
                <w:sz w:val="13"/>
                <w:szCs w:val="13"/>
                <w:color w:val="auto"/>
              </w:rPr>
            </w:pPr>
          </w:p>
        </w:tc>
        <w:tc>
          <w:tcPr>
            <w:tcW w:w="1960" w:type="dxa"/>
            <w:vAlign w:val="bottom"/>
            <w:tcBorders>
              <w:bottom w:val="single" w:sz="8" w:color="auto"/>
            </w:tcBorders>
            <w:gridSpan w:val="4"/>
            <w:shd w:val="clear" w:color="auto" w:fill="004483"/>
          </w:tcPr>
          <w:p>
            <w:pPr>
              <w:jc w:val="right"/>
              <w:ind w:right="240"/>
              <w:spacing w:after="0"/>
              <w:rPr>
                <w:sz w:val="20"/>
                <w:szCs w:val="20"/>
                <w:color w:val="auto"/>
              </w:rPr>
            </w:pPr>
            <w:r>
              <w:rPr>
                <w:rFonts w:ascii="Arial" w:cs="Arial" w:eastAsia="Arial" w:hAnsi="Arial"/>
                <w:sz w:val="8"/>
                <w:szCs w:val="8"/>
                <w:b w:val="1"/>
                <w:bCs w:val="1"/>
                <w:color w:val="FFFFFF"/>
              </w:rPr>
              <w:t>For the Three Months Ended June 30,</w:t>
            </w:r>
          </w:p>
        </w:tc>
        <w:tc>
          <w:tcPr>
            <w:tcW w:w="540" w:type="dxa"/>
            <w:vAlign w:val="bottom"/>
            <w:tcBorders>
              <w:bottom w:val="single" w:sz="8" w:color="auto"/>
            </w:tcBorders>
            <w:shd w:val="clear" w:color="auto" w:fill="004483"/>
          </w:tcPr>
          <w:p>
            <w:pPr>
              <w:spacing w:after="0"/>
              <w:rPr>
                <w:sz w:val="13"/>
                <w:szCs w:val="13"/>
                <w:color w:val="auto"/>
              </w:rPr>
            </w:pPr>
          </w:p>
        </w:tc>
        <w:tc>
          <w:tcPr>
            <w:tcW w:w="100" w:type="dxa"/>
            <w:vAlign w:val="bottom"/>
            <w:tcBorders>
              <w:bottom w:val="single" w:sz="8" w:color="004483"/>
            </w:tcBorders>
            <w:shd w:val="clear" w:color="auto" w:fill="004483"/>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88"/>
        </w:trPr>
        <w:tc>
          <w:tcPr>
            <w:tcW w:w="6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00" w:type="dxa"/>
            <w:vAlign w:val="bottom"/>
          </w:tcPr>
          <w:p>
            <w:pPr>
              <w:spacing w:after="0"/>
              <w:rPr>
                <w:sz w:val="7"/>
                <w:szCs w:val="7"/>
                <w:color w:val="auto"/>
              </w:rPr>
            </w:pPr>
          </w:p>
        </w:tc>
        <w:tc>
          <w:tcPr>
            <w:tcW w:w="1620" w:type="dxa"/>
            <w:vAlign w:val="bottom"/>
            <w:gridSpan w:val="2"/>
          </w:tcPr>
          <w:p>
            <w:pPr>
              <w:jc w:val="right"/>
              <w:ind w:right="44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40" w:type="dxa"/>
            <w:vAlign w:val="bottom"/>
            <w:tcBorders>
              <w:bottom w:val="single" w:sz="8" w:color="17385E"/>
            </w:tcBorders>
          </w:tcPr>
          <w:p>
            <w:pPr>
              <w:spacing w:after="0"/>
              <w:rPr>
                <w:sz w:val="8"/>
                <w:szCs w:val="8"/>
                <w:color w:val="auto"/>
              </w:rPr>
            </w:pPr>
          </w:p>
        </w:tc>
        <w:tc>
          <w:tcPr>
            <w:tcW w:w="420" w:type="dxa"/>
            <w:vAlign w:val="bottom"/>
            <w:tcBorders>
              <w:bottom w:val="single" w:sz="8" w:color="17385E"/>
            </w:tcBorders>
          </w:tcPr>
          <w:p>
            <w:pPr>
              <w:spacing w:after="0"/>
              <w:rPr>
                <w:sz w:val="8"/>
                <w:szCs w:val="8"/>
                <w:color w:val="auto"/>
              </w:rPr>
            </w:pPr>
          </w:p>
        </w:tc>
        <w:tc>
          <w:tcPr>
            <w:tcW w:w="1960" w:type="dxa"/>
            <w:vAlign w:val="bottom"/>
            <w:tcBorders>
              <w:bottom w:val="single" w:sz="8" w:color="17385E"/>
            </w:tcBorders>
            <w:gridSpan w:val="4"/>
          </w:tcPr>
          <w:p>
            <w:pPr>
              <w:jc w:val="right"/>
              <w:ind w:right="280"/>
              <w:spacing w:after="0"/>
              <w:rPr>
                <w:sz w:val="20"/>
                <w:szCs w:val="20"/>
                <w:color w:val="auto"/>
              </w:rPr>
            </w:pPr>
            <w:r>
              <w:rPr>
                <w:rFonts w:ascii="Arial" w:cs="Arial" w:eastAsia="Arial" w:hAnsi="Arial"/>
                <w:sz w:val="8"/>
                <w:szCs w:val="8"/>
                <w:color w:val="auto"/>
              </w:rPr>
              <w:t>(in thousands, except net sales prices)</w:t>
            </w:r>
          </w:p>
        </w:tc>
        <w:tc>
          <w:tcPr>
            <w:tcW w:w="54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Gross Revenue, including intersegment</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44,754</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44,190</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1%</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Less Intersegment Revenue</w:t>
            </w: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(106)</w:t>
            </w: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(100)%</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004483"/>
          </w:tcPr>
          <w:p>
            <w:pPr>
              <w:spacing w:after="0" w:line="20" w:lineRule="exact"/>
              <w:rPr>
                <w:sz w:val="1"/>
                <w:szCs w:val="1"/>
                <w:color w:val="auto"/>
              </w:rPr>
            </w:pPr>
          </w:p>
        </w:tc>
        <w:tc>
          <w:tcPr>
            <w:tcW w:w="90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540" w:type="dxa"/>
            <w:vAlign w:val="bottom"/>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spacing w:after="0"/>
              <w:rPr>
                <w:sz w:val="20"/>
                <w:szCs w:val="20"/>
                <w:color w:val="auto"/>
              </w:rPr>
            </w:pPr>
            <w:r>
              <w:rPr>
                <w:rFonts w:ascii="Arial" w:cs="Arial" w:eastAsia="Arial" w:hAnsi="Arial"/>
                <w:sz w:val="11"/>
                <w:szCs w:val="11"/>
                <w:color w:val="auto"/>
              </w:rPr>
              <w:t>Gross Revenue, as reported</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44,754</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44,084</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r>
      <w:tr>
        <w:trPr>
          <w:trHeight w:val="135"/>
        </w:trPr>
        <w:tc>
          <w:tcPr>
            <w:tcW w:w="6640" w:type="dxa"/>
            <w:vAlign w:val="bottom"/>
            <w:tcBorders>
              <w:top w:val="single" w:sz="8" w:color="A6A6A6"/>
              <w:bottom w:val="single" w:sz="8" w:color="A6A6A6"/>
            </w:tcBorders>
          </w:tcPr>
          <w:p>
            <w:pPr>
              <w:spacing w:after="0"/>
              <w:rPr>
                <w:sz w:val="11"/>
                <w:szCs w:val="11"/>
                <w:color w:val="auto"/>
              </w:rPr>
            </w:pPr>
          </w:p>
        </w:tc>
        <w:tc>
          <w:tcPr>
            <w:tcW w:w="42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1"/>
        </w:trPr>
        <w:tc>
          <w:tcPr>
            <w:tcW w:w="66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Sales Volume -</w:t>
            </w:r>
          </w:p>
        </w:tc>
        <w:tc>
          <w:tcPr>
            <w:tcW w:w="42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640" w:type="dxa"/>
            <w:vAlign w:val="bottom"/>
            <w:tcBorders>
              <w:bottom w:val="single" w:sz="8" w:color="A6A6A6"/>
            </w:tcBorders>
          </w:tcPr>
          <w:p>
            <w:pPr>
              <w:ind w:left="160"/>
              <w:spacing w:after="0"/>
              <w:rPr>
                <w:sz w:val="20"/>
                <w:szCs w:val="20"/>
                <w:color w:val="auto"/>
              </w:rPr>
            </w:pPr>
            <w:r>
              <w:rPr>
                <w:rFonts w:ascii="Arial" w:cs="Arial" w:eastAsia="Arial" w:hAnsi="Arial"/>
                <w:sz w:val="11"/>
                <w:szCs w:val="11"/>
                <w:color w:val="auto"/>
              </w:rPr>
              <w:t>M Cubic Yards of Concrete</w:t>
            </w:r>
          </w:p>
        </w:tc>
        <w:tc>
          <w:tcPr>
            <w:tcW w:w="42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348</w:t>
            </w:r>
          </w:p>
        </w:tc>
        <w:tc>
          <w:tcPr>
            <w:tcW w:w="120" w:type="dxa"/>
            <w:vAlign w:val="bottom"/>
          </w:tcPr>
          <w:p>
            <w:pPr>
              <w:spacing w:after="0"/>
              <w:rPr>
                <w:sz w:val="11"/>
                <w:szCs w:val="11"/>
                <w:color w:val="auto"/>
              </w:rPr>
            </w:pPr>
          </w:p>
        </w:tc>
        <w:tc>
          <w:tcPr>
            <w:tcW w:w="160" w:type="dxa"/>
            <w:vAlign w:val="bottom"/>
            <w:tcBorders>
              <w:bottom w:val="single" w:sz="8" w:color="A6A6A6"/>
            </w:tcBorders>
          </w:tcPr>
          <w:p>
            <w:pPr>
              <w:spacing w:after="0"/>
              <w:rPr>
                <w:sz w:val="11"/>
                <w:szCs w:val="11"/>
                <w:color w:val="auto"/>
              </w:rPr>
            </w:pPr>
          </w:p>
        </w:tc>
        <w:tc>
          <w:tcPr>
            <w:tcW w:w="780" w:type="dxa"/>
            <w:vAlign w:val="bottom"/>
            <w:tcBorders>
              <w:bottom w:val="single" w:sz="8" w:color="A6A6A6"/>
            </w:tcBorders>
          </w:tcPr>
          <w:p>
            <w:pPr>
              <w:spacing w:after="0"/>
              <w:rPr>
                <w:sz w:val="11"/>
                <w:szCs w:val="11"/>
                <w:color w:val="auto"/>
              </w:rPr>
            </w:pPr>
          </w:p>
        </w:tc>
        <w:tc>
          <w:tcPr>
            <w:tcW w:w="54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348</w:t>
            </w:r>
          </w:p>
        </w:tc>
        <w:tc>
          <w:tcPr>
            <w:tcW w:w="100" w:type="dxa"/>
            <w:vAlign w:val="bottom"/>
          </w:tcPr>
          <w:p>
            <w:pPr>
              <w:spacing w:after="0"/>
              <w:rPr>
                <w:sz w:val="11"/>
                <w:szCs w:val="11"/>
                <w:color w:val="auto"/>
              </w:rPr>
            </w:pPr>
          </w:p>
        </w:tc>
        <w:tc>
          <w:tcPr>
            <w:tcW w:w="150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auto"/>
              </w:rPr>
              <w:t>M Tons of Aggregate</w:t>
            </w: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475</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(24)%</w:t>
            </w:r>
          </w:p>
        </w:tc>
      </w:tr>
      <w:tr>
        <w:trPr>
          <w:trHeight w:val="133"/>
        </w:trPr>
        <w:tc>
          <w:tcPr>
            <w:tcW w:w="66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Average Net Sales Price -</w:t>
            </w:r>
          </w:p>
        </w:tc>
        <w:tc>
          <w:tcPr>
            <w:tcW w:w="420" w:type="dxa"/>
            <w:vAlign w:val="bottom"/>
            <w:tcBorders>
              <w:top w:val="single" w:sz="8" w:color="A6A6A6"/>
              <w:bottom w:val="single" w:sz="8" w:color="A6A6A6"/>
            </w:tcBorders>
          </w:tcPr>
          <w:p>
            <w:pPr>
              <w:spacing w:after="0"/>
              <w:rPr>
                <w:sz w:val="11"/>
                <w:szCs w:val="11"/>
                <w:color w:val="auto"/>
              </w:rPr>
            </w:pPr>
          </w:p>
        </w:tc>
        <w:tc>
          <w:tcPr>
            <w:tcW w:w="9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auto"/>
              </w:rPr>
              <w:t>Concrete - Per Cubic Yard</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118.19</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113.61</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4%</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640" w:type="dxa"/>
            <w:vAlign w:val="bottom"/>
          </w:tcPr>
          <w:p>
            <w:pPr>
              <w:ind w:left="160"/>
              <w:spacing w:after="0"/>
              <w:rPr>
                <w:sz w:val="20"/>
                <w:szCs w:val="20"/>
                <w:color w:val="auto"/>
              </w:rPr>
            </w:pPr>
            <w:r>
              <w:rPr>
                <w:rFonts w:ascii="Arial" w:cs="Arial" w:eastAsia="Arial" w:hAnsi="Arial"/>
                <w:sz w:val="11"/>
                <w:szCs w:val="11"/>
                <w:color w:val="auto"/>
              </w:rPr>
              <w:t>Aggregates - Per Ton</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9.93</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9.77</w:t>
            </w:r>
          </w:p>
        </w:tc>
        <w:tc>
          <w:tcPr>
            <w:tcW w:w="100" w:type="dxa"/>
            <w:vAlign w:val="bottom"/>
          </w:tcPr>
          <w:p>
            <w:pPr>
              <w:spacing w:after="0"/>
              <w:rPr>
                <w:sz w:val="11"/>
                <w:szCs w:val="11"/>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1"/>
                <w:szCs w:val="11"/>
                <w:color w:val="auto"/>
              </w:rPr>
              <w:t>2%</w:t>
            </w:r>
          </w:p>
        </w:tc>
      </w:tr>
      <w:tr>
        <w:trPr>
          <w:trHeight w:val="144"/>
        </w:trPr>
        <w:tc>
          <w:tcPr>
            <w:tcW w:w="6640" w:type="dxa"/>
            <w:vAlign w:val="bottom"/>
            <w:tcBorders>
              <w:top w:val="single" w:sz="8" w:color="A6A6A6"/>
              <w:bottom w:val="single" w:sz="8" w:color="A6A6A6"/>
            </w:tcBorders>
          </w:tcPr>
          <w:p>
            <w:pPr>
              <w:spacing w:after="0"/>
              <w:rPr>
                <w:sz w:val="12"/>
                <w:szCs w:val="12"/>
                <w:color w:val="auto"/>
              </w:rPr>
            </w:pPr>
          </w:p>
        </w:tc>
        <w:tc>
          <w:tcPr>
            <w:tcW w:w="420" w:type="dxa"/>
            <w:vAlign w:val="bottom"/>
            <w:tcBorders>
              <w:top w:val="single" w:sz="8" w:color="A6A6A6"/>
              <w:bottom w:val="single" w:sz="8" w:color="A6A6A6"/>
            </w:tcBorders>
          </w:tcPr>
          <w:p>
            <w:pPr>
              <w:spacing w:after="0"/>
              <w:rPr>
                <w:sz w:val="12"/>
                <w:szCs w:val="12"/>
                <w:color w:val="auto"/>
              </w:rPr>
            </w:pPr>
          </w:p>
        </w:tc>
        <w:tc>
          <w:tcPr>
            <w:tcW w:w="900" w:type="dxa"/>
            <w:vAlign w:val="bottom"/>
            <w:tcBorders>
              <w:top w:val="single" w:sz="8" w:color="A6A6A6"/>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6A6A6"/>
              <w:bottom w:val="single" w:sz="8" w:color="A6A6A6"/>
            </w:tcBorders>
          </w:tcPr>
          <w:p>
            <w:pPr>
              <w:spacing w:after="0"/>
              <w:rPr>
                <w:sz w:val="12"/>
                <w:szCs w:val="12"/>
                <w:color w:val="auto"/>
              </w:rPr>
            </w:pPr>
          </w:p>
        </w:tc>
        <w:tc>
          <w:tcPr>
            <w:tcW w:w="780" w:type="dxa"/>
            <w:vAlign w:val="bottom"/>
            <w:tcBorders>
              <w:top w:val="single" w:sz="8" w:color="A6A6A6"/>
              <w:bottom w:val="single" w:sz="8" w:color="A6A6A6"/>
            </w:tcBorders>
          </w:tcPr>
          <w:p>
            <w:pPr>
              <w:spacing w:after="0"/>
              <w:rPr>
                <w:sz w:val="12"/>
                <w:szCs w:val="12"/>
                <w:color w:val="auto"/>
              </w:rPr>
            </w:pPr>
          </w:p>
        </w:tc>
        <w:tc>
          <w:tcPr>
            <w:tcW w:w="540" w:type="dxa"/>
            <w:vAlign w:val="bottom"/>
            <w:tcBorders>
              <w:top w:val="single" w:sz="8" w:color="A6A6A6"/>
              <w:bottom w:val="single" w:sz="8" w:color="A6A6A6"/>
            </w:tcBorders>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top w:val="single" w:sz="8" w:color="A6A6A6"/>
              <w:bottom w:val="single" w:sz="8" w:color="A6A6A6"/>
            </w:tcBorders>
          </w:tcPr>
          <w:p>
            <w:pPr>
              <w:spacing w:after="0"/>
              <w:rPr>
                <w:sz w:val="12"/>
                <w:szCs w:val="12"/>
                <w:color w:val="auto"/>
              </w:rPr>
            </w:pPr>
          </w:p>
        </w:tc>
        <w:tc>
          <w:tcPr>
            <w:tcW w:w="120" w:type="dxa"/>
            <w:vAlign w:val="bottom"/>
          </w:tcPr>
          <w:p>
            <w:pPr>
              <w:spacing w:after="0"/>
              <w:rPr>
                <w:sz w:val="12"/>
                <w:szCs w:val="12"/>
                <w:color w:val="auto"/>
              </w:rPr>
            </w:pPr>
          </w:p>
        </w:tc>
      </w:tr>
      <w:tr>
        <w:trPr>
          <w:trHeight w:val="131"/>
        </w:trPr>
        <w:tc>
          <w:tcPr>
            <w:tcW w:w="6640" w:type="dxa"/>
            <w:vAlign w:val="bottom"/>
          </w:tcPr>
          <w:p>
            <w:pPr>
              <w:spacing w:after="0"/>
              <w:rPr>
                <w:sz w:val="20"/>
                <w:szCs w:val="20"/>
                <w:color w:val="auto"/>
              </w:rPr>
            </w:pPr>
            <w:r>
              <w:rPr>
                <w:rFonts w:ascii="Arial" w:cs="Arial" w:eastAsia="Arial" w:hAnsi="Arial"/>
                <w:sz w:val="11"/>
                <w:szCs w:val="11"/>
                <w:color w:val="auto"/>
              </w:rPr>
              <w:t>Operating Earnings</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5,344</w:t>
            </w:r>
          </w:p>
        </w:tc>
        <w:tc>
          <w:tcPr>
            <w:tcW w:w="120" w:type="dxa"/>
            <w:vAlign w:val="bottom"/>
          </w:tcPr>
          <w:p>
            <w:pPr>
              <w:spacing w:after="0"/>
              <w:rPr>
                <w:sz w:val="11"/>
                <w:szCs w:val="11"/>
                <w:color w:val="auto"/>
              </w:rPr>
            </w:pPr>
          </w:p>
        </w:tc>
        <w:tc>
          <w:tcPr>
            <w:tcW w:w="940" w:type="dxa"/>
            <w:vAlign w:val="bottom"/>
            <w:gridSpan w:val="2"/>
          </w:tcPr>
          <w:p>
            <w:pPr>
              <w:jc w:val="right"/>
              <w:ind w:right="7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5,418</w:t>
            </w:r>
          </w:p>
        </w:tc>
        <w:tc>
          <w:tcPr>
            <w:tcW w:w="10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Arial" w:cs="Arial" w:eastAsia="Arial" w:hAnsi="Arial"/>
                <w:sz w:val="11"/>
                <w:szCs w:val="11"/>
                <w:color w:val="auto"/>
              </w:rPr>
              <w:t>(1)%</w:t>
            </w:r>
          </w:p>
        </w:tc>
      </w:tr>
      <w:tr>
        <w:trPr>
          <w:trHeight w:val="20"/>
        </w:trPr>
        <w:tc>
          <w:tcPr>
            <w:tcW w:w="6640" w:type="dxa"/>
            <w:vAlign w:val="bottom"/>
            <w:shd w:val="clear" w:color="auto" w:fill="A6A6A6"/>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2"/>
          <w:szCs w:val="12"/>
          <w:color w:val="auto"/>
        </w:rPr>
        <w:t>Concrete and Aggregates Revenue increased 1% to $44.8 million for the three months ended June 30, 2021. The was primarily due to higher gross sales prices, primarily for Concrete, which increased Revenue by $1.8 million. This was partially offset by lower Sales Volume in Aggregates, which reduced Revenue by $1.1 million.</w:t>
      </w:r>
    </w:p>
    <w:p>
      <w:pPr>
        <w:spacing w:after="0" w:line="59" w:lineRule="exact"/>
        <w:rPr>
          <w:sz w:val="20"/>
          <w:szCs w:val="20"/>
          <w:color w:val="auto"/>
        </w:rPr>
      </w:pPr>
    </w:p>
    <w:p>
      <w:pPr>
        <w:ind w:right="220"/>
        <w:spacing w:after="0" w:line="271" w:lineRule="auto"/>
        <w:rPr>
          <w:sz w:val="20"/>
          <w:szCs w:val="20"/>
          <w:color w:val="auto"/>
        </w:rPr>
      </w:pPr>
      <w:r>
        <w:rPr>
          <w:rFonts w:ascii="Arial" w:cs="Arial" w:eastAsia="Arial" w:hAnsi="Arial"/>
          <w:sz w:val="12"/>
          <w:szCs w:val="12"/>
          <w:color w:val="auto"/>
        </w:rPr>
        <w:t>Operating Earnings declined 1% to approximately $5.3 million. The decrease was a result of lower Sales Volume and higher operating costs of approximately $0.2 million and $1.7 million, respectively. This was partially offset by higher gross sales prices of approximately $1.8 million. The increase in operating costs was primarily due to higher cost of materials and delivery costs of approximately $0.6 million and $1.0 million,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auto"/>
        </w:rPr>
        <w:t>Light Materials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GYPSUM WALLBOARD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380" w:type="dxa"/>
            <w:vAlign w:val="bottom"/>
            <w:tcBorders>
              <w:bottom w:val="single" w:sz="8" w:color="auto"/>
            </w:tcBorders>
            <w:shd w:val="clear" w:color="auto" w:fill="004483"/>
          </w:tcPr>
          <w:p>
            <w:pPr>
              <w:spacing w:after="0"/>
              <w:rPr>
                <w:sz w:val="13"/>
                <w:szCs w:val="13"/>
                <w:color w:val="auto"/>
              </w:rPr>
            </w:pPr>
          </w:p>
        </w:tc>
        <w:tc>
          <w:tcPr>
            <w:tcW w:w="2000" w:type="dxa"/>
            <w:vAlign w:val="bottom"/>
            <w:tcBorders>
              <w:bottom w:val="single" w:sz="8" w:color="auto"/>
            </w:tcBorders>
            <w:gridSpan w:val="4"/>
            <w:shd w:val="clear" w:color="auto" w:fill="004483"/>
          </w:tcPr>
          <w:p>
            <w:pPr>
              <w:jc w:val="right"/>
              <w:ind w:right="240"/>
              <w:spacing w:after="0"/>
              <w:rPr>
                <w:sz w:val="20"/>
                <w:szCs w:val="20"/>
                <w:color w:val="auto"/>
              </w:rPr>
            </w:pPr>
            <w:r>
              <w:rPr>
                <w:rFonts w:ascii="Arial" w:cs="Arial" w:eastAsia="Arial" w:hAnsi="Arial"/>
                <w:sz w:val="8"/>
                <w:szCs w:val="8"/>
                <w:b w:val="1"/>
                <w:bCs w:val="1"/>
                <w:color w:val="FFFFFF"/>
              </w:rPr>
              <w:t>For the Three Months Ended June 30,</w:t>
            </w:r>
          </w:p>
        </w:tc>
        <w:tc>
          <w:tcPr>
            <w:tcW w:w="540" w:type="dxa"/>
            <w:vAlign w:val="bottom"/>
            <w:tcBorders>
              <w:bottom w:val="single" w:sz="8" w:color="auto"/>
            </w:tcBorders>
            <w:shd w:val="clear" w:color="auto" w:fill="004483"/>
          </w:tcPr>
          <w:p>
            <w:pPr>
              <w:spacing w:after="0"/>
              <w:rPr>
                <w:sz w:val="13"/>
                <w:szCs w:val="13"/>
                <w:color w:val="auto"/>
              </w:rPr>
            </w:pPr>
          </w:p>
        </w:tc>
        <w:tc>
          <w:tcPr>
            <w:tcW w:w="120" w:type="dxa"/>
            <w:vAlign w:val="bottom"/>
            <w:tcBorders>
              <w:bottom w:val="single" w:sz="8" w:color="004483"/>
            </w:tcBorders>
            <w:shd w:val="clear" w:color="auto" w:fill="004483"/>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88"/>
        </w:trPr>
        <w:tc>
          <w:tcPr>
            <w:tcW w:w="6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7"/>
                <w:szCs w:val="7"/>
                <w:color w:val="auto"/>
              </w:rPr>
            </w:pPr>
          </w:p>
        </w:tc>
        <w:tc>
          <w:tcPr>
            <w:tcW w:w="1580" w:type="dxa"/>
            <w:vAlign w:val="bottom"/>
            <w:gridSpan w:val="2"/>
          </w:tcPr>
          <w:p>
            <w:pPr>
              <w:jc w:val="right"/>
              <w:ind w:right="42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60" w:type="dxa"/>
            <w:vAlign w:val="bottom"/>
            <w:tcBorders>
              <w:bottom w:val="single" w:sz="8" w:color="17385E"/>
            </w:tcBorders>
          </w:tcPr>
          <w:p>
            <w:pPr>
              <w:spacing w:after="0"/>
              <w:rPr>
                <w:sz w:val="8"/>
                <w:szCs w:val="8"/>
                <w:color w:val="auto"/>
              </w:rPr>
            </w:pPr>
          </w:p>
        </w:tc>
        <w:tc>
          <w:tcPr>
            <w:tcW w:w="380" w:type="dxa"/>
            <w:vAlign w:val="bottom"/>
            <w:tcBorders>
              <w:bottom w:val="single" w:sz="8" w:color="17385E"/>
            </w:tcBorders>
          </w:tcPr>
          <w:p>
            <w:pPr>
              <w:spacing w:after="0"/>
              <w:rPr>
                <w:sz w:val="8"/>
                <w:szCs w:val="8"/>
                <w:color w:val="auto"/>
              </w:rPr>
            </w:pPr>
          </w:p>
        </w:tc>
        <w:tc>
          <w:tcPr>
            <w:tcW w:w="2000" w:type="dxa"/>
            <w:vAlign w:val="bottom"/>
            <w:tcBorders>
              <w:bottom w:val="single" w:sz="8" w:color="17385E"/>
            </w:tcBorders>
            <w:gridSpan w:val="4"/>
          </w:tcPr>
          <w:p>
            <w:pPr>
              <w:jc w:val="right"/>
              <w:ind w:right="180"/>
              <w:spacing w:after="0"/>
              <w:rPr>
                <w:sz w:val="20"/>
                <w:szCs w:val="20"/>
                <w:color w:val="auto"/>
              </w:rPr>
            </w:pPr>
            <w:r>
              <w:rPr>
                <w:rFonts w:ascii="Arial" w:cs="Arial" w:eastAsia="Arial" w:hAnsi="Arial"/>
                <w:sz w:val="8"/>
                <w:szCs w:val="8"/>
                <w:color w:val="auto"/>
              </w:rPr>
              <w:t>(in thousands, except per MSF information)</w:t>
            </w:r>
          </w:p>
        </w:tc>
        <w:tc>
          <w:tcPr>
            <w:tcW w:w="54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r>
      <w:tr>
        <w:trPr>
          <w:trHeight w:val="131"/>
        </w:trPr>
        <w:tc>
          <w:tcPr>
            <w:tcW w:w="6660" w:type="dxa"/>
            <w:vAlign w:val="bottom"/>
          </w:tcPr>
          <w:p>
            <w:pPr>
              <w:spacing w:after="0"/>
              <w:rPr>
                <w:sz w:val="20"/>
                <w:szCs w:val="20"/>
                <w:color w:val="auto"/>
              </w:rPr>
            </w:pPr>
            <w:r>
              <w:rPr>
                <w:rFonts w:ascii="Arial" w:cs="Arial" w:eastAsia="Arial" w:hAnsi="Arial"/>
                <w:sz w:val="11"/>
                <w:szCs w:val="11"/>
                <w:color w:val="auto"/>
              </w:rPr>
              <w:t>Gross Revenue, as reported</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166,267</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130,150</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28%</w:t>
            </w:r>
          </w:p>
        </w:tc>
      </w:tr>
      <w:tr>
        <w:trPr>
          <w:trHeight w:val="20"/>
        </w:trPr>
        <w:tc>
          <w:tcPr>
            <w:tcW w:w="666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Freight and Delivery Costs billed to Customers</w:t>
            </w:r>
          </w:p>
        </w:tc>
        <w:tc>
          <w:tcPr>
            <w:tcW w:w="380" w:type="dxa"/>
            <w:vAlign w:val="bottom"/>
          </w:tcPr>
          <w:p>
            <w:pPr>
              <w:spacing w:after="0"/>
              <w:rPr>
                <w:sz w:val="11"/>
                <w:szCs w:val="1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1"/>
                <w:szCs w:val="11"/>
                <w:color w:val="auto"/>
              </w:rPr>
              <w:t>(31,322)</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(27,122)</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15%</w:t>
            </w:r>
          </w:p>
        </w:tc>
      </w:tr>
      <w:tr>
        <w:trPr>
          <w:trHeight w:val="20"/>
        </w:trPr>
        <w:tc>
          <w:tcPr>
            <w:tcW w:w="6660" w:type="dxa"/>
            <w:vAlign w:val="bottom"/>
            <w:shd w:val="clear" w:color="auto" w:fill="A6A6A6"/>
          </w:tcPr>
          <w:p>
            <w:pPr>
              <w:spacing w:after="0" w:line="20" w:lineRule="exact"/>
              <w:rPr>
                <w:sz w:val="1"/>
                <w:szCs w:val="1"/>
                <w:color w:val="auto"/>
              </w:rPr>
            </w:pPr>
          </w:p>
        </w:tc>
        <w:tc>
          <w:tcPr>
            <w:tcW w:w="380" w:type="dxa"/>
            <w:vAlign w:val="bottom"/>
            <w:shd w:val="clear" w:color="auto" w:fill="004483"/>
          </w:tcPr>
          <w:p>
            <w:pPr>
              <w:spacing w:after="0" w:line="20" w:lineRule="exact"/>
              <w:rPr>
                <w:sz w:val="1"/>
                <w:szCs w:val="1"/>
                <w:color w:val="auto"/>
              </w:rPr>
            </w:pPr>
          </w:p>
        </w:tc>
        <w:tc>
          <w:tcPr>
            <w:tcW w:w="94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54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Net Revenue</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134,945</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103,028</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31%</w:t>
            </w:r>
          </w:p>
        </w:tc>
      </w:tr>
      <w:tr>
        <w:trPr>
          <w:trHeight w:val="135"/>
        </w:trPr>
        <w:tc>
          <w:tcPr>
            <w:tcW w:w="6660" w:type="dxa"/>
            <w:vAlign w:val="bottom"/>
            <w:tcBorders>
              <w:top w:val="single" w:sz="8" w:color="A6A6A6"/>
              <w:bottom w:val="single" w:sz="8" w:color="A6A6A6"/>
            </w:tcBorders>
          </w:tcPr>
          <w:p>
            <w:pPr>
              <w:spacing w:after="0"/>
              <w:rPr>
                <w:sz w:val="11"/>
                <w:szCs w:val="11"/>
                <w:color w:val="auto"/>
              </w:rPr>
            </w:pPr>
          </w:p>
        </w:tc>
        <w:tc>
          <w:tcPr>
            <w:tcW w:w="380" w:type="dxa"/>
            <w:vAlign w:val="bottom"/>
            <w:tcBorders>
              <w:top w:val="single" w:sz="8" w:color="A6A6A6"/>
              <w:bottom w:val="single" w:sz="8" w:color="A6A6A6"/>
            </w:tcBorders>
          </w:tcPr>
          <w:p>
            <w:pPr>
              <w:spacing w:after="0"/>
              <w:rPr>
                <w:sz w:val="11"/>
                <w:szCs w:val="11"/>
                <w:color w:val="auto"/>
              </w:rPr>
            </w:pPr>
          </w:p>
        </w:tc>
        <w:tc>
          <w:tcPr>
            <w:tcW w:w="94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r>
      <w:tr>
        <w:trPr>
          <w:trHeight w:val="131"/>
        </w:trPr>
        <w:tc>
          <w:tcPr>
            <w:tcW w:w="6660" w:type="dxa"/>
            <w:vAlign w:val="bottom"/>
          </w:tcPr>
          <w:p>
            <w:pPr>
              <w:spacing w:after="0"/>
              <w:rPr>
                <w:sz w:val="20"/>
                <w:szCs w:val="20"/>
                <w:color w:val="auto"/>
              </w:rPr>
            </w:pPr>
            <w:r>
              <w:rPr>
                <w:rFonts w:ascii="Arial" w:cs="Arial" w:eastAsia="Arial" w:hAnsi="Arial"/>
                <w:sz w:val="11"/>
                <w:szCs w:val="11"/>
                <w:color w:val="auto"/>
              </w:rPr>
              <w:t>Sales Volume (MMSF)</w:t>
            </w:r>
          </w:p>
        </w:tc>
        <w:tc>
          <w:tcPr>
            <w:tcW w:w="3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704</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8%</w:t>
            </w:r>
          </w:p>
        </w:tc>
      </w:tr>
      <w:tr>
        <w:trPr>
          <w:trHeight w:val="20"/>
        </w:trPr>
        <w:tc>
          <w:tcPr>
            <w:tcW w:w="666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9"/>
                <w:szCs w:val="9"/>
                <w:color w:val="auto"/>
              </w:rPr>
              <w:t xml:space="preserve">Average Net Sales Price, per MSF </w:t>
            </w:r>
            <w:r>
              <w:rPr>
                <w:rFonts w:ascii="Arial" w:cs="Arial" w:eastAsia="Arial" w:hAnsi="Arial"/>
                <w:sz w:val="15"/>
                <w:szCs w:val="15"/>
                <w:color w:val="auto"/>
                <w:vertAlign w:val="superscript"/>
              </w:rPr>
              <w:t>(1)</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176.79</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146.28</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21%</w:t>
            </w:r>
          </w:p>
        </w:tc>
      </w:tr>
      <w:tr>
        <w:trPr>
          <w:trHeight w:val="20"/>
        </w:trPr>
        <w:tc>
          <w:tcPr>
            <w:tcW w:w="666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1"/>
        </w:trPr>
        <w:tc>
          <w:tcPr>
            <w:tcW w:w="6660" w:type="dxa"/>
            <w:vAlign w:val="bottom"/>
          </w:tcPr>
          <w:p>
            <w:pPr>
              <w:spacing w:after="0"/>
              <w:rPr>
                <w:sz w:val="20"/>
                <w:szCs w:val="20"/>
                <w:color w:val="auto"/>
              </w:rPr>
            </w:pPr>
            <w:r>
              <w:rPr>
                <w:rFonts w:ascii="Arial" w:cs="Arial" w:eastAsia="Arial" w:hAnsi="Arial"/>
                <w:sz w:val="11"/>
                <w:szCs w:val="11"/>
                <w:color w:val="auto"/>
              </w:rPr>
              <w:t>Freight, per MSF</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41.05</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38.53</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7%</w:t>
            </w:r>
          </w:p>
        </w:tc>
      </w:tr>
      <w:tr>
        <w:trPr>
          <w:trHeight w:val="20"/>
        </w:trPr>
        <w:tc>
          <w:tcPr>
            <w:tcW w:w="666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Operating Margin, per MSF</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82.90</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58.70</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41%</w:t>
            </w:r>
          </w:p>
        </w:tc>
      </w:tr>
      <w:tr>
        <w:trPr>
          <w:trHeight w:val="20"/>
        </w:trPr>
        <w:tc>
          <w:tcPr>
            <w:tcW w:w="666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Operating Earnings</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63,253</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41,325</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53%</w:t>
            </w:r>
          </w:p>
        </w:tc>
      </w:tr>
      <w:tr>
        <w:trPr>
          <w:trHeight w:val="20"/>
        </w:trPr>
        <w:tc>
          <w:tcPr>
            <w:tcW w:w="666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0"/>
          <w:szCs w:val="10"/>
          <w:color w:val="auto"/>
        </w:rPr>
        <w:t>(1) Net of freight per MSF.</w:t>
      </w:r>
    </w:p>
    <w:p>
      <w:pPr>
        <w:spacing w:after="0" w:line="85" w:lineRule="exact"/>
        <w:rPr>
          <w:sz w:val="20"/>
          <w:szCs w:val="20"/>
          <w:color w:val="auto"/>
        </w:rPr>
      </w:pPr>
    </w:p>
    <w:p>
      <w:pPr>
        <w:ind w:right="240"/>
        <w:spacing w:after="0" w:line="277" w:lineRule="auto"/>
        <w:rPr>
          <w:sz w:val="20"/>
          <w:szCs w:val="20"/>
          <w:color w:val="auto"/>
        </w:rPr>
      </w:pPr>
      <w:r>
        <w:rPr>
          <w:rFonts w:ascii="Arial" w:cs="Arial" w:eastAsia="Arial" w:hAnsi="Arial"/>
          <w:sz w:val="12"/>
          <w:szCs w:val="12"/>
          <w:color w:val="auto"/>
        </w:rPr>
        <w:t>Gypsum Wallboard Revenue increased 28% to $166.3 million for the three months ended June 30, 2021, The increase was due to higher gross sales prices and Sales Volume, which contributed approximately $25.3 million and $10.8 million, respectively. Our market share remained relatively consistent during the three months ended June 30, 2021.</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Operating Earnings increased 53% to $63.3 million, primarily because of higher gross sales prices and Sales Volume. The increase in gross sales prices and Sales Volume positively affected Operating Earnings by approximately $25.3 million and $3.4 million, respectively. This was partially offset by higher operating costs, which adversely affected Operating Earnings by approximately $6.8 million. The higher operating costs were primarily related to freight, energy, and paper costs which reduced Operating Earnings by approximately $1.9 million, $2.1 million, and $1.0 million, respectively. The Operating Margin increased to 38% for the three months ended June 30, 2021, primarily because of higher gross sales prices, partly offset by higher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80" w:right="31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auto"/>
        </w:rPr>
        <w:t>RECYCLED PAPERBOARD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400" w:type="dxa"/>
            <w:vAlign w:val="bottom"/>
            <w:tcBorders>
              <w:bottom w:val="single" w:sz="8" w:color="auto"/>
            </w:tcBorders>
            <w:shd w:val="clear" w:color="auto" w:fill="004483"/>
          </w:tcPr>
          <w:p>
            <w:pPr>
              <w:spacing w:after="0"/>
              <w:rPr>
                <w:sz w:val="13"/>
                <w:szCs w:val="13"/>
                <w:color w:val="auto"/>
              </w:rPr>
            </w:pPr>
          </w:p>
        </w:tc>
        <w:tc>
          <w:tcPr>
            <w:tcW w:w="1980" w:type="dxa"/>
            <w:vAlign w:val="bottom"/>
            <w:tcBorders>
              <w:bottom w:val="single" w:sz="8" w:color="auto"/>
            </w:tcBorders>
            <w:gridSpan w:val="4"/>
            <w:shd w:val="clear" w:color="auto" w:fill="004483"/>
          </w:tcPr>
          <w:p>
            <w:pPr>
              <w:jc w:val="right"/>
              <w:ind w:right="240"/>
              <w:spacing w:after="0"/>
              <w:rPr>
                <w:sz w:val="20"/>
                <w:szCs w:val="20"/>
                <w:color w:val="auto"/>
              </w:rPr>
            </w:pPr>
            <w:r>
              <w:rPr>
                <w:rFonts w:ascii="Arial" w:cs="Arial" w:eastAsia="Arial" w:hAnsi="Arial"/>
                <w:sz w:val="8"/>
                <w:szCs w:val="8"/>
                <w:b w:val="1"/>
                <w:bCs w:val="1"/>
                <w:color w:val="FFFFFF"/>
              </w:rPr>
              <w:t>For the Three Months Ended June 30,</w:t>
            </w:r>
          </w:p>
        </w:tc>
        <w:tc>
          <w:tcPr>
            <w:tcW w:w="540" w:type="dxa"/>
            <w:vAlign w:val="bottom"/>
            <w:tcBorders>
              <w:bottom w:val="single" w:sz="8" w:color="auto"/>
            </w:tcBorders>
            <w:shd w:val="clear" w:color="auto" w:fill="004483"/>
          </w:tcPr>
          <w:p>
            <w:pPr>
              <w:spacing w:after="0"/>
              <w:rPr>
                <w:sz w:val="13"/>
                <w:szCs w:val="13"/>
                <w:color w:val="auto"/>
              </w:rPr>
            </w:pPr>
          </w:p>
        </w:tc>
        <w:tc>
          <w:tcPr>
            <w:tcW w:w="120" w:type="dxa"/>
            <w:vAlign w:val="bottom"/>
            <w:tcBorders>
              <w:bottom w:val="single" w:sz="8" w:color="004483"/>
            </w:tcBorders>
            <w:shd w:val="clear" w:color="auto" w:fill="004483"/>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88"/>
        </w:trPr>
        <w:tc>
          <w:tcPr>
            <w:tcW w:w="6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2021</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jc w:val="right"/>
              <w:spacing w:after="0" w:line="89" w:lineRule="exact"/>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7"/>
                <w:szCs w:val="7"/>
                <w:color w:val="auto"/>
              </w:rPr>
            </w:pPr>
          </w:p>
        </w:tc>
        <w:tc>
          <w:tcPr>
            <w:tcW w:w="1580" w:type="dxa"/>
            <w:vAlign w:val="bottom"/>
            <w:gridSpan w:val="2"/>
          </w:tcPr>
          <w:p>
            <w:pPr>
              <w:jc w:val="right"/>
              <w:ind w:right="420"/>
              <w:spacing w:after="0" w:line="89" w:lineRule="exact"/>
              <w:rPr>
                <w:sz w:val="20"/>
                <w:szCs w:val="20"/>
                <w:color w:val="auto"/>
              </w:rPr>
            </w:pPr>
            <w:r>
              <w:rPr>
                <w:rFonts w:ascii="Arial" w:cs="Arial" w:eastAsia="Arial" w:hAnsi="Arial"/>
                <w:sz w:val="8"/>
                <w:szCs w:val="8"/>
                <w:b w:val="1"/>
                <w:bCs w:val="1"/>
                <w:color w:val="auto"/>
              </w:rPr>
              <w:t>Percentage Change</w:t>
            </w:r>
          </w:p>
        </w:tc>
      </w:tr>
      <w:tr>
        <w:trPr>
          <w:trHeight w:val="99"/>
        </w:trPr>
        <w:tc>
          <w:tcPr>
            <w:tcW w:w="6660" w:type="dxa"/>
            <w:vAlign w:val="bottom"/>
            <w:tcBorders>
              <w:bottom w:val="single" w:sz="8" w:color="17385E"/>
            </w:tcBorders>
          </w:tcPr>
          <w:p>
            <w:pPr>
              <w:spacing w:after="0"/>
              <w:rPr>
                <w:sz w:val="8"/>
                <w:szCs w:val="8"/>
                <w:color w:val="auto"/>
              </w:rPr>
            </w:pPr>
          </w:p>
        </w:tc>
        <w:tc>
          <w:tcPr>
            <w:tcW w:w="400" w:type="dxa"/>
            <w:vAlign w:val="bottom"/>
            <w:tcBorders>
              <w:bottom w:val="single" w:sz="8" w:color="17385E"/>
            </w:tcBorders>
          </w:tcPr>
          <w:p>
            <w:pPr>
              <w:spacing w:after="0"/>
              <w:rPr>
                <w:sz w:val="8"/>
                <w:szCs w:val="8"/>
                <w:color w:val="auto"/>
              </w:rPr>
            </w:pPr>
          </w:p>
        </w:tc>
        <w:tc>
          <w:tcPr>
            <w:tcW w:w="1980" w:type="dxa"/>
            <w:vAlign w:val="bottom"/>
            <w:tcBorders>
              <w:bottom w:val="single" w:sz="8" w:color="17385E"/>
            </w:tcBorders>
            <w:gridSpan w:val="4"/>
          </w:tcPr>
          <w:p>
            <w:pPr>
              <w:jc w:val="right"/>
              <w:ind w:right="220"/>
              <w:spacing w:after="0"/>
              <w:rPr>
                <w:sz w:val="20"/>
                <w:szCs w:val="20"/>
                <w:color w:val="auto"/>
              </w:rPr>
            </w:pPr>
            <w:r>
              <w:rPr>
                <w:rFonts w:ascii="Arial" w:cs="Arial" w:eastAsia="Arial" w:hAnsi="Arial"/>
                <w:sz w:val="8"/>
                <w:szCs w:val="8"/>
                <w:color w:val="auto"/>
              </w:rPr>
              <w:t>(in thousands, except per ton information)</w:t>
            </w:r>
          </w:p>
        </w:tc>
        <w:tc>
          <w:tcPr>
            <w:tcW w:w="540" w:type="dxa"/>
            <w:vAlign w:val="bottom"/>
            <w:tcBorders>
              <w:bottom w:val="single" w:sz="8" w:color="17385E"/>
            </w:tcBorders>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Borders>
              <w:bottom w:val="single" w:sz="8" w:color="17385E"/>
            </w:tcBorders>
          </w:tcPr>
          <w:p>
            <w:pPr>
              <w:spacing w:after="0"/>
              <w:rPr>
                <w:sz w:val="8"/>
                <w:szCs w:val="8"/>
                <w:color w:val="auto"/>
              </w:rPr>
            </w:pPr>
          </w:p>
        </w:tc>
        <w:tc>
          <w:tcPr>
            <w:tcW w:w="100" w:type="dxa"/>
            <w:vAlign w:val="bottom"/>
          </w:tcPr>
          <w:p>
            <w:pPr>
              <w:spacing w:after="0"/>
              <w:rPr>
                <w:sz w:val="8"/>
                <w:szCs w:val="8"/>
                <w:color w:val="auto"/>
              </w:rPr>
            </w:pPr>
          </w:p>
        </w:tc>
      </w:tr>
      <w:tr>
        <w:trPr>
          <w:trHeight w:val="131"/>
        </w:trPr>
        <w:tc>
          <w:tcPr>
            <w:tcW w:w="6660" w:type="dxa"/>
            <w:vAlign w:val="bottom"/>
          </w:tcPr>
          <w:p>
            <w:pPr>
              <w:spacing w:after="0"/>
              <w:rPr>
                <w:sz w:val="20"/>
                <w:szCs w:val="20"/>
                <w:color w:val="auto"/>
              </w:rPr>
            </w:pPr>
            <w:r>
              <w:rPr>
                <w:rFonts w:ascii="Arial" w:cs="Arial" w:eastAsia="Arial" w:hAnsi="Arial"/>
                <w:sz w:val="11"/>
                <w:szCs w:val="11"/>
                <w:color w:val="auto"/>
              </w:rPr>
              <w:t>Gross Revenue, including intersegment</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43,267</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36,744</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18%</w:t>
            </w:r>
          </w:p>
        </w:tc>
      </w:tr>
      <w:tr>
        <w:trPr>
          <w:trHeight w:val="20"/>
        </w:trPr>
        <w:tc>
          <w:tcPr>
            <w:tcW w:w="66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Less Intersegment Revenue</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(18,249)</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(14,069)</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30%</w:t>
            </w:r>
          </w:p>
        </w:tc>
      </w:tr>
      <w:tr>
        <w:trPr>
          <w:trHeight w:val="20"/>
        </w:trPr>
        <w:tc>
          <w:tcPr>
            <w:tcW w:w="666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54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Gross Revenue, as reported</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25,018</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22,675</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10%</w:t>
            </w:r>
          </w:p>
        </w:tc>
      </w:tr>
      <w:tr>
        <w:trPr>
          <w:trHeight w:val="20"/>
        </w:trPr>
        <w:tc>
          <w:tcPr>
            <w:tcW w:w="66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Freight and Delivery Costs billed to Customers</w:t>
            </w:r>
          </w:p>
        </w:tc>
        <w:tc>
          <w:tcPr>
            <w:tcW w:w="4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(1,448)</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(1,333)</w:t>
            </w: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9%</w:t>
            </w:r>
          </w:p>
        </w:tc>
      </w:tr>
      <w:tr>
        <w:trPr>
          <w:trHeight w:val="20"/>
        </w:trPr>
        <w:tc>
          <w:tcPr>
            <w:tcW w:w="6660" w:type="dxa"/>
            <w:vAlign w:val="bottom"/>
            <w:shd w:val="clear" w:color="auto" w:fill="A6A6A6"/>
          </w:tcPr>
          <w:p>
            <w:pPr>
              <w:spacing w:after="0" w:line="20" w:lineRule="exact"/>
              <w:rPr>
                <w:sz w:val="1"/>
                <w:szCs w:val="1"/>
                <w:color w:val="auto"/>
              </w:rPr>
            </w:pPr>
          </w:p>
        </w:tc>
        <w:tc>
          <w:tcPr>
            <w:tcW w:w="400" w:type="dxa"/>
            <w:vAlign w:val="bottom"/>
            <w:shd w:val="clear" w:color="auto" w:fill="004483"/>
          </w:tcPr>
          <w:p>
            <w:pPr>
              <w:spacing w:after="0" w:line="20" w:lineRule="exact"/>
              <w:rPr>
                <w:sz w:val="1"/>
                <w:szCs w:val="1"/>
                <w:color w:val="auto"/>
              </w:rPr>
            </w:pPr>
          </w:p>
        </w:tc>
        <w:tc>
          <w:tcPr>
            <w:tcW w:w="92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004483"/>
          </w:tcPr>
          <w:p>
            <w:pPr>
              <w:spacing w:after="0" w:line="20" w:lineRule="exact"/>
              <w:rPr>
                <w:sz w:val="1"/>
                <w:szCs w:val="1"/>
                <w:color w:val="auto"/>
              </w:rPr>
            </w:pPr>
          </w:p>
        </w:tc>
        <w:tc>
          <w:tcPr>
            <w:tcW w:w="540" w:type="dxa"/>
            <w:vAlign w:val="bottom"/>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Net Revenue</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23,570</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21,342</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10%</w:t>
            </w:r>
          </w:p>
        </w:tc>
      </w:tr>
      <w:tr>
        <w:trPr>
          <w:trHeight w:val="135"/>
        </w:trPr>
        <w:tc>
          <w:tcPr>
            <w:tcW w:w="6660" w:type="dxa"/>
            <w:vAlign w:val="bottom"/>
            <w:tcBorders>
              <w:top w:val="single" w:sz="8" w:color="A6A6A6"/>
              <w:bottom w:val="single" w:sz="8" w:color="A6A6A6"/>
            </w:tcBorders>
          </w:tcPr>
          <w:p>
            <w:pPr>
              <w:spacing w:after="0"/>
              <w:rPr>
                <w:sz w:val="11"/>
                <w:szCs w:val="11"/>
                <w:color w:val="auto"/>
              </w:rPr>
            </w:pPr>
          </w:p>
        </w:tc>
        <w:tc>
          <w:tcPr>
            <w:tcW w:w="400" w:type="dxa"/>
            <w:vAlign w:val="bottom"/>
            <w:tcBorders>
              <w:top w:val="single" w:sz="8" w:color="A6A6A6"/>
              <w:bottom w:val="single" w:sz="8" w:color="A6A6A6"/>
            </w:tcBorders>
          </w:tcPr>
          <w:p>
            <w:pPr>
              <w:spacing w:after="0"/>
              <w:rPr>
                <w:sz w:val="11"/>
                <w:szCs w:val="11"/>
                <w:color w:val="auto"/>
              </w:rPr>
            </w:pPr>
          </w:p>
        </w:tc>
        <w:tc>
          <w:tcPr>
            <w:tcW w:w="92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6A6A6"/>
              <w:bottom w:val="single" w:sz="8" w:color="A6A6A6"/>
            </w:tcBorders>
          </w:tcPr>
          <w:p>
            <w:pPr>
              <w:spacing w:after="0"/>
              <w:rPr>
                <w:sz w:val="11"/>
                <w:szCs w:val="11"/>
                <w:color w:val="auto"/>
              </w:rPr>
            </w:pPr>
          </w:p>
        </w:tc>
        <w:tc>
          <w:tcPr>
            <w:tcW w:w="780" w:type="dxa"/>
            <w:vAlign w:val="bottom"/>
            <w:tcBorders>
              <w:top w:val="single" w:sz="8" w:color="A6A6A6"/>
              <w:bottom w:val="single" w:sz="8" w:color="A6A6A6"/>
            </w:tcBorders>
          </w:tcPr>
          <w:p>
            <w:pPr>
              <w:spacing w:after="0"/>
              <w:rPr>
                <w:sz w:val="11"/>
                <w:szCs w:val="11"/>
                <w:color w:val="auto"/>
              </w:rPr>
            </w:pPr>
          </w:p>
        </w:tc>
        <w:tc>
          <w:tcPr>
            <w:tcW w:w="540" w:type="dxa"/>
            <w:vAlign w:val="bottom"/>
            <w:tcBorders>
              <w:top w:val="single" w:sz="8" w:color="A6A6A6"/>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Borders>
              <w:top w:val="single" w:sz="8" w:color="A6A6A6"/>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r>
      <w:tr>
        <w:trPr>
          <w:trHeight w:val="131"/>
        </w:trPr>
        <w:tc>
          <w:tcPr>
            <w:tcW w:w="6660" w:type="dxa"/>
            <w:vAlign w:val="bottom"/>
          </w:tcPr>
          <w:p>
            <w:pPr>
              <w:spacing w:after="0"/>
              <w:rPr>
                <w:sz w:val="20"/>
                <w:szCs w:val="20"/>
                <w:color w:val="auto"/>
              </w:rPr>
            </w:pPr>
            <w:r>
              <w:rPr>
                <w:rFonts w:ascii="Arial" w:cs="Arial" w:eastAsia="Arial" w:hAnsi="Arial"/>
                <w:sz w:val="11"/>
                <w:szCs w:val="11"/>
                <w:color w:val="auto"/>
              </w:rPr>
              <w:t>Sales Volume (M Tons)</w:t>
            </w:r>
          </w:p>
        </w:tc>
        <w:tc>
          <w:tcPr>
            <w:tcW w:w="4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77</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9%</w:t>
            </w:r>
          </w:p>
        </w:tc>
      </w:tr>
      <w:tr>
        <w:trPr>
          <w:trHeight w:val="20"/>
        </w:trPr>
        <w:tc>
          <w:tcPr>
            <w:tcW w:w="66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6660" w:type="dxa"/>
            <w:vAlign w:val="bottom"/>
          </w:tcPr>
          <w:p>
            <w:pPr>
              <w:spacing w:after="0" w:line="135" w:lineRule="exact"/>
              <w:rPr>
                <w:sz w:val="20"/>
                <w:szCs w:val="20"/>
                <w:color w:val="auto"/>
              </w:rPr>
            </w:pPr>
            <w:r>
              <w:rPr>
                <w:rFonts w:ascii="Arial" w:cs="Arial" w:eastAsia="Arial" w:hAnsi="Arial"/>
                <w:sz w:val="9"/>
                <w:szCs w:val="9"/>
                <w:color w:val="auto"/>
              </w:rPr>
              <w:t xml:space="preserve">Average Net Sales Price, per ton </w:t>
            </w:r>
            <w:r>
              <w:rPr>
                <w:rFonts w:ascii="Arial" w:cs="Arial" w:eastAsia="Arial" w:hAnsi="Arial"/>
                <w:sz w:val="15"/>
                <w:szCs w:val="15"/>
                <w:color w:val="auto"/>
                <w:vertAlign w:val="superscript"/>
              </w:rPr>
              <w:t>(1)</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498.49</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461.87</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8%</w:t>
            </w:r>
          </w:p>
        </w:tc>
      </w:tr>
      <w:tr>
        <w:trPr>
          <w:trHeight w:val="131"/>
        </w:trPr>
        <w:tc>
          <w:tcPr>
            <w:tcW w:w="666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Freight, per ton</w:t>
            </w:r>
          </w:p>
        </w:tc>
        <w:tc>
          <w:tcPr>
            <w:tcW w:w="400" w:type="dxa"/>
            <w:vAlign w:val="bottom"/>
            <w:tcBorders>
              <w:top w:val="single" w:sz="8" w:color="A6A6A6"/>
              <w:bottom w:val="single" w:sz="8" w:color="A6A6A6"/>
            </w:tcBorders>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17.24</w:t>
            </w:r>
          </w:p>
        </w:tc>
        <w:tc>
          <w:tcPr>
            <w:tcW w:w="120" w:type="dxa"/>
            <w:vAlign w:val="bottom"/>
          </w:tcPr>
          <w:p>
            <w:pPr>
              <w:spacing w:after="0"/>
              <w:rPr>
                <w:sz w:val="11"/>
                <w:szCs w:val="11"/>
                <w:color w:val="auto"/>
              </w:rPr>
            </w:pPr>
          </w:p>
        </w:tc>
        <w:tc>
          <w:tcPr>
            <w:tcW w:w="940" w:type="dxa"/>
            <w:vAlign w:val="bottom"/>
            <w:tcBorders>
              <w:top w:val="single" w:sz="8" w:color="A6A6A6"/>
              <w:bottom w:val="single" w:sz="8" w:color="A6A6A6"/>
            </w:tcBorders>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17.31</w:t>
            </w:r>
          </w:p>
        </w:tc>
        <w:tc>
          <w:tcPr>
            <w:tcW w:w="120" w:type="dxa"/>
            <w:vAlign w:val="bottom"/>
          </w:tcPr>
          <w:p>
            <w:pPr>
              <w:spacing w:after="0"/>
              <w:rPr>
                <w:sz w:val="11"/>
                <w:szCs w:val="11"/>
                <w:color w:val="auto"/>
              </w:rPr>
            </w:pPr>
          </w:p>
        </w:tc>
        <w:tc>
          <w:tcPr>
            <w:tcW w:w="14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Operating Margin, per ton</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39.73</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37.60</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6%</w:t>
            </w:r>
          </w:p>
        </w:tc>
      </w:tr>
      <w:tr>
        <w:trPr>
          <w:trHeight w:val="20"/>
        </w:trPr>
        <w:tc>
          <w:tcPr>
            <w:tcW w:w="66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6660" w:type="dxa"/>
            <w:vAlign w:val="bottom"/>
          </w:tcPr>
          <w:p>
            <w:pPr>
              <w:spacing w:after="0"/>
              <w:rPr>
                <w:sz w:val="20"/>
                <w:szCs w:val="20"/>
                <w:color w:val="auto"/>
              </w:rPr>
            </w:pPr>
            <w:r>
              <w:rPr>
                <w:rFonts w:ascii="Arial" w:cs="Arial" w:eastAsia="Arial" w:hAnsi="Arial"/>
                <w:sz w:val="11"/>
                <w:szCs w:val="11"/>
                <w:color w:val="auto"/>
              </w:rPr>
              <w:t>Operating Earnings</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3,337</w:t>
            </w:r>
          </w:p>
        </w:tc>
        <w:tc>
          <w:tcPr>
            <w:tcW w:w="120" w:type="dxa"/>
            <w:vAlign w:val="bottom"/>
          </w:tcPr>
          <w:p>
            <w:pPr>
              <w:spacing w:after="0"/>
              <w:rPr>
                <w:sz w:val="11"/>
                <w:szCs w:val="11"/>
                <w:color w:val="auto"/>
              </w:rPr>
            </w:pPr>
          </w:p>
        </w:tc>
        <w:tc>
          <w:tcPr>
            <w:tcW w:w="940" w:type="dxa"/>
            <w:vAlign w:val="bottom"/>
            <w:gridSpan w:val="2"/>
          </w:tcPr>
          <w:p>
            <w:pPr>
              <w:jc w:val="right"/>
              <w:ind w:right="7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2,895</w:t>
            </w:r>
          </w:p>
        </w:tc>
        <w:tc>
          <w:tcPr>
            <w:tcW w:w="120" w:type="dxa"/>
            <w:vAlign w:val="bottom"/>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1"/>
                <w:szCs w:val="11"/>
                <w:color w:val="auto"/>
              </w:rPr>
              <w:t>15%</w:t>
            </w:r>
          </w:p>
        </w:tc>
      </w:tr>
      <w:tr>
        <w:trPr>
          <w:trHeight w:val="20"/>
        </w:trPr>
        <w:tc>
          <w:tcPr>
            <w:tcW w:w="666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0"/>
          <w:szCs w:val="10"/>
          <w:color w:val="auto"/>
        </w:rPr>
        <w:t>(1) Net of freight per ton.</w:t>
      </w:r>
    </w:p>
    <w:p>
      <w:pPr>
        <w:spacing w:after="0" w:line="85" w:lineRule="exact"/>
        <w:rPr>
          <w:sz w:val="20"/>
          <w:szCs w:val="20"/>
          <w:color w:val="auto"/>
        </w:rPr>
      </w:pPr>
    </w:p>
    <w:p>
      <w:pPr>
        <w:ind w:right="400"/>
        <w:spacing w:after="0" w:line="277" w:lineRule="auto"/>
        <w:rPr>
          <w:sz w:val="20"/>
          <w:szCs w:val="20"/>
          <w:color w:val="auto"/>
        </w:rPr>
      </w:pPr>
      <w:r>
        <w:rPr>
          <w:rFonts w:ascii="Arial" w:cs="Arial" w:eastAsia="Arial" w:hAnsi="Arial"/>
          <w:sz w:val="12"/>
          <w:szCs w:val="12"/>
          <w:color w:val="auto"/>
        </w:rPr>
        <w:t>Recycled Paperboard Revenue increased 18% to $43.3 million during the three months ended June 30, 2021. The increase was due to higher gross sales prices and Sales Volume, which positively affected Revenue by $3.1 million and $3.5 million, respectively. Higher gross sales prices were related to the pricing provisions in our long-term sales agreements.</w:t>
      </w:r>
    </w:p>
    <w:p>
      <w:pPr>
        <w:spacing w:after="0" w:line="59"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Operating Earnings increased 15% to $3.3 million, primarily because of higher gross sales prices and Sales Volume, which positively affected Operating Earnings by approximately $3.1 million, and $0.3 million, respectively. These increases were partially offset by higher operating costs, which adversely affected Operating Earnings by $2.9 million. The increase in operating costs was primarily related to higher input costs, namely fiber, which lowered Operating Earnings by approximately $2.7 million. The Operating Margin remained consistent at 8% with higher gross sales prices being offset by increased operating costs.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01" w:lineRule="exact"/>
        <w:rPr>
          <w:sz w:val="20"/>
          <w:szCs w:val="20"/>
          <w:color w:val="auto"/>
        </w:rPr>
      </w:pPr>
    </w:p>
    <w:p>
      <w:pPr>
        <w:ind w:right="280"/>
        <w:spacing w:after="0" w:line="269" w:lineRule="auto"/>
        <w:rPr>
          <w:sz w:val="20"/>
          <w:szCs w:val="20"/>
          <w:color w:val="auto"/>
        </w:rPr>
      </w:pPr>
      <w:r>
        <w:rPr>
          <w:rFonts w:ascii="Arial" w:cs="Arial" w:eastAsia="Arial" w:hAnsi="Arial"/>
          <w:sz w:val="12"/>
          <w:szCs w:val="12"/>
          <w:color w:val="auto"/>
        </w:rPr>
        <w:t>The preparation of financial statements in accordance with accounting principles generally accepted in the United States requires management to adopt accounting policies and make significant judgments and estimates to develop amounts reflected and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65" w:lineRule="exact"/>
        <w:rPr>
          <w:sz w:val="20"/>
          <w:szCs w:val="20"/>
          <w:color w:val="auto"/>
        </w:rPr>
      </w:pPr>
    </w:p>
    <w:p>
      <w:pPr>
        <w:ind w:right="60"/>
        <w:spacing w:after="0" w:line="269" w:lineRule="auto"/>
        <w:rPr>
          <w:sz w:val="20"/>
          <w:szCs w:val="20"/>
          <w:color w:val="auto"/>
        </w:rPr>
      </w:pPr>
      <w:r>
        <w:rPr>
          <w:rFonts w:ascii="Arial" w:cs="Arial" w:eastAsia="Arial" w:hAnsi="Arial"/>
          <w:sz w:val="12"/>
          <w:szCs w:val="12"/>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relating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Recent Accounting Pronouncements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Refer to Footnote (A) in the Notes to Unaudited Consolidated Financial Statements of this Form 10-Q for information regarding recently issued accounting pronouncements that may affect our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92" w:lineRule="exact"/>
        <w:rPr>
          <w:sz w:val="20"/>
          <w:szCs w:val="20"/>
          <w:color w:val="auto"/>
        </w:rPr>
      </w:pPr>
    </w:p>
    <w:p>
      <w:pPr>
        <w:ind w:right="160"/>
        <w:spacing w:after="0" w:line="269" w:lineRule="auto"/>
        <w:rPr>
          <w:sz w:val="20"/>
          <w:szCs w:val="20"/>
          <w:color w:val="auto"/>
        </w:rPr>
      </w:pPr>
      <w:r>
        <w:rPr>
          <w:rFonts w:ascii="Arial" w:cs="Arial" w:eastAsia="Arial" w:hAnsi="Arial"/>
          <w:sz w:val="12"/>
          <w:szCs w:val="12"/>
          <w:color w:val="auto"/>
        </w:rPr>
        <w:t>We believe at this time that we have access to sufficient financial resources from our liquidity sources to fund our business and operations, including contractual obligations, capital expenditures, and debt service obligations for at least the next twelve months. We will continue to monitor the potential impact of future COVID-19 outbreaks, or similar disruptions on the economy, and on our operations, as well as any other economic impacts related to changing fiscal policy or economic conditions. Please see the Debt Financing Activities section below for a discussion of our revolving credit facility and the amount of borrowings available to us in the next twelve-month period.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Cash Flow</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summary of our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00" w:type="dxa"/>
            <w:vAlign w:val="bottom"/>
            <w:gridSpan w:val="4"/>
            <w:shd w:val="clear" w:color="auto" w:fill="004483"/>
          </w:tcPr>
          <w:p>
            <w:pPr>
              <w:jc w:val="right"/>
              <w:ind w:right="333"/>
              <w:spacing w:after="0"/>
              <w:rPr>
                <w:sz w:val="20"/>
                <w:szCs w:val="20"/>
                <w:color w:val="auto"/>
              </w:rPr>
            </w:pPr>
            <w:r>
              <w:rPr>
                <w:rFonts w:ascii="Arial" w:cs="Arial" w:eastAsia="Arial" w:hAnsi="Arial"/>
                <w:sz w:val="8"/>
                <w:szCs w:val="8"/>
                <w:b w:val="1"/>
                <w:bCs w:val="1"/>
                <w:color w:val="FFFFFF"/>
              </w:rPr>
              <w:t>For the Three Months Ended June 30,</w:t>
            </w:r>
          </w:p>
        </w:tc>
        <w:tc>
          <w:tcPr>
            <w:tcW w:w="68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00" w:type="dxa"/>
            <w:vAlign w:val="bottom"/>
            <w:tcBorders>
              <w:bottom w:val="single" w:sz="8" w:color="004483"/>
            </w:tcBorders>
            <w:gridSpan w:val="4"/>
          </w:tcPr>
          <w:p>
            <w:pPr>
              <w:jc w:val="right"/>
              <w:ind w:right="653"/>
              <w:spacing w:after="0"/>
              <w:rPr>
                <w:sz w:val="20"/>
                <w:szCs w:val="20"/>
                <w:color w:val="auto"/>
              </w:rPr>
            </w:pPr>
            <w:r>
              <w:rPr>
                <w:rFonts w:ascii="Arial" w:cs="Arial" w:eastAsia="Arial" w:hAnsi="Arial"/>
                <w:sz w:val="8"/>
                <w:szCs w:val="8"/>
                <w:color w:val="auto"/>
              </w:rPr>
              <w:t>(dollars in thousands)</w:t>
            </w:r>
          </w:p>
        </w:tc>
        <w:tc>
          <w:tcPr>
            <w:tcW w:w="68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Net Cash Provided by Operating Activities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111,121</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jc w:val="right"/>
              <w:ind w:right="81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1"/>
                <w:szCs w:val="11"/>
                <w:b w:val="1"/>
                <w:bCs w:val="1"/>
                <w:color w:val="auto"/>
              </w:rPr>
              <w:t>95,313</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Investing Activities: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Additions to Property, Plant, and Equipment</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(11,935)</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(25,991)</w:t>
            </w: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Sale of Property, Plant, and Equipment</w:t>
            </w:r>
          </w:p>
        </w:tc>
        <w:tc>
          <w:tcPr>
            <w:tcW w:w="560" w:type="dxa"/>
            <w:vAlign w:val="bottom"/>
            <w:tcBorders>
              <w:top w:val="single" w:sz="8" w:color="A6A6A6"/>
              <w:bottom w:val="single" w:sz="8" w:color="004483"/>
            </w:tcBorders>
          </w:tcPr>
          <w:p>
            <w:pPr>
              <w:spacing w:after="0"/>
              <w:rPr>
                <w:sz w:val="11"/>
                <w:szCs w:val="11"/>
                <w:color w:val="auto"/>
              </w:rPr>
            </w:pPr>
          </w:p>
        </w:tc>
        <w:tc>
          <w:tcPr>
            <w:tcW w:w="10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80" w:type="dxa"/>
            <w:vAlign w:val="bottom"/>
            <w:tcBorders>
              <w:top w:val="single" w:sz="8" w:color="A6A6A6"/>
              <w:bottom w:val="single" w:sz="8" w:color="004483"/>
            </w:tcBorders>
          </w:tcPr>
          <w:p>
            <w:pPr>
              <w:spacing w:after="0"/>
              <w:rPr>
                <w:sz w:val="11"/>
                <w:szCs w:val="11"/>
                <w:color w:val="auto"/>
              </w:rPr>
            </w:pPr>
          </w:p>
        </w:tc>
        <w:tc>
          <w:tcPr>
            <w:tcW w:w="6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1"/>
                <w:szCs w:val="11"/>
                <w:color w:val="auto"/>
              </w:rPr>
              <w:t>93,482</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Net Cash Provided by (Used in) Investing Activities</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(11,935)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004483"/>
            </w:tcBorders>
          </w:tcPr>
          <w:p>
            <w:pPr>
              <w:spacing w:after="0"/>
              <w:rPr>
                <w:sz w:val="11"/>
                <w:szCs w:val="11"/>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67,491</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b w:val="1"/>
                <w:bCs w:val="1"/>
                <w:color w:val="auto"/>
              </w:rPr>
              <w:t>Financing Activities: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880" w:type="dxa"/>
            <w:vAlign w:val="bottom"/>
            <w:tcBorders>
              <w:bottom w:val="single" w:sz="8" w:color="A6A6A6"/>
            </w:tcBorders>
          </w:tcPr>
          <w:p>
            <w:pPr>
              <w:spacing w:after="0"/>
              <w:rPr>
                <w:sz w:val="11"/>
                <w:szCs w:val="11"/>
                <w:color w:val="auto"/>
              </w:rPr>
            </w:pPr>
          </w:p>
        </w:tc>
        <w:tc>
          <w:tcPr>
            <w:tcW w:w="680" w:type="dxa"/>
            <w:vAlign w:val="bottom"/>
            <w:tcBorders>
              <w:bottom w:val="single" w:sz="8" w:color="A6A6A6"/>
            </w:tcBorders>
          </w:tcPr>
          <w:p>
            <w:pPr>
              <w:spacing w:after="0"/>
              <w:rPr>
                <w:sz w:val="11"/>
                <w:szCs w:val="11"/>
                <w:color w:val="auto"/>
              </w:rPr>
            </w:pP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Increase (Decrease) in Credit Facility</w:t>
            </w:r>
          </w:p>
        </w:tc>
        <w:tc>
          <w:tcPr>
            <w:tcW w:w="5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(75,000)</w:t>
            </w:r>
          </w:p>
        </w:tc>
      </w:tr>
      <w:tr>
        <w:trPr>
          <w:trHeight w:val="20"/>
        </w:trPr>
        <w:tc>
          <w:tcPr>
            <w:tcW w:w="77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Dividends Paid to Stockholders</w:t>
            </w:r>
          </w:p>
        </w:tc>
        <w:tc>
          <w:tcPr>
            <w:tcW w:w="5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(4,160)</w:t>
            </w:r>
          </w:p>
        </w:tc>
      </w:tr>
      <w:tr>
        <w:trPr>
          <w:trHeight w:val="20"/>
        </w:trPr>
        <w:tc>
          <w:tcPr>
            <w:tcW w:w="77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Purchase and Retirement of Common Stock</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(61,929)</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3"/>
        </w:trPr>
        <w:tc>
          <w:tcPr>
            <w:tcW w:w="7740" w:type="dxa"/>
            <w:vAlign w:val="bottom"/>
            <w:tcBorders>
              <w:top w:val="single" w:sz="8" w:color="A6A6A6"/>
              <w:bottom w:val="single" w:sz="8" w:color="A6A6A6"/>
            </w:tcBorders>
          </w:tcPr>
          <w:p>
            <w:pPr>
              <w:ind w:left="160"/>
              <w:spacing w:after="0"/>
              <w:rPr>
                <w:sz w:val="20"/>
                <w:szCs w:val="20"/>
                <w:color w:val="auto"/>
              </w:rPr>
            </w:pPr>
            <w:r>
              <w:rPr>
                <w:rFonts w:ascii="Arial" w:cs="Arial" w:eastAsia="Arial" w:hAnsi="Arial"/>
                <w:sz w:val="11"/>
                <w:szCs w:val="11"/>
                <w:color w:val="auto"/>
              </w:rPr>
              <w:t>Proceeds from Stock Option Exercises</w:t>
            </w:r>
          </w:p>
        </w:tc>
        <w:tc>
          <w:tcPr>
            <w:tcW w:w="560" w:type="dxa"/>
            <w:vAlign w:val="bottom"/>
            <w:tcBorders>
              <w:top w:val="single" w:sz="8" w:color="A6A6A6"/>
              <w:bottom w:val="single" w:sz="8" w:color="A6A6A6"/>
            </w:tcBorders>
          </w:tcPr>
          <w:p>
            <w:pPr>
              <w:spacing w:after="0"/>
              <w:rPr>
                <w:sz w:val="11"/>
                <w:szCs w:val="11"/>
                <w:color w:val="auto"/>
              </w:rPr>
            </w:pPr>
          </w:p>
        </w:tc>
        <w:tc>
          <w:tcPr>
            <w:tcW w:w="10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8,222</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80" w:type="dxa"/>
            <w:vAlign w:val="bottom"/>
            <w:tcBorders>
              <w:top w:val="single" w:sz="8" w:color="A6A6A6"/>
              <w:bottom w:val="single" w:sz="8" w:color="A6A6A6"/>
            </w:tcBorders>
          </w:tcPr>
          <w:p>
            <w:pPr>
              <w:spacing w:after="0"/>
              <w:rPr>
                <w:sz w:val="11"/>
                <w:szCs w:val="11"/>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Payment of Debt Issuance Costs</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(1,243)</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(1,718)</w:t>
            </w:r>
          </w:p>
        </w:tc>
      </w:tr>
      <w:tr>
        <w:trPr>
          <w:trHeight w:val="20"/>
        </w:trPr>
        <w:tc>
          <w:tcPr>
            <w:tcW w:w="77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7740" w:type="dxa"/>
            <w:vAlign w:val="bottom"/>
          </w:tcPr>
          <w:p>
            <w:pPr>
              <w:ind w:left="160"/>
              <w:spacing w:after="0"/>
              <w:rPr>
                <w:sz w:val="20"/>
                <w:szCs w:val="20"/>
                <w:color w:val="auto"/>
              </w:rPr>
            </w:pPr>
            <w:r>
              <w:rPr>
                <w:rFonts w:ascii="Arial" w:cs="Arial" w:eastAsia="Arial" w:hAnsi="Arial"/>
                <w:sz w:val="11"/>
                <w:szCs w:val="11"/>
                <w:color w:val="auto"/>
              </w:rPr>
              <w:t>Shares Redeemed to Settle Employee Taxes on Stock Compensation</w:t>
            </w:r>
          </w:p>
        </w:tc>
        <w:tc>
          <w:tcPr>
            <w:tcW w:w="560" w:type="dxa"/>
            <w:vAlign w:val="bottom"/>
          </w:tcPr>
          <w:p>
            <w:pPr>
              <w:spacing w:after="0"/>
              <w:rPr>
                <w:sz w:val="11"/>
                <w:szCs w:val="1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1"/>
                <w:szCs w:val="11"/>
                <w:color w:val="auto"/>
              </w:rPr>
              <w:t>(1,214)</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(1,130)</w:t>
            </w:r>
          </w:p>
        </w:tc>
      </w:tr>
      <w:tr>
        <w:trPr>
          <w:trHeight w:val="133"/>
        </w:trPr>
        <w:tc>
          <w:tcPr>
            <w:tcW w:w="774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b w:val="1"/>
                <w:bCs w:val="1"/>
                <w:color w:val="auto"/>
              </w:rPr>
              <w:t>Net Cash Used in Financing Activities</w:t>
            </w:r>
          </w:p>
        </w:tc>
        <w:tc>
          <w:tcPr>
            <w:tcW w:w="560" w:type="dxa"/>
            <w:vAlign w:val="bottom"/>
            <w:tcBorders>
              <w:top w:val="single" w:sz="8" w:color="004483"/>
              <w:bottom w:val="single" w:sz="8" w:color="004483"/>
            </w:tcBorders>
          </w:tcPr>
          <w:p>
            <w:pPr>
              <w:spacing w:after="0"/>
              <w:rPr>
                <w:sz w:val="11"/>
                <w:szCs w:val="11"/>
                <w:color w:val="auto"/>
              </w:rPr>
            </w:pP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(56,164)</w:t>
            </w:r>
          </w:p>
        </w:tc>
        <w:tc>
          <w:tcPr>
            <w:tcW w:w="100" w:type="dxa"/>
            <w:vAlign w:val="bottom"/>
          </w:tcPr>
          <w:p>
            <w:pPr>
              <w:spacing w:after="0"/>
              <w:rPr>
                <w:sz w:val="11"/>
                <w:szCs w:val="11"/>
                <w:color w:val="auto"/>
              </w:rPr>
            </w:pPr>
          </w:p>
        </w:tc>
        <w:tc>
          <w:tcPr>
            <w:tcW w:w="200" w:type="dxa"/>
            <w:vAlign w:val="bottom"/>
            <w:tcBorders>
              <w:top w:val="single" w:sz="8" w:color="A6A6A6"/>
              <w:bottom w:val="single" w:sz="8" w:color="A6A6A6"/>
            </w:tcBorders>
          </w:tcPr>
          <w:p>
            <w:pPr>
              <w:spacing w:after="0"/>
              <w:rPr>
                <w:sz w:val="11"/>
                <w:szCs w:val="11"/>
                <w:color w:val="auto"/>
              </w:rPr>
            </w:pPr>
          </w:p>
        </w:tc>
        <w:tc>
          <w:tcPr>
            <w:tcW w:w="880" w:type="dxa"/>
            <w:vAlign w:val="bottom"/>
            <w:tcBorders>
              <w:top w:val="single" w:sz="8" w:color="004483"/>
              <w:bottom w:val="single" w:sz="8" w:color="004483"/>
            </w:tcBorders>
          </w:tcPr>
          <w:p>
            <w:pPr>
              <w:spacing w:after="0"/>
              <w:rPr>
                <w:sz w:val="11"/>
                <w:szCs w:val="11"/>
                <w:color w:val="auto"/>
              </w:rPr>
            </w:pP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(82,008)</w:t>
            </w:r>
          </w:p>
        </w:tc>
        <w:tc>
          <w:tcPr>
            <w:tcW w:w="120" w:type="dxa"/>
            <w:vAlign w:val="bottom"/>
          </w:tcPr>
          <w:p>
            <w:pPr>
              <w:spacing w:after="0"/>
              <w:rPr>
                <w:sz w:val="11"/>
                <w:szCs w:val="11"/>
                <w:color w:val="auto"/>
              </w:rPr>
            </w:pPr>
          </w:p>
        </w:tc>
      </w:tr>
      <w:tr>
        <w:trPr>
          <w:trHeight w:val="142"/>
        </w:trPr>
        <w:tc>
          <w:tcPr>
            <w:tcW w:w="7740" w:type="dxa"/>
            <w:vAlign w:val="bottom"/>
          </w:tcPr>
          <w:p>
            <w:pPr>
              <w:spacing w:after="0"/>
              <w:rPr>
                <w:sz w:val="20"/>
                <w:szCs w:val="20"/>
                <w:color w:val="auto"/>
              </w:rPr>
            </w:pPr>
            <w:r>
              <w:rPr>
                <w:rFonts w:ascii="Arial" w:cs="Arial" w:eastAsia="Arial" w:hAnsi="Arial"/>
                <w:sz w:val="11"/>
                <w:szCs w:val="11"/>
                <w:b w:val="1"/>
                <w:bCs w:val="1"/>
                <w:color w:val="auto"/>
              </w:rPr>
              <w:t>Net Increase in Cash, Cash Equivalents, and Restricted Cash</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43,022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004483"/>
            </w:tcBorders>
          </w:tcPr>
          <w:p>
            <w:pPr>
              <w:jc w:val="right"/>
              <w:ind w:right="813"/>
              <w:spacing w:after="0"/>
              <w:rPr>
                <w:sz w:val="20"/>
                <w:szCs w:val="20"/>
                <w:color w:val="auto"/>
              </w:rPr>
            </w:pPr>
            <w:r>
              <w:rPr>
                <w:rFonts w:ascii="Arial" w:cs="Arial" w:eastAsia="Arial" w:hAnsi="Arial"/>
                <w:sz w:val="5"/>
                <w:szCs w:val="5"/>
                <w:b w:val="1"/>
                <w:bCs w:val="1"/>
                <w:color w:val="auto"/>
                <w:w w:val="70"/>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80,796</w:t>
            </w:r>
          </w:p>
        </w:tc>
        <w:tc>
          <w:tcPr>
            <w:tcW w:w="120" w:type="dxa"/>
            <w:vAlign w:val="bottom"/>
          </w:tcPr>
          <w:p>
            <w:pPr>
              <w:spacing w:after="0"/>
              <w:rPr>
                <w:sz w:val="12"/>
                <w:szCs w:val="1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sectPr>
      </w:pPr>
    </w:p>
    <w:bookmarkStart w:id="31" w:name="page32"/>
    <w:bookmarkEnd w:id="31"/>
    <w:p>
      <w:pPr>
        <w:ind w:right="40"/>
        <w:spacing w:after="0" w:line="271" w:lineRule="auto"/>
        <w:rPr>
          <w:sz w:val="20"/>
          <w:szCs w:val="20"/>
          <w:color w:val="auto"/>
        </w:rPr>
      </w:pPr>
      <w:r>
        <w:rPr>
          <w:rFonts w:ascii="Arial" w:cs="Arial" w:eastAsia="Arial" w:hAnsi="Arial"/>
          <w:sz w:val="12"/>
          <w:szCs w:val="12"/>
          <w:color w:val="auto"/>
        </w:rPr>
        <w:t>Net Cash Provided by Operating Activities increased by $15.8 million to $111.1 million during the three months ended June 30, 2021. This increase was primarily attributable to higher Net Earnings, adjusted for non-cash charges, of approximately $54.1 million. The improvement was partially offset by lower dividends from our Unconsolidated Joint Venture and cash flows from changes in working capital of $2.5 million and $35.8 million, respectively.</w:t>
      </w:r>
    </w:p>
    <w:p>
      <w:pPr>
        <w:spacing w:after="0" w:line="64" w:lineRule="exact"/>
        <w:rPr>
          <w:sz w:val="20"/>
          <w:szCs w:val="20"/>
          <w:color w:val="auto"/>
        </w:rPr>
      </w:pPr>
    </w:p>
    <w:p>
      <w:pPr>
        <w:ind w:right="20"/>
        <w:spacing w:after="0" w:line="269" w:lineRule="auto"/>
        <w:rPr>
          <w:sz w:val="20"/>
          <w:szCs w:val="20"/>
          <w:color w:val="auto"/>
        </w:rPr>
      </w:pPr>
      <w:r>
        <w:rPr>
          <w:rFonts w:ascii="Arial" w:cs="Arial" w:eastAsia="Arial" w:hAnsi="Arial"/>
          <w:sz w:val="12"/>
          <w:szCs w:val="12"/>
          <w:color w:val="auto"/>
        </w:rPr>
        <w:t>Working capital increased by $50.0 million to $542.3 million at June 30, 2021, because of increased Cash, Accounts Receivable, and Prepaid and Other Assets of approximately $43.0 million, $40.3 million, and $7.9 million, respectively. This was partially offset by increased Accounts Payable and Accrued Expenses and Income Taxes Payable of approximately $8.9 million and $13.8 million, respectively, and decreased Inventory of approximately $18.6 million. The reduction in Inventory was due to higher Revenue and lower production resulting from scheduled outages at our cement plants. The decrease in Accrued Liabilities and increase in Income Taxes Payable were both due primarily to timing.</w:t>
      </w:r>
    </w:p>
    <w:p>
      <w:pPr>
        <w:spacing w:after="0" w:line="6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increase in Accounts Receivable at June 30, 2021, was primarily related to higher Revenue during the three months ended June 30, 2021, compared with the three months ended March 31, 2021. As a percentage of quarterly sales generated for the respective quarter, Accounts Receivable was approximately 40% at June 30, 2021 and 43% at March 31, 2021.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June 30, 2021. Notes Receivable are monitored on an individual basis, and no significant deterioration in the collectability of our Notes Receivable was identified at June 30, 2021.</w:t>
      </w:r>
    </w:p>
    <w:p>
      <w:pPr>
        <w:spacing w:after="0" w:line="6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Our Inventory balance at June 30, 2021 declined by approximately $18.6 million from our balance at March 31, 2021. Within Inventory, raw materials and materials-in-progress, finished cement, and repair parts and supplies decreased approximately $13.5 million, $2.6 million, and $1.8 million, respectively. These declines were due primarily to the maintenance outages at all of our cement plants during the quarter.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Net Cash Used in Investing Activities during the three months ended June 30, 2021 was approximately $11.9 million, compared with $67.5 million during the same period in 2020, a decrease of approximately $79.4 million. The decrease was primarily related to the sale of Western and Mathews in the prior year for approximately $93.5 million, partially offset by a reduction of $14.1 million in capital spending. The reduction in capital spending was primarily related to lower capital spending in our Gypsum Wallboard and Recycled Paperboard businesses.</w:t>
      </w:r>
    </w:p>
    <w:p>
      <w:pPr>
        <w:spacing w:after="0" w:line="64"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Net Cash Used in Financing Activities was approximately $56.2 million during the three months ended June 30, 2021, compared with $82.0 million in the first quarter of fiscal 2021. During the first quarter of fiscal 2022, we had $61.9 million of share repurchases and retirements, which was partially offset by $8.2 million of cash received from the exercise of stock options, compared with a reduction in net borrowings of $75.0 million and dividends paid of $4.2 million in fiscal 2021.</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Our debt-to-capitalization ratio and net-debt-to-capitalization ratio were 42.2% and 33.7%, respectively, at June 30, 2021, compared with 42.8% and 35.6%, respectively, at March 31, 2021.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54" w:right="2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u w:val="single" w:color="auto"/>
          <w:color w:val="auto"/>
        </w:rPr>
        <w:t>Debt Financing Activities</w:t>
      </w:r>
    </w:p>
    <w:p>
      <w:pPr>
        <w:spacing w:after="0" w:line="92" w:lineRule="exact"/>
        <w:rPr>
          <w:sz w:val="20"/>
          <w:szCs w:val="20"/>
          <w:color w:val="auto"/>
        </w:rPr>
      </w:pPr>
    </w:p>
    <w:p>
      <w:pPr>
        <w:ind w:right="260"/>
        <w:spacing w:after="0" w:line="277" w:lineRule="auto"/>
        <w:rPr>
          <w:sz w:val="20"/>
          <w:szCs w:val="20"/>
          <w:color w:val="auto"/>
        </w:rPr>
      </w:pPr>
      <w:r>
        <w:rPr>
          <w:rFonts w:ascii="Arial" w:cs="Arial" w:eastAsia="Arial" w:hAnsi="Arial"/>
          <w:sz w:val="12"/>
          <w:szCs w:val="12"/>
          <w:color w:val="auto"/>
        </w:rPr>
        <w:t>Below is a summary of the Company’s debt facilities, subsequent to the issuance of the 2.500% Senior Unsecured Notes, the repayment of the Term Loan, and the redemption of the 4.500% Senior Unsecured Notes in July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6140" w:type="dxa"/>
            <w:vAlign w:val="bottom"/>
            <w:tcBorders>
              <w:bottom w:val="single" w:sz="8" w:color="004483"/>
            </w:tcBorders>
          </w:tcPr>
          <w:p>
            <w:pPr>
              <w:spacing w:after="0"/>
              <w:rPr>
                <w:sz w:val="8"/>
                <w:szCs w:val="8"/>
                <w:color w:val="auto"/>
              </w:rPr>
            </w:pPr>
          </w:p>
        </w:tc>
        <w:tc>
          <w:tcPr>
            <w:tcW w:w="516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Maturity</w:t>
            </w:r>
          </w:p>
        </w:tc>
      </w:tr>
      <w:tr>
        <w:trPr>
          <w:trHeight w:val="131"/>
        </w:trPr>
        <w:tc>
          <w:tcPr>
            <w:tcW w:w="61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Revolving Credit Facility</w:t>
            </w:r>
          </w:p>
        </w:tc>
        <w:tc>
          <w:tcPr>
            <w:tcW w:w="51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July 2026</w:t>
            </w:r>
          </w:p>
        </w:tc>
      </w:tr>
      <w:tr>
        <w:trPr>
          <w:trHeight w:val="133"/>
        </w:trPr>
        <w:tc>
          <w:tcPr>
            <w:tcW w:w="61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2.500% Senior Unsecured Notes</w:t>
            </w:r>
          </w:p>
        </w:tc>
        <w:tc>
          <w:tcPr>
            <w:tcW w:w="51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July 2031</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See Footnote (M) to the Unaudited Consolidated Financial Statements for further details on the Company’s debt facilities, including interest rate, and financial and other covenants and restrictions.</w:t>
      </w:r>
    </w:p>
    <w:p>
      <w:pPr>
        <w:spacing w:after="0" w:line="87" w:lineRule="exact"/>
        <w:rPr>
          <w:sz w:val="20"/>
          <w:szCs w:val="20"/>
          <w:color w:val="auto"/>
        </w:rPr>
      </w:pPr>
    </w:p>
    <w:p>
      <w:pPr>
        <w:ind w:right="200"/>
        <w:spacing w:after="0" w:line="271" w:lineRule="auto"/>
        <w:rPr>
          <w:sz w:val="20"/>
          <w:szCs w:val="20"/>
          <w:color w:val="auto"/>
        </w:rPr>
      </w:pPr>
      <w:r>
        <w:rPr>
          <w:rFonts w:ascii="Arial" w:cs="Arial" w:eastAsia="Arial" w:hAnsi="Arial"/>
          <w:sz w:val="12"/>
          <w:szCs w:val="12"/>
          <w:color w:val="auto"/>
        </w:rPr>
        <w:t>The borrowing capacity of our New Revolving Credit Facility is $750.0 million until July 1, 2026. The Revolving Credit Facility also includes a swingline loan sublimit of $25.0 million, and a $40.0 million letter of credit facility. At June 30, 2021 we had $4.3 million of outstanding letters of credit. We are contingently liable for performance under $25.6 million in performance bonds relating primarily to our mining operations. We do not have any off-balance sheet debt, or any outstanding debt guarantees.</w:t>
      </w:r>
    </w:p>
    <w:p>
      <w:pPr>
        <w:spacing w:after="0" w:line="64"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We did not have any borrowing outstanding under the Revolving Credit Facility at June 30, 2021. However, we borrowed $100.0 million in connection with the repayment of the 4.500% Senior Unsecured Notes on July 19, 2021. After this borrowing, we had $645.7 million of available borrowings under the New Revolving Credit Facility, net of outstanding letters of credit, all of which was available for future borrowings.</w:t>
      </w:r>
    </w:p>
    <w:p>
      <w:pPr>
        <w:spacing w:after="0" w:line="59" w:lineRule="exact"/>
        <w:rPr>
          <w:sz w:val="20"/>
          <w:szCs w:val="20"/>
          <w:color w:val="auto"/>
        </w:rPr>
      </w:pPr>
    </w:p>
    <w:p>
      <w:pPr>
        <w:ind w:right="200"/>
        <w:spacing w:after="0" w:line="271" w:lineRule="auto"/>
        <w:rPr>
          <w:sz w:val="20"/>
          <w:szCs w:val="20"/>
          <w:color w:val="auto"/>
        </w:rPr>
      </w:pPr>
      <w:r>
        <w:rPr>
          <w:rFonts w:ascii="Arial" w:cs="Arial" w:eastAsia="Arial" w:hAnsi="Arial"/>
          <w:sz w:val="12"/>
          <w:szCs w:val="12"/>
          <w:color w:val="auto"/>
        </w:rPr>
        <w:t>Other than the New Revolving Credit Facility, we have no additional source of committed external financing in place. Should the New Revolving Credit Facility be terminated, no assurance can be given as to our ability to secure a new source of financing. Consequently, if any balance were outstanding on the New Revolving Credit Facility at the time of termination, and an alternative source of financing could not be secured, it would have a material adverse impact on our business.</w:t>
      </w:r>
    </w:p>
    <w:p>
      <w:pPr>
        <w:spacing w:after="0" w:line="6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We believe that our cash flow from operations and available borrowings under our New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New Revolving Credit Facility, the level of competition, and general and economic factors beyond our control, such as COVID-19 or similar pandemics. These and other developments could reduce our cash flow or require that we seek additional sources of funding. We cannot predict what effect these factors will have on our future liquidity.</w:t>
      </w:r>
    </w:p>
    <w:p>
      <w:pPr>
        <w:spacing w:after="0" w:line="67" w:lineRule="exact"/>
        <w:rPr>
          <w:sz w:val="20"/>
          <w:szCs w:val="20"/>
          <w:color w:val="auto"/>
        </w:rPr>
      </w:pPr>
    </w:p>
    <w:p>
      <w:pPr>
        <w:ind w:right="80"/>
        <w:spacing w:after="0" w:line="269" w:lineRule="auto"/>
        <w:rPr>
          <w:sz w:val="20"/>
          <w:szCs w:val="20"/>
          <w:color w:val="auto"/>
        </w:rPr>
      </w:pPr>
      <w:r>
        <w:rPr>
          <w:rFonts w:ascii="Arial" w:cs="Arial" w:eastAsia="Arial" w:hAnsi="Arial"/>
          <w:sz w:val="12"/>
          <w:szCs w:val="12"/>
          <w:color w:val="auto"/>
        </w:rPr>
        <w:t>As market conditions warrant, the Company may from time to time seek to purchase or repay its outstanding debt securities or loans, including the 2.500% Senior Unsecured Notes, and borrowings under the New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We have approximately $38.9 million of lease liabilities at June 30, 2021 that have an average remaining life of approximately 10.5 years.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Dividends</w:t>
      </w:r>
    </w:p>
    <w:p>
      <w:pPr>
        <w:spacing w:after="0" w:line="101" w:lineRule="exact"/>
        <w:rPr>
          <w:sz w:val="20"/>
          <w:szCs w:val="20"/>
          <w:color w:val="auto"/>
        </w:rPr>
      </w:pPr>
    </w:p>
    <w:p>
      <w:pPr>
        <w:ind w:right="80"/>
        <w:spacing w:after="0" w:line="277" w:lineRule="auto"/>
        <w:rPr>
          <w:sz w:val="20"/>
          <w:szCs w:val="20"/>
          <w:color w:val="auto"/>
        </w:rPr>
      </w:pPr>
      <w:r>
        <w:rPr>
          <w:rFonts w:ascii="Arial" w:cs="Arial" w:eastAsia="Arial" w:hAnsi="Arial"/>
          <w:sz w:val="12"/>
          <w:szCs w:val="12"/>
          <w:color w:val="auto"/>
        </w:rPr>
        <w:t>Dividends paid were $4.2 million for the three months ended June 30, 2020. There were no dividends paid during the three months ended June 30, 2021. On May 19, 2021, we announced the reinstatement of our quarterly dividend, and declared a $0.25 per share dividend to shareholders, which was paid in July 2021.</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40" w:right="2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u w:val="single" w:color="auto"/>
          <w:color w:val="auto"/>
        </w:rPr>
        <w:t>Share Repurchases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During the three months ended June 30, 2021, our share repurchase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5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8"/>
                <w:szCs w:val="8"/>
                <w:b w:val="1"/>
                <w:bCs w:val="1"/>
                <w:color w:val="auto"/>
              </w:rPr>
              <w:t>Total Number of</w:t>
            </w:r>
          </w:p>
        </w:tc>
        <w:tc>
          <w:tcPr>
            <w:tcW w:w="1240" w:type="dxa"/>
            <w:vAlign w:val="bottom"/>
          </w:tcPr>
          <w:p>
            <w:pPr>
              <w:jc w:val="right"/>
              <w:spacing w:after="0"/>
              <w:rPr>
                <w:sz w:val="20"/>
                <w:szCs w:val="20"/>
                <w:color w:val="auto"/>
              </w:rPr>
            </w:pPr>
            <w:r>
              <w:rPr>
                <w:rFonts w:ascii="Arial" w:cs="Arial" w:eastAsia="Arial" w:hAnsi="Arial"/>
                <w:sz w:val="8"/>
                <w:szCs w:val="8"/>
                <w:b w:val="1"/>
                <w:bCs w:val="1"/>
                <w:color w:val="auto"/>
              </w:rPr>
              <w:t>Maximum Number</w:t>
            </w:r>
          </w:p>
        </w:tc>
      </w:tr>
      <w:tr>
        <w:trPr>
          <w:trHeight w:val="90"/>
        </w:trPr>
        <w:tc>
          <w:tcPr>
            <w:tcW w:w="55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Shares Purchased</w:t>
            </w:r>
          </w:p>
        </w:tc>
        <w:tc>
          <w:tcPr>
            <w:tcW w:w="124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of Shares that May</w:t>
            </w:r>
          </w:p>
        </w:tc>
      </w:tr>
      <w:tr>
        <w:trPr>
          <w:trHeight w:val="90"/>
        </w:trPr>
        <w:tc>
          <w:tcPr>
            <w:tcW w:w="55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as Part of Publicly</w:t>
            </w:r>
          </w:p>
        </w:tc>
        <w:tc>
          <w:tcPr>
            <w:tcW w:w="124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Yet be Purchased</w:t>
            </w:r>
          </w:p>
        </w:tc>
      </w:tr>
      <w:tr>
        <w:trPr>
          <w:trHeight w:val="90"/>
        </w:trPr>
        <w:tc>
          <w:tcPr>
            <w:tcW w:w="5520" w:type="dxa"/>
            <w:vAlign w:val="bottom"/>
          </w:tcPr>
          <w:p>
            <w:pPr>
              <w:spacing w:after="0"/>
              <w:rPr>
                <w:sz w:val="7"/>
                <w:szCs w:val="7"/>
                <w:color w:val="auto"/>
              </w:rPr>
            </w:pPr>
          </w:p>
        </w:tc>
        <w:tc>
          <w:tcPr>
            <w:tcW w:w="1460" w:type="dxa"/>
            <w:vAlign w:val="bottom"/>
            <w:gridSpan w:val="3"/>
          </w:tcPr>
          <w:p>
            <w:pPr>
              <w:jc w:val="right"/>
              <w:ind w:right="240"/>
              <w:spacing w:after="0" w:line="90" w:lineRule="exact"/>
              <w:rPr>
                <w:sz w:val="20"/>
                <w:szCs w:val="20"/>
                <w:color w:val="auto"/>
              </w:rPr>
            </w:pPr>
            <w:r>
              <w:rPr>
                <w:rFonts w:ascii="Arial" w:cs="Arial" w:eastAsia="Arial" w:hAnsi="Arial"/>
                <w:sz w:val="8"/>
                <w:szCs w:val="8"/>
                <w:b w:val="1"/>
                <w:bCs w:val="1"/>
                <w:color w:val="auto"/>
              </w:rPr>
              <w:t>Total Number of</w:t>
            </w:r>
          </w:p>
        </w:tc>
        <w:tc>
          <w:tcPr>
            <w:tcW w:w="300" w:type="dxa"/>
            <w:vAlign w:val="bottom"/>
          </w:tcPr>
          <w:p>
            <w:pPr>
              <w:spacing w:after="0"/>
              <w:rPr>
                <w:sz w:val="7"/>
                <w:szCs w:val="7"/>
                <w:color w:val="auto"/>
              </w:rPr>
            </w:pPr>
          </w:p>
        </w:tc>
        <w:tc>
          <w:tcPr>
            <w:tcW w:w="118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Average Price Paid</w:t>
            </w:r>
          </w:p>
        </w:tc>
        <w:tc>
          <w:tcPr>
            <w:tcW w:w="1480" w:type="dxa"/>
            <w:vAlign w:val="bottom"/>
            <w:gridSpan w:val="3"/>
          </w:tcPr>
          <w:p>
            <w:pPr>
              <w:jc w:val="right"/>
              <w:ind w:right="260"/>
              <w:spacing w:after="0" w:line="90" w:lineRule="exact"/>
              <w:rPr>
                <w:sz w:val="20"/>
                <w:szCs w:val="20"/>
                <w:color w:val="auto"/>
              </w:rPr>
            </w:pPr>
            <w:r>
              <w:rPr>
                <w:rFonts w:ascii="Arial" w:cs="Arial" w:eastAsia="Arial" w:hAnsi="Arial"/>
                <w:sz w:val="8"/>
                <w:szCs w:val="8"/>
                <w:b w:val="1"/>
                <w:bCs w:val="1"/>
                <w:color w:val="auto"/>
              </w:rPr>
              <w:t>Announced Plans</w:t>
            </w:r>
          </w:p>
        </w:tc>
        <w:tc>
          <w:tcPr>
            <w:tcW w:w="1240" w:type="dxa"/>
            <w:vAlign w:val="bottom"/>
          </w:tcPr>
          <w:p>
            <w:pPr>
              <w:jc w:val="right"/>
              <w:spacing w:after="0" w:line="90" w:lineRule="exact"/>
              <w:rPr>
                <w:sz w:val="20"/>
                <w:szCs w:val="20"/>
                <w:color w:val="auto"/>
              </w:rPr>
            </w:pPr>
            <w:r>
              <w:rPr>
                <w:rFonts w:ascii="Arial" w:cs="Arial" w:eastAsia="Arial" w:hAnsi="Arial"/>
                <w:sz w:val="8"/>
                <w:szCs w:val="8"/>
                <w:b w:val="1"/>
                <w:bCs w:val="1"/>
                <w:color w:val="auto"/>
              </w:rPr>
              <w:t>Under the Plans</w:t>
            </w:r>
          </w:p>
        </w:tc>
      </w:tr>
      <w:tr>
        <w:trPr>
          <w:trHeight w:val="101"/>
        </w:trPr>
        <w:tc>
          <w:tcPr>
            <w:tcW w:w="5520" w:type="dxa"/>
            <w:vAlign w:val="bottom"/>
            <w:tcBorders>
              <w:bottom w:val="single" w:sz="8" w:color="004483"/>
            </w:tcBorders>
          </w:tcPr>
          <w:p>
            <w:pPr>
              <w:spacing w:after="0"/>
              <w:rPr>
                <w:sz w:val="20"/>
                <w:szCs w:val="20"/>
                <w:color w:val="auto"/>
              </w:rPr>
            </w:pPr>
            <w:r>
              <w:rPr>
                <w:rFonts w:ascii="Arial" w:cs="Arial" w:eastAsia="Arial" w:hAnsi="Arial"/>
                <w:sz w:val="8"/>
                <w:szCs w:val="8"/>
                <w:b w:val="1"/>
                <w:bCs w:val="1"/>
                <w:color w:val="auto"/>
              </w:rPr>
              <w:t>Period</w:t>
            </w: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Shares Purchased</w:t>
            </w:r>
          </w:p>
        </w:tc>
        <w:tc>
          <w:tcPr>
            <w:tcW w:w="100" w:type="dxa"/>
            <w:vAlign w:val="bottom"/>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300" w:type="dxa"/>
            <w:vAlign w:val="bottom"/>
            <w:tcBorders>
              <w:bottom w:val="single" w:sz="8" w:color="004483"/>
            </w:tcBorders>
          </w:tcPr>
          <w:p>
            <w:pPr>
              <w:spacing w:after="0"/>
              <w:rPr>
                <w:sz w:val="8"/>
                <w:szCs w:val="8"/>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Per Share</w:t>
            </w:r>
          </w:p>
        </w:tc>
        <w:tc>
          <w:tcPr>
            <w:tcW w:w="100" w:type="dxa"/>
            <w:vAlign w:val="bottom"/>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or Programs</w:t>
            </w:r>
          </w:p>
        </w:tc>
        <w:tc>
          <w:tcPr>
            <w:tcW w:w="100" w:type="dxa"/>
            <w:vAlign w:val="bottom"/>
          </w:tcPr>
          <w:p>
            <w:pPr>
              <w:spacing w:after="0"/>
              <w:rPr>
                <w:sz w:val="8"/>
                <w:szCs w:val="8"/>
                <w:color w:val="auto"/>
              </w:rPr>
            </w:pPr>
          </w:p>
        </w:tc>
        <w:tc>
          <w:tcPr>
            <w:tcW w:w="140" w:type="dxa"/>
            <w:vAlign w:val="bottom"/>
            <w:tcBorders>
              <w:bottom w:val="single" w:sz="8" w:color="004483"/>
            </w:tcBorders>
          </w:tcPr>
          <w:p>
            <w:pPr>
              <w:spacing w:after="0"/>
              <w:rPr>
                <w:sz w:val="8"/>
                <w:szCs w:val="8"/>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8"/>
                <w:szCs w:val="8"/>
                <w:b w:val="1"/>
                <w:bCs w:val="1"/>
                <w:color w:val="auto"/>
              </w:rPr>
              <w:t>or Programs</w:t>
            </w:r>
          </w:p>
        </w:tc>
      </w:tr>
      <w:tr>
        <w:trPr>
          <w:trHeight w:val="131"/>
        </w:trPr>
        <w:tc>
          <w:tcPr>
            <w:tcW w:w="5520" w:type="dxa"/>
            <w:vAlign w:val="bottom"/>
          </w:tcPr>
          <w:p>
            <w:pPr>
              <w:spacing w:after="0"/>
              <w:rPr>
                <w:sz w:val="20"/>
                <w:szCs w:val="20"/>
                <w:color w:val="auto"/>
              </w:rPr>
            </w:pPr>
            <w:r>
              <w:rPr>
                <w:rFonts w:ascii="Arial" w:cs="Arial" w:eastAsia="Arial" w:hAnsi="Arial"/>
                <w:sz w:val="11"/>
                <w:szCs w:val="11"/>
                <w:color w:val="auto"/>
              </w:rPr>
              <w:t>April 1 through April 30, 2021</w:t>
            </w:r>
          </w:p>
        </w:tc>
        <w:tc>
          <w:tcPr>
            <w:tcW w:w="146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1240" w:type="dxa"/>
            <w:vAlign w:val="bottom"/>
          </w:tcPr>
          <w:p>
            <w:pPr>
              <w:spacing w:after="0"/>
              <w:rPr>
                <w:sz w:val="11"/>
                <w:szCs w:val="11"/>
                <w:color w:val="auto"/>
              </w:rPr>
            </w:pPr>
          </w:p>
        </w:tc>
      </w:tr>
      <w:tr>
        <w:trPr>
          <w:trHeight w:val="133"/>
        </w:trPr>
        <w:tc>
          <w:tcPr>
            <w:tcW w:w="5520" w:type="dxa"/>
            <w:vAlign w:val="bottom"/>
            <w:tcBorders>
              <w:top w:val="single" w:sz="8" w:color="A6A6A6"/>
              <w:bottom w:val="single" w:sz="8" w:color="A6A6A6"/>
            </w:tcBorders>
          </w:tcPr>
          <w:p>
            <w:pPr>
              <w:spacing w:after="0"/>
              <w:rPr>
                <w:sz w:val="20"/>
                <w:szCs w:val="20"/>
                <w:color w:val="auto"/>
              </w:rPr>
            </w:pPr>
            <w:r>
              <w:rPr>
                <w:rFonts w:ascii="Arial" w:cs="Arial" w:eastAsia="Arial" w:hAnsi="Arial"/>
                <w:sz w:val="11"/>
                <w:szCs w:val="11"/>
                <w:color w:val="auto"/>
              </w:rPr>
              <w:t>May 1 through May 31, 2021</w:t>
            </w:r>
          </w:p>
        </w:tc>
        <w:tc>
          <w:tcPr>
            <w:tcW w:w="12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110,000</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300" w:type="dxa"/>
            <w:vAlign w:val="bottom"/>
            <w:tcBorders>
              <w:top w:val="single" w:sz="8" w:color="A6A6A6"/>
              <w:bottom w:val="single" w:sz="8" w:color="A6A6A6"/>
            </w:tcBorders>
          </w:tcPr>
          <w:p>
            <w:pPr>
              <w:spacing w:after="0"/>
              <w:rPr>
                <w:sz w:val="11"/>
                <w:szCs w:val="11"/>
                <w:color w:val="auto"/>
              </w:rPr>
            </w:pP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143.77</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12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1"/>
                <w:szCs w:val="11"/>
                <w:color w:val="auto"/>
              </w:rPr>
              <w:t>110,000</w:t>
            </w:r>
          </w:p>
        </w:tc>
        <w:tc>
          <w:tcPr>
            <w:tcW w:w="100" w:type="dxa"/>
            <w:vAlign w:val="bottom"/>
          </w:tcPr>
          <w:p>
            <w:pPr>
              <w:spacing w:after="0"/>
              <w:rPr>
                <w:sz w:val="11"/>
                <w:szCs w:val="11"/>
                <w:color w:val="auto"/>
              </w:rPr>
            </w:pPr>
          </w:p>
        </w:tc>
        <w:tc>
          <w:tcPr>
            <w:tcW w:w="140" w:type="dxa"/>
            <w:vAlign w:val="bottom"/>
            <w:tcBorders>
              <w:top w:val="single" w:sz="8" w:color="A6A6A6"/>
              <w:bottom w:val="single" w:sz="8" w:color="A6A6A6"/>
            </w:tcBorders>
          </w:tcPr>
          <w:p>
            <w:pPr>
              <w:spacing w:after="0"/>
              <w:rPr>
                <w:sz w:val="11"/>
                <w:szCs w:val="11"/>
                <w:color w:val="auto"/>
              </w:rPr>
            </w:pPr>
          </w:p>
        </w:tc>
        <w:tc>
          <w:tcPr>
            <w:tcW w:w="1240" w:type="dxa"/>
            <w:vAlign w:val="bottom"/>
            <w:tcBorders>
              <w:top w:val="single" w:sz="8" w:color="A6A6A6"/>
              <w:bottom w:val="single" w:sz="8" w:color="A6A6A6"/>
            </w:tcBorders>
          </w:tcPr>
          <w:p>
            <w:pPr>
              <w:spacing w:after="0"/>
              <w:rPr>
                <w:sz w:val="11"/>
                <w:szCs w:val="11"/>
                <w:color w:val="auto"/>
              </w:rPr>
            </w:pPr>
          </w:p>
        </w:tc>
      </w:tr>
      <w:tr>
        <w:trPr>
          <w:trHeight w:val="133"/>
        </w:trPr>
        <w:tc>
          <w:tcPr>
            <w:tcW w:w="552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June 1 through June 30, 2021</w:t>
            </w: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315,500</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300" w:type="dxa"/>
            <w:vAlign w:val="bottom"/>
            <w:tcBorders>
              <w:bottom w:val="single" w:sz="8" w:color="004483"/>
            </w:tcBorders>
          </w:tcPr>
          <w:p>
            <w:pPr>
              <w:spacing w:after="0"/>
              <w:rPr>
                <w:sz w:val="11"/>
                <w:szCs w:val="11"/>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146.16</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315,500</w:t>
            </w:r>
          </w:p>
        </w:tc>
        <w:tc>
          <w:tcPr>
            <w:tcW w:w="100" w:type="dxa"/>
            <w:vAlign w:val="bottom"/>
          </w:tcPr>
          <w:p>
            <w:pPr>
              <w:spacing w:after="0"/>
              <w:rPr>
                <w:sz w:val="11"/>
                <w:szCs w:val="11"/>
                <w:color w:val="auto"/>
              </w:rPr>
            </w:pPr>
          </w:p>
        </w:tc>
        <w:tc>
          <w:tcPr>
            <w:tcW w:w="140" w:type="dxa"/>
            <w:vAlign w:val="bottom"/>
            <w:tcBorders>
              <w:bottom w:val="single" w:sz="8" w:color="A6A6A6"/>
            </w:tcBorders>
          </w:tcPr>
          <w:p>
            <w:pPr>
              <w:spacing w:after="0"/>
              <w:rPr>
                <w:sz w:val="11"/>
                <w:szCs w:val="11"/>
                <w:color w:val="auto"/>
              </w:rPr>
            </w:pPr>
          </w:p>
        </w:tc>
        <w:tc>
          <w:tcPr>
            <w:tcW w:w="1240" w:type="dxa"/>
            <w:vAlign w:val="bottom"/>
            <w:tcBorders>
              <w:bottom w:val="single" w:sz="8" w:color="004483"/>
            </w:tcBorders>
          </w:tcPr>
          <w:p>
            <w:pPr>
              <w:spacing w:after="0"/>
              <w:rPr>
                <w:sz w:val="11"/>
                <w:szCs w:val="11"/>
                <w:color w:val="auto"/>
              </w:rPr>
            </w:pPr>
          </w:p>
        </w:tc>
      </w:tr>
      <w:tr>
        <w:trPr>
          <w:trHeight w:val="142"/>
        </w:trPr>
        <w:tc>
          <w:tcPr>
            <w:tcW w:w="5520" w:type="dxa"/>
            <w:vAlign w:val="bottom"/>
          </w:tcPr>
          <w:p>
            <w:pPr>
              <w:ind w:left="160"/>
              <w:spacing w:after="0"/>
              <w:rPr>
                <w:sz w:val="20"/>
                <w:szCs w:val="20"/>
                <w:color w:val="auto"/>
              </w:rPr>
            </w:pPr>
            <w:r>
              <w:rPr>
                <w:rFonts w:ascii="Arial" w:cs="Arial" w:eastAsia="Arial" w:hAnsi="Arial"/>
                <w:sz w:val="11"/>
                <w:szCs w:val="11"/>
                <w:b w:val="1"/>
                <w:bCs w:val="1"/>
                <w:color w:val="auto"/>
              </w:rPr>
              <w:t>Quarter 1 Totals</w:t>
            </w: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425,500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004483"/>
            </w:tcBorders>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145.54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425,500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6,880,149</w:t>
            </w:r>
          </w:p>
        </w:tc>
      </w:tr>
    </w:tbl>
    <w:p>
      <w:pPr>
        <w:spacing w:after="0" w:line="80" w:lineRule="exact"/>
        <w:rPr>
          <w:sz w:val="20"/>
          <w:szCs w:val="20"/>
          <w:color w:val="auto"/>
        </w:rPr>
      </w:pPr>
    </w:p>
    <w:p>
      <w:pPr>
        <w:jc w:val="both"/>
        <w:ind w:right="120"/>
        <w:spacing w:after="0" w:line="277" w:lineRule="auto"/>
        <w:rPr>
          <w:sz w:val="20"/>
          <w:szCs w:val="20"/>
          <w:color w:val="auto"/>
        </w:rPr>
      </w:pPr>
      <w:r>
        <w:rPr>
          <w:rFonts w:ascii="Arial" w:cs="Arial" w:eastAsia="Arial" w:hAnsi="Arial"/>
          <w:sz w:val="12"/>
          <w:szCs w:val="12"/>
          <w:color w:val="auto"/>
        </w:rPr>
        <w:t>On April 18, 2019, the Board of Directors authorized us to repurchase an additional 10.0 million shares. This authorization brought the cumulative total of Common Stock our Board has approved for repurchase in the open market to 48.4 million shares since we became publicly held in April 1994. Through June 30, 2021, we have repurchased approximately 41.5 million shares.</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2"/>
          <w:szCs w:val="12"/>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2"/>
          <w:szCs w:val="12"/>
          <w:color w:val="auto"/>
        </w:rPr>
        <w:t>During the three months ended June 30, 2021, the Company withheld from employees 8,005 shares of stock upon the vesting of Restricted Shares that were granted under the Plan. We withheld these shares to satisfy the employees’ statutory tax withholding requirements, which is required once the Restricted Shares or Restricted Shares Units are vested.</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Capital Expenditures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details capital expenditures by category: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Pr>
          <w:p>
            <w:pPr>
              <w:spacing w:after="0"/>
              <w:rPr>
                <w:sz w:val="13"/>
                <w:szCs w:val="13"/>
                <w:color w:val="auto"/>
              </w:rPr>
            </w:pPr>
          </w:p>
        </w:tc>
        <w:tc>
          <w:tcPr>
            <w:tcW w:w="560" w:type="dxa"/>
            <w:vAlign w:val="bottom"/>
            <w:shd w:val="clear" w:color="auto" w:fill="004483"/>
          </w:tcPr>
          <w:p>
            <w:pPr>
              <w:spacing w:after="0"/>
              <w:rPr>
                <w:sz w:val="13"/>
                <w:szCs w:val="13"/>
                <w:color w:val="auto"/>
              </w:rPr>
            </w:pPr>
          </w:p>
        </w:tc>
        <w:tc>
          <w:tcPr>
            <w:tcW w:w="2220" w:type="dxa"/>
            <w:vAlign w:val="bottom"/>
            <w:gridSpan w:val="4"/>
            <w:shd w:val="clear" w:color="auto" w:fill="004483"/>
          </w:tcPr>
          <w:p>
            <w:pPr>
              <w:jc w:val="right"/>
              <w:ind w:right="353"/>
              <w:spacing w:after="0"/>
              <w:rPr>
                <w:sz w:val="20"/>
                <w:szCs w:val="20"/>
                <w:color w:val="auto"/>
              </w:rPr>
            </w:pPr>
            <w:r>
              <w:rPr>
                <w:rFonts w:ascii="Arial" w:cs="Arial" w:eastAsia="Arial" w:hAnsi="Arial"/>
                <w:sz w:val="8"/>
                <w:szCs w:val="8"/>
                <w:b w:val="1"/>
                <w:bCs w:val="1"/>
                <w:color w:val="FFFFFF"/>
              </w:rPr>
              <w:t>For the Three Months Ended June 30,</w:t>
            </w:r>
          </w:p>
        </w:tc>
        <w:tc>
          <w:tcPr>
            <w:tcW w:w="660" w:type="dxa"/>
            <w:vAlign w:val="bottom"/>
            <w:shd w:val="clear" w:color="auto" w:fill="004483"/>
          </w:tcPr>
          <w:p>
            <w:pPr>
              <w:spacing w:after="0"/>
              <w:rPr>
                <w:sz w:val="13"/>
                <w:szCs w:val="13"/>
                <w:color w:val="auto"/>
              </w:rPr>
            </w:pPr>
          </w:p>
        </w:tc>
        <w:tc>
          <w:tcPr>
            <w:tcW w:w="120" w:type="dxa"/>
            <w:vAlign w:val="bottom"/>
            <w:shd w:val="clear" w:color="auto" w:fill="004483"/>
          </w:tcPr>
          <w:p>
            <w:pPr>
              <w:spacing w:after="0"/>
              <w:rPr>
                <w:sz w:val="13"/>
                <w:szCs w:val="13"/>
                <w:color w:val="auto"/>
              </w:rPr>
            </w:pPr>
          </w:p>
        </w:tc>
      </w:tr>
      <w:tr>
        <w:trPr>
          <w:trHeight w:val="99"/>
        </w:trPr>
        <w:tc>
          <w:tcPr>
            <w:tcW w:w="7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Arial" w:cs="Arial" w:eastAsia="Arial" w:hAnsi="Arial"/>
                <w:sz w:val="8"/>
                <w:szCs w:val="8"/>
                <w:b w:val="1"/>
                <w:bCs w:val="1"/>
                <w:color w:val="auto"/>
              </w:rPr>
              <w:t>2021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jc w:val="right"/>
              <w:spacing w:after="0"/>
              <w:rPr>
                <w:sz w:val="20"/>
                <w:szCs w:val="20"/>
                <w:color w:val="auto"/>
              </w:rPr>
            </w:pPr>
            <w:r>
              <w:rPr>
                <w:rFonts w:ascii="Arial" w:cs="Arial" w:eastAsia="Arial" w:hAnsi="Arial"/>
                <w:sz w:val="8"/>
                <w:szCs w:val="8"/>
                <w:b w:val="1"/>
                <w:bCs w:val="1"/>
                <w:color w:val="auto"/>
              </w:rPr>
              <w:t>2020</w:t>
            </w:r>
          </w:p>
        </w:tc>
        <w:tc>
          <w:tcPr>
            <w:tcW w:w="120" w:type="dxa"/>
            <w:vAlign w:val="bottom"/>
          </w:tcPr>
          <w:p>
            <w:pPr>
              <w:spacing w:after="0"/>
              <w:rPr>
                <w:sz w:val="8"/>
                <w:szCs w:val="8"/>
                <w:color w:val="auto"/>
              </w:rPr>
            </w:pPr>
          </w:p>
        </w:tc>
      </w:tr>
      <w:tr>
        <w:trPr>
          <w:trHeight w:val="99"/>
        </w:trPr>
        <w:tc>
          <w:tcPr>
            <w:tcW w:w="7740" w:type="dxa"/>
            <w:vAlign w:val="bottom"/>
            <w:tcBorders>
              <w:bottom w:val="single" w:sz="8" w:color="004483"/>
            </w:tcBorders>
          </w:tcPr>
          <w:p>
            <w:pPr>
              <w:spacing w:after="0"/>
              <w:rPr>
                <w:sz w:val="8"/>
                <w:szCs w:val="8"/>
                <w:color w:val="auto"/>
              </w:rPr>
            </w:pPr>
          </w:p>
        </w:tc>
        <w:tc>
          <w:tcPr>
            <w:tcW w:w="560" w:type="dxa"/>
            <w:vAlign w:val="bottom"/>
            <w:tcBorders>
              <w:bottom w:val="single" w:sz="8" w:color="004483"/>
            </w:tcBorders>
          </w:tcPr>
          <w:p>
            <w:pPr>
              <w:spacing w:after="0"/>
              <w:rPr>
                <w:sz w:val="8"/>
                <w:szCs w:val="8"/>
                <w:color w:val="auto"/>
              </w:rPr>
            </w:pPr>
          </w:p>
        </w:tc>
        <w:tc>
          <w:tcPr>
            <w:tcW w:w="2220" w:type="dxa"/>
            <w:vAlign w:val="bottom"/>
            <w:tcBorders>
              <w:bottom w:val="single" w:sz="8" w:color="004483"/>
            </w:tcBorders>
            <w:gridSpan w:val="4"/>
          </w:tcPr>
          <w:p>
            <w:pPr>
              <w:jc w:val="right"/>
              <w:ind w:right="673"/>
              <w:spacing w:after="0"/>
              <w:rPr>
                <w:sz w:val="20"/>
                <w:szCs w:val="20"/>
                <w:color w:val="auto"/>
              </w:rPr>
            </w:pPr>
            <w:r>
              <w:rPr>
                <w:rFonts w:ascii="Arial" w:cs="Arial" w:eastAsia="Arial" w:hAnsi="Arial"/>
                <w:sz w:val="8"/>
                <w:szCs w:val="8"/>
                <w:color w:val="auto"/>
              </w:rPr>
              <w:t>(dollars in thousands)</w:t>
            </w:r>
          </w:p>
        </w:tc>
        <w:tc>
          <w:tcPr>
            <w:tcW w:w="660" w:type="dxa"/>
            <w:vAlign w:val="bottom"/>
            <w:tcBorders>
              <w:bottom w:val="single" w:sz="8" w:color="004483"/>
            </w:tcBorders>
          </w:tcPr>
          <w:p>
            <w:pPr>
              <w:spacing w:after="0"/>
              <w:rPr>
                <w:sz w:val="8"/>
                <w:szCs w:val="8"/>
                <w:color w:val="auto"/>
              </w:rPr>
            </w:pPr>
          </w:p>
        </w:tc>
        <w:tc>
          <w:tcPr>
            <w:tcW w:w="120" w:type="dxa"/>
            <w:vAlign w:val="bottom"/>
          </w:tcPr>
          <w:p>
            <w:pPr>
              <w:spacing w:after="0"/>
              <w:rPr>
                <w:sz w:val="8"/>
                <w:szCs w:val="8"/>
                <w:color w:val="auto"/>
              </w:rPr>
            </w:pPr>
          </w:p>
        </w:tc>
      </w:tr>
      <w:tr>
        <w:trPr>
          <w:trHeight w:val="131"/>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Land and Quarries</w:t>
            </w:r>
          </w:p>
        </w:tc>
        <w:tc>
          <w:tcPr>
            <w:tcW w:w="560" w:type="dxa"/>
            <w:vAlign w:val="bottom"/>
            <w:tcBorders>
              <w:bottom w:val="single" w:sz="8" w:color="A6A6A6"/>
            </w:tcBorders>
          </w:tcPr>
          <w:p>
            <w:pPr>
              <w:jc w:val="right"/>
              <w:ind w:right="4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586</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jc w:val="right"/>
              <w:ind w:right="833"/>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4,795</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Plants</w:t>
            </w:r>
          </w:p>
        </w:tc>
        <w:tc>
          <w:tcPr>
            <w:tcW w:w="560" w:type="dxa"/>
            <w:vAlign w:val="bottom"/>
            <w:tcBorders>
              <w:bottom w:val="single" w:sz="8" w:color="A6A6A6"/>
            </w:tcBorders>
          </w:tcPr>
          <w:p>
            <w:pPr>
              <w:spacing w:after="0"/>
              <w:rPr>
                <w:sz w:val="11"/>
                <w:szCs w:val="11"/>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9,624</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A6A6A6"/>
            </w:tcBorders>
          </w:tcPr>
          <w:p>
            <w:pPr>
              <w:spacing w:after="0"/>
              <w:rPr>
                <w:sz w:val="11"/>
                <w:szCs w:val="11"/>
                <w:color w:val="auto"/>
              </w:rPr>
            </w:pPr>
          </w:p>
        </w:tc>
        <w:tc>
          <w:tcPr>
            <w:tcW w:w="660" w:type="dxa"/>
            <w:vAlign w:val="bottom"/>
            <w:tcBorders>
              <w:bottom w:val="single" w:sz="8" w:color="A6A6A6"/>
            </w:tcBorders>
          </w:tcPr>
          <w:p>
            <w:pPr>
              <w:jc w:val="right"/>
              <w:spacing w:after="0"/>
              <w:rPr>
                <w:sz w:val="20"/>
                <w:szCs w:val="20"/>
                <w:color w:val="auto"/>
              </w:rPr>
            </w:pPr>
            <w:r>
              <w:rPr>
                <w:rFonts w:ascii="Arial" w:cs="Arial" w:eastAsia="Arial" w:hAnsi="Arial"/>
                <w:sz w:val="11"/>
                <w:szCs w:val="11"/>
                <w:color w:val="auto"/>
              </w:rPr>
              <w:t>17,216</w:t>
            </w:r>
          </w:p>
        </w:tc>
        <w:tc>
          <w:tcPr>
            <w:tcW w:w="120" w:type="dxa"/>
            <w:vAlign w:val="bottom"/>
          </w:tcPr>
          <w:p>
            <w:pPr>
              <w:spacing w:after="0"/>
              <w:rPr>
                <w:sz w:val="11"/>
                <w:szCs w:val="11"/>
                <w:color w:val="auto"/>
              </w:rPr>
            </w:pPr>
          </w:p>
        </w:tc>
      </w:tr>
      <w:tr>
        <w:trPr>
          <w:trHeight w:val="133"/>
        </w:trPr>
        <w:tc>
          <w:tcPr>
            <w:tcW w:w="7740" w:type="dxa"/>
            <w:vAlign w:val="bottom"/>
            <w:tcBorders>
              <w:bottom w:val="single" w:sz="8" w:color="A6A6A6"/>
            </w:tcBorders>
          </w:tcPr>
          <w:p>
            <w:pPr>
              <w:spacing w:after="0"/>
              <w:rPr>
                <w:sz w:val="20"/>
                <w:szCs w:val="20"/>
                <w:color w:val="auto"/>
              </w:rPr>
            </w:pPr>
            <w:r>
              <w:rPr>
                <w:rFonts w:ascii="Arial" w:cs="Arial" w:eastAsia="Arial" w:hAnsi="Arial"/>
                <w:sz w:val="11"/>
                <w:szCs w:val="11"/>
                <w:color w:val="auto"/>
              </w:rPr>
              <w:t>Buildings, Machinery, and Equipment</w:t>
            </w:r>
          </w:p>
        </w:tc>
        <w:tc>
          <w:tcPr>
            <w:tcW w:w="560" w:type="dxa"/>
            <w:vAlign w:val="bottom"/>
            <w:tcBorders>
              <w:bottom w:val="single" w:sz="8" w:color="004483"/>
            </w:tcBorders>
          </w:tcPr>
          <w:p>
            <w:pPr>
              <w:spacing w:after="0"/>
              <w:rPr>
                <w:sz w:val="11"/>
                <w:szCs w:val="11"/>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1,725</w:t>
            </w:r>
          </w:p>
        </w:tc>
        <w:tc>
          <w:tcPr>
            <w:tcW w:w="100" w:type="dxa"/>
            <w:vAlign w:val="bottom"/>
          </w:tcPr>
          <w:p>
            <w:pPr>
              <w:spacing w:after="0"/>
              <w:rPr>
                <w:sz w:val="11"/>
                <w:szCs w:val="11"/>
                <w:color w:val="auto"/>
              </w:rPr>
            </w:pPr>
          </w:p>
        </w:tc>
        <w:tc>
          <w:tcPr>
            <w:tcW w:w="200" w:type="dxa"/>
            <w:vAlign w:val="bottom"/>
            <w:tcBorders>
              <w:bottom w:val="single" w:sz="8" w:color="A6A6A6"/>
            </w:tcBorders>
          </w:tcPr>
          <w:p>
            <w:pPr>
              <w:spacing w:after="0"/>
              <w:rPr>
                <w:sz w:val="11"/>
                <w:szCs w:val="11"/>
                <w:color w:val="auto"/>
              </w:rPr>
            </w:pPr>
          </w:p>
        </w:tc>
        <w:tc>
          <w:tcPr>
            <w:tcW w:w="900" w:type="dxa"/>
            <w:vAlign w:val="bottom"/>
            <w:tcBorders>
              <w:bottom w:val="single" w:sz="8" w:color="004483"/>
            </w:tcBorders>
          </w:tcPr>
          <w:p>
            <w:pPr>
              <w:spacing w:after="0"/>
              <w:rPr>
                <w:sz w:val="11"/>
                <w:szCs w:val="11"/>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1"/>
                <w:szCs w:val="11"/>
                <w:color w:val="auto"/>
              </w:rPr>
              <w:t>3,980</w:t>
            </w:r>
          </w:p>
        </w:tc>
        <w:tc>
          <w:tcPr>
            <w:tcW w:w="120" w:type="dxa"/>
            <w:vAlign w:val="bottom"/>
          </w:tcPr>
          <w:p>
            <w:pPr>
              <w:spacing w:after="0"/>
              <w:rPr>
                <w:sz w:val="11"/>
                <w:szCs w:val="11"/>
                <w:color w:val="auto"/>
              </w:rPr>
            </w:pPr>
          </w:p>
        </w:tc>
      </w:tr>
      <w:tr>
        <w:trPr>
          <w:trHeight w:val="142"/>
        </w:trPr>
        <w:tc>
          <w:tcPr>
            <w:tcW w:w="7740" w:type="dxa"/>
            <w:vAlign w:val="bottom"/>
          </w:tcPr>
          <w:p>
            <w:pPr>
              <w:ind w:left="80"/>
              <w:spacing w:after="0"/>
              <w:rPr>
                <w:sz w:val="20"/>
                <w:szCs w:val="20"/>
                <w:color w:val="auto"/>
              </w:rPr>
            </w:pPr>
            <w:r>
              <w:rPr>
                <w:rFonts w:ascii="Arial" w:cs="Arial" w:eastAsia="Arial" w:hAnsi="Arial"/>
                <w:sz w:val="11"/>
                <w:szCs w:val="11"/>
                <w:b w:val="1"/>
                <w:bCs w:val="1"/>
                <w:color w:val="auto"/>
              </w:rPr>
              <w:t>Total Capital Expenditures</w:t>
            </w:r>
          </w:p>
        </w:tc>
        <w:tc>
          <w:tcPr>
            <w:tcW w:w="560" w:type="dxa"/>
            <w:vAlign w:val="bottom"/>
            <w:tcBorders>
              <w:bottom w:val="single" w:sz="8" w:color="004483"/>
            </w:tcBorders>
          </w:tcPr>
          <w:p>
            <w:pPr>
              <w:jc w:val="right"/>
              <w:ind w:right="451"/>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11,935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004483"/>
            </w:tcBorders>
          </w:tcPr>
          <w:p>
            <w:pPr>
              <w:jc w:val="right"/>
              <w:ind w:right="833"/>
              <w:spacing w:after="0"/>
              <w:rPr>
                <w:sz w:val="20"/>
                <w:szCs w:val="20"/>
                <w:color w:val="auto"/>
              </w:rPr>
            </w:pPr>
            <w:r>
              <w:rPr>
                <w:rFonts w:ascii="Arial" w:cs="Arial" w:eastAsia="Arial" w:hAnsi="Arial"/>
                <w:sz w:val="5"/>
                <w:szCs w:val="5"/>
                <w:b w:val="1"/>
                <w:bCs w:val="1"/>
                <w:color w:val="auto"/>
                <w:w w:val="70"/>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1"/>
                <w:szCs w:val="11"/>
                <w:b w:val="1"/>
                <w:bCs w:val="1"/>
                <w:color w:val="auto"/>
              </w:rPr>
              <w:t>25,991</w:t>
            </w:r>
          </w:p>
        </w:tc>
        <w:tc>
          <w:tcPr>
            <w:tcW w:w="120" w:type="dxa"/>
            <w:vAlign w:val="bottom"/>
          </w:tcPr>
          <w:p>
            <w:pPr>
              <w:spacing w:after="0"/>
              <w:rPr>
                <w:sz w:val="12"/>
                <w:szCs w:val="12"/>
                <w:color w:val="auto"/>
              </w:rPr>
            </w:pPr>
          </w:p>
        </w:tc>
      </w:tr>
    </w:tbl>
    <w:p>
      <w:pPr>
        <w:spacing w:after="0" w:line="125" w:lineRule="exact"/>
        <w:rPr>
          <w:sz w:val="20"/>
          <w:szCs w:val="20"/>
          <w:color w:val="auto"/>
        </w:rPr>
      </w:pPr>
    </w:p>
    <w:p>
      <w:pPr>
        <w:ind w:right="160"/>
        <w:spacing w:after="0" w:line="277" w:lineRule="auto"/>
        <w:rPr>
          <w:sz w:val="20"/>
          <w:szCs w:val="20"/>
          <w:color w:val="auto"/>
        </w:rPr>
      </w:pPr>
      <w:r>
        <w:rPr>
          <w:rFonts w:ascii="Arial" w:cs="Arial" w:eastAsia="Arial" w:hAnsi="Arial"/>
          <w:sz w:val="12"/>
          <w:szCs w:val="12"/>
          <w:color w:val="auto"/>
        </w:rPr>
        <w:t>Capital expenditures for fiscal 2021 are expected to range from $90.0 million to $100.0 million and be allocated across both Heavy Materials and Light Materials sectors. These estimated capital expenditures will include maintenance capital expenditures and improvements, as well as other safety and regulatory projects.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440"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color w:val="auto"/>
        </w:rPr>
        <w:t>FORWARD LOOKING STATEMENTS</w:t>
      </w:r>
    </w:p>
    <w:p>
      <w:pPr>
        <w:spacing w:after="0" w:line="101" w:lineRule="exact"/>
        <w:rPr>
          <w:sz w:val="20"/>
          <w:szCs w:val="20"/>
          <w:color w:val="auto"/>
        </w:rPr>
      </w:pPr>
    </w:p>
    <w:p>
      <w:pPr>
        <w:spacing w:after="0" w:line="266" w:lineRule="auto"/>
        <w:rPr>
          <w:sz w:val="20"/>
          <w:szCs w:val="20"/>
          <w:color w:val="auto"/>
        </w:rPr>
      </w:pPr>
      <w:r>
        <w:rPr>
          <w:rFonts w:ascii="Arial" w:cs="Arial" w:eastAsia="Arial" w:hAnsi="Arial"/>
          <w:sz w:val="12"/>
          <w:szCs w:val="12"/>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fluctuations in or changes in the nature of activity in the oil and gas industry;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tornados and hurricanes) on our facilities, operations and contractual arrangements with third parties; competition; cyber-attacks or data security breaches; announced increases in capacity in the gypsum wallboard and cement industries; changes in the demand for residential housing construction or commercial construction or construction projects undertaken by state or local governments;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natural gas, coal and oil) could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pandemics or other unforeseen events, including, without limitation, the COVID-19 pandemic and responses thereto designed to contain its spread and mitigate its public health effects, as well as their impact on economic conditions, capital and financial markets. These and other factors are described in the Company’s Annual Report on Form 10-K for the fiscal year ended March 31, 2021.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93" w:right="31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01"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changes in interest rates. We have a $750.0 million Revolving Credit Facility and an outstanding Term Loan at June 30, 2021, under which borrowings bear interest at a variable rate. A hypothetical 100 basis point increase in interest rates on the $665.0 million of borrowings under the Term Loan at June 30, 2021 would increase interest expense by approximately $6.7 million on an annual basis. The same hypothetical 100 basis point increase in interest rates on the $100.0 million of borrowings under the New Revolving Credit Facility made subsequent to June 30, 2021 would increase interest expense by approximately $1.0 million on an annual basis. At present, we do not utilize derivative financial instruments.</w:t>
      </w:r>
    </w:p>
    <w:p>
      <w:pPr>
        <w:spacing w:after="0" w:line="67" w:lineRule="exact"/>
        <w:rPr>
          <w:sz w:val="20"/>
          <w:szCs w:val="20"/>
          <w:color w:val="auto"/>
        </w:rPr>
      </w:pPr>
    </w:p>
    <w:p>
      <w:pPr>
        <w:ind w:right="380"/>
        <w:spacing w:after="0" w:line="277" w:lineRule="auto"/>
        <w:rPr>
          <w:sz w:val="20"/>
          <w:szCs w:val="20"/>
          <w:color w:val="auto"/>
        </w:rPr>
      </w:pPr>
      <w:r>
        <w:rPr>
          <w:rFonts w:ascii="Arial" w:cs="Arial" w:eastAsia="Arial" w:hAnsi="Arial"/>
          <w:sz w:val="12"/>
          <w:szCs w:val="12"/>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01"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83" w:right="3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PART II. OTHER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For additional information regarding claims and other contingent liabilities to which we may be subject, see Footnote (P) in the Unaudited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01" w:lineRule="exact"/>
        <w:rPr>
          <w:sz w:val="20"/>
          <w:szCs w:val="20"/>
          <w:color w:val="auto"/>
        </w:rPr>
      </w:pPr>
    </w:p>
    <w:p>
      <w:pPr>
        <w:ind w:right="20"/>
        <w:spacing w:after="0" w:line="277" w:lineRule="auto"/>
        <w:rPr>
          <w:sz w:val="20"/>
          <w:szCs w:val="20"/>
          <w:color w:val="auto"/>
        </w:rPr>
      </w:pPr>
      <w:r>
        <w:rPr>
          <w:rFonts w:ascii="Arial" w:cs="Arial" w:eastAsia="Arial" w:hAnsi="Arial"/>
          <w:sz w:val="12"/>
          <w:szCs w:val="12"/>
          <w:color w:val="auto"/>
        </w:rPr>
        <w:t>For information regarding factors that could impact our results of operations, financial condition, and liquidity, see Part 1. Item 1A. Risk Factors in our Form 10-K for the fiscal year ended March 31, 2021, filed with the Securities and Exchange Commission on May 21, 2021.</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1"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01" w:lineRule="exact"/>
        <w:rPr>
          <w:sz w:val="20"/>
          <w:szCs w:val="20"/>
          <w:color w:val="auto"/>
        </w:rPr>
      </w:pPr>
    </w:p>
    <w:p>
      <w:pPr>
        <w:ind w:right="120"/>
        <w:spacing w:after="0" w:line="277" w:lineRule="auto"/>
        <w:rPr>
          <w:sz w:val="20"/>
          <w:szCs w:val="20"/>
          <w:color w:val="auto"/>
        </w:rPr>
      </w:pPr>
      <w:r>
        <w:rPr>
          <w:rFonts w:ascii="Arial" w:cs="Arial" w:eastAsia="Arial" w:hAnsi="Arial"/>
          <w:sz w:val="12"/>
          <w:szCs w:val="12"/>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286" w:right="399" w:bottom="1440" w:gutter="0" w:footer="0" w:header="0"/>
        </w:sectPr>
      </w:pPr>
    </w:p>
    <w:bookmarkStart w:id="37" w:name="page38"/>
    <w:bookmarkEnd w:id="37"/>
    <w:p>
      <w:pPr>
        <w:ind w:left="8"/>
        <w:spacing w:after="0"/>
        <w:rPr>
          <w:sz w:val="20"/>
          <w:szCs w:val="20"/>
          <w:color w:val="auto"/>
        </w:rPr>
      </w:pPr>
      <w:r>
        <w:rPr>
          <w:rFonts w:ascii="Arial" w:cs="Arial" w:eastAsia="Arial" w:hAnsi="Arial"/>
          <w:sz w:val="16"/>
          <w:szCs w:val="16"/>
          <w:b w:val="1"/>
          <w:bCs w:val="1"/>
          <w:color w:val="auto"/>
        </w:rPr>
        <w:t>Item 6. Exhibits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180" w:type="dxa"/>
            <w:vAlign w:val="bottom"/>
          </w:tcPr>
          <w:p>
            <w:pPr>
              <w:spacing w:after="0"/>
              <w:rPr>
                <w:sz w:val="20"/>
                <w:szCs w:val="20"/>
                <w:color w:val="auto"/>
              </w:rPr>
            </w:pPr>
            <w:r>
              <w:rPr>
                <w:rFonts w:ascii="Arial" w:cs="Arial" w:eastAsia="Arial" w:hAnsi="Arial"/>
                <w:sz w:val="12"/>
                <w:szCs w:val="12"/>
                <w:color w:val="auto"/>
              </w:rPr>
              <w:t>1.1</w:t>
            </w:r>
          </w:p>
        </w:tc>
        <w:tc>
          <w:tcPr>
            <w:tcW w:w="10100" w:type="dxa"/>
            <w:vAlign w:val="bottom"/>
            <w:tcBorders>
              <w:bottom w:val="single" w:sz="8" w:color="0000EE"/>
            </w:tcBorders>
            <w:gridSpan w:val="20"/>
          </w:tcPr>
          <w:p>
            <w:pPr>
              <w:spacing w:after="0"/>
              <w:rPr>
                <w:rFonts w:ascii="Arial" w:cs="Arial" w:eastAsia="Arial" w:hAnsi="Arial"/>
                <w:sz w:val="12"/>
                <w:szCs w:val="12"/>
                <w:color w:val="0000EE"/>
                <w:w w:val="99"/>
              </w:rPr>
            </w:pPr>
            <w:hyperlink r:id="rId88">
              <w:r>
                <w:rPr>
                  <w:rFonts w:ascii="Arial" w:cs="Arial" w:eastAsia="Arial" w:hAnsi="Arial"/>
                  <w:sz w:val="12"/>
                  <w:szCs w:val="12"/>
                  <w:color w:val="0000EE"/>
                  <w:w w:val="99"/>
                </w:rPr>
                <w:t>Underwriting Agreement, dated as of June 17, 2021, by and among Eagle Materials Inc., J.P. Morgan Securities LLC, BofA Securities, Inc. and Wells Fargo Securities, LLC as representatives</w:t>
              </w:r>
            </w:hyperlink>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10100" w:type="dxa"/>
            <w:vAlign w:val="bottom"/>
            <w:gridSpan w:val="20"/>
          </w:tcPr>
          <w:p>
            <w:pPr>
              <w:spacing w:after="0" w:line="133" w:lineRule="exact"/>
              <w:rPr>
                <w:rFonts w:ascii="Arial" w:cs="Arial" w:eastAsia="Arial" w:hAnsi="Arial"/>
                <w:sz w:val="12"/>
                <w:szCs w:val="12"/>
                <w:color w:val="0000EE"/>
              </w:rPr>
            </w:pPr>
            <w:hyperlink r:id="rId88">
              <w:r>
                <w:rPr>
                  <w:rFonts w:ascii="Arial" w:cs="Arial" w:eastAsia="Arial" w:hAnsi="Arial"/>
                  <w:sz w:val="12"/>
                  <w:szCs w:val="12"/>
                  <w:color w:val="0000EE"/>
                </w:rPr>
                <w:t>of the several underwriters identified on Schedule 1 thereto (filed as Exhibit 1.1 to the Current Report on Form 8-K filed with the Securities and Exchange Commission (the Commission) on</w:t>
              </w:r>
            </w:hyperlink>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9940" w:type="dxa"/>
            <w:vAlign w:val="bottom"/>
            <w:tcBorders>
              <w:top w:val="single" w:sz="8" w:color="0000EE"/>
            </w:tcBorders>
            <w:gridSpan w:val="19"/>
          </w:tcPr>
          <w:p>
            <w:pPr>
              <w:spacing w:after="0" w:line="133" w:lineRule="exact"/>
              <w:rPr>
                <w:rFonts w:ascii="Arial" w:cs="Arial" w:eastAsia="Arial" w:hAnsi="Arial"/>
                <w:sz w:val="12"/>
                <w:szCs w:val="12"/>
                <w:color w:val="0000EE"/>
              </w:rPr>
            </w:pPr>
            <w:hyperlink r:id="rId88">
              <w:r>
                <w:rPr>
                  <w:rFonts w:ascii="Arial" w:cs="Arial" w:eastAsia="Arial" w:hAnsi="Arial"/>
                  <w:sz w:val="12"/>
                  <w:szCs w:val="12"/>
                  <w:color w:val="0000EE"/>
                </w:rPr>
                <w:t>June 21, 2021 and incorporated herein by reference).</w:t>
              </w:r>
            </w:hyperlink>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2"/>
                <w:szCs w:val="12"/>
                <w:color w:val="auto"/>
              </w:rPr>
              <w:t>10.1</w:t>
            </w:r>
          </w:p>
        </w:tc>
        <w:tc>
          <w:tcPr>
            <w:tcW w:w="9480" w:type="dxa"/>
            <w:vAlign w:val="bottom"/>
            <w:tcBorders>
              <w:bottom w:val="single" w:sz="8" w:color="0000EE"/>
            </w:tcBorders>
            <w:gridSpan w:val="17"/>
          </w:tcPr>
          <w:p>
            <w:pPr>
              <w:spacing w:after="0"/>
              <w:rPr>
                <w:rFonts w:ascii="Arial" w:cs="Arial" w:eastAsia="Arial" w:hAnsi="Arial"/>
                <w:sz w:val="12"/>
                <w:szCs w:val="12"/>
                <w:color w:val="0000EE"/>
                <w:w w:val="99"/>
              </w:rPr>
            </w:pPr>
            <w:hyperlink r:id="rId89">
              <w:r>
                <w:rPr>
                  <w:rFonts w:ascii="Arial" w:cs="Arial" w:eastAsia="Arial" w:hAnsi="Arial"/>
                  <w:sz w:val="12"/>
                  <w:szCs w:val="12"/>
                  <w:color w:val="0000EE"/>
                  <w:w w:val="99"/>
                </w:rPr>
                <w:t>Eagle Materials Inc. Salaried Incentive Compensation Program for Fiscal Year 2022 (filed as Exhibit 10.1 to the Current Report on Form 8-K filed with the Securities and Exchange</w:t>
              </w:r>
            </w:hyperlink>
          </w:p>
        </w:tc>
        <w:tc>
          <w:tcPr>
            <w:tcW w:w="6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1180" w:type="dxa"/>
            <w:vAlign w:val="bottom"/>
          </w:tcPr>
          <w:p>
            <w:pPr>
              <w:spacing w:after="0"/>
              <w:rPr>
                <w:sz w:val="9"/>
                <w:szCs w:val="9"/>
                <w:color w:val="auto"/>
              </w:rPr>
            </w:pPr>
          </w:p>
        </w:tc>
        <w:tc>
          <w:tcPr>
            <w:tcW w:w="4680" w:type="dxa"/>
            <w:vAlign w:val="bottom"/>
            <w:gridSpan w:val="9"/>
            <w:vMerge w:val="restart"/>
          </w:tcPr>
          <w:p>
            <w:pPr>
              <w:spacing w:after="0"/>
              <w:rPr>
                <w:rFonts w:ascii="Arial" w:cs="Arial" w:eastAsia="Arial" w:hAnsi="Arial"/>
                <w:sz w:val="12"/>
                <w:szCs w:val="12"/>
                <w:color w:val="0000EE"/>
              </w:rPr>
            </w:pPr>
            <w:hyperlink r:id="rId89">
              <w:r>
                <w:rPr>
                  <w:rFonts w:ascii="Arial" w:cs="Arial" w:eastAsia="Arial" w:hAnsi="Arial"/>
                  <w:sz w:val="12"/>
                  <w:szCs w:val="12"/>
                  <w:color w:val="0000EE"/>
                </w:rPr>
                <w:t>Commission (the Commission) on May 21, 2021 and incorporated herein by reference).</w:t>
              </w:r>
            </w:hyperlink>
          </w:p>
        </w:tc>
        <w:tc>
          <w:tcPr>
            <w:tcW w:w="120" w:type="dxa"/>
            <w:vAlign w:val="bottom"/>
            <w:tcBorders>
              <w:bottom w:val="single" w:sz="8" w:color="0000EE"/>
            </w:tcBorders>
          </w:tcPr>
          <w:p>
            <w:pPr>
              <w:jc w:val="right"/>
              <w:spacing w:after="0" w:line="97" w:lineRule="exact"/>
              <w:rPr>
                <w:rFonts w:ascii="Arial" w:cs="Arial" w:eastAsia="Arial" w:hAnsi="Arial"/>
                <w:sz w:val="10"/>
                <w:szCs w:val="10"/>
                <w:color w:val="0000EE"/>
                <w:w w:val="81"/>
              </w:rPr>
            </w:pPr>
            <w:hyperlink r:id="rId89">
              <w:r>
                <w:rPr>
                  <w:rFonts w:ascii="Arial" w:cs="Arial" w:eastAsia="Arial" w:hAnsi="Arial"/>
                  <w:sz w:val="10"/>
                  <w:szCs w:val="10"/>
                  <w:color w:val="0000EE"/>
                  <w:w w:val="81"/>
                </w:rPr>
                <w:t>(1)</w:t>
              </w:r>
            </w:hyperlink>
          </w:p>
        </w:tc>
        <w:tc>
          <w:tcPr>
            <w:tcW w:w="154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27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560" w:type="dxa"/>
            <w:vAlign w:val="bottom"/>
            <w:gridSpan w:val="2"/>
            <w:vMerge w:val="restart"/>
          </w:tcPr>
          <w:p>
            <w:pPr>
              <w:spacing w:after="0"/>
              <w:rPr>
                <w:sz w:val="9"/>
                <w:szCs w:val="9"/>
                <w:color w:val="auto"/>
              </w:rPr>
            </w:pPr>
          </w:p>
        </w:tc>
        <w:tc>
          <w:tcPr>
            <w:tcW w:w="3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180" w:type="dxa"/>
            <w:vAlign w:val="bottom"/>
          </w:tcPr>
          <w:p>
            <w:pPr>
              <w:spacing w:after="0" w:line="20" w:lineRule="exact"/>
              <w:rPr>
                <w:sz w:val="1"/>
                <w:szCs w:val="1"/>
                <w:color w:val="auto"/>
              </w:rPr>
            </w:pPr>
          </w:p>
        </w:tc>
        <w:tc>
          <w:tcPr>
            <w:tcW w:w="4680" w:type="dxa"/>
            <w:vAlign w:val="bottom"/>
            <w:tcBorders>
              <w:bottom w:val="single" w:sz="8" w:color="0000EE"/>
            </w:tcBorders>
            <w:gridSpan w:val="9"/>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7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80" w:type="dxa"/>
            <w:vAlign w:val="bottom"/>
          </w:tcPr>
          <w:p>
            <w:pPr>
              <w:spacing w:after="0"/>
              <w:rPr>
                <w:sz w:val="20"/>
                <w:szCs w:val="20"/>
                <w:color w:val="auto"/>
              </w:rPr>
            </w:pPr>
            <w:r>
              <w:rPr>
                <w:rFonts w:ascii="Arial" w:cs="Arial" w:eastAsia="Arial" w:hAnsi="Arial"/>
                <w:sz w:val="12"/>
                <w:szCs w:val="12"/>
                <w:color w:val="auto"/>
              </w:rPr>
              <w:t>10.2</w:t>
            </w:r>
          </w:p>
        </w:tc>
        <w:tc>
          <w:tcPr>
            <w:tcW w:w="10100" w:type="dxa"/>
            <w:vAlign w:val="bottom"/>
            <w:gridSpan w:val="20"/>
          </w:tcPr>
          <w:p>
            <w:pPr>
              <w:spacing w:after="0"/>
              <w:rPr>
                <w:rFonts w:ascii="Arial" w:cs="Arial" w:eastAsia="Arial" w:hAnsi="Arial"/>
                <w:sz w:val="12"/>
                <w:szCs w:val="12"/>
                <w:color w:val="0000EE"/>
              </w:rPr>
            </w:pPr>
            <w:hyperlink r:id="rId90">
              <w:r>
                <w:rPr>
                  <w:rFonts w:ascii="Arial" w:cs="Arial" w:eastAsia="Arial" w:hAnsi="Arial"/>
                  <w:sz w:val="12"/>
                  <w:szCs w:val="12"/>
                  <w:color w:val="0000EE"/>
                </w:rPr>
                <w:t>Eagle Materials Inc. Special Situation Program for Fiscal Year 2022 (filed as Exhibit 10.2 to the Current Report on Form 8-K filed with the Commission on May 21, 2021 and incorporated</w:t>
              </w:r>
            </w:hyperlink>
          </w:p>
        </w:tc>
        <w:tc>
          <w:tcPr>
            <w:tcW w:w="0" w:type="dxa"/>
            <w:vAlign w:val="bottom"/>
          </w:tcPr>
          <w:p>
            <w:pPr>
              <w:spacing w:after="0"/>
              <w:rPr>
                <w:sz w:val="1"/>
                <w:szCs w:val="1"/>
                <w:color w:val="auto"/>
              </w:rPr>
            </w:pPr>
          </w:p>
        </w:tc>
      </w:tr>
      <w:tr>
        <w:trPr>
          <w:trHeight w:val="106"/>
        </w:trPr>
        <w:tc>
          <w:tcPr>
            <w:tcW w:w="1180" w:type="dxa"/>
            <w:vAlign w:val="bottom"/>
          </w:tcPr>
          <w:p>
            <w:pPr>
              <w:spacing w:after="0"/>
              <w:rPr>
                <w:sz w:val="9"/>
                <w:szCs w:val="9"/>
                <w:color w:val="auto"/>
              </w:rPr>
            </w:pPr>
          </w:p>
        </w:tc>
        <w:tc>
          <w:tcPr>
            <w:tcW w:w="1140" w:type="dxa"/>
            <w:vAlign w:val="bottom"/>
            <w:tcBorders>
              <w:top w:val="single" w:sz="8" w:color="0000EE"/>
              <w:bottom w:val="single" w:sz="8" w:color="0000EE"/>
            </w:tcBorders>
            <w:vMerge w:val="restart"/>
          </w:tcPr>
          <w:p>
            <w:pPr>
              <w:spacing w:after="0"/>
              <w:rPr>
                <w:rFonts w:ascii="Arial" w:cs="Arial" w:eastAsia="Arial" w:hAnsi="Arial"/>
                <w:sz w:val="12"/>
                <w:szCs w:val="12"/>
                <w:color w:val="0000EE"/>
              </w:rPr>
            </w:pPr>
            <w:hyperlink r:id="rId90">
              <w:r>
                <w:rPr>
                  <w:rFonts w:ascii="Arial" w:cs="Arial" w:eastAsia="Arial" w:hAnsi="Arial"/>
                  <w:sz w:val="12"/>
                  <w:szCs w:val="12"/>
                  <w:color w:val="0000EE"/>
                </w:rPr>
                <w:t>herein by reference).</w:t>
              </w:r>
            </w:hyperlink>
          </w:p>
        </w:tc>
        <w:tc>
          <w:tcPr>
            <w:tcW w:w="140" w:type="dxa"/>
            <w:vAlign w:val="bottom"/>
            <w:tcBorders>
              <w:top w:val="single" w:sz="8" w:color="0000EE"/>
              <w:bottom w:val="single" w:sz="8" w:color="0000EE"/>
            </w:tcBorders>
            <w:gridSpan w:val="2"/>
          </w:tcPr>
          <w:p>
            <w:pPr>
              <w:jc w:val="right"/>
              <w:spacing w:after="0" w:line="97" w:lineRule="exact"/>
              <w:rPr>
                <w:rFonts w:ascii="Arial" w:cs="Arial" w:eastAsia="Arial" w:hAnsi="Arial"/>
                <w:sz w:val="10"/>
                <w:szCs w:val="10"/>
                <w:color w:val="0000EE"/>
                <w:w w:val="97"/>
              </w:rPr>
            </w:pPr>
            <w:hyperlink r:id="rId90">
              <w:r>
                <w:rPr>
                  <w:rFonts w:ascii="Arial" w:cs="Arial" w:eastAsia="Arial" w:hAnsi="Arial"/>
                  <w:sz w:val="10"/>
                  <w:szCs w:val="10"/>
                  <w:color w:val="0000EE"/>
                  <w:w w:val="97"/>
                </w:rPr>
                <w:t>(1)</w:t>
              </w:r>
            </w:hyperlink>
          </w:p>
        </w:tc>
        <w:tc>
          <w:tcPr>
            <w:tcW w:w="2120" w:type="dxa"/>
            <w:vAlign w:val="bottom"/>
            <w:tcBorders>
              <w:top w:val="single" w:sz="8" w:color="0000EE"/>
              <w:bottom w:val="single" w:sz="8" w:color="0000EE"/>
            </w:tcBorders>
            <w:gridSpan w:val="2"/>
            <w:vMerge w:val="restart"/>
          </w:tcPr>
          <w:p>
            <w:pPr>
              <w:spacing w:after="0"/>
              <w:rPr>
                <w:sz w:val="9"/>
                <w:szCs w:val="9"/>
                <w:color w:val="auto"/>
              </w:rPr>
            </w:pPr>
          </w:p>
        </w:tc>
        <w:tc>
          <w:tcPr>
            <w:tcW w:w="120" w:type="dxa"/>
            <w:vAlign w:val="bottom"/>
            <w:tcBorders>
              <w:top w:val="single" w:sz="8" w:color="0000EE"/>
              <w:bottom w:val="single" w:sz="8" w:color="0000EE"/>
            </w:tcBorders>
            <w:vMerge w:val="restart"/>
          </w:tcPr>
          <w:p>
            <w:pPr>
              <w:spacing w:after="0"/>
              <w:rPr>
                <w:sz w:val="9"/>
                <w:szCs w:val="9"/>
                <w:color w:val="auto"/>
              </w:rPr>
            </w:pPr>
          </w:p>
        </w:tc>
        <w:tc>
          <w:tcPr>
            <w:tcW w:w="20" w:type="dxa"/>
            <w:vAlign w:val="bottom"/>
            <w:tcBorders>
              <w:top w:val="single" w:sz="8" w:color="0000EE"/>
              <w:bottom w:val="single" w:sz="8" w:color="0000EE"/>
            </w:tcBorders>
            <w:vMerge w:val="restart"/>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2660" w:type="dxa"/>
            <w:vAlign w:val="bottom"/>
            <w:tcBorders>
              <w:top w:val="single" w:sz="8" w:color="0000EE"/>
              <w:bottom w:val="single" w:sz="8" w:color="0000EE"/>
            </w:tcBorders>
            <w:gridSpan w:val="3"/>
            <w:vMerge w:val="restart"/>
          </w:tcPr>
          <w:p>
            <w:pPr>
              <w:spacing w:after="0"/>
              <w:rPr>
                <w:sz w:val="9"/>
                <w:szCs w:val="9"/>
                <w:color w:val="auto"/>
              </w:rPr>
            </w:pPr>
          </w:p>
        </w:tc>
        <w:tc>
          <w:tcPr>
            <w:tcW w:w="120" w:type="dxa"/>
            <w:vAlign w:val="bottom"/>
            <w:tcBorders>
              <w:top w:val="single" w:sz="8" w:color="0000EE"/>
              <w:bottom w:val="single" w:sz="8" w:color="0000EE"/>
            </w:tcBorders>
            <w:vMerge w:val="restart"/>
          </w:tcPr>
          <w:p>
            <w:pPr>
              <w:spacing w:after="0"/>
              <w:rPr>
                <w:sz w:val="9"/>
                <w:szCs w:val="9"/>
                <w:color w:val="auto"/>
              </w:rPr>
            </w:pPr>
          </w:p>
        </w:tc>
        <w:tc>
          <w:tcPr>
            <w:tcW w:w="2720" w:type="dxa"/>
            <w:vAlign w:val="bottom"/>
            <w:tcBorders>
              <w:top w:val="single" w:sz="8" w:color="0000EE"/>
              <w:bottom w:val="single" w:sz="8" w:color="0000EE"/>
            </w:tcBorders>
            <w:vMerge w:val="restart"/>
          </w:tcPr>
          <w:p>
            <w:pPr>
              <w:spacing w:after="0"/>
              <w:rPr>
                <w:sz w:val="9"/>
                <w:szCs w:val="9"/>
                <w:color w:val="auto"/>
              </w:rPr>
            </w:pPr>
          </w:p>
        </w:tc>
        <w:tc>
          <w:tcPr>
            <w:tcW w:w="20" w:type="dxa"/>
            <w:vAlign w:val="bottom"/>
            <w:tcBorders>
              <w:top w:val="single" w:sz="8" w:color="0000EE"/>
              <w:bottom w:val="single" w:sz="8" w:color="0000EE"/>
            </w:tcBorders>
            <w:vMerge w:val="restart"/>
          </w:tcPr>
          <w:p>
            <w:pPr>
              <w:spacing w:after="0"/>
              <w:rPr>
                <w:sz w:val="9"/>
                <w:szCs w:val="9"/>
                <w:color w:val="auto"/>
              </w:rPr>
            </w:pPr>
          </w:p>
        </w:tc>
        <w:tc>
          <w:tcPr>
            <w:tcW w:w="20" w:type="dxa"/>
            <w:vAlign w:val="bottom"/>
            <w:tcBorders>
              <w:top w:val="single" w:sz="8" w:color="0000EE"/>
              <w:bottom w:val="single" w:sz="8" w:color="0000EE"/>
            </w:tcBorders>
            <w:vMerge w:val="restart"/>
          </w:tcPr>
          <w:p>
            <w:pPr>
              <w:spacing w:after="0"/>
              <w:rPr>
                <w:sz w:val="9"/>
                <w:szCs w:val="9"/>
                <w:color w:val="auto"/>
              </w:rPr>
            </w:pPr>
          </w:p>
        </w:tc>
        <w:tc>
          <w:tcPr>
            <w:tcW w:w="20" w:type="dxa"/>
            <w:vAlign w:val="bottom"/>
            <w:tcBorders>
              <w:top w:val="single" w:sz="8" w:color="0000EE"/>
              <w:bottom w:val="single" w:sz="8" w:color="0000EE"/>
            </w:tcBorders>
            <w:vMerge w:val="restart"/>
          </w:tcPr>
          <w:p>
            <w:pPr>
              <w:spacing w:after="0"/>
              <w:rPr>
                <w:sz w:val="9"/>
                <w:szCs w:val="9"/>
                <w:color w:val="auto"/>
              </w:rPr>
            </w:pPr>
          </w:p>
        </w:tc>
        <w:tc>
          <w:tcPr>
            <w:tcW w:w="560" w:type="dxa"/>
            <w:vAlign w:val="bottom"/>
            <w:tcBorders>
              <w:top w:val="single" w:sz="8" w:color="0000EE"/>
              <w:bottom w:val="single" w:sz="8" w:color="0000EE"/>
            </w:tcBorders>
            <w:gridSpan w:val="2"/>
            <w:vMerge w:val="restart"/>
          </w:tcPr>
          <w:p>
            <w:pPr>
              <w:spacing w:after="0"/>
              <w:rPr>
                <w:sz w:val="9"/>
                <w:szCs w:val="9"/>
                <w:color w:val="auto"/>
              </w:rPr>
            </w:pPr>
          </w:p>
        </w:tc>
        <w:tc>
          <w:tcPr>
            <w:tcW w:w="3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140" w:type="dxa"/>
            <w:vAlign w:val="bottom"/>
            <w:tcBorders>
              <w:bottom w:val="single" w:sz="8" w:color="0000EE"/>
            </w:tcBorders>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0000EE"/>
                <w:w w:val="97"/>
              </w:rPr>
              <w:t>(1)</w:t>
            </w:r>
          </w:p>
        </w:tc>
        <w:tc>
          <w:tcPr>
            <w:tcW w:w="2660" w:type="dxa"/>
            <w:vAlign w:val="bottom"/>
            <w:gridSpan w:val="3"/>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7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80" w:type="dxa"/>
            <w:vAlign w:val="bottom"/>
            <w:vMerge w:val="restart"/>
          </w:tcPr>
          <w:p>
            <w:pPr>
              <w:spacing w:after="0"/>
              <w:rPr>
                <w:sz w:val="20"/>
                <w:szCs w:val="20"/>
                <w:color w:val="auto"/>
              </w:rPr>
            </w:pPr>
            <w:r>
              <w:rPr>
                <w:rFonts w:ascii="Arial" w:cs="Arial" w:eastAsia="Arial" w:hAnsi="Arial"/>
                <w:sz w:val="12"/>
                <w:szCs w:val="12"/>
                <w:color w:val="auto"/>
              </w:rPr>
              <w:t>10.3*</w:t>
            </w:r>
          </w:p>
        </w:tc>
        <w:tc>
          <w:tcPr>
            <w:tcW w:w="3540" w:type="dxa"/>
            <w:vAlign w:val="bottom"/>
            <w:gridSpan w:val="7"/>
            <w:vMerge w:val="restart"/>
          </w:tcPr>
          <w:p>
            <w:pPr>
              <w:spacing w:after="0"/>
              <w:rPr>
                <w:rFonts w:ascii="Arial" w:cs="Arial" w:eastAsia="Arial" w:hAnsi="Arial"/>
                <w:sz w:val="12"/>
                <w:szCs w:val="12"/>
                <w:color w:val="0000EE"/>
              </w:rPr>
            </w:pPr>
            <w:hyperlink w:anchor="page40">
              <w:r>
                <w:rPr>
                  <w:rFonts w:ascii="Arial" w:cs="Arial" w:eastAsia="Arial" w:hAnsi="Arial"/>
                  <w:sz w:val="12"/>
                  <w:szCs w:val="12"/>
                  <w:color w:val="0000EE"/>
                </w:rPr>
                <w:t>Form of Management Restricted Stock Agreement (Performance).</w:t>
              </w:r>
            </w:hyperlink>
          </w:p>
        </w:tc>
        <w:tc>
          <w:tcPr>
            <w:tcW w:w="140" w:type="dxa"/>
            <w:vAlign w:val="bottom"/>
            <w:tcBorders>
              <w:bottom w:val="single" w:sz="8" w:color="0000EE"/>
            </w:tcBorders>
            <w:vMerge w:val="continue"/>
          </w:tcPr>
          <w:p>
            <w:pPr>
              <w:spacing w:after="0"/>
              <w:rPr>
                <w:sz w:val="14"/>
                <w:szCs w:val="14"/>
                <w:color w:val="auto"/>
              </w:rPr>
            </w:pPr>
          </w:p>
        </w:tc>
        <w:tc>
          <w:tcPr>
            <w:tcW w:w="2660" w:type="dxa"/>
            <w:vAlign w:val="bottom"/>
            <w:gridSpan w:val="3"/>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27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86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180" w:type="dxa"/>
            <w:vAlign w:val="bottom"/>
            <w:vMerge w:val="continue"/>
          </w:tcPr>
          <w:p>
            <w:pPr>
              <w:spacing w:after="0" w:line="20" w:lineRule="exact"/>
              <w:rPr>
                <w:sz w:val="1"/>
                <w:szCs w:val="1"/>
                <w:color w:val="auto"/>
              </w:rPr>
            </w:pPr>
          </w:p>
        </w:tc>
        <w:tc>
          <w:tcPr>
            <w:tcW w:w="3540" w:type="dxa"/>
            <w:vAlign w:val="bottom"/>
            <w:tcBorders>
              <w:bottom w:val="single" w:sz="8" w:color="0000EE"/>
            </w:tcBorders>
            <w:gridSpan w:val="7"/>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7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80" w:type="dxa"/>
            <w:vAlign w:val="bottom"/>
            <w:vMerge w:val="restart"/>
          </w:tcPr>
          <w:p>
            <w:pPr>
              <w:spacing w:after="0"/>
              <w:rPr>
                <w:sz w:val="20"/>
                <w:szCs w:val="20"/>
                <w:color w:val="auto"/>
              </w:rPr>
            </w:pPr>
            <w:r>
              <w:rPr>
                <w:rFonts w:ascii="Arial" w:cs="Arial" w:eastAsia="Arial" w:hAnsi="Arial"/>
                <w:sz w:val="12"/>
                <w:szCs w:val="12"/>
                <w:color w:val="auto"/>
              </w:rPr>
              <w:t>10.4*</w:t>
            </w:r>
          </w:p>
        </w:tc>
        <w:tc>
          <w:tcPr>
            <w:tcW w:w="3400" w:type="dxa"/>
            <w:vAlign w:val="bottom"/>
            <w:gridSpan w:val="5"/>
            <w:vMerge w:val="restart"/>
          </w:tcPr>
          <w:p>
            <w:pPr>
              <w:spacing w:after="0"/>
              <w:rPr>
                <w:rFonts w:ascii="Arial" w:cs="Arial" w:eastAsia="Arial" w:hAnsi="Arial"/>
                <w:sz w:val="12"/>
                <w:szCs w:val="12"/>
                <w:color w:val="0000EE"/>
              </w:rPr>
            </w:pPr>
            <w:hyperlink w:anchor="page48">
              <w:r>
                <w:rPr>
                  <w:rFonts w:ascii="Arial" w:cs="Arial" w:eastAsia="Arial" w:hAnsi="Arial"/>
                  <w:sz w:val="12"/>
                  <w:szCs w:val="12"/>
                  <w:color w:val="0000EE"/>
                </w:rPr>
                <w:t>Form of Management Restricted Stock Agreement (Time Vest).</w:t>
              </w:r>
            </w:hyperlink>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0"/>
                <w:szCs w:val="10"/>
                <w:color w:val="0000EE"/>
                <w:w w:val="81"/>
              </w:rPr>
              <w:t>(1)</w:t>
            </w:r>
          </w:p>
        </w:tc>
        <w:tc>
          <w:tcPr>
            <w:tcW w:w="2820" w:type="dxa"/>
            <w:vAlign w:val="bottom"/>
            <w:gridSpan w:val="5"/>
            <w:vMerge w:val="restart"/>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86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180" w:type="dxa"/>
            <w:vAlign w:val="bottom"/>
            <w:vMerge w:val="continue"/>
          </w:tcPr>
          <w:p>
            <w:pPr>
              <w:spacing w:after="0" w:line="20" w:lineRule="exact"/>
              <w:rPr>
                <w:sz w:val="1"/>
                <w:szCs w:val="1"/>
                <w:color w:val="auto"/>
              </w:rPr>
            </w:pPr>
          </w:p>
        </w:tc>
        <w:tc>
          <w:tcPr>
            <w:tcW w:w="3400" w:type="dxa"/>
            <w:vAlign w:val="bottom"/>
            <w:tcBorders>
              <w:bottom w:val="single" w:sz="8" w:color="0000EE"/>
            </w:tcBorders>
            <w:gridSpan w:val="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gridSpan w:val="5"/>
            <w:vMerge w:val="continue"/>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0000EE"/>
                <w:w w:val="81"/>
              </w:rPr>
              <w:t>(1)</w:t>
            </w:r>
          </w:p>
        </w:tc>
        <w:tc>
          <w:tcPr>
            <w:tcW w:w="27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80" w:type="dxa"/>
            <w:vAlign w:val="bottom"/>
            <w:vMerge w:val="restart"/>
          </w:tcPr>
          <w:p>
            <w:pPr>
              <w:spacing w:after="0"/>
              <w:rPr>
                <w:sz w:val="20"/>
                <w:szCs w:val="20"/>
                <w:color w:val="auto"/>
              </w:rPr>
            </w:pPr>
            <w:r>
              <w:rPr>
                <w:rFonts w:ascii="Arial" w:cs="Arial" w:eastAsia="Arial" w:hAnsi="Arial"/>
                <w:sz w:val="12"/>
                <w:szCs w:val="12"/>
                <w:color w:val="auto"/>
              </w:rPr>
              <w:t>10.5*</w:t>
            </w:r>
          </w:p>
        </w:tc>
        <w:tc>
          <w:tcPr>
            <w:tcW w:w="6340" w:type="dxa"/>
            <w:vAlign w:val="bottom"/>
            <w:gridSpan w:val="11"/>
            <w:vMerge w:val="restart"/>
          </w:tcPr>
          <w:p>
            <w:pPr>
              <w:spacing w:after="0"/>
              <w:rPr>
                <w:rFonts w:ascii="Arial" w:cs="Arial" w:eastAsia="Arial" w:hAnsi="Arial"/>
                <w:sz w:val="12"/>
                <w:szCs w:val="12"/>
                <w:color w:val="0000EE"/>
              </w:rPr>
            </w:pPr>
            <w:hyperlink w:anchor="page55">
              <w:r>
                <w:rPr>
                  <w:rFonts w:ascii="Arial" w:cs="Arial" w:eastAsia="Arial" w:hAnsi="Arial"/>
                  <w:sz w:val="12"/>
                  <w:szCs w:val="12"/>
                  <w:color w:val="0000EE"/>
                </w:rPr>
                <w:t>Eagle Materials Inc. American Gypsum Company LLC Salaried Incentive Compensation Program for Fiscal Year 2022.</w:t>
              </w:r>
            </w:hyperlink>
          </w:p>
        </w:tc>
        <w:tc>
          <w:tcPr>
            <w:tcW w:w="120" w:type="dxa"/>
            <w:vAlign w:val="bottom"/>
            <w:tcBorders>
              <w:bottom w:val="single" w:sz="8" w:color="0000EE"/>
            </w:tcBorders>
            <w:vMerge w:val="continue"/>
          </w:tcPr>
          <w:p>
            <w:pPr>
              <w:spacing w:after="0"/>
              <w:rPr>
                <w:sz w:val="14"/>
                <w:szCs w:val="14"/>
                <w:color w:val="auto"/>
              </w:rPr>
            </w:pPr>
          </w:p>
        </w:tc>
        <w:tc>
          <w:tcPr>
            <w:tcW w:w="27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86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180" w:type="dxa"/>
            <w:vAlign w:val="bottom"/>
            <w:vMerge w:val="continue"/>
          </w:tcPr>
          <w:p>
            <w:pPr>
              <w:spacing w:after="0" w:line="20" w:lineRule="exact"/>
              <w:rPr>
                <w:sz w:val="1"/>
                <w:szCs w:val="1"/>
                <w:color w:val="auto"/>
              </w:rPr>
            </w:pPr>
          </w:p>
        </w:tc>
        <w:tc>
          <w:tcPr>
            <w:tcW w:w="6340" w:type="dxa"/>
            <w:vAlign w:val="bottom"/>
            <w:tcBorders>
              <w:bottom w:val="single" w:sz="8" w:color="0000EE"/>
            </w:tcBorders>
            <w:gridSpan w:val="11"/>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80" w:type="dxa"/>
            <w:vAlign w:val="bottom"/>
          </w:tcPr>
          <w:p>
            <w:pPr>
              <w:spacing w:after="0"/>
              <w:rPr>
                <w:sz w:val="20"/>
                <w:szCs w:val="20"/>
                <w:color w:val="auto"/>
              </w:rPr>
            </w:pPr>
            <w:r>
              <w:rPr>
                <w:rFonts w:ascii="Arial" w:cs="Arial" w:eastAsia="Arial" w:hAnsi="Arial"/>
                <w:sz w:val="12"/>
                <w:szCs w:val="12"/>
                <w:color w:val="auto"/>
              </w:rPr>
              <w:t>31.1*</w:t>
            </w:r>
          </w:p>
        </w:tc>
        <w:tc>
          <w:tcPr>
            <w:tcW w:w="9240" w:type="dxa"/>
            <w:vAlign w:val="bottom"/>
            <w:tcBorders>
              <w:bottom w:val="single" w:sz="8" w:color="0000EE"/>
            </w:tcBorders>
            <w:gridSpan w:val="16"/>
          </w:tcPr>
          <w:p>
            <w:pPr>
              <w:spacing w:after="0"/>
              <w:rPr>
                <w:rFonts w:ascii="Arial" w:cs="Arial" w:eastAsia="Arial" w:hAnsi="Arial"/>
                <w:sz w:val="12"/>
                <w:szCs w:val="12"/>
                <w:color w:val="0000EE"/>
                <w:w w:val="99"/>
              </w:rPr>
            </w:pPr>
            <w:hyperlink w:anchor="page58">
              <w:r>
                <w:rPr>
                  <w:rFonts w:ascii="Arial" w:cs="Arial" w:eastAsia="Arial" w:hAnsi="Arial"/>
                  <w:sz w:val="12"/>
                  <w:szCs w:val="12"/>
                  <w:color w:val="0000EE"/>
                  <w:w w:val="99"/>
                </w:rPr>
                <w:t>Certification of the Chief Executive Officer of Eagle Materials Inc. pursuant to Rules 13a-14 and 15d-14 promulgated under the Securities Exchange Act of 1934, as amended.</w:t>
              </w:r>
            </w:hyperlink>
          </w:p>
        </w:tc>
        <w:tc>
          <w:tcPr>
            <w:tcW w:w="8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2"/>
                <w:szCs w:val="12"/>
                <w:color w:val="auto"/>
              </w:rPr>
              <w:t>31.2*</w:t>
            </w:r>
          </w:p>
        </w:tc>
        <w:tc>
          <w:tcPr>
            <w:tcW w:w="9200" w:type="dxa"/>
            <w:vAlign w:val="bottom"/>
            <w:tcBorders>
              <w:bottom w:val="single" w:sz="8" w:color="0000EE"/>
            </w:tcBorders>
            <w:gridSpan w:val="14"/>
          </w:tcPr>
          <w:p>
            <w:pPr>
              <w:spacing w:after="0"/>
              <w:rPr>
                <w:rFonts w:ascii="Arial" w:cs="Arial" w:eastAsia="Arial" w:hAnsi="Arial"/>
                <w:sz w:val="12"/>
                <w:szCs w:val="12"/>
                <w:color w:val="0000EE"/>
                <w:w w:val="99"/>
              </w:rPr>
            </w:pPr>
            <w:hyperlink w:anchor="page59">
              <w:r>
                <w:rPr>
                  <w:rFonts w:ascii="Arial" w:cs="Arial" w:eastAsia="Arial" w:hAnsi="Arial"/>
                  <w:sz w:val="12"/>
                  <w:szCs w:val="12"/>
                  <w:color w:val="0000EE"/>
                  <w:w w:val="99"/>
                </w:rPr>
                <w:t>Certification of the Chief Financial Officer of Eagle Materials Inc. pursuant to Rules 13a-14 and 15d-14 promulgated under the Securities Exchange Act of 1934, as amended.</w:t>
              </w:r>
            </w:hyperlink>
          </w:p>
        </w:tc>
        <w:tc>
          <w:tcPr>
            <w:tcW w:w="9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2"/>
                <w:szCs w:val="12"/>
                <w:color w:val="auto"/>
              </w:rPr>
              <w:t>32.1*</w:t>
            </w:r>
          </w:p>
        </w:tc>
        <w:tc>
          <w:tcPr>
            <w:tcW w:w="10100" w:type="dxa"/>
            <w:vAlign w:val="bottom"/>
            <w:gridSpan w:val="20"/>
          </w:tcPr>
          <w:p>
            <w:pPr>
              <w:spacing w:after="0"/>
              <w:rPr>
                <w:rFonts w:ascii="Arial" w:cs="Arial" w:eastAsia="Arial" w:hAnsi="Arial"/>
                <w:sz w:val="12"/>
                <w:szCs w:val="12"/>
                <w:color w:val="0000EE"/>
              </w:rPr>
            </w:pPr>
            <w:hyperlink w:anchor="page60">
              <w:r>
                <w:rPr>
                  <w:rFonts w:ascii="Arial" w:cs="Arial" w:eastAsia="Arial" w:hAnsi="Arial"/>
                  <w:sz w:val="12"/>
                  <w:szCs w:val="12"/>
                  <w:color w:val="0000EE"/>
                </w:rPr>
                <w:t>Certification of the Chief Executive Officer of Eagle Materials Inc.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2"/>
                <w:szCs w:val="12"/>
                <w:color w:val="auto"/>
              </w:rPr>
              <w:t>32.2*</w:t>
            </w:r>
          </w:p>
        </w:tc>
        <w:tc>
          <w:tcPr>
            <w:tcW w:w="9220" w:type="dxa"/>
            <w:vAlign w:val="bottom"/>
            <w:tcBorders>
              <w:top w:val="single" w:sz="8" w:color="0000EE"/>
            </w:tcBorders>
            <w:gridSpan w:val="15"/>
          </w:tcPr>
          <w:p>
            <w:pPr>
              <w:spacing w:after="0"/>
              <w:rPr>
                <w:rFonts w:ascii="Arial" w:cs="Arial" w:eastAsia="Arial" w:hAnsi="Arial"/>
                <w:sz w:val="12"/>
                <w:szCs w:val="12"/>
                <w:color w:val="0000EE"/>
              </w:rPr>
            </w:pPr>
            <w:hyperlink w:anchor="page61">
              <w:r>
                <w:rPr>
                  <w:rFonts w:ascii="Arial" w:cs="Arial" w:eastAsia="Arial" w:hAnsi="Arial"/>
                  <w:sz w:val="12"/>
                  <w:szCs w:val="12"/>
                  <w:color w:val="0000EE"/>
                </w:rPr>
                <w:t>Certification of the Chief Financial Officer of Eagle Materials Inc. pursuant to 18 U.S.C. Section 1350, as adopted pursuant to Section 906 of the Sarbanes-Oxley Act of 2002.</w:t>
              </w:r>
            </w:hyperlink>
          </w:p>
        </w:tc>
        <w:tc>
          <w:tcPr>
            <w:tcW w:w="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80" w:type="dxa"/>
            <w:vAlign w:val="bottom"/>
          </w:tcPr>
          <w:p>
            <w:pPr>
              <w:spacing w:after="0"/>
              <w:rPr>
                <w:sz w:val="20"/>
                <w:szCs w:val="20"/>
                <w:color w:val="auto"/>
              </w:rPr>
            </w:pPr>
            <w:r>
              <w:rPr>
                <w:rFonts w:ascii="Arial" w:cs="Arial" w:eastAsia="Arial" w:hAnsi="Arial"/>
                <w:sz w:val="12"/>
                <w:szCs w:val="12"/>
                <w:color w:val="auto"/>
              </w:rPr>
              <w:t>95*</w:t>
            </w:r>
          </w:p>
        </w:tc>
        <w:tc>
          <w:tcPr>
            <w:tcW w:w="9180" w:type="dxa"/>
            <w:vAlign w:val="bottom"/>
            <w:tcBorders>
              <w:top w:val="single" w:sz="8" w:color="0000EE"/>
            </w:tcBorders>
            <w:gridSpan w:val="13"/>
          </w:tcPr>
          <w:p>
            <w:pPr>
              <w:spacing w:after="0"/>
              <w:rPr>
                <w:rFonts w:ascii="Arial" w:cs="Arial" w:eastAsia="Arial" w:hAnsi="Arial"/>
                <w:sz w:val="12"/>
                <w:szCs w:val="12"/>
                <w:color w:val="0000EE"/>
              </w:rPr>
            </w:pPr>
            <w:hyperlink w:anchor="page62">
              <w:r>
                <w:rPr>
                  <w:rFonts w:ascii="Arial" w:cs="Arial" w:eastAsia="Arial" w:hAnsi="Arial"/>
                  <w:sz w:val="12"/>
                  <w:szCs w:val="12"/>
                  <w:color w:val="0000EE"/>
                </w:rPr>
                <w:t>Mine Safety Disclosure.</w:t>
              </w:r>
            </w:hyperlink>
          </w:p>
        </w:tc>
        <w:tc>
          <w:tcPr>
            <w:tcW w:w="9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8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rPr>
                <w:sz w:val="20"/>
                <w:szCs w:val="20"/>
                <w:color w:val="auto"/>
              </w:rPr>
            </w:pPr>
            <w:r>
              <w:rPr>
                <w:rFonts w:ascii="Arial" w:cs="Arial" w:eastAsia="Arial" w:hAnsi="Arial"/>
                <w:sz w:val="12"/>
                <w:szCs w:val="12"/>
                <w:color w:val="auto"/>
              </w:rPr>
              <w:t>101.INS*</w:t>
            </w:r>
          </w:p>
        </w:tc>
        <w:tc>
          <w:tcPr>
            <w:tcW w:w="10100" w:type="dxa"/>
            <w:vAlign w:val="bottom"/>
            <w:gridSpan w:val="20"/>
          </w:tcPr>
          <w:p>
            <w:pPr>
              <w:spacing w:after="0"/>
              <w:rPr>
                <w:sz w:val="20"/>
                <w:szCs w:val="20"/>
                <w:color w:val="auto"/>
              </w:rPr>
            </w:pPr>
            <w:r>
              <w:rPr>
                <w:rFonts w:ascii="Arial" w:cs="Arial" w:eastAsia="Arial" w:hAnsi="Arial"/>
                <w:sz w:val="12"/>
                <w:szCs w:val="12"/>
                <w:color w:val="auto"/>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101.SCH*</w:t>
            </w:r>
          </w:p>
        </w:tc>
        <w:tc>
          <w:tcPr>
            <w:tcW w:w="10100" w:type="dxa"/>
            <w:vAlign w:val="bottom"/>
            <w:gridSpan w:val="20"/>
          </w:tcPr>
          <w:p>
            <w:pPr>
              <w:spacing w:after="0"/>
              <w:rPr>
                <w:sz w:val="20"/>
                <w:szCs w:val="20"/>
                <w:color w:val="auto"/>
              </w:rPr>
            </w:pPr>
            <w:r>
              <w:rPr>
                <w:rFonts w:ascii="Arial" w:cs="Arial" w:eastAsia="Arial" w:hAnsi="Arial"/>
                <w:sz w:val="12"/>
                <w:szCs w:val="12"/>
                <w:color w:val="auto"/>
              </w:rPr>
              <w:t>Inline XBRL Taxonomy Extension Schema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101.CAL*</w:t>
            </w:r>
          </w:p>
        </w:tc>
        <w:tc>
          <w:tcPr>
            <w:tcW w:w="10100" w:type="dxa"/>
            <w:vAlign w:val="bottom"/>
            <w:gridSpan w:val="20"/>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101.DEF*</w:t>
            </w:r>
          </w:p>
        </w:tc>
        <w:tc>
          <w:tcPr>
            <w:tcW w:w="10100" w:type="dxa"/>
            <w:vAlign w:val="bottom"/>
            <w:gridSpan w:val="20"/>
          </w:tcPr>
          <w:p>
            <w:pPr>
              <w:spacing w:after="0"/>
              <w:rPr>
                <w:sz w:val="20"/>
                <w:szCs w:val="20"/>
                <w:color w:val="auto"/>
              </w:rPr>
            </w:pPr>
            <w:r>
              <w:rPr>
                <w:rFonts w:ascii="Arial" w:cs="Arial" w:eastAsia="Arial" w:hAnsi="Arial"/>
                <w:sz w:val="12"/>
                <w:szCs w:val="12"/>
                <w:color w:val="auto"/>
              </w:rPr>
              <w:t>Inline XBRL Taxonomy Extension Definition Linkbase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101.LAB*</w:t>
            </w:r>
          </w:p>
        </w:tc>
        <w:tc>
          <w:tcPr>
            <w:tcW w:w="10100" w:type="dxa"/>
            <w:vAlign w:val="bottom"/>
            <w:gridSpan w:val="20"/>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101.PRE*</w:t>
            </w:r>
          </w:p>
        </w:tc>
        <w:tc>
          <w:tcPr>
            <w:tcW w:w="10100" w:type="dxa"/>
            <w:vAlign w:val="bottom"/>
            <w:gridSpan w:val="20"/>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0" w:type="dxa"/>
            <w:vAlign w:val="bottom"/>
          </w:tcPr>
          <w:p>
            <w:pPr>
              <w:spacing w:after="0"/>
              <w:rPr>
                <w:sz w:val="1"/>
                <w:szCs w:val="1"/>
                <w:color w:val="auto"/>
              </w:rPr>
            </w:pPr>
          </w:p>
        </w:tc>
      </w:tr>
      <w:tr>
        <w:trPr>
          <w:trHeight w:val="225"/>
        </w:trPr>
        <w:tc>
          <w:tcPr>
            <w:tcW w:w="1180" w:type="dxa"/>
            <w:vAlign w:val="bottom"/>
          </w:tcPr>
          <w:p>
            <w:pPr>
              <w:spacing w:after="0"/>
              <w:rPr>
                <w:sz w:val="20"/>
                <w:szCs w:val="20"/>
                <w:color w:val="auto"/>
              </w:rPr>
            </w:pPr>
            <w:r>
              <w:rPr>
                <w:rFonts w:ascii="Arial" w:cs="Arial" w:eastAsia="Arial" w:hAnsi="Arial"/>
                <w:sz w:val="12"/>
                <w:szCs w:val="12"/>
                <w:color w:val="auto"/>
              </w:rPr>
              <w:t>104</w:t>
            </w:r>
          </w:p>
        </w:tc>
        <w:tc>
          <w:tcPr>
            <w:tcW w:w="10100" w:type="dxa"/>
            <w:vAlign w:val="bottom"/>
            <w:gridSpan w:val="20"/>
          </w:tcPr>
          <w:p>
            <w:pPr>
              <w:spacing w:after="0"/>
              <w:rPr>
                <w:sz w:val="20"/>
                <w:szCs w:val="20"/>
                <w:color w:val="auto"/>
              </w:rPr>
            </w:pPr>
            <w:r>
              <w:rPr>
                <w:rFonts w:ascii="Arial" w:cs="Arial" w:eastAsia="Arial" w:hAnsi="Arial"/>
                <w:sz w:val="12"/>
                <w:szCs w:val="12"/>
                <w:color w:val="auto"/>
              </w:rPr>
              <w:t>Cover Page Interactive Data File –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205168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spacing w:after="0" w:line="105" w:lineRule="exact"/>
        <w:rPr>
          <w:sz w:val="20"/>
          <w:szCs w:val="20"/>
          <w:color w:val="auto"/>
        </w:rPr>
      </w:pPr>
    </w:p>
    <w:p>
      <w:pPr>
        <w:ind w:left="548" w:hanging="548"/>
        <w:spacing w:after="0"/>
        <w:tabs>
          <w:tab w:leader="none" w:pos="548" w:val="left"/>
        </w:tabs>
        <w:numPr>
          <w:ilvl w:val="0"/>
          <w:numId w:val="8"/>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6" w:lineRule="exact"/>
        <w:rPr>
          <w:sz w:val="20"/>
          <w:szCs w:val="20"/>
          <w:color w:val="auto"/>
        </w:rPr>
      </w:pPr>
    </w:p>
    <w:p>
      <w:pPr>
        <w:ind w:left="548" w:hanging="548"/>
        <w:spacing w:after="0"/>
        <w:tabs>
          <w:tab w:leader="none" w:pos="548" w:val="left"/>
        </w:tabs>
        <w:numPr>
          <w:ilvl w:val="0"/>
          <w:numId w:val="9"/>
        </w:numPr>
        <w:rPr>
          <w:rFonts w:ascii="Arial" w:cs="Arial" w:eastAsia="Arial" w:hAnsi="Arial"/>
          <w:sz w:val="10"/>
          <w:szCs w:val="10"/>
          <w:color w:val="auto"/>
        </w:rPr>
      </w:pPr>
      <w:r>
        <w:rPr>
          <w:rFonts w:ascii="Arial" w:cs="Arial" w:eastAsia="Arial" w:hAnsi="Arial"/>
          <w:sz w:val="12"/>
          <w:szCs w:val="12"/>
          <w:color w:val="auto"/>
        </w:rPr>
        <w:t>Management contract or compensatory plan or arrangement.</w:t>
      </w:r>
    </w:p>
    <w:p>
      <w:pPr>
        <w:spacing w:after="0" w:line="200" w:lineRule="exact"/>
        <w:rPr>
          <w:sz w:val="20"/>
          <w:szCs w:val="20"/>
          <w:color w:val="auto"/>
        </w:rPr>
      </w:pPr>
    </w:p>
    <w:p>
      <w:pPr>
        <w:spacing w:after="0" w:line="25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439" w:right="319" w:bottom="1440" w:gutter="0" w:footer="0" w:header="0"/>
        </w:sectPr>
      </w:pPr>
    </w:p>
    <w:bookmarkStart w:id="38" w:name="page39"/>
    <w:bookmarkEnd w:id="38"/>
    <w:p>
      <w:pPr>
        <w:ind w:left="5140"/>
        <w:spacing w:after="0"/>
        <w:rPr>
          <w:sz w:val="20"/>
          <w:szCs w:val="20"/>
          <w:color w:val="auto"/>
        </w:rPr>
      </w:pPr>
      <w:r>
        <w:rPr>
          <w:rFonts w:ascii="Arial" w:cs="Arial" w:eastAsia="Arial" w:hAnsi="Arial"/>
          <w:sz w:val="16"/>
          <w:szCs w:val="16"/>
          <w:b w:val="1"/>
          <w:bCs w:val="1"/>
          <w:color w:val="auto"/>
        </w:rPr>
        <w:t>SIGNATURES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jc w:val="center"/>
        <w:ind w:left="6780"/>
        <w:spacing w:after="0"/>
        <w:rPr>
          <w:sz w:val="20"/>
          <w:szCs w:val="20"/>
          <w:color w:val="auto"/>
        </w:rPr>
      </w:pPr>
      <w:r>
        <w:rPr>
          <w:rFonts w:ascii="Arial" w:cs="Arial" w:eastAsia="Arial" w:hAnsi="Arial"/>
          <w:sz w:val="12"/>
          <w:szCs w:val="12"/>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-635</wp:posOffset>
            </wp:positionV>
            <wp:extent cx="286893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color w:val="auto"/>
        </w:rPr>
        <w:t>Registrant</w:t>
      </w:r>
    </w:p>
    <w:p>
      <w:pPr>
        <w:spacing w:after="0" w:line="168" w:lineRule="exact"/>
        <w:rPr>
          <w:sz w:val="20"/>
          <w:szCs w:val="20"/>
          <w:color w:val="auto"/>
        </w:rPr>
      </w:pPr>
    </w:p>
    <w:p>
      <w:pPr>
        <w:spacing w:after="0"/>
        <w:tabs>
          <w:tab w:leader="none" w:pos="8380" w:val="left"/>
        </w:tabs>
        <w:rPr>
          <w:sz w:val="20"/>
          <w:szCs w:val="20"/>
          <w:color w:val="auto"/>
        </w:rPr>
      </w:pPr>
      <w:r>
        <w:rPr>
          <w:rFonts w:ascii="Arial" w:cs="Arial" w:eastAsia="Arial" w:hAnsi="Arial"/>
          <w:sz w:val="12"/>
          <w:szCs w:val="12"/>
          <w:color w:val="auto"/>
        </w:rPr>
        <w:t>July 28, 2021</w:t>
      </w:r>
      <w:r>
        <w:rPr>
          <w:sz w:val="20"/>
          <w:szCs w:val="20"/>
          <w:color w:val="auto"/>
        </w:rPr>
        <w:tab/>
      </w:r>
      <w:r>
        <w:rPr>
          <w:rFonts w:ascii="Arial" w:cs="Arial" w:eastAsia="Arial" w:hAnsi="Arial"/>
          <w:sz w:val="11"/>
          <w:szCs w:val="11"/>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-635</wp:posOffset>
            </wp:positionV>
            <wp:extent cx="286893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color w:val="auto"/>
        </w:rPr>
        <w:t>Michael R. Haack</w:t>
      </w:r>
    </w:p>
    <w:p>
      <w:pPr>
        <w:jc w:val="center"/>
        <w:ind w:left="6780"/>
        <w:spacing w:after="0" w:line="234" w:lineRule="auto"/>
        <w:rPr>
          <w:sz w:val="20"/>
          <w:szCs w:val="20"/>
          <w:color w:val="auto"/>
        </w:rPr>
      </w:pPr>
      <w:r>
        <w:rPr>
          <w:rFonts w:ascii="Arial" w:cs="Arial" w:eastAsia="Arial" w:hAnsi="Arial"/>
          <w:sz w:val="12"/>
          <w:szCs w:val="12"/>
          <w:color w:val="auto"/>
        </w:rPr>
        <w:t>President and Chief Executive Officer</w:t>
      </w:r>
    </w:p>
    <w:p>
      <w:pPr>
        <w:jc w:val="center"/>
        <w:ind w:left="6780"/>
        <w:spacing w:after="0"/>
        <w:rPr>
          <w:sz w:val="20"/>
          <w:szCs w:val="20"/>
          <w:color w:val="auto"/>
        </w:rPr>
      </w:pPr>
      <w:r>
        <w:rPr>
          <w:rFonts w:ascii="Arial" w:cs="Arial" w:eastAsia="Arial" w:hAnsi="Arial"/>
          <w:sz w:val="12"/>
          <w:szCs w:val="12"/>
          <w:color w:val="auto"/>
        </w:rPr>
        <w:t>(principal executive officer)</w:t>
      </w:r>
    </w:p>
    <w:p>
      <w:pPr>
        <w:spacing w:after="0" w:line="177" w:lineRule="exact"/>
        <w:rPr>
          <w:sz w:val="20"/>
          <w:szCs w:val="20"/>
          <w:color w:val="auto"/>
        </w:rPr>
      </w:pPr>
    </w:p>
    <w:p>
      <w:pPr>
        <w:spacing w:after="0"/>
        <w:tabs>
          <w:tab w:leader="none" w:pos="8420" w:val="left"/>
        </w:tabs>
        <w:rPr>
          <w:sz w:val="20"/>
          <w:szCs w:val="20"/>
          <w:color w:val="auto"/>
        </w:rPr>
      </w:pPr>
      <w:r>
        <w:rPr>
          <w:rFonts w:ascii="Arial" w:cs="Arial" w:eastAsia="Arial" w:hAnsi="Arial"/>
          <w:sz w:val="12"/>
          <w:szCs w:val="12"/>
          <w:color w:val="auto"/>
        </w:rPr>
        <w:t>July 28, 2021</w:t>
      </w:r>
      <w:r>
        <w:rPr>
          <w:sz w:val="20"/>
          <w:szCs w:val="20"/>
          <w:color w:val="auto"/>
        </w:rPr>
        <w:tab/>
      </w:r>
      <w:r>
        <w:rPr>
          <w:rFonts w:ascii="Arial" w:cs="Arial" w:eastAsia="Arial" w:hAnsi="Arial"/>
          <w:sz w:val="11"/>
          <w:szCs w:val="11"/>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-635</wp:posOffset>
            </wp:positionV>
            <wp:extent cx="286893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color w:val="auto"/>
        </w:rPr>
        <w:t>D. Craig Kesler</w:t>
      </w:r>
    </w:p>
    <w:p>
      <w:pPr>
        <w:jc w:val="center"/>
        <w:ind w:left="6780"/>
        <w:spacing w:after="0" w:line="234" w:lineRule="auto"/>
        <w:rPr>
          <w:sz w:val="20"/>
          <w:szCs w:val="20"/>
          <w:color w:val="auto"/>
        </w:rPr>
      </w:pPr>
      <w:r>
        <w:rPr>
          <w:rFonts w:ascii="Arial" w:cs="Arial" w:eastAsia="Arial" w:hAnsi="Arial"/>
          <w:sz w:val="12"/>
          <w:szCs w:val="12"/>
          <w:color w:val="auto"/>
        </w:rPr>
        <w:t>Executive Vice President – Finance and</w:t>
      </w:r>
    </w:p>
    <w:p>
      <w:pPr>
        <w:jc w:val="center"/>
        <w:ind w:left="6780"/>
        <w:spacing w:after="0"/>
        <w:rPr>
          <w:sz w:val="20"/>
          <w:szCs w:val="20"/>
          <w:color w:val="auto"/>
        </w:rPr>
      </w:pPr>
      <w:r>
        <w:rPr>
          <w:rFonts w:ascii="Arial" w:cs="Arial" w:eastAsia="Arial" w:hAnsi="Arial"/>
          <w:sz w:val="11"/>
          <w:szCs w:val="11"/>
          <w:color w:val="auto"/>
        </w:rPr>
        <w:t>Administration and Chief Financial Officer</w:t>
      </w:r>
    </w:p>
    <w:p>
      <w:pPr>
        <w:spacing w:after="0" w:line="9" w:lineRule="exact"/>
        <w:rPr>
          <w:sz w:val="20"/>
          <w:szCs w:val="20"/>
          <w:color w:val="auto"/>
        </w:rPr>
      </w:pPr>
    </w:p>
    <w:p>
      <w:pPr>
        <w:jc w:val="center"/>
        <w:ind w:left="6780"/>
        <w:spacing w:after="0"/>
        <w:rPr>
          <w:sz w:val="20"/>
          <w:szCs w:val="20"/>
          <w:color w:val="auto"/>
        </w:rPr>
      </w:pPr>
      <w:r>
        <w:rPr>
          <w:rFonts w:ascii="Arial" w:cs="Arial" w:eastAsia="Arial" w:hAnsi="Arial"/>
          <w:sz w:val="12"/>
          <w:szCs w:val="12"/>
          <w:color w:val="auto"/>
        </w:rPr>
        <w:t>(principal financial officer)</w:t>
      </w:r>
    </w:p>
    <w:p>
      <w:pPr>
        <w:spacing w:after="0" w:line="168" w:lineRule="exact"/>
        <w:rPr>
          <w:sz w:val="20"/>
          <w:szCs w:val="20"/>
          <w:color w:val="auto"/>
        </w:rPr>
      </w:pPr>
    </w:p>
    <w:p>
      <w:pPr>
        <w:spacing w:after="0"/>
        <w:tabs>
          <w:tab w:leader="none" w:pos="8380" w:val="left"/>
        </w:tabs>
        <w:rPr>
          <w:sz w:val="20"/>
          <w:szCs w:val="20"/>
          <w:color w:val="auto"/>
        </w:rPr>
      </w:pPr>
      <w:r>
        <w:rPr>
          <w:rFonts w:ascii="Arial" w:cs="Arial" w:eastAsia="Arial" w:hAnsi="Arial"/>
          <w:sz w:val="12"/>
          <w:szCs w:val="12"/>
          <w:color w:val="auto"/>
        </w:rPr>
        <w:t>July 28, 2021</w:t>
      </w:r>
      <w:r>
        <w:rPr>
          <w:sz w:val="20"/>
          <w:szCs w:val="20"/>
          <w:color w:val="auto"/>
        </w:rPr>
        <w:tab/>
      </w:r>
      <w:r>
        <w:rPr>
          <w:rFonts w:ascii="Arial" w:cs="Arial" w:eastAsia="Arial" w:hAnsi="Arial"/>
          <w:sz w:val="12"/>
          <w:szCs w:val="12"/>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-635</wp:posOffset>
            </wp:positionV>
            <wp:extent cx="286893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color w:val="auto"/>
        </w:rPr>
        <w:t>William R. Devlin</w:t>
      </w:r>
    </w:p>
    <w:p>
      <w:pPr>
        <w:jc w:val="center"/>
        <w:ind w:left="6780"/>
        <w:spacing w:after="0" w:line="234" w:lineRule="auto"/>
        <w:rPr>
          <w:sz w:val="20"/>
          <w:szCs w:val="20"/>
          <w:color w:val="auto"/>
        </w:rPr>
      </w:pPr>
      <w:r>
        <w:rPr>
          <w:rFonts w:ascii="Arial" w:cs="Arial" w:eastAsia="Arial" w:hAnsi="Arial"/>
          <w:sz w:val="12"/>
          <w:szCs w:val="12"/>
          <w:color w:val="auto"/>
        </w:rPr>
        <w:t>Senior Vice President – Controller and</w:t>
      </w:r>
    </w:p>
    <w:p>
      <w:pPr>
        <w:jc w:val="center"/>
        <w:ind w:left="6780"/>
        <w:spacing w:after="0" w:line="235" w:lineRule="auto"/>
        <w:rPr>
          <w:sz w:val="20"/>
          <w:szCs w:val="20"/>
          <w:color w:val="auto"/>
        </w:rPr>
      </w:pPr>
      <w:r>
        <w:rPr>
          <w:rFonts w:ascii="Arial" w:cs="Arial" w:eastAsia="Arial" w:hAnsi="Arial"/>
          <w:sz w:val="12"/>
          <w:szCs w:val="12"/>
          <w:color w:val="auto"/>
        </w:rPr>
        <w:t>Chief Accounting Officer</w:t>
      </w:r>
    </w:p>
    <w:p>
      <w:pPr>
        <w:jc w:val="center"/>
        <w:ind w:left="6780"/>
        <w:spacing w:after="0"/>
        <w:rPr>
          <w:sz w:val="20"/>
          <w:szCs w:val="20"/>
          <w:color w:val="auto"/>
        </w:rPr>
      </w:pPr>
      <w:r>
        <w:rPr>
          <w:rFonts w:ascii="Arial" w:cs="Arial" w:eastAsia="Arial" w:hAnsi="Arial"/>
          <w:sz w:val="12"/>
          <w:szCs w:val="12"/>
          <w:color w:val="auto"/>
        </w:rPr>
        <w:t>(principal accounting officer)</w:t>
      </w:r>
    </w:p>
    <w:p>
      <w:pPr>
        <w:spacing w:after="0" w:line="200" w:lineRule="exact"/>
        <w:rPr>
          <w:sz w:val="20"/>
          <w:szCs w:val="20"/>
          <w:color w:val="auto"/>
        </w:rPr>
      </w:pPr>
    </w:p>
    <w:p>
      <w:pPr>
        <w:spacing w:after="0" w:line="24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159"/>
          </w:cols>
          <w:pgMar w:left="300" w:top="430"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EXHIBIT 10.3</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EAGLE MATERIALS INC</w:t>
      </w:r>
      <w:r>
        <w:rPr>
          <w:rFonts w:ascii="Arial" w:cs="Arial" w:eastAsia="Arial" w:hAnsi="Arial"/>
          <w:sz w:val="14"/>
          <w:szCs w:val="14"/>
          <w:b w:val="1"/>
          <w:bCs w:val="1"/>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INCENTIVE PLAN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(Performance Vesting)</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Eagle Materials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_____________ (the "</w:t>
      </w:r>
      <w:r>
        <w:rPr>
          <w:rFonts w:ascii="Arial" w:cs="Arial" w:eastAsia="Arial" w:hAnsi="Arial"/>
          <w:sz w:val="13"/>
          <w:szCs w:val="13"/>
          <w:u w:val="single" w:color="auto"/>
          <w:color w:val="auto"/>
        </w:rPr>
        <w:t>Grantee</w:t>
      </w:r>
      <w:r>
        <w:rPr>
          <w:rFonts w:ascii="Arial" w:cs="Arial" w:eastAsia="Arial" w:hAnsi="Arial"/>
          <w:sz w:val="13"/>
          <w:szCs w:val="13"/>
          <w:color w:val="auto"/>
        </w:rPr>
        <w:t>") hereby enter into this Restricted Stock Award Agreement (the "</w:t>
      </w:r>
      <w:r>
        <w:rPr>
          <w:rFonts w:ascii="Arial" w:cs="Arial" w:eastAsia="Arial" w:hAnsi="Arial"/>
          <w:sz w:val="13"/>
          <w:szCs w:val="13"/>
          <w:u w:val="single" w:color="auto"/>
          <w:color w:val="auto"/>
        </w:rPr>
        <w:t>Agreement</w:t>
      </w:r>
      <w:r>
        <w:rPr>
          <w:rFonts w:ascii="Arial" w:cs="Arial" w:eastAsia="Arial" w:hAnsi="Arial"/>
          <w:sz w:val="13"/>
          <w:szCs w:val="13"/>
          <w:color w:val="auto"/>
        </w:rPr>
        <w:t>") in</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order to set forth the terms and conditions of the Company’s award (the "</w:t>
      </w:r>
      <w:r>
        <w:rPr>
          <w:rFonts w:ascii="Arial" w:cs="Arial" w:eastAsia="Arial" w:hAnsi="Arial"/>
          <w:sz w:val="14"/>
          <w:szCs w:val="14"/>
          <w:u w:val="single" w:color="auto"/>
          <w:color w:val="auto"/>
        </w:rPr>
        <w:t>Award</w:t>
      </w:r>
      <w:r>
        <w:rPr>
          <w:rFonts w:ascii="Arial" w:cs="Arial" w:eastAsia="Arial" w:hAnsi="Arial"/>
          <w:sz w:val="14"/>
          <w:szCs w:val="14"/>
          <w:color w:val="auto"/>
        </w:rPr>
        <w:t>") to the Grantee of certain shares of Common Stock of the Company granted to the Grantee on May 19, 2021 (the "</w:t>
      </w:r>
      <w:r>
        <w:rPr>
          <w:rFonts w:ascii="Arial" w:cs="Arial" w:eastAsia="Arial" w:hAnsi="Arial"/>
          <w:sz w:val="14"/>
          <w:szCs w:val="14"/>
          <w:u w:val="single" w:color="auto"/>
          <w:color w:val="auto"/>
        </w:rPr>
        <w:t>Award Date</w:t>
      </w:r>
      <w:r>
        <w:rPr>
          <w:rFonts w:ascii="Arial" w:cs="Arial" w:eastAsia="Arial" w:hAnsi="Arial"/>
          <w:sz w:val="14"/>
          <w:szCs w:val="14"/>
          <w:color w:val="auto"/>
        </w:rPr>
        <w:t>").</w:t>
      </w:r>
    </w:p>
    <w:p>
      <w:pPr>
        <w:spacing w:after="0" w:line="114" w:lineRule="exact"/>
        <w:rPr>
          <w:sz w:val="20"/>
          <w:szCs w:val="20"/>
          <w:color w:val="auto"/>
        </w:rPr>
      </w:pPr>
    </w:p>
    <w:p>
      <w:pPr>
        <w:ind w:left="1340" w:hanging="541"/>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Award</w:t>
      </w:r>
      <w:r>
        <w:rPr>
          <w:rFonts w:ascii="Arial" w:cs="Arial" w:eastAsia="Arial" w:hAnsi="Arial"/>
          <w:sz w:val="14"/>
          <w:szCs w:val="14"/>
          <w:color w:val="auto"/>
        </w:rPr>
        <w:t>. The Company hereby awards to the Grantee _______ shares of Common Stock of the Company (the "</w:t>
      </w:r>
      <w:r>
        <w:rPr>
          <w:rFonts w:ascii="Arial" w:cs="Arial" w:eastAsia="Arial" w:hAnsi="Arial"/>
          <w:sz w:val="14"/>
          <w:szCs w:val="14"/>
          <w:u w:val="single" w:color="auto"/>
          <w:color w:val="auto"/>
        </w:rPr>
        <w:t>Shares</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right="440" w:firstLine="799"/>
        <w:spacing w:after="0" w:line="257" w:lineRule="auto"/>
        <w:tabs>
          <w:tab w:leader="none" w:pos="1347"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Relationship to the Plan</w:t>
      </w:r>
      <w:r>
        <w:rPr>
          <w:rFonts w:ascii="Arial" w:cs="Arial" w:eastAsia="Arial" w:hAnsi="Arial"/>
          <w:sz w:val="14"/>
          <w:szCs w:val="14"/>
          <w:color w:val="auto"/>
        </w:rPr>
        <w:t>. The Award shall be subject to the terms and conditions of the Eagle Materials Inc. Amended and Restated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this Agreement and such administrative interpretations of the Plan, if any, as may be in effect on the date of this Agreement. Except as defined herein, capitalized terms shall have the meanings ascribed to them under the Plan. For purposes of this Agreement:</w:t>
      </w:r>
    </w:p>
    <w:p>
      <w:pPr>
        <w:spacing w:after="0" w:line="112" w:lineRule="exact"/>
        <w:rPr>
          <w:rFonts w:ascii="Arial" w:cs="Arial" w:eastAsia="Arial" w:hAnsi="Arial"/>
          <w:sz w:val="14"/>
          <w:szCs w:val="14"/>
          <w:color w:val="auto"/>
        </w:rPr>
      </w:pPr>
    </w:p>
    <w:p>
      <w:pPr>
        <w:ind w:left="2400" w:hanging="797"/>
        <w:spacing w:after="0"/>
        <w:tabs>
          <w:tab w:leader="none" w:pos="24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Disability</w:t>
      </w:r>
      <w:r>
        <w:rPr>
          <w:rFonts w:ascii="Arial" w:cs="Arial" w:eastAsia="Arial" w:hAnsi="Arial"/>
          <w:sz w:val="14"/>
          <w:szCs w:val="14"/>
          <w:color w:val="auto"/>
        </w:rPr>
        <w:t>” shall be determined by the Committee.</w:t>
      </w:r>
    </w:p>
    <w:p>
      <w:pPr>
        <w:spacing w:after="0" w:line="145" w:lineRule="exact"/>
        <w:rPr>
          <w:rFonts w:ascii="Arial" w:cs="Arial" w:eastAsia="Arial" w:hAnsi="Arial"/>
          <w:sz w:val="14"/>
          <w:szCs w:val="14"/>
          <w:color w:val="auto"/>
        </w:rPr>
      </w:pPr>
    </w:p>
    <w:p>
      <w:pPr>
        <w:ind w:left="2400" w:right="200" w:hanging="797"/>
        <w:spacing w:after="0" w:line="273" w:lineRule="auto"/>
        <w:tabs>
          <w:tab w:leader="none" w:pos="24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Return on Equity</w:t>
      </w:r>
      <w:r>
        <w:rPr>
          <w:rFonts w:ascii="Arial" w:cs="Arial" w:eastAsia="Arial" w:hAnsi="Arial"/>
          <w:sz w:val="14"/>
          <w:szCs w:val="14"/>
          <w:color w:val="auto"/>
        </w:rPr>
        <w:t>” for any fiscal year shall mean the following calculation (as determined by the Committee): (i) the net earnings of the Company for such fiscal year; divided by (ii) the Company’s Average Stockholders’ Equity for such fiscal year.</w:t>
      </w:r>
    </w:p>
    <w:p>
      <w:pPr>
        <w:spacing w:after="0" w:line="101" w:lineRule="exact"/>
        <w:rPr>
          <w:rFonts w:ascii="Arial" w:cs="Arial" w:eastAsia="Arial" w:hAnsi="Arial"/>
          <w:sz w:val="14"/>
          <w:szCs w:val="14"/>
          <w:color w:val="auto"/>
        </w:rPr>
      </w:pPr>
    </w:p>
    <w:p>
      <w:pPr>
        <w:ind w:left="2400" w:right="420" w:hanging="797"/>
        <w:spacing w:after="0" w:line="273" w:lineRule="auto"/>
        <w:tabs>
          <w:tab w:leader="none" w:pos="24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Average Stockholders’ Equity</w:t>
      </w:r>
      <w:r>
        <w:rPr>
          <w:rFonts w:ascii="Arial" w:cs="Arial" w:eastAsia="Arial" w:hAnsi="Arial"/>
          <w:sz w:val="14"/>
          <w:szCs w:val="14"/>
          <w:color w:val="auto"/>
        </w:rPr>
        <w:t>” for any period shall mean: (i) the Company’s total stockholders’ equity as of the beginning of such period plus the Company’s total stockholders’ equity at the end of such period; divided by (ii) 2.</w:t>
      </w:r>
    </w:p>
    <w:p>
      <w:pPr>
        <w:spacing w:after="0" w:line="101" w:lineRule="exact"/>
        <w:rPr>
          <w:rFonts w:ascii="Arial" w:cs="Arial" w:eastAsia="Arial" w:hAnsi="Arial"/>
          <w:sz w:val="14"/>
          <w:szCs w:val="14"/>
          <w:color w:val="auto"/>
        </w:rPr>
      </w:pPr>
    </w:p>
    <w:p>
      <w:pPr>
        <w:ind w:left="2400" w:hanging="797"/>
        <w:spacing w:after="0"/>
        <w:tabs>
          <w:tab w:leader="none" w:pos="24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Retirement</w:t>
      </w:r>
      <w:r>
        <w:rPr>
          <w:rFonts w:ascii="Arial" w:cs="Arial" w:eastAsia="Arial" w:hAnsi="Arial"/>
          <w:sz w:val="14"/>
          <w:szCs w:val="14"/>
          <w:color w:val="auto"/>
        </w:rPr>
        <w:t>” shall mean a retirement approved by the Board.</w:t>
      </w:r>
    </w:p>
    <w:p>
      <w:pPr>
        <w:spacing w:after="0" w:line="145" w:lineRule="exact"/>
        <w:rPr>
          <w:rFonts w:ascii="Arial" w:cs="Arial" w:eastAsia="Arial" w:hAnsi="Arial"/>
          <w:sz w:val="14"/>
          <w:szCs w:val="14"/>
          <w:color w:val="auto"/>
        </w:rPr>
      </w:pPr>
    </w:p>
    <w:p>
      <w:pPr>
        <w:ind w:left="2400" w:hanging="797"/>
        <w:spacing w:after="0"/>
        <w:tabs>
          <w:tab w:leader="none" w:pos="24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Service Vesting Date</w:t>
      </w:r>
      <w:r>
        <w:rPr>
          <w:rFonts w:ascii="Arial" w:cs="Arial" w:eastAsia="Arial" w:hAnsi="Arial"/>
          <w:sz w:val="14"/>
          <w:szCs w:val="14"/>
          <w:color w:val="auto"/>
        </w:rPr>
        <w:t>” means the first, second or third anniversary of the end of the Performance Period, as applicable.</w:t>
      </w:r>
    </w:p>
    <w:p>
      <w:pPr>
        <w:spacing w:after="0" w:line="145" w:lineRule="exact"/>
        <w:rPr>
          <w:rFonts w:ascii="Arial" w:cs="Arial" w:eastAsia="Arial" w:hAnsi="Arial"/>
          <w:sz w:val="14"/>
          <w:szCs w:val="14"/>
          <w:color w:val="auto"/>
        </w:rPr>
      </w:pPr>
    </w:p>
    <w:p>
      <w:pPr>
        <w:ind w:left="2400" w:hanging="797"/>
        <w:spacing w:after="0"/>
        <w:tabs>
          <w:tab w:leader="none" w:pos="24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Performance Period</w:t>
      </w:r>
      <w:r>
        <w:rPr>
          <w:rFonts w:ascii="Arial" w:cs="Arial" w:eastAsia="Arial" w:hAnsi="Arial"/>
          <w:sz w:val="14"/>
          <w:szCs w:val="14"/>
          <w:color w:val="auto"/>
        </w:rPr>
        <w:t>” shall mean the period commencing on April 1, 2021 and ending on March 31, 2022.</w:t>
      </w:r>
    </w:p>
    <w:p>
      <w:pPr>
        <w:spacing w:after="0" w:line="145" w:lineRule="exact"/>
        <w:rPr>
          <w:rFonts w:ascii="Arial" w:cs="Arial" w:eastAsia="Arial" w:hAnsi="Arial"/>
          <w:sz w:val="14"/>
          <w:szCs w:val="14"/>
          <w:color w:val="auto"/>
        </w:rPr>
      </w:pPr>
    </w:p>
    <w:p>
      <w:pPr>
        <w:ind w:left="1340" w:hanging="541"/>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left="2400" w:right="260" w:hanging="797"/>
        <w:spacing w:after="0" w:line="257" w:lineRule="auto"/>
        <w:tabs>
          <w:tab w:leader="none" w:pos="2400" w:val="left"/>
        </w:tabs>
        <w:numPr>
          <w:ilvl w:val="1"/>
          <w:numId w:val="10"/>
        </w:numPr>
        <w:rPr>
          <w:rFonts w:ascii="Arial" w:cs="Arial" w:eastAsia="Arial" w:hAnsi="Arial"/>
          <w:sz w:val="14"/>
          <w:szCs w:val="14"/>
          <w:color w:val="auto"/>
        </w:rPr>
      </w:pPr>
      <w:r>
        <w:rPr>
          <w:rFonts w:ascii="Arial" w:cs="Arial" w:eastAsia="Arial" w:hAnsi="Arial"/>
          <w:sz w:val="14"/>
          <w:szCs w:val="14"/>
          <w:u w:val="single" w:color="auto"/>
          <w:color w:val="auto"/>
        </w:rPr>
        <w:t>Vesting Criteria</w:t>
      </w:r>
      <w:r>
        <w:rPr>
          <w:rFonts w:ascii="Arial" w:cs="Arial" w:eastAsia="Arial" w:hAnsi="Arial"/>
          <w:sz w:val="14"/>
          <w:szCs w:val="14"/>
          <w:color w:val="auto"/>
        </w:rPr>
        <w:t>. The Grantee’s interest in the Shares shall vest in accordance with the vesting schedule set forth below in this Section 3(a) (each such vesting date, a “</w:t>
      </w:r>
      <w:r>
        <w:rPr>
          <w:rFonts w:ascii="Arial" w:cs="Arial" w:eastAsia="Arial" w:hAnsi="Arial"/>
          <w:sz w:val="14"/>
          <w:szCs w:val="14"/>
          <w:u w:val="single" w:color="auto"/>
          <w:color w:val="auto"/>
        </w:rPr>
        <w:t>Vesting Date</w:t>
      </w:r>
      <w:r>
        <w:rPr>
          <w:rFonts w:ascii="Arial" w:cs="Arial" w:eastAsia="Arial" w:hAnsi="Arial"/>
          <w:sz w:val="14"/>
          <w:szCs w:val="14"/>
          <w:color w:val="auto"/>
        </w:rPr>
        <w:t>”) only if the Return on Equity for the fiscal year ending March 31, 2022 is at least 10.0% (the “</w:t>
      </w:r>
      <w:r>
        <w:rPr>
          <w:rFonts w:ascii="Arial" w:cs="Arial" w:eastAsia="Arial" w:hAnsi="Arial"/>
          <w:sz w:val="14"/>
          <w:szCs w:val="14"/>
          <w:u w:val="single" w:color="auto"/>
          <w:color w:val="auto"/>
        </w:rPr>
        <w:t>Performance Criteria</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that the percentage of Shares that will be earned shall be based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399415</wp:posOffset>
            </wp:positionV>
            <wp:extent cx="721487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40" w:name="page41"/>
    <w:bookmarkEnd w:id="40"/>
    <w:tbl>
      <w:tblPr>
        <w:tblLayout w:type="fixed"/>
        <w:tblInd w:w="2420" w:type="dxa"/>
        <w:tblCellMar>
          <w:top w:w="0" w:type="dxa"/>
          <w:left w:w="0" w:type="dxa"/>
          <w:bottom w:w="0" w:type="dxa"/>
          <w:right w:w="0" w:type="dxa"/>
        </w:tblCellMar>
      </w:tblPr>
      <w:tr>
        <w:trPr>
          <w:trHeight w:val="162"/>
        </w:trPr>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Performance</w:t>
            </w:r>
          </w:p>
        </w:tc>
        <w:tc>
          <w:tcPr>
            <w:tcW w:w="80" w:type="dxa"/>
            <w:vAlign w:val="bottom"/>
          </w:tcPr>
          <w:p>
            <w:pPr>
              <w:spacing w:after="0"/>
              <w:rPr>
                <w:sz w:val="14"/>
                <w:szCs w:val="14"/>
                <w:color w:val="auto"/>
              </w:rPr>
            </w:pPr>
          </w:p>
        </w:tc>
        <w:tc>
          <w:tcPr>
            <w:tcW w:w="1580" w:type="dxa"/>
            <w:vAlign w:val="bottom"/>
            <w:gridSpan w:val="2"/>
          </w:tcPr>
          <w:p>
            <w:pPr>
              <w:ind w:left="74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3"/>
        </w:trPr>
        <w:tc>
          <w:tcPr>
            <w:tcW w:w="5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w w:val="97"/>
              </w:rPr>
              <w:t>Criteria</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Shares Earned</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 w:type="dxa"/>
            <w:vAlign w:val="bottom"/>
            <w:gridSpan w:val="2"/>
          </w:tcPr>
          <w:p>
            <w:pPr>
              <w:spacing w:after="0" w:line="142" w:lineRule="exact"/>
              <w:rPr>
                <w:sz w:val="20"/>
                <w:szCs w:val="20"/>
                <w:color w:val="auto"/>
              </w:rPr>
            </w:pPr>
            <w:r>
              <w:rPr>
                <w:rFonts w:ascii="Arial" w:cs="Arial" w:eastAsia="Arial" w:hAnsi="Arial"/>
                <w:sz w:val="14"/>
                <w:szCs w:val="14"/>
                <w:color w:val="auto"/>
                <w:w w:val="92"/>
              </w:rPr>
              <w:t>&gt; 20.0%</w:t>
            </w:r>
          </w:p>
        </w:tc>
        <w:tc>
          <w:tcPr>
            <w:tcW w:w="340" w:type="dxa"/>
            <w:vAlign w:val="bottom"/>
          </w:tcPr>
          <w:p>
            <w:pPr>
              <w:spacing w:after="0"/>
              <w:rPr>
                <w:sz w:val="12"/>
                <w:szCs w:val="12"/>
                <w:color w:val="auto"/>
              </w:rPr>
            </w:pPr>
          </w:p>
        </w:tc>
        <w:tc>
          <w:tcPr>
            <w:tcW w:w="9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100.0%</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vMerge w:val="restart"/>
          </w:tcPr>
          <w:p>
            <w:pPr>
              <w:jc w:val="right"/>
              <w:ind w:right="508"/>
              <w:spacing w:after="0"/>
              <w:rPr>
                <w:sz w:val="20"/>
                <w:szCs w:val="20"/>
                <w:color w:val="auto"/>
              </w:rPr>
            </w:pPr>
            <w:r>
              <w:rPr>
                <w:rFonts w:ascii="Arial" w:cs="Arial" w:eastAsia="Arial" w:hAnsi="Arial"/>
                <w:sz w:val="14"/>
                <w:szCs w:val="14"/>
                <w:color w:val="auto"/>
                <w:w w:val="95"/>
              </w:rPr>
              <w:t>83.3%</w:t>
            </w: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0" w:type="dxa"/>
            <w:vAlign w:val="bottom"/>
            <w:gridSpan w:val="2"/>
          </w:tcPr>
          <w:p>
            <w:pPr>
              <w:spacing w:after="0" w:line="155" w:lineRule="exact"/>
              <w:rPr>
                <w:sz w:val="20"/>
                <w:szCs w:val="20"/>
                <w:color w:val="auto"/>
              </w:rPr>
            </w:pPr>
            <w:r>
              <w:rPr>
                <w:rFonts w:ascii="Arial" w:cs="Arial" w:eastAsia="Arial" w:hAnsi="Arial"/>
                <w:sz w:val="14"/>
                <w:szCs w:val="14"/>
                <w:color w:val="auto"/>
              </w:rPr>
              <w:t>15.0%</w:t>
            </w:r>
          </w:p>
        </w:tc>
        <w:tc>
          <w:tcPr>
            <w:tcW w:w="3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0" w:type="dxa"/>
            <w:vAlign w:val="bottom"/>
            <w:gridSpan w:val="2"/>
          </w:tcPr>
          <w:p>
            <w:pPr>
              <w:spacing w:after="0"/>
              <w:rPr>
                <w:sz w:val="20"/>
                <w:szCs w:val="20"/>
                <w:color w:val="auto"/>
              </w:rPr>
            </w:pPr>
            <w:r>
              <w:rPr>
                <w:rFonts w:ascii="Arial" w:cs="Arial" w:eastAsia="Arial" w:hAnsi="Arial"/>
                <w:sz w:val="14"/>
                <w:szCs w:val="14"/>
                <w:color w:val="auto"/>
              </w:rPr>
              <w:t>10.0%</w:t>
            </w:r>
          </w:p>
        </w:tc>
        <w:tc>
          <w:tcPr>
            <w:tcW w:w="340" w:type="dxa"/>
            <w:vAlign w:val="bottom"/>
          </w:tcPr>
          <w:p>
            <w:pPr>
              <w:spacing w:after="0"/>
              <w:rPr>
                <w:sz w:val="15"/>
                <w:szCs w:val="15"/>
                <w:color w:val="auto"/>
              </w:rPr>
            </w:pPr>
          </w:p>
        </w:tc>
        <w:tc>
          <w:tcPr>
            <w:tcW w:w="980" w:type="dxa"/>
            <w:vAlign w:val="bottom"/>
            <w:gridSpan w:val="2"/>
          </w:tcPr>
          <w:p>
            <w:pPr>
              <w:jc w:val="right"/>
              <w:ind w:right="508"/>
              <w:spacing w:after="0"/>
              <w:rPr>
                <w:sz w:val="20"/>
                <w:szCs w:val="20"/>
                <w:color w:val="auto"/>
              </w:rPr>
            </w:pPr>
            <w:r>
              <w:rPr>
                <w:rFonts w:ascii="Arial" w:cs="Arial" w:eastAsia="Arial" w:hAnsi="Arial"/>
                <w:sz w:val="14"/>
                <w:szCs w:val="14"/>
                <w:color w:val="auto"/>
                <w:w w:val="95"/>
              </w:rPr>
              <w:t>66.7%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2420" w:hanging="6"/>
        <w:spacing w:after="0" w:line="268" w:lineRule="auto"/>
        <w:tabs>
          <w:tab w:leader="none" w:pos="2496" w:val="left"/>
        </w:tabs>
        <w:numPr>
          <w:ilvl w:val="1"/>
          <w:numId w:val="11"/>
        </w:numPr>
        <w:rPr>
          <w:rFonts w:ascii="Arial" w:cs="Arial" w:eastAsia="Arial" w:hAnsi="Arial"/>
          <w:sz w:val="13"/>
          <w:szCs w:val="13"/>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exact percentage of Shares earned shall be calculated based on straight-line interpolation between the points shown above with fractional points rounded up to the nearest tenth of a percent. After the end of the Performance Period, the Compensation Committee shall certify whether and to what extent the Performance Criteria has been satisfied (“</w:t>
      </w:r>
      <w:r>
        <w:rPr>
          <w:rFonts w:ascii="Arial" w:cs="Arial" w:eastAsia="Arial" w:hAnsi="Arial"/>
          <w:sz w:val="13"/>
          <w:szCs w:val="13"/>
          <w:u w:val="single" w:color="auto"/>
          <w:color w:val="auto"/>
        </w:rPr>
        <w:t>Certification Date</w:t>
      </w:r>
      <w:r>
        <w:rPr>
          <w:rFonts w:ascii="Arial" w:cs="Arial" w:eastAsia="Arial" w:hAnsi="Arial"/>
          <w:sz w:val="13"/>
          <w:szCs w:val="13"/>
          <w:color w:val="auto"/>
        </w:rPr>
        <w:t>”) (such earned Shares shall then be considered “</w:t>
      </w:r>
      <w:r>
        <w:rPr>
          <w:rFonts w:ascii="Arial" w:cs="Arial" w:eastAsia="Arial" w:hAnsi="Arial"/>
          <w:sz w:val="13"/>
          <w:szCs w:val="13"/>
          <w:u w:val="single" w:color="auto"/>
          <w:color w:val="auto"/>
        </w:rPr>
        <w:t>Earned But</w:t>
      </w:r>
      <w:r>
        <w:rPr>
          <w:rFonts w:ascii="Arial" w:cs="Arial" w:eastAsia="Arial" w:hAnsi="Arial"/>
          <w:sz w:val="13"/>
          <w:szCs w:val="13"/>
          <w:color w:val="auto"/>
        </w:rPr>
        <w:t xml:space="preserve"> </w:t>
      </w:r>
      <w:r>
        <w:rPr>
          <w:rFonts w:ascii="Arial" w:cs="Arial" w:eastAsia="Arial" w:hAnsi="Arial"/>
          <w:sz w:val="13"/>
          <w:szCs w:val="13"/>
          <w:u w:val="single" w:color="auto"/>
          <w:color w:val="auto"/>
        </w:rPr>
        <w:t>Unvested Shares</w:t>
      </w:r>
      <w:r>
        <w:rPr>
          <w:rFonts w:ascii="Arial" w:cs="Arial" w:eastAsia="Arial" w:hAnsi="Arial"/>
          <w:sz w:val="13"/>
          <w:szCs w:val="13"/>
          <w:color w:val="auto"/>
        </w:rPr>
        <w:t>” hereunder). Such Earned But Unvested Shares shall vest one-fourth on the seventh business day following the Certification Date and then ratably on the next three Service Vesting Dates. Prior to the Certification Date, all Shares shall be considered “</w:t>
      </w:r>
      <w:r>
        <w:rPr>
          <w:rFonts w:ascii="Arial" w:cs="Arial" w:eastAsia="Arial" w:hAnsi="Arial"/>
          <w:sz w:val="13"/>
          <w:szCs w:val="13"/>
          <w:u w:val="single" w:color="auto"/>
          <w:color w:val="auto"/>
        </w:rPr>
        <w:t>unvested Shares</w:t>
      </w:r>
      <w:r>
        <w:rPr>
          <w:rFonts w:ascii="Arial" w:cs="Arial" w:eastAsia="Arial" w:hAnsi="Arial"/>
          <w:sz w:val="13"/>
          <w:szCs w:val="13"/>
          <w:color w:val="auto"/>
        </w:rPr>
        <w:t>.” If the Performance Criteria has not been satisfied then the Shares shall be immediately and automatically forfeited. Upon the Certification Date, any portion of the Shares that are not earned in accordance with the provisions above shall be forfeited.</w:t>
      </w:r>
    </w:p>
    <w:p>
      <w:pPr>
        <w:spacing w:after="0" w:line="109" w:lineRule="exact"/>
        <w:rPr>
          <w:rFonts w:ascii="Arial" w:cs="Arial" w:eastAsia="Arial" w:hAnsi="Arial"/>
          <w:sz w:val="13"/>
          <w:szCs w:val="13"/>
          <w:color w:val="auto"/>
        </w:rPr>
      </w:pPr>
    </w:p>
    <w:p>
      <w:pPr>
        <w:ind w:left="2400" w:right="100" w:hanging="797"/>
        <w:spacing w:after="0" w:line="252" w:lineRule="auto"/>
        <w:tabs>
          <w:tab w:leader="none" w:pos="2400"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Restrictions</w:t>
      </w:r>
      <w:r>
        <w:rPr>
          <w:rFonts w:ascii="Arial" w:cs="Arial" w:eastAsia="Arial" w:hAnsi="Arial"/>
          <w:sz w:val="14"/>
          <w:szCs w:val="14"/>
          <w:color w:val="auto"/>
        </w:rPr>
        <w:t>. The period beginning on the Award Date and ending on the date immediately preceding the Vesting Date for a Share shall be known as the restriction period (the “</w:t>
      </w:r>
      <w:r>
        <w:rPr>
          <w:rFonts w:ascii="Arial" w:cs="Arial" w:eastAsia="Arial" w:hAnsi="Arial"/>
          <w:sz w:val="14"/>
          <w:szCs w:val="14"/>
          <w:u w:val="single" w:color="auto"/>
          <w:color w:val="auto"/>
        </w:rPr>
        <w:t>Restriction Period</w:t>
      </w:r>
      <w:r>
        <w:rPr>
          <w:rFonts w:ascii="Arial" w:cs="Arial" w:eastAsia="Arial" w:hAnsi="Arial"/>
          <w:sz w:val="14"/>
          <w:szCs w:val="14"/>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115" w:lineRule="exact"/>
        <w:rPr>
          <w:rFonts w:ascii="Arial" w:cs="Arial" w:eastAsia="Arial" w:hAnsi="Arial"/>
          <w:sz w:val="14"/>
          <w:szCs w:val="14"/>
          <w:color w:val="auto"/>
        </w:rPr>
      </w:pPr>
    </w:p>
    <w:p>
      <w:pPr>
        <w:ind w:left="2400" w:right="140" w:hanging="797"/>
        <w:spacing w:after="0" w:line="252" w:lineRule="auto"/>
        <w:tabs>
          <w:tab w:leader="none" w:pos="2400"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Cancellation Right</w:t>
      </w:r>
      <w:r>
        <w:rPr>
          <w:rFonts w:ascii="Arial" w:cs="Arial" w:eastAsia="Arial" w:hAnsi="Arial"/>
          <w:sz w:val="14"/>
          <w:szCs w:val="14"/>
          <w:color w:val="auto"/>
        </w:rPr>
        <w:t>. Subject to Section 4, the Grantee must be in continuous service as an employee of the Company or any of its Affiliates or as a Director from the Award Date through the applicable Vesting Date for an unvested Share to become vested. Subject to Section 4, Grantee’s termination of employment and, if applicable, service as a Director prior to the Vesting Date shall cause the unvested Shares to be automatically forfeited as of such discontinuation of service date.</w:t>
      </w:r>
    </w:p>
    <w:p>
      <w:pPr>
        <w:spacing w:after="0" w:line="115" w:lineRule="exact"/>
        <w:rPr>
          <w:rFonts w:ascii="Arial" w:cs="Arial" w:eastAsia="Arial" w:hAnsi="Arial"/>
          <w:sz w:val="14"/>
          <w:szCs w:val="14"/>
          <w:color w:val="auto"/>
        </w:rPr>
      </w:pPr>
    </w:p>
    <w:p>
      <w:pPr>
        <w:ind w:left="2400" w:right="100" w:hanging="797"/>
        <w:spacing w:after="0" w:line="246" w:lineRule="auto"/>
        <w:tabs>
          <w:tab w:leader="none" w:pos="2400"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Calculations and Adjustments</w:t>
      </w:r>
      <w:r>
        <w:rPr>
          <w:rFonts w:ascii="Arial" w:cs="Arial" w:eastAsia="Arial" w:hAnsi="Arial"/>
          <w:sz w:val="14"/>
          <w:szCs w:val="14"/>
          <w:color w:val="auto"/>
        </w:rPr>
        <w:t xml:space="preserve">. The Committee shall have the authority to approve the calculations involving the "Return on Equity for the fiscal year ending March 31, 2022" for purposes of vesting, and its approval of such calculations shall be final, conclusive and binding on all parties; </w:t>
      </w:r>
      <w:r>
        <w:rPr>
          <w:rFonts w:ascii="Arial" w:cs="Arial" w:eastAsia="Arial" w:hAnsi="Arial"/>
          <w:sz w:val="14"/>
          <w:szCs w:val="14"/>
          <w:u w:val="single" w:color="auto"/>
          <w:color w:val="auto"/>
        </w:rPr>
        <w:t>provided</w:t>
      </w:r>
      <w:r>
        <w:rPr>
          <w:rFonts w:ascii="Arial" w:cs="Arial" w:eastAsia="Arial" w:hAnsi="Arial"/>
          <w:sz w:val="14"/>
          <w:szCs w:val="14"/>
          <w:color w:val="auto"/>
        </w:rPr>
        <w:t>, that the Performance Criteria and calculation of actual results, in each case, shall be equitably adjusted as determined by the Committee in its discretion, including, without limitation, to account for (i) any business acquisition or disposition (including spin-offs) that occurs after the Award Date, including any related impairments, write-downs, gains or losses; (ii) the impact of litigation (including legal fees, settlements and adjustments); provided that the amount exceeds $5 million; and (iii) the impact of extraordinary items not related to the Company’s current or ongoing business operations, including impairments, write-downs or other significant non-operational charges. Without limiting the generality of the foregoing, in the event the Company determines to effect a spin-off that will occur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L:\SEC\Form 10-Q\2021\10.3 Form of Management Restricted Stock Agreement (Performance).docx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1487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65" w:right="319" w:bottom="1440" w:gutter="0" w:footer="0" w:header="0"/>
        </w:sectPr>
      </w:pPr>
    </w:p>
    <w:bookmarkStart w:id="41" w:name="page42"/>
    <w:bookmarkEnd w:id="41"/>
    <w:p>
      <w:pPr>
        <w:ind w:left="2400" w:right="120"/>
        <w:spacing w:after="0" w:line="252" w:lineRule="auto"/>
        <w:rPr>
          <w:sz w:val="20"/>
          <w:szCs w:val="20"/>
          <w:color w:val="auto"/>
        </w:rPr>
      </w:pPr>
      <w:r>
        <w:rPr>
          <w:rFonts w:ascii="Arial" w:cs="Arial" w:eastAsia="Arial" w:hAnsi="Arial"/>
          <w:sz w:val="14"/>
          <w:szCs w:val="14"/>
          <w:color w:val="auto"/>
        </w:rPr>
        <w:t>prior to the end of the Performance Period, the Committee shall have the discretion to determine the extent to which the Performance Criteria shall be deemed to have been satisfied through the effective date of such spin-off or earlier, as determined by the Committee and such determination date shall constitute the Certification Date hereunder; provided, the Earned But Unvested Shares so determined shall vest one-fourth on the first anniversary of the Award Date and then ratably on the next three fiscal year-ends.</w:t>
      </w:r>
    </w:p>
    <w:p>
      <w:pPr>
        <w:spacing w:after="0" w:line="116" w:lineRule="exact"/>
        <w:rPr>
          <w:sz w:val="20"/>
          <w:szCs w:val="20"/>
          <w:color w:val="auto"/>
        </w:rPr>
      </w:pPr>
    </w:p>
    <w:p>
      <w:pPr>
        <w:ind w:right="40" w:firstLine="799"/>
        <w:spacing w:after="0" w:line="265" w:lineRule="auto"/>
        <w:tabs>
          <w:tab w:leader="none" w:pos="1347" w:val="left"/>
        </w:tabs>
        <w:numPr>
          <w:ilvl w:val="0"/>
          <w:numId w:val="12"/>
        </w:numPr>
        <w:rPr>
          <w:rFonts w:ascii="Arial" w:cs="Arial" w:eastAsia="Arial" w:hAnsi="Arial"/>
          <w:sz w:val="13"/>
          <w:szCs w:val="13"/>
          <w:color w:val="auto"/>
        </w:rPr>
      </w:pPr>
      <w:r>
        <w:rPr>
          <w:rFonts w:ascii="Arial" w:cs="Arial" w:eastAsia="Arial" w:hAnsi="Arial"/>
          <w:sz w:val="13"/>
          <w:szCs w:val="13"/>
          <w:u w:val="single" w:color="auto"/>
          <w:color w:val="auto"/>
        </w:rPr>
        <w:t>Change-in-Control; Death or Disability; Retirement</w:t>
      </w:r>
      <w:r>
        <w:rPr>
          <w:rFonts w:ascii="Arial" w:cs="Arial" w:eastAsia="Arial" w:hAnsi="Arial"/>
          <w:sz w:val="13"/>
          <w:szCs w:val="13"/>
          <w:color w:val="auto"/>
        </w:rPr>
        <w:t xml:space="preserve">. The restrictions set forth above in Section 3 shall lapse with respect to any Shares (in the case of a Change in Control) or Earned But Unvested Shares (in the case of termination of employment and, if applicable, discontinuation of service as a Director by reason of death, Disability or Retirement) not previously forfeited and the remaining shares of this Award shall become fully vested without regard to the limitations set forth in Section 3 above, provided that the Grantee has been in continuous employment with the Company or any of its Affiliates or has been in continuous service as a Director from the Award Date through: (A) the occurrence of a Change in Control (as defined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 value of shares of the surviving parent corporation, or (ii) the Award is to be settled in cash in accordance with the last sentence of this Section 4, or (B) Grantee’s termination of employment and, if applicable, discontinuation of service as a Director by reason of death, Disability or Retirement. Upon a Change in Control, pursuant to Section 15 of the Plan, the Company may, in its discretion, settle the Award by a cash payment that the Committee shall determine in its sole discretion is equal to the fair market value of the Award on the date of such event. In the event Grantee’s employment with the Company or any of its affiliates is terminated (other than a termination for “cause”) after the end of the Performance Period but before the Certification Date, then notwithstanding the restrictions set forth above in Section 3, on the third business day following the Certification Date, one-fourth of the Earned But Unvested Shares shall vest, and the remainder of the Shares shall be forfeited.</w:t>
      </w:r>
    </w:p>
    <w:p>
      <w:pPr>
        <w:spacing w:after="0" w:line="110" w:lineRule="exact"/>
        <w:rPr>
          <w:rFonts w:ascii="Arial" w:cs="Arial" w:eastAsia="Arial" w:hAnsi="Arial"/>
          <w:sz w:val="13"/>
          <w:szCs w:val="13"/>
          <w:color w:val="auto"/>
        </w:rPr>
      </w:pPr>
    </w:p>
    <w:p>
      <w:pPr>
        <w:jc w:val="both"/>
        <w:ind w:firstLine="799"/>
        <w:spacing w:after="0" w:line="277" w:lineRule="auto"/>
        <w:tabs>
          <w:tab w:leader="none" w:pos="1347" w:val="left"/>
        </w:tabs>
        <w:numPr>
          <w:ilvl w:val="0"/>
          <w:numId w:val="12"/>
        </w:numPr>
        <w:rPr>
          <w:rFonts w:ascii="Arial" w:cs="Arial" w:eastAsia="Arial" w:hAnsi="Arial"/>
          <w:sz w:val="13"/>
          <w:szCs w:val="13"/>
          <w:color w:val="auto"/>
        </w:rPr>
      </w:pPr>
      <w:r>
        <w:rPr>
          <w:rFonts w:ascii="Arial" w:cs="Arial" w:eastAsia="Arial" w:hAnsi="Arial"/>
          <w:sz w:val="13"/>
          <w:szCs w:val="13"/>
          <w:u w:val="single" w:color="auto"/>
          <w:color w:val="auto"/>
        </w:rPr>
        <w:t>Stockholder Rights</w:t>
      </w:r>
      <w:r>
        <w:rPr>
          <w:rFonts w:ascii="Arial" w:cs="Arial" w:eastAsia="Arial" w:hAnsi="Arial"/>
          <w:sz w:val="13"/>
          <w:szCs w:val="13"/>
          <w:color w:val="auto"/>
        </w:rPr>
        <w:t>. The Grantee shall have the right to vote the Shares. On the first dividend payment date following the Certification Date, the Grantee shall be entitled to a cash dividend payment equal to: (i) the sum of per share dividends paid with respect to Common Stock during the period from the Award Date to the Certification Date; provided, the record date for such dividend payment is on or after the Award Date; times (ii) the number of Earned But Unvested Shares (once determined). The Grantee shall also have the right to receive any cash dividends paid on Earned But Unvested Shares after the Certification Date at the same time such amounts are paid with respect to all other shares of Common Stock.</w:t>
      </w:r>
    </w:p>
    <w:p>
      <w:pPr>
        <w:spacing w:after="0" w:line="101" w:lineRule="exact"/>
        <w:rPr>
          <w:rFonts w:ascii="Arial" w:cs="Arial" w:eastAsia="Arial" w:hAnsi="Arial"/>
          <w:sz w:val="13"/>
          <w:szCs w:val="13"/>
          <w:color w:val="auto"/>
        </w:rPr>
      </w:pPr>
    </w:p>
    <w:p>
      <w:pPr>
        <w:ind w:right="160" w:firstLine="799"/>
        <w:spacing w:after="0" w:line="247" w:lineRule="auto"/>
        <w:tabs>
          <w:tab w:leader="none" w:pos="1347" w:val="left"/>
        </w:tabs>
        <w:numPr>
          <w:ilvl w:val="0"/>
          <w:numId w:val="12"/>
        </w:numPr>
        <w:rPr>
          <w:rFonts w:ascii="Arial" w:cs="Arial" w:eastAsia="Arial" w:hAnsi="Arial"/>
          <w:sz w:val="14"/>
          <w:szCs w:val="14"/>
          <w:color w:val="auto"/>
        </w:rPr>
      </w:pPr>
      <w:r>
        <w:rPr>
          <w:rFonts w:ascii="Arial" w:cs="Arial" w:eastAsia="Arial" w:hAnsi="Arial"/>
          <w:sz w:val="14"/>
          <w:szCs w:val="14"/>
          <w:u w:val="single" w:color="auto"/>
          <w:color w:val="auto"/>
        </w:rPr>
        <w:t>Capital Adjustments and Corporate Events</w:t>
      </w:r>
      <w:r>
        <w:rPr>
          <w:rFonts w:ascii="Arial" w:cs="Arial" w:eastAsia="Arial" w:hAnsi="Arial"/>
          <w:sz w:val="14"/>
          <w:szCs w:val="14"/>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 (as may be modified pursuant to this Agreement) and included thereafter as Shares for purposes of this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L:\SEC\Form 10-Q\2021\10.3 Form of Management Restricted Stock Agreement (Performance).docx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1487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2" w:name="page43"/>
    <w:bookmarkEnd w:id="42"/>
    <w:p>
      <w:pPr>
        <w:ind w:left="1340" w:hanging="541"/>
        <w:spacing w:after="0"/>
        <w:tabs>
          <w:tab w:leader="none" w:pos="134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Refusal to Transfer</w:t>
      </w:r>
      <w:r>
        <w:rPr>
          <w:rFonts w:ascii="Arial" w:cs="Arial" w:eastAsia="Arial" w:hAnsi="Arial"/>
          <w:sz w:val="14"/>
          <w:szCs w:val="14"/>
          <w:color w:val="auto"/>
        </w:rPr>
        <w: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Company shall not be required:</w:t>
      </w:r>
    </w:p>
    <w:p>
      <w:pPr>
        <w:spacing w:after="0" w:line="145" w:lineRule="exact"/>
        <w:rPr>
          <w:sz w:val="20"/>
          <w:szCs w:val="20"/>
          <w:color w:val="auto"/>
        </w:rPr>
      </w:pPr>
    </w:p>
    <w:p>
      <w:pPr>
        <w:ind w:left="2400" w:hanging="797"/>
        <w:spacing w:after="0"/>
        <w:tabs>
          <w:tab w:leader="none" w:pos="2400" w:val="left"/>
        </w:tabs>
        <w:numPr>
          <w:ilvl w:val="1"/>
          <w:numId w:val="14"/>
        </w:numPr>
        <w:rPr>
          <w:rFonts w:ascii="Arial" w:cs="Arial" w:eastAsia="Arial" w:hAnsi="Arial"/>
          <w:sz w:val="13"/>
          <w:szCs w:val="13"/>
          <w:color w:val="auto"/>
        </w:rPr>
      </w:pPr>
      <w:r>
        <w:rPr>
          <w:rFonts w:ascii="Arial" w:cs="Arial" w:eastAsia="Arial" w:hAnsi="Arial"/>
          <w:sz w:val="13"/>
          <w:szCs w:val="13"/>
          <w:color w:val="auto"/>
        </w:rPr>
        <w:t>to transfer on its books any Shares that have been sold or otherwise transferred in violation of any of the provisions of this Agreement or the Plan; or</w:t>
      </w:r>
    </w:p>
    <w:p>
      <w:pPr>
        <w:spacing w:after="0" w:line="156" w:lineRule="exact"/>
        <w:rPr>
          <w:rFonts w:ascii="Arial" w:cs="Arial" w:eastAsia="Arial" w:hAnsi="Arial"/>
          <w:sz w:val="13"/>
          <w:szCs w:val="13"/>
          <w:color w:val="auto"/>
        </w:rPr>
      </w:pPr>
    </w:p>
    <w:p>
      <w:pPr>
        <w:ind w:left="2400" w:right="40" w:hanging="797"/>
        <w:spacing w:after="0" w:line="273" w:lineRule="auto"/>
        <w:tabs>
          <w:tab w:leader="none" w:pos="2400" w:val="left"/>
        </w:tabs>
        <w:numPr>
          <w:ilvl w:val="1"/>
          <w:numId w:val="14"/>
        </w:numPr>
        <w:rPr>
          <w:rFonts w:ascii="Arial" w:cs="Arial" w:eastAsia="Arial" w:hAnsi="Arial"/>
          <w:sz w:val="14"/>
          <w:szCs w:val="14"/>
          <w:color w:val="auto"/>
        </w:rPr>
      </w:pPr>
      <w:r>
        <w:rPr>
          <w:rFonts w:ascii="Arial" w:cs="Arial" w:eastAsia="Arial" w:hAnsi="Arial"/>
          <w:sz w:val="14"/>
          <w:szCs w:val="14"/>
          <w:color w:val="auto"/>
        </w:rPr>
        <w:t>to treat such purchaser or other transferee as owner of such Shares, accord such purchaser or other transferee the right to vote; or pay or deliver dividends or other distributions to such purchaser or other transferee with respect to such Shares.</w:t>
      </w:r>
    </w:p>
    <w:p>
      <w:pPr>
        <w:spacing w:after="0" w:line="101" w:lineRule="exact"/>
        <w:rPr>
          <w:rFonts w:ascii="Arial" w:cs="Arial" w:eastAsia="Arial" w:hAnsi="Arial"/>
          <w:sz w:val="14"/>
          <w:szCs w:val="14"/>
          <w:color w:val="auto"/>
        </w:rPr>
      </w:pPr>
    </w:p>
    <w:p>
      <w:pPr>
        <w:ind w:left="1340" w:hanging="541"/>
        <w:spacing w:after="0"/>
        <w:tabs>
          <w:tab w:leader="none" w:pos="1340"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Legends</w:t>
      </w:r>
      <w:r>
        <w:rPr>
          <w:rFonts w:ascii="Arial" w:cs="Arial" w:eastAsia="Arial" w:hAnsi="Arial"/>
          <w:sz w:val="14"/>
          <w:szCs w:val="14"/>
          <w:color w:val="auto"/>
        </w:rPr>
        <w:t>. If the Shares are certificated, the certificate or certificates evidencing the Shares, if any, issued hereunder shall be endorsed with the following legend:</w:t>
      </w:r>
    </w:p>
    <w:p>
      <w:pPr>
        <w:spacing w:after="0" w:line="145" w:lineRule="exact"/>
        <w:rPr>
          <w:sz w:val="20"/>
          <w:szCs w:val="20"/>
          <w:color w:val="auto"/>
        </w:rPr>
      </w:pPr>
    </w:p>
    <w:p>
      <w:pPr>
        <w:ind w:left="1600" w:right="1640"/>
        <w:spacing w:after="0" w:line="249" w:lineRule="auto"/>
        <w:rPr>
          <w:sz w:val="20"/>
          <w:szCs w:val="20"/>
          <w:color w:val="auto"/>
        </w:rPr>
      </w:pPr>
      <w:r>
        <w:rPr>
          <w:rFonts w:ascii="Arial" w:cs="Arial" w:eastAsia="Arial" w:hAnsi="Arial"/>
          <w:sz w:val="14"/>
          <w:szCs w:val="14"/>
          <w:color w:val="auto"/>
        </w:rPr>
        <w:t>THE SHARES REPRESENTED BY THIS CERTIFICATE ARE SUBJECT TO CERTAIN RESTRICTIONS AND, ACCORDINGLY, MAY NOT BE SOLD, ASSIGNED, TRANSFERRED,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spacing w:after="0" w:line="119" w:lineRule="exact"/>
        <w:rPr>
          <w:sz w:val="20"/>
          <w:szCs w:val="20"/>
          <w:color w:val="auto"/>
        </w:rPr>
      </w:pPr>
    </w:p>
    <w:p>
      <w:pPr>
        <w:ind w:firstLine="799"/>
        <w:spacing w:after="0" w:line="267" w:lineRule="auto"/>
        <w:tabs>
          <w:tab w:leader="none" w:pos="1347"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auto"/>
        </w:rPr>
        <w:t>Tax Consequences</w:t>
      </w:r>
      <w:r>
        <w:rPr>
          <w:rFonts w:ascii="Arial" w:cs="Arial" w:eastAsia="Arial" w:hAnsi="Arial"/>
          <w:sz w:val="13"/>
          <w:szCs w:val="13"/>
          <w:color w:val="auto"/>
        </w:rPr>
        <w:t>. The Grantee has reviewed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any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09" w:lineRule="exact"/>
        <w:rPr>
          <w:rFonts w:ascii="Arial" w:cs="Arial" w:eastAsia="Arial" w:hAnsi="Arial"/>
          <w:sz w:val="13"/>
          <w:szCs w:val="13"/>
          <w:color w:val="auto"/>
        </w:rPr>
      </w:pPr>
    </w:p>
    <w:p>
      <w:pPr>
        <w:ind w:firstLine="799"/>
        <w:spacing w:after="0" w:line="266" w:lineRule="auto"/>
        <w:tabs>
          <w:tab w:leader="none" w:pos="1419"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auto"/>
        </w:rPr>
        <w:t>Withholding of Taxes</w:t>
      </w:r>
      <w:r>
        <w:rPr>
          <w:rFonts w:ascii="Arial" w:cs="Arial" w:eastAsia="Arial" w:hAnsi="Arial"/>
          <w:sz w:val="13"/>
          <w:szCs w:val="13"/>
          <w:color w:val="auto"/>
        </w:rPr>
        <w:t>. At the time and to the extent vested Shares become compensation income to the Grantee for federal or state income tax purposes, the Grantee either shall deliver to the Company such amount of money as required to meet the withholding obligation under applicable tax laws or regulations, or, in lieu of cash, the Grantee, in his or her sole discretion, may elect to surrender, or direct the Company to withhold from the vested Shares, shares of Common Stock in such number as necessary to satisfy the tax withholding</w:t>
      </w:r>
    </w:p>
    <w:p>
      <w:pPr>
        <w:ind w:right="700"/>
        <w:spacing w:after="0" w:line="255" w:lineRule="auto"/>
        <w:rPr>
          <w:rFonts w:ascii="Arial" w:cs="Arial" w:eastAsia="Arial" w:hAnsi="Arial"/>
          <w:sz w:val="13"/>
          <w:szCs w:val="13"/>
          <w:color w:val="auto"/>
        </w:rPr>
      </w:pPr>
      <w:r>
        <w:rPr>
          <w:rFonts w:ascii="Arial" w:cs="Arial" w:eastAsia="Arial" w:hAnsi="Arial"/>
          <w:sz w:val="14"/>
          <w:szCs w:val="14"/>
          <w:color w:val="auto"/>
        </w:rPr>
        <w:t>obligations. Further, any dividends paid to you pursuant to Section 5 above prior to the end of the Restriction Period will generally be subject to federal, state and local withholding, as appropriate, as additional compensation.</w:t>
      </w:r>
    </w:p>
    <w:p>
      <w:pPr>
        <w:spacing w:after="0" w:line="113" w:lineRule="exact"/>
        <w:rPr>
          <w:rFonts w:ascii="Arial" w:cs="Arial" w:eastAsia="Arial" w:hAnsi="Arial"/>
          <w:sz w:val="13"/>
          <w:szCs w:val="13"/>
          <w:color w:val="auto"/>
        </w:rPr>
      </w:pPr>
    </w:p>
    <w:p>
      <w:pPr>
        <w:ind w:left="1400" w:hanging="601"/>
        <w:spacing w:after="0"/>
        <w:tabs>
          <w:tab w:leader="none" w:pos="1400"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auto"/>
        </w:rPr>
        <w:t>Entire Agreement; Governing Law</w:t>
      </w:r>
      <w:r>
        <w:rPr>
          <w:rFonts w:ascii="Arial" w:cs="Arial" w:eastAsia="Arial" w:hAnsi="Arial"/>
          <w:sz w:val="13"/>
          <w:szCs w:val="13"/>
          <w:color w:val="auto"/>
        </w:rPr>
        <w:t>. The Plan and this Agreement constitute the entire agreement of the Company and the Grantee (collectively, the “</w:t>
      </w:r>
      <w:r>
        <w:rPr>
          <w:rFonts w:ascii="Arial" w:cs="Arial" w:eastAsia="Arial" w:hAnsi="Arial"/>
          <w:sz w:val="13"/>
          <w:szCs w:val="13"/>
          <w:u w:val="single" w:color="auto"/>
          <w:color w:val="auto"/>
        </w:rPr>
        <w:t>Parties</w:t>
      </w:r>
      <w:r>
        <w:rPr>
          <w:rFonts w:ascii="Arial" w:cs="Arial" w:eastAsia="Arial" w:hAnsi="Arial"/>
          <w:sz w:val="13"/>
          <w:szCs w:val="13"/>
          <w:color w:val="auto"/>
        </w:rPr>
        <w:t>”) with respect</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to the subject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L:\SEC\Form 10-Q\2021\10.3 Form of Management Restricted Stock Agreement (Performance).docx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1487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43" w:name="page44"/>
    <w:bookmarkEnd w:id="43"/>
    <w:p>
      <w:pPr>
        <w:ind w:right="20"/>
        <w:spacing w:after="0" w:line="247" w:lineRule="auto"/>
        <w:rPr>
          <w:sz w:val="20"/>
          <w:szCs w:val="20"/>
          <w:color w:val="auto"/>
        </w:rPr>
      </w:pPr>
      <w:r>
        <w:rPr>
          <w:rFonts w:ascii="Arial" w:cs="Arial" w:eastAsia="Arial" w:hAnsi="Arial"/>
          <w:sz w:val="14"/>
          <w:szCs w:val="14"/>
          <w:color w:val="auto"/>
        </w:rPr>
        <w:t>matter hereof and supersede in their entirety all prior undertakings and agreements of the Parties with respect to the subject matter hereof, and may not be modified adversely to the Grantee’s interest except by means of a writing signed by the Parties.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122" w:lineRule="exact"/>
        <w:rPr>
          <w:sz w:val="20"/>
          <w:szCs w:val="20"/>
          <w:color w:val="auto"/>
        </w:rPr>
      </w:pPr>
    </w:p>
    <w:p>
      <w:pPr>
        <w:ind w:firstLine="799"/>
        <w:spacing w:after="0" w:line="252" w:lineRule="auto"/>
        <w:tabs>
          <w:tab w:leader="none" w:pos="1419"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Interpretive Matters</w:t>
      </w:r>
      <w:r>
        <w:rPr>
          <w:rFonts w:ascii="Arial" w:cs="Arial" w:eastAsia="Arial" w:hAnsi="Arial"/>
          <w:sz w:val="14"/>
          <w:szCs w:val="14"/>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15" w:lineRule="exact"/>
        <w:rPr>
          <w:rFonts w:ascii="Arial" w:cs="Arial" w:eastAsia="Arial" w:hAnsi="Arial"/>
          <w:sz w:val="14"/>
          <w:szCs w:val="14"/>
          <w:color w:val="auto"/>
        </w:rPr>
      </w:pPr>
    </w:p>
    <w:p>
      <w:pPr>
        <w:ind w:right="80" w:firstLine="799"/>
        <w:spacing w:after="0" w:line="286" w:lineRule="auto"/>
        <w:tabs>
          <w:tab w:leader="none" w:pos="1419" w:val="left"/>
        </w:tabs>
        <w:numPr>
          <w:ilvl w:val="0"/>
          <w:numId w:val="17"/>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95" w:lineRule="exact"/>
        <w:rPr>
          <w:rFonts w:ascii="Arial" w:cs="Arial" w:eastAsia="Arial" w:hAnsi="Arial"/>
          <w:sz w:val="13"/>
          <w:szCs w:val="13"/>
          <w:color w:val="auto"/>
        </w:rPr>
      </w:pPr>
    </w:p>
    <w:p>
      <w:pPr>
        <w:ind w:right="140" w:firstLine="799"/>
        <w:spacing w:after="0" w:line="286" w:lineRule="auto"/>
        <w:tabs>
          <w:tab w:leader="none" w:pos="1419" w:val="left"/>
        </w:tabs>
        <w:numPr>
          <w:ilvl w:val="0"/>
          <w:numId w:val="17"/>
        </w:numPr>
        <w:rPr>
          <w:rFonts w:ascii="Arial" w:cs="Arial" w:eastAsia="Arial" w:hAnsi="Arial"/>
          <w:sz w:val="13"/>
          <w:szCs w:val="13"/>
          <w:color w:val="auto"/>
        </w:rPr>
      </w:pPr>
      <w:r>
        <w:rPr>
          <w:rFonts w:ascii="Arial" w:cs="Arial" w:eastAsia="Arial" w:hAnsi="Arial"/>
          <w:sz w:val="13"/>
          <w:szCs w:val="13"/>
          <w:u w:val="single" w:color="auto"/>
          <w:color w:val="auto"/>
        </w:rPr>
        <w:t>Recoupment</w:t>
      </w:r>
      <w:r>
        <w:rPr>
          <w:rFonts w:ascii="Arial" w:cs="Arial" w:eastAsia="Arial" w:hAnsi="Arial"/>
          <w:sz w:val="13"/>
          <w:szCs w:val="13"/>
          <w:color w:val="auto"/>
        </w:rPr>
        <w:t>. This Award (and amounts paid in respect thereof) shall be subject to the terms of the recoupment (clawback) policy adopted by the Company as in effect from time to time, as well as any recoupment/forfeiture provisions required by law and applicable to the Company or its subsidiaries; provided, however, unless prohibited by applicable law, the Company’s recoupment (clawback) policy shall have no application to this Award (or amounts paid in respect thereof) following a Change in Control.</w:t>
      </w:r>
    </w:p>
    <w:p>
      <w:pPr>
        <w:spacing w:after="0" w:line="95" w:lineRule="exact"/>
        <w:rPr>
          <w:rFonts w:ascii="Arial" w:cs="Arial" w:eastAsia="Arial" w:hAnsi="Arial"/>
          <w:sz w:val="13"/>
          <w:szCs w:val="13"/>
          <w:color w:val="auto"/>
        </w:rPr>
      </w:pPr>
    </w:p>
    <w:p>
      <w:pPr>
        <w:ind w:right="60" w:firstLine="799"/>
        <w:spacing w:after="0" w:line="257" w:lineRule="auto"/>
        <w:tabs>
          <w:tab w:leader="none" w:pos="1419"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follows.]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- 5 -</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L:\SEC\Form 10-Q\2021\10.3 Form of Management Restricted Stock Agreement (Performance).docx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1487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269" w:right="339" w:bottom="1440" w:gutter="0" w:footer="0" w:header="0"/>
        </w:sectPr>
      </w:pPr>
    </w:p>
    <w:bookmarkStart w:id="44" w:name="page45"/>
    <w:bookmarkEnd w:id="44"/>
    <w:p>
      <w:pPr>
        <w:jc w:val="center"/>
        <w:ind w:right="400"/>
        <w:spacing w:after="0"/>
        <w:rPr>
          <w:sz w:val="20"/>
          <w:szCs w:val="20"/>
          <w:color w:val="auto"/>
        </w:rPr>
      </w:pPr>
      <w:r>
        <w:rPr>
          <w:rFonts w:ascii="Arial" w:cs="Arial" w:eastAsia="Arial" w:hAnsi="Arial"/>
          <w:sz w:val="14"/>
          <w:szCs w:val="14"/>
          <w:b w:val="1"/>
          <w:bCs w:val="1"/>
          <w:color w:val="auto"/>
        </w:rPr>
        <w:t>EAGLE MATERIALS INC</w:t>
      </w:r>
      <w:r>
        <w:rPr>
          <w:rFonts w:ascii="Arial" w:cs="Arial" w:eastAsia="Arial" w:hAnsi="Arial"/>
          <w:sz w:val="14"/>
          <w:szCs w:val="14"/>
          <w:color w:val="auto"/>
        </w:rPr>
        <w:t>.</w:t>
      </w:r>
    </w:p>
    <w:p>
      <w:pPr>
        <w:spacing w:after="0" w:line="311" w:lineRule="exact"/>
        <w:rPr>
          <w:sz w:val="20"/>
          <w:szCs w:val="20"/>
          <w:color w:val="auto"/>
        </w:rPr>
      </w:pPr>
    </w:p>
    <w:tbl>
      <w:tblPr>
        <w:tblLayout w:type="fixed"/>
        <w:tblInd w:w="2600" w:type="dxa"/>
        <w:tblCellMar>
          <w:top w:w="0" w:type="dxa"/>
          <w:left w:w="0" w:type="dxa"/>
          <w:bottom w:w="0" w:type="dxa"/>
          <w:right w:w="0" w:type="dxa"/>
        </w:tblCellMar>
      </w:tblPr>
      <w:tr>
        <w:trPr>
          <w:trHeight w:val="176"/>
        </w:trPr>
        <w:tc>
          <w:tcPr>
            <w:tcW w:w="640" w:type="dxa"/>
            <w:vAlign w:val="bottom"/>
          </w:tcPr>
          <w:p>
            <w:pPr>
              <w:spacing w:after="0"/>
              <w:rPr>
                <w:sz w:val="20"/>
                <w:szCs w:val="20"/>
                <w:color w:val="auto"/>
              </w:rPr>
            </w:pPr>
            <w:r>
              <w:rPr>
                <w:rFonts w:ascii="Arial" w:cs="Arial" w:eastAsia="Arial" w:hAnsi="Arial"/>
                <w:sz w:val="14"/>
                <w:szCs w:val="14"/>
                <w:color w:val="auto"/>
              </w:rPr>
              <w:t>By:</w:t>
            </w:r>
          </w:p>
        </w:tc>
        <w:tc>
          <w:tcPr>
            <w:tcW w:w="2860" w:type="dxa"/>
            <w:vAlign w:val="bottom"/>
            <w:tcBorders>
              <w:bottom w:val="single" w:sz="8" w:color="auto"/>
            </w:tcBorders>
          </w:tcPr>
          <w:p>
            <w:pPr>
              <w:spacing w:after="0"/>
              <w:rPr>
                <w:sz w:val="15"/>
                <w:szCs w:val="15"/>
                <w:color w:val="auto"/>
              </w:rPr>
            </w:pPr>
          </w:p>
        </w:tc>
      </w:tr>
      <w:tr>
        <w:trPr>
          <w:trHeight w:val="301"/>
        </w:trPr>
        <w:tc>
          <w:tcPr>
            <w:tcW w:w="640" w:type="dxa"/>
            <w:vAlign w:val="bottom"/>
          </w:tcPr>
          <w:p>
            <w:pPr>
              <w:spacing w:after="0"/>
              <w:rPr>
                <w:sz w:val="20"/>
                <w:szCs w:val="20"/>
                <w:color w:val="auto"/>
              </w:rPr>
            </w:pPr>
            <w:r>
              <w:rPr>
                <w:rFonts w:ascii="Arial" w:cs="Arial" w:eastAsia="Arial" w:hAnsi="Arial"/>
                <w:sz w:val="14"/>
                <w:szCs w:val="14"/>
                <w:color w:val="auto"/>
              </w:rPr>
              <w:t>Name:</w:t>
            </w:r>
          </w:p>
        </w:tc>
        <w:tc>
          <w:tcPr>
            <w:tcW w:w="2860" w:type="dxa"/>
            <w:vAlign w:val="bottom"/>
          </w:tcPr>
          <w:p>
            <w:pPr>
              <w:spacing w:after="0"/>
              <w:rPr>
                <w:sz w:val="20"/>
                <w:szCs w:val="20"/>
                <w:color w:val="auto"/>
              </w:rPr>
            </w:pPr>
            <w:r>
              <w:rPr>
                <w:rFonts w:ascii="Arial" w:cs="Arial" w:eastAsia="Arial" w:hAnsi="Arial"/>
                <w:sz w:val="14"/>
                <w:szCs w:val="14"/>
                <w:color w:val="auto"/>
              </w:rPr>
              <w:t>Michael R. Haack</w:t>
            </w:r>
          </w:p>
        </w:tc>
      </w:tr>
      <w:tr>
        <w:trPr>
          <w:trHeight w:val="306"/>
        </w:trPr>
        <w:tc>
          <w:tcPr>
            <w:tcW w:w="640" w:type="dxa"/>
            <w:vAlign w:val="bottom"/>
          </w:tcPr>
          <w:p>
            <w:pPr>
              <w:spacing w:after="0"/>
              <w:rPr>
                <w:sz w:val="20"/>
                <w:szCs w:val="20"/>
                <w:color w:val="auto"/>
              </w:rPr>
            </w:pPr>
            <w:r>
              <w:rPr>
                <w:rFonts w:ascii="Arial" w:cs="Arial" w:eastAsia="Arial" w:hAnsi="Arial"/>
                <w:sz w:val="14"/>
                <w:szCs w:val="14"/>
                <w:color w:val="auto"/>
              </w:rPr>
              <w:t>Its:</w:t>
            </w:r>
          </w:p>
        </w:tc>
        <w:tc>
          <w:tcPr>
            <w:tcW w:w="2860" w:type="dxa"/>
            <w:vAlign w:val="bottom"/>
          </w:tcPr>
          <w:p>
            <w:pPr>
              <w:spacing w:after="0"/>
              <w:rPr>
                <w:sz w:val="20"/>
                <w:szCs w:val="20"/>
                <w:color w:val="auto"/>
              </w:rPr>
            </w:pPr>
            <w:r>
              <w:rPr>
                <w:rFonts w:ascii="Arial" w:cs="Arial" w:eastAsia="Arial" w:hAnsi="Arial"/>
                <w:sz w:val="14"/>
                <w:szCs w:val="14"/>
                <w:color w:val="auto"/>
              </w:rPr>
              <w:t>President and CEO</w:t>
            </w:r>
          </w:p>
        </w:tc>
      </w:tr>
    </w:tbl>
    <w:p>
      <w:pPr>
        <w:spacing w:after="0" w:line="12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3"/>
          <w:szCs w:val="13"/>
          <w:color w:val="auto"/>
        </w:rPr>
        <w:t>5960 Berkshire Ln. Suite 900</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Dallas, Texas 75225</w:t>
      </w:r>
    </w:p>
    <w:p>
      <w:pPr>
        <w:spacing w:after="0" w:line="133" w:lineRule="exact"/>
        <w:rPr>
          <w:sz w:val="20"/>
          <w:szCs w:val="20"/>
          <w:color w:val="auto"/>
        </w:rPr>
      </w:pPr>
    </w:p>
    <w:p>
      <w:pPr>
        <w:ind w:firstLine="807"/>
        <w:spacing w:after="0" w:line="252" w:lineRule="auto"/>
        <w:rPr>
          <w:sz w:val="20"/>
          <w:szCs w:val="20"/>
          <w:color w:val="auto"/>
        </w:rPr>
      </w:pPr>
      <w:r>
        <w:rPr>
          <w:rFonts w:ascii="Arial" w:cs="Arial" w:eastAsia="Arial" w:hAnsi="Arial"/>
          <w:sz w:val="14"/>
          <w:szCs w:val="14"/>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260"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Signed:</w:t>
        <w:tab/>
        <w:t>_____________________________________</w:t>
      </w:r>
    </w:p>
    <w:p>
      <w:pPr>
        <w:spacing w:after="0" w:line="145"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__________</w:t>
      </w:r>
    </w:p>
    <w:p>
      <w:pPr>
        <w:spacing w:after="0" w:line="289"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3"/>
          <w:szCs w:val="13"/>
          <w:color w:val="auto"/>
        </w:rPr>
        <w:t>Eagle Materials Inc.</w:t>
      </w:r>
    </w:p>
    <w:p>
      <w:pPr>
        <w:spacing w:after="0" w:line="73"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5960 Berkshire Ln., Suite 900</w:t>
      </w:r>
    </w:p>
    <w:p>
      <w:pPr>
        <w:spacing w:after="0" w:line="73"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Dallas, Texas 75225</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- 6 -</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L:\SEC\Form 10-Q\2021\10.3 Form of Management Restricted Stock Agreement (Performance).docx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1487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00" w:top="409"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CHANGE-IN-CONTROL</w:t>
      </w:r>
    </w:p>
    <w:p>
      <w:pPr>
        <w:spacing w:after="0" w:line="203" w:lineRule="exact"/>
        <w:rPr>
          <w:sz w:val="20"/>
          <w:szCs w:val="20"/>
          <w:color w:val="auto"/>
        </w:rPr>
      </w:pPr>
    </w:p>
    <w:p>
      <w:pPr>
        <w:ind w:left="780"/>
        <w:spacing w:after="0"/>
        <w:rPr>
          <w:sz w:val="20"/>
          <w:szCs w:val="20"/>
          <w:color w:val="auto"/>
        </w:rPr>
      </w:pPr>
      <w:r>
        <w:rPr>
          <w:rFonts w:ascii="Arial" w:cs="Arial" w:eastAsia="Arial" w:hAnsi="Arial"/>
          <w:sz w:val="14"/>
          <w:szCs w:val="14"/>
          <w:color w:val="auto"/>
        </w:rPr>
        <w:t>For the purpose of this Agreement, a "Change in Control" shall mean the occurrence of any of the following events:</w:t>
      </w:r>
    </w:p>
    <w:p>
      <w:pPr>
        <w:spacing w:after="0" w:line="73" w:lineRule="exact"/>
        <w:rPr>
          <w:sz w:val="20"/>
          <w:szCs w:val="20"/>
          <w:color w:val="auto"/>
        </w:rPr>
      </w:pPr>
    </w:p>
    <w:p>
      <w:pPr>
        <w:ind w:left="-20" w:right="60" w:firstLine="799"/>
        <w:spacing w:after="0" w:line="249" w:lineRule="auto"/>
        <w:tabs>
          <w:tab w:leader="none" w:pos="1379"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46" w:lineRule="exact"/>
        <w:rPr>
          <w:rFonts w:ascii="Arial" w:cs="Arial" w:eastAsia="Arial" w:hAnsi="Arial"/>
          <w:sz w:val="14"/>
          <w:szCs w:val="14"/>
          <w:color w:val="auto"/>
        </w:rPr>
      </w:pPr>
    </w:p>
    <w:p>
      <w:pPr>
        <w:ind w:left="-20" w:right="40" w:firstLine="799"/>
        <w:spacing w:after="0" w:line="247" w:lineRule="auto"/>
        <w:tabs>
          <w:tab w:leader="none" w:pos="138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49" w:lineRule="exact"/>
        <w:rPr>
          <w:rFonts w:ascii="Arial" w:cs="Arial" w:eastAsia="Arial" w:hAnsi="Arial"/>
          <w:sz w:val="14"/>
          <w:szCs w:val="14"/>
          <w:color w:val="auto"/>
        </w:rPr>
      </w:pPr>
    </w:p>
    <w:p>
      <w:pPr>
        <w:ind w:left="-20" w:firstLine="799"/>
        <w:spacing w:after="0" w:line="245" w:lineRule="auto"/>
        <w:tabs>
          <w:tab w:leader="none" w:pos="1379"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50" w:lineRule="exact"/>
        <w:rPr>
          <w:rFonts w:ascii="Arial" w:cs="Arial" w:eastAsia="Arial" w:hAnsi="Arial"/>
          <w:sz w:val="14"/>
          <w:szCs w:val="14"/>
          <w:color w:val="auto"/>
        </w:rPr>
      </w:pPr>
    </w:p>
    <w:p>
      <w:pPr>
        <w:ind w:left="-20" w:firstLine="799"/>
        <w:spacing w:after="0" w:line="252" w:lineRule="auto"/>
        <w:tabs>
          <w:tab w:leader="none" w:pos="1387" w:val="left"/>
        </w:tabs>
        <w:numPr>
          <w:ilvl w:val="0"/>
          <w:numId w:val="18"/>
        </w:numPr>
        <w:rPr>
          <w:rFonts w:ascii="Arial" w:cs="Arial" w:eastAsia="Arial" w:hAnsi="Arial"/>
          <w:sz w:val="14"/>
          <w:szCs w:val="14"/>
          <w:color w:val="auto"/>
        </w:rPr>
      </w:pPr>
      <w:r>
        <w:rPr>
          <w:rFonts w:ascii="Arial" w:cs="Arial" w:eastAsia="Arial" w:hAnsi="Arial"/>
          <w:sz w:val="14"/>
          <w:szCs w:val="14"/>
          <w:color w:val="auto"/>
        </w:rPr>
        <w:t>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133985</wp:posOffset>
            </wp:positionV>
            <wp:extent cx="721487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6" w:name="page47"/>
    <w:bookmarkEnd w:id="46"/>
    <w:p>
      <w:pPr>
        <w:ind w:right="40"/>
        <w:spacing w:after="0" w:line="249" w:lineRule="auto"/>
        <w:rPr>
          <w:sz w:val="20"/>
          <w:szCs w:val="20"/>
          <w:color w:val="auto"/>
        </w:rPr>
      </w:pPr>
      <w:r>
        <w:rPr>
          <w:rFonts w:ascii="Arial" w:cs="Arial" w:eastAsia="Arial" w:hAnsi="Arial"/>
          <w:sz w:val="14"/>
          <w:szCs w:val="14"/>
          <w:color w:val="auto"/>
        </w:rPr>
        <w:t>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4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For purposes of the foregoing,</w:t>
      </w:r>
    </w:p>
    <w:p>
      <w:pPr>
        <w:spacing w:after="0" w:line="73" w:lineRule="exact"/>
        <w:rPr>
          <w:sz w:val="20"/>
          <w:szCs w:val="20"/>
          <w:color w:val="auto"/>
        </w:rPr>
      </w:pPr>
    </w:p>
    <w:p>
      <w:pPr>
        <w:ind w:left="1600" w:hanging="807"/>
        <w:spacing w:after="0"/>
        <w:tabs>
          <w:tab w:leader="none" w:pos="1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Person</w:t>
      </w:r>
      <w:r>
        <w:rPr>
          <w:rFonts w:ascii="Arial" w:cs="Arial" w:eastAsia="Arial" w:hAnsi="Arial"/>
          <w:sz w:val="14"/>
          <w:szCs w:val="14"/>
          <w:color w:val="auto"/>
        </w:rPr>
        <w:t>" means an individual, entity or group;</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group</w:t>
      </w:r>
      <w:r>
        <w:rPr>
          <w:rFonts w:ascii="Arial" w:cs="Arial" w:eastAsia="Arial" w:hAnsi="Arial"/>
          <w:sz w:val="14"/>
          <w:szCs w:val="14"/>
          <w:color w:val="auto"/>
        </w:rPr>
        <w:t>" is used as it is defined for purposes of Section 13(d)(3) of the Exchange Act;</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terms "</w:t>
      </w:r>
      <w:r>
        <w:rPr>
          <w:rFonts w:ascii="Arial" w:cs="Arial" w:eastAsia="Arial" w:hAnsi="Arial"/>
          <w:sz w:val="14"/>
          <w:szCs w:val="14"/>
          <w:i w:val="1"/>
          <w:iCs w:val="1"/>
          <w:color w:val="auto"/>
        </w:rPr>
        <w:t>beneficial owner</w:t>
      </w:r>
      <w:r>
        <w:rPr>
          <w:rFonts w:ascii="Arial" w:cs="Arial" w:eastAsia="Arial" w:hAnsi="Arial"/>
          <w:sz w:val="14"/>
          <w:szCs w:val="14"/>
          <w:color w:val="auto"/>
        </w:rPr>
        <w:t>", "</w:t>
      </w:r>
      <w:r>
        <w:rPr>
          <w:rFonts w:ascii="Arial" w:cs="Arial" w:eastAsia="Arial" w:hAnsi="Arial"/>
          <w:sz w:val="14"/>
          <w:szCs w:val="14"/>
          <w:i w:val="1"/>
          <w:iCs w:val="1"/>
          <w:color w:val="auto"/>
        </w:rPr>
        <w:t>beneficial ownership</w:t>
      </w:r>
      <w:r>
        <w:rPr>
          <w:rFonts w:ascii="Arial" w:cs="Arial" w:eastAsia="Arial" w:hAnsi="Arial"/>
          <w:sz w:val="14"/>
          <w:szCs w:val="14"/>
          <w:color w:val="auto"/>
        </w:rPr>
        <w:t>" and "</w:t>
      </w:r>
      <w:r>
        <w:rPr>
          <w:rFonts w:ascii="Arial" w:cs="Arial" w:eastAsia="Arial" w:hAnsi="Arial"/>
          <w:sz w:val="14"/>
          <w:szCs w:val="14"/>
          <w:i w:val="1"/>
          <w:iCs w:val="1"/>
          <w:color w:val="auto"/>
        </w:rPr>
        <w:t>beneficially own</w:t>
      </w:r>
      <w:r>
        <w:rPr>
          <w:rFonts w:ascii="Arial" w:cs="Arial" w:eastAsia="Arial" w:hAnsi="Arial"/>
          <w:sz w:val="14"/>
          <w:szCs w:val="14"/>
          <w:color w:val="auto"/>
        </w:rPr>
        <w:t>" are used as defined for purposes of Rule 13d-3 under the Exchange Act;</w:t>
      </w:r>
    </w:p>
    <w:p>
      <w:pPr>
        <w:spacing w:after="0" w:line="73" w:lineRule="exact"/>
        <w:rPr>
          <w:rFonts w:ascii="Arial" w:cs="Arial" w:eastAsia="Arial" w:hAnsi="Arial"/>
          <w:sz w:val="14"/>
          <w:szCs w:val="14"/>
          <w:color w:val="auto"/>
        </w:rPr>
      </w:pPr>
    </w:p>
    <w:p>
      <w:pPr>
        <w:ind w:left="1600" w:right="440" w:hanging="807"/>
        <w:spacing w:after="0" w:line="273" w:lineRule="auto"/>
        <w:tabs>
          <w:tab w:leader="none" w:pos="1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Business Combination</w:t>
      </w:r>
      <w:r>
        <w:rPr>
          <w:rFonts w:ascii="Arial" w:cs="Arial" w:eastAsia="Arial" w:hAnsi="Arial"/>
          <w:sz w:val="14"/>
          <w:szCs w:val="14"/>
          <w:color w:val="auto"/>
        </w:rPr>
        <w:t>" means (x) a merger, consolidation or share exchange involving the Company or its stock or (y) an acquisition by the Company, directly or through one or more subsidiaries, of another entity or its stock or assets;</w:t>
      </w:r>
    </w:p>
    <w:p>
      <w:pPr>
        <w:spacing w:after="0" w:line="29" w:lineRule="exact"/>
        <w:rPr>
          <w:rFonts w:ascii="Arial" w:cs="Arial" w:eastAsia="Arial" w:hAnsi="Arial"/>
          <w:sz w:val="14"/>
          <w:szCs w:val="14"/>
          <w:color w:val="auto"/>
        </w:rPr>
      </w:pPr>
    </w:p>
    <w:p>
      <w:pPr>
        <w:ind w:left="1600" w:hanging="807"/>
        <w:spacing w:after="0"/>
        <w:tabs>
          <w:tab w:leader="none" w:pos="1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Company Common Stock</w:t>
      </w:r>
      <w:r>
        <w:rPr>
          <w:rFonts w:ascii="Arial" w:cs="Arial" w:eastAsia="Arial" w:hAnsi="Arial"/>
          <w:sz w:val="14"/>
          <w:szCs w:val="14"/>
          <w:color w:val="auto"/>
        </w:rPr>
        <w:t>" shall mean the Common Stock, par value $.01 per share, of the Company;</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Exchange Act</w:t>
      </w:r>
      <w:r>
        <w:rPr>
          <w:rFonts w:ascii="Arial" w:cs="Arial" w:eastAsia="Arial" w:hAnsi="Arial"/>
          <w:sz w:val="14"/>
          <w:szCs w:val="14"/>
          <w:color w:val="auto"/>
        </w:rPr>
        <w:t>" means the Securities Exchange Act of 1934, as amended;</w:t>
      </w:r>
    </w:p>
    <w:p>
      <w:pPr>
        <w:spacing w:after="0" w:line="73" w:lineRule="exact"/>
        <w:rPr>
          <w:rFonts w:ascii="Arial" w:cs="Arial" w:eastAsia="Arial" w:hAnsi="Arial"/>
          <w:sz w:val="14"/>
          <w:szCs w:val="14"/>
          <w:color w:val="auto"/>
        </w:rPr>
      </w:pPr>
    </w:p>
    <w:p>
      <w:pPr>
        <w:ind w:left="1600" w:right="160" w:hanging="807"/>
        <w:spacing w:after="0" w:line="257" w:lineRule="auto"/>
        <w:tabs>
          <w:tab w:leader="none" w:pos="1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phrase "</w:t>
      </w:r>
      <w:r>
        <w:rPr>
          <w:rFonts w:ascii="Arial" w:cs="Arial" w:eastAsia="Arial" w:hAnsi="Arial"/>
          <w:sz w:val="14"/>
          <w:szCs w:val="14"/>
          <w:i w:val="1"/>
          <w:iCs w:val="1"/>
          <w:color w:val="auto"/>
        </w:rPr>
        <w:t>parent corporation resulting from a Business Combination</w:t>
      </w:r>
      <w:r>
        <w:rPr>
          <w:rFonts w:ascii="Arial" w:cs="Arial" w:eastAsia="Arial" w:hAnsi="Arial"/>
          <w:sz w:val="14"/>
          <w:szCs w:val="14"/>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40" w:lineRule="exact"/>
        <w:rPr>
          <w:rFonts w:ascii="Arial" w:cs="Arial" w:eastAsia="Arial" w:hAnsi="Arial"/>
          <w:sz w:val="14"/>
          <w:szCs w:val="14"/>
          <w:color w:val="auto"/>
        </w:rPr>
      </w:pPr>
    </w:p>
    <w:p>
      <w:pPr>
        <w:ind w:left="1600" w:hanging="807"/>
        <w:spacing w:after="0" w:line="257" w:lineRule="auto"/>
        <w:tabs>
          <w:tab w:leader="none" w:pos="1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Major Asset Disposition</w:t>
      </w:r>
      <w:r>
        <w:rPr>
          <w:rFonts w:ascii="Arial" w:cs="Arial" w:eastAsia="Arial" w:hAnsi="Arial"/>
          <w:sz w:val="14"/>
          <w:szCs w:val="14"/>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40" w:lineRule="exact"/>
        <w:rPr>
          <w:rFonts w:ascii="Arial" w:cs="Arial" w:eastAsia="Arial" w:hAnsi="Arial"/>
          <w:sz w:val="14"/>
          <w:szCs w:val="14"/>
          <w:color w:val="auto"/>
        </w:rPr>
      </w:pPr>
    </w:p>
    <w:p>
      <w:pPr>
        <w:ind w:left="1600" w:right="200" w:hanging="807"/>
        <w:spacing w:after="0" w:line="257" w:lineRule="auto"/>
        <w:tabs>
          <w:tab w:leader="none" w:pos="1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Acquiring Entity</w:t>
      </w:r>
      <w:r>
        <w:rPr>
          <w:rFonts w:ascii="Arial" w:cs="Arial" w:eastAsia="Arial" w:hAnsi="Arial"/>
          <w:sz w:val="14"/>
          <w:szCs w:val="14"/>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40" w:lineRule="exact"/>
        <w:rPr>
          <w:rFonts w:ascii="Arial" w:cs="Arial" w:eastAsia="Arial" w:hAnsi="Arial"/>
          <w:sz w:val="14"/>
          <w:szCs w:val="14"/>
          <w:color w:val="auto"/>
        </w:rPr>
      </w:pPr>
    </w:p>
    <w:p>
      <w:pPr>
        <w:jc w:val="both"/>
        <w:ind w:left="1600" w:right="80" w:hanging="807"/>
        <w:spacing w:after="0" w:line="277" w:lineRule="auto"/>
        <w:tabs>
          <w:tab w:leader="none" w:pos="1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phrase "</w:t>
      </w:r>
      <w:r>
        <w:rPr>
          <w:rFonts w:ascii="Arial" w:cs="Arial" w:eastAsia="Arial" w:hAnsi="Arial"/>
          <w:sz w:val="13"/>
          <w:szCs w:val="13"/>
          <w:i w:val="1"/>
          <w:iCs w:val="1"/>
          <w:color w:val="auto"/>
        </w:rPr>
        <w:t>substantially the same proportions</w:t>
      </w:r>
      <w:r>
        <w:rPr>
          <w:rFonts w:ascii="Arial" w:cs="Arial" w:eastAsia="Arial" w:hAnsi="Arial"/>
          <w:sz w:val="13"/>
          <w:szCs w:val="13"/>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174" w:lineRule="exact"/>
        <w:rPr>
          <w:sz w:val="20"/>
          <w:szCs w:val="20"/>
          <w:color w:val="auto"/>
        </w:rPr>
      </w:pPr>
    </w:p>
    <w:p>
      <w:pPr>
        <w:jc w:val="center"/>
        <w:ind w:left="400"/>
        <w:spacing w:after="0"/>
        <w:rPr>
          <w:sz w:val="20"/>
          <w:szCs w:val="20"/>
          <w:color w:val="auto"/>
        </w:rPr>
      </w:pPr>
      <w:r>
        <w:rPr>
          <w:rFonts w:ascii="Arial" w:cs="Arial" w:eastAsia="Arial" w:hAnsi="Arial"/>
          <w:sz w:val="14"/>
          <w:szCs w:val="14"/>
          <w:color w:val="auto"/>
        </w:rPr>
        <w:t>EXHIBIT A - 2</w:t>
      </w:r>
    </w:p>
    <w:p>
      <w:pPr>
        <w:sectPr>
          <w:pgSz w:w="11900" w:h="16838" w:orient="portrait"/>
          <w:cols w:equalWidth="0" w:num="1">
            <w:col w:w="11300"/>
          </w:cols>
          <w:pgMar w:left="300" w:top="413" w:right="29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auto"/>
        </w:rPr>
        <w:t>EXHIBIT 10.4</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EAGLE MATERIALS INC</w:t>
      </w:r>
      <w:r>
        <w:rPr>
          <w:rFonts w:ascii="Arial" w:cs="Arial" w:eastAsia="Arial" w:hAnsi="Arial"/>
          <w:sz w:val="14"/>
          <w:szCs w:val="14"/>
          <w:b w:val="1"/>
          <w:bCs w:val="1"/>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INCENTIVE PLAN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RESTRICTED STOCK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(Time Vesting)</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3"/>
          <w:szCs w:val="13"/>
          <w:color w:val="auto"/>
        </w:rPr>
        <w:t>E</w:t>
      </w:r>
      <w:r>
        <w:rPr>
          <w:rFonts w:ascii="Arial" w:cs="Arial" w:eastAsia="Arial" w:hAnsi="Arial"/>
          <w:sz w:val="8"/>
          <w:szCs w:val="8"/>
          <w:color w:val="auto"/>
        </w:rPr>
        <w:t>AGLE</w:t>
      </w:r>
      <w:r>
        <w:rPr>
          <w:rFonts w:ascii="Arial" w:cs="Arial" w:eastAsia="Arial" w:hAnsi="Arial"/>
          <w:sz w:val="13"/>
          <w:szCs w:val="13"/>
          <w:color w:val="auto"/>
        </w:rPr>
        <w:t xml:space="preserve"> M</w:t>
      </w:r>
      <w:r>
        <w:rPr>
          <w:rFonts w:ascii="Arial" w:cs="Arial" w:eastAsia="Arial" w:hAnsi="Arial"/>
          <w:sz w:val="8"/>
          <w:szCs w:val="8"/>
          <w:color w:val="auto"/>
        </w:rPr>
        <w:t>ATERIALS</w:t>
      </w:r>
      <w:r>
        <w:rPr>
          <w:rFonts w:ascii="Arial" w:cs="Arial" w:eastAsia="Arial" w:hAnsi="Arial"/>
          <w:sz w:val="13"/>
          <w:szCs w:val="13"/>
          <w:color w:val="auto"/>
        </w:rPr>
        <w:t xml:space="preserve"> I</w:t>
      </w:r>
      <w:r>
        <w:rPr>
          <w:rFonts w:ascii="Arial" w:cs="Arial" w:eastAsia="Arial" w:hAnsi="Arial"/>
          <w:sz w:val="8"/>
          <w:szCs w:val="8"/>
          <w:color w:val="auto"/>
        </w:rPr>
        <w:t>NC</w:t>
      </w:r>
      <w:r>
        <w:rPr>
          <w:rFonts w:ascii="Arial" w:cs="Arial" w:eastAsia="Arial" w:hAnsi="Arial"/>
          <w:sz w:val="13"/>
          <w:szCs w:val="13"/>
          <w:color w:val="auto"/>
        </w:rPr>
        <w:t>.,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________________ (the "</w:t>
      </w:r>
      <w:r>
        <w:rPr>
          <w:rFonts w:ascii="Arial" w:cs="Arial" w:eastAsia="Arial" w:hAnsi="Arial"/>
          <w:sz w:val="13"/>
          <w:szCs w:val="13"/>
          <w:u w:val="single" w:color="auto"/>
          <w:color w:val="auto"/>
        </w:rPr>
        <w:t>Grantee</w:t>
      </w:r>
      <w:r>
        <w:rPr>
          <w:rFonts w:ascii="Arial" w:cs="Arial" w:eastAsia="Arial" w:hAnsi="Arial"/>
          <w:sz w:val="13"/>
          <w:szCs w:val="13"/>
          <w:color w:val="auto"/>
        </w:rPr>
        <w:t>") hereby enter into this Restricted Stock Agreement (the "</w:t>
      </w:r>
      <w:r>
        <w:rPr>
          <w:rFonts w:ascii="Arial" w:cs="Arial" w:eastAsia="Arial" w:hAnsi="Arial"/>
          <w:sz w:val="13"/>
          <w:szCs w:val="13"/>
          <w:u w:val="single" w:color="auto"/>
          <w:color w:val="auto"/>
        </w:rPr>
        <w:t>Agreement</w:t>
      </w:r>
      <w:r>
        <w:rPr>
          <w:rFonts w:ascii="Arial" w:cs="Arial" w:eastAsia="Arial" w:hAnsi="Arial"/>
          <w:sz w:val="13"/>
          <w:szCs w:val="13"/>
          <w:color w:val="auto"/>
        </w:rPr>
        <w:t>") in</w:t>
      </w:r>
    </w:p>
    <w:p>
      <w:pPr>
        <w:spacing w:after="0" w:line="25"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order to set forth the terms and conditions of the Company’s award (the "</w:t>
      </w:r>
      <w:r>
        <w:rPr>
          <w:rFonts w:ascii="Arial" w:cs="Arial" w:eastAsia="Arial" w:hAnsi="Arial"/>
          <w:sz w:val="14"/>
          <w:szCs w:val="14"/>
          <w:u w:val="single" w:color="auto"/>
          <w:color w:val="auto"/>
        </w:rPr>
        <w:t>Award</w:t>
      </w:r>
      <w:r>
        <w:rPr>
          <w:rFonts w:ascii="Arial" w:cs="Arial" w:eastAsia="Arial" w:hAnsi="Arial"/>
          <w:sz w:val="14"/>
          <w:szCs w:val="14"/>
          <w:color w:val="auto"/>
        </w:rPr>
        <w:t>") to the Grantee of certain shares of Common Stock of the Company granted to the Grantee on May 19, 2021 (the "</w:t>
      </w:r>
      <w:r>
        <w:rPr>
          <w:rFonts w:ascii="Arial" w:cs="Arial" w:eastAsia="Arial" w:hAnsi="Arial"/>
          <w:sz w:val="14"/>
          <w:szCs w:val="14"/>
          <w:u w:val="single" w:color="auto"/>
          <w:color w:val="auto"/>
        </w:rPr>
        <w:t>Award Date</w:t>
      </w:r>
      <w:r>
        <w:rPr>
          <w:rFonts w:ascii="Arial" w:cs="Arial" w:eastAsia="Arial" w:hAnsi="Arial"/>
          <w:sz w:val="14"/>
          <w:szCs w:val="14"/>
          <w:color w:val="auto"/>
        </w:rPr>
        <w:t>").</w:t>
      </w:r>
    </w:p>
    <w:p>
      <w:pPr>
        <w:spacing w:after="0" w:line="114" w:lineRule="exact"/>
        <w:rPr>
          <w:sz w:val="20"/>
          <w:szCs w:val="20"/>
          <w:color w:val="auto"/>
        </w:rPr>
      </w:pPr>
    </w:p>
    <w:p>
      <w:pPr>
        <w:ind w:left="1340" w:hanging="541"/>
        <w:spacing w:after="0"/>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u w:val="single" w:color="auto"/>
          <w:color w:val="auto"/>
        </w:rPr>
        <w:t>Award</w:t>
      </w:r>
      <w:r>
        <w:rPr>
          <w:rFonts w:ascii="Arial" w:cs="Arial" w:eastAsia="Arial" w:hAnsi="Arial"/>
          <w:sz w:val="14"/>
          <w:szCs w:val="14"/>
          <w:color w:val="auto"/>
        </w:rPr>
        <w:t>. The Company hereby awards to the Grantee _________ shares of Common Stock of the Company (the "</w:t>
      </w:r>
      <w:r>
        <w:rPr>
          <w:rFonts w:ascii="Arial" w:cs="Arial" w:eastAsia="Arial" w:hAnsi="Arial"/>
          <w:sz w:val="14"/>
          <w:szCs w:val="14"/>
          <w:u w:val="single" w:color="auto"/>
          <w:color w:val="auto"/>
        </w:rPr>
        <w:t>Shares</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right="440" w:firstLine="799"/>
        <w:spacing w:after="0" w:line="257" w:lineRule="auto"/>
        <w:tabs>
          <w:tab w:leader="none" w:pos="1347" w:val="left"/>
        </w:tabs>
        <w:numPr>
          <w:ilvl w:val="0"/>
          <w:numId w:val="20"/>
        </w:numPr>
        <w:rPr>
          <w:rFonts w:ascii="Arial" w:cs="Arial" w:eastAsia="Arial" w:hAnsi="Arial"/>
          <w:sz w:val="14"/>
          <w:szCs w:val="14"/>
          <w:color w:val="auto"/>
        </w:rPr>
      </w:pPr>
      <w:r>
        <w:rPr>
          <w:rFonts w:ascii="Arial" w:cs="Arial" w:eastAsia="Arial" w:hAnsi="Arial"/>
          <w:sz w:val="14"/>
          <w:szCs w:val="14"/>
          <w:u w:val="single" w:color="auto"/>
          <w:color w:val="auto"/>
        </w:rPr>
        <w:t>Relationship to the Plan</w:t>
      </w:r>
      <w:r>
        <w:rPr>
          <w:rFonts w:ascii="Arial" w:cs="Arial" w:eastAsia="Arial" w:hAnsi="Arial"/>
          <w:sz w:val="14"/>
          <w:szCs w:val="14"/>
          <w:color w:val="auto"/>
        </w:rPr>
        <w:t>. The Award shall be subject to the terms and conditions of the Eagle Materials Inc. Amended and Restated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this Agreement and such administrative interpretations of the Plan, if any, as may be in effect on the date of this Agreement. Except as defined herein, capitalized terms shall have the meanings ascribed to them under the Plan. For purposes of this Agreement:</w:t>
      </w:r>
    </w:p>
    <w:p>
      <w:pPr>
        <w:spacing w:after="0" w:line="112" w:lineRule="exact"/>
        <w:rPr>
          <w:rFonts w:ascii="Arial" w:cs="Arial" w:eastAsia="Arial" w:hAnsi="Arial"/>
          <w:sz w:val="14"/>
          <w:szCs w:val="14"/>
          <w:color w:val="auto"/>
        </w:rPr>
      </w:pPr>
    </w:p>
    <w:p>
      <w:pPr>
        <w:ind w:left="2400" w:hanging="797"/>
        <w:spacing w:after="0"/>
        <w:tabs>
          <w:tab w:leader="none" w:pos="2400" w:val="left"/>
        </w:tabs>
        <w:numPr>
          <w:ilvl w:val="1"/>
          <w:numId w:val="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Disability</w:t>
      </w:r>
      <w:r>
        <w:rPr>
          <w:rFonts w:ascii="Arial" w:cs="Arial" w:eastAsia="Arial" w:hAnsi="Arial"/>
          <w:sz w:val="14"/>
          <w:szCs w:val="14"/>
          <w:color w:val="auto"/>
        </w:rPr>
        <w:t>” shall be determined by the Committee.</w:t>
      </w:r>
    </w:p>
    <w:p>
      <w:pPr>
        <w:spacing w:after="0" w:line="145" w:lineRule="exact"/>
        <w:rPr>
          <w:rFonts w:ascii="Arial" w:cs="Arial" w:eastAsia="Arial" w:hAnsi="Arial"/>
          <w:sz w:val="14"/>
          <w:szCs w:val="14"/>
          <w:color w:val="auto"/>
        </w:rPr>
      </w:pPr>
    </w:p>
    <w:p>
      <w:pPr>
        <w:ind w:left="2400" w:hanging="797"/>
        <w:spacing w:after="0"/>
        <w:tabs>
          <w:tab w:leader="none" w:pos="2400" w:val="left"/>
        </w:tabs>
        <w:numPr>
          <w:ilvl w:val="1"/>
          <w:numId w:val="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Retirement</w:t>
      </w:r>
      <w:r>
        <w:rPr>
          <w:rFonts w:ascii="Arial" w:cs="Arial" w:eastAsia="Arial" w:hAnsi="Arial"/>
          <w:sz w:val="14"/>
          <w:szCs w:val="14"/>
          <w:color w:val="auto"/>
        </w:rPr>
        <w:t>” shall mean a retirement approved by the Board.</w:t>
      </w:r>
    </w:p>
    <w:p>
      <w:pPr>
        <w:spacing w:after="0" w:line="145" w:lineRule="exact"/>
        <w:rPr>
          <w:rFonts w:ascii="Arial" w:cs="Arial" w:eastAsia="Arial" w:hAnsi="Arial"/>
          <w:sz w:val="14"/>
          <w:szCs w:val="14"/>
          <w:color w:val="auto"/>
        </w:rPr>
      </w:pPr>
    </w:p>
    <w:p>
      <w:pPr>
        <w:ind w:left="1340" w:hanging="541"/>
        <w:spacing w:after="0"/>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left="2400" w:right="460" w:hanging="797"/>
        <w:spacing w:after="0" w:line="273" w:lineRule="auto"/>
        <w:tabs>
          <w:tab w:leader="none" w:pos="2400" w:val="left"/>
        </w:tabs>
        <w:numPr>
          <w:ilvl w:val="1"/>
          <w:numId w:val="20"/>
        </w:numPr>
        <w:rPr>
          <w:rFonts w:ascii="Arial" w:cs="Arial" w:eastAsia="Arial" w:hAnsi="Arial"/>
          <w:sz w:val="14"/>
          <w:szCs w:val="14"/>
          <w:color w:val="auto"/>
        </w:rPr>
      </w:pPr>
      <w:r>
        <w:rPr>
          <w:rFonts w:ascii="Arial" w:cs="Arial" w:eastAsia="Arial" w:hAnsi="Arial"/>
          <w:sz w:val="14"/>
          <w:szCs w:val="14"/>
          <w:u w:val="single" w:color="auto"/>
          <w:color w:val="auto"/>
        </w:rPr>
        <w:t>Vesting Criteria</w:t>
      </w:r>
      <w:r>
        <w:rPr>
          <w:rFonts w:ascii="Arial" w:cs="Arial" w:eastAsia="Arial" w:hAnsi="Arial"/>
          <w:sz w:val="14"/>
          <w:szCs w:val="14"/>
          <w:color w:val="auto"/>
        </w:rPr>
        <w:t>. The Grantee’s interest in the Shares shall vest on the date designated (a "</w:t>
      </w:r>
      <w:r>
        <w:rPr>
          <w:rFonts w:ascii="Arial" w:cs="Arial" w:eastAsia="Arial" w:hAnsi="Arial"/>
          <w:sz w:val="14"/>
          <w:szCs w:val="14"/>
          <w:u w:val="single" w:color="auto"/>
          <w:color w:val="auto"/>
        </w:rPr>
        <w:t>Vesting Date</w:t>
      </w:r>
      <w:r>
        <w:rPr>
          <w:rFonts w:ascii="Arial" w:cs="Arial" w:eastAsia="Arial" w:hAnsi="Arial"/>
          <w:sz w:val="14"/>
          <w:szCs w:val="14"/>
          <w:color w:val="auto"/>
        </w:rPr>
        <w:t>") in accordance with the following vesting schedule (the "</w:t>
      </w:r>
      <w:r>
        <w:rPr>
          <w:rFonts w:ascii="Arial" w:cs="Arial" w:eastAsia="Arial" w:hAnsi="Arial"/>
          <w:sz w:val="14"/>
          <w:szCs w:val="14"/>
          <w:u w:val="single" w:color="auto"/>
          <w:color w:val="auto"/>
        </w:rPr>
        <w:t>Vesting Schedule</w:t>
      </w:r>
      <w:r>
        <w:rPr>
          <w:rFonts w:ascii="Arial" w:cs="Arial" w:eastAsia="Arial" w:hAnsi="Arial"/>
          <w:sz w:val="14"/>
          <w:szCs w:val="14"/>
          <w:color w:val="auto"/>
        </w:rPr>
        <w:t>"):</w:t>
      </w:r>
    </w:p>
    <w:p>
      <w:pPr>
        <w:spacing w:after="0" w:line="98" w:lineRule="exact"/>
        <w:rPr>
          <w:sz w:val="20"/>
          <w:szCs w:val="20"/>
          <w:color w:val="auto"/>
        </w:rPr>
      </w:pPr>
    </w:p>
    <w:p>
      <w:pPr>
        <w:ind w:left="4520"/>
        <w:spacing w:after="0"/>
        <w:tabs>
          <w:tab w:leader="none" w:pos="6840" w:val="left"/>
        </w:tabs>
        <w:rPr>
          <w:sz w:val="20"/>
          <w:szCs w:val="20"/>
          <w:color w:val="auto"/>
        </w:rPr>
      </w:pPr>
      <w:r>
        <w:rPr>
          <w:rFonts w:ascii="Arial" w:cs="Arial" w:eastAsia="Arial" w:hAnsi="Arial"/>
          <w:sz w:val="14"/>
          <w:szCs w:val="14"/>
          <w:b w:val="1"/>
          <w:bCs w:val="1"/>
          <w:u w:val="single" w:color="auto"/>
          <w:color w:val="auto"/>
        </w:rPr>
        <w:t>Vesting Date</w:t>
      </w:r>
      <w:r>
        <w:rPr>
          <w:sz w:val="20"/>
          <w:szCs w:val="20"/>
          <w:color w:val="auto"/>
        </w:rPr>
        <w:tab/>
      </w:r>
      <w:r>
        <w:rPr>
          <w:rFonts w:ascii="Arial" w:cs="Arial" w:eastAsia="Arial" w:hAnsi="Arial"/>
          <w:sz w:val="17"/>
          <w:szCs w:val="17"/>
          <w:b w:val="1"/>
          <w:bCs w:val="1"/>
          <w:u w:val="single" w:color="auto"/>
          <w:color w:val="auto"/>
          <w:vertAlign w:val="superscript"/>
        </w:rPr>
        <w:t>Shares</w:t>
      </w:r>
    </w:p>
    <w:p>
      <w:pPr>
        <w:spacing w:after="0" w:line="15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2022</w:t>
      </w:r>
    </w:p>
    <w:p>
      <w:pPr>
        <w:spacing w:after="0" w:line="4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2023</w:t>
      </w:r>
    </w:p>
    <w:p>
      <w:pPr>
        <w:spacing w:after="0" w:line="6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2024</w:t>
      </w:r>
    </w:p>
    <w:p>
      <w:pPr>
        <w:spacing w:after="0" w:line="7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March 31, 2025</w:t>
      </w:r>
    </w:p>
    <w:p>
      <w:pPr>
        <w:spacing w:after="0" w:line="51"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Total</w:t>
      </w:r>
    </w:p>
    <w:p>
      <w:pPr>
        <w:spacing w:after="0" w:line="176" w:lineRule="exact"/>
        <w:rPr>
          <w:sz w:val="20"/>
          <w:szCs w:val="20"/>
          <w:color w:val="auto"/>
        </w:rPr>
      </w:pPr>
    </w:p>
    <w:p>
      <w:pPr>
        <w:ind w:left="2400" w:right="120" w:hanging="797"/>
        <w:spacing w:after="0" w:line="252" w:lineRule="auto"/>
        <w:tabs>
          <w:tab w:leader="none" w:pos="2400"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Restrictions</w:t>
      </w:r>
      <w:r>
        <w:rPr>
          <w:rFonts w:ascii="Arial" w:cs="Arial" w:eastAsia="Arial" w:hAnsi="Arial"/>
          <w:sz w:val="14"/>
          <w:szCs w:val="14"/>
          <w:color w:val="auto"/>
        </w:rPr>
        <w:t>. The period beginning on the Award Date and ending on the date immediately preceding the Vesting Date for a Share shall be known as the restriction period (the “</w:t>
      </w:r>
      <w:r>
        <w:rPr>
          <w:rFonts w:ascii="Arial" w:cs="Arial" w:eastAsia="Arial" w:hAnsi="Arial"/>
          <w:sz w:val="14"/>
          <w:szCs w:val="14"/>
          <w:u w:val="single" w:color="auto"/>
          <w:color w:val="auto"/>
        </w:rPr>
        <w:t>Restriction Period</w:t>
      </w:r>
      <w:r>
        <w:rPr>
          <w:rFonts w:ascii="Arial" w:cs="Arial" w:eastAsia="Arial" w:hAnsi="Arial"/>
          <w:sz w:val="14"/>
          <w:szCs w:val="14"/>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298450</wp:posOffset>
            </wp:positionV>
            <wp:extent cx="721487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265" w:right="299" w:bottom="1440" w:gutter="0" w:footer="0" w:header="0"/>
        </w:sectPr>
      </w:pPr>
    </w:p>
    <w:bookmarkStart w:id="48" w:name="page49"/>
    <w:bookmarkEnd w:id="48"/>
    <w:p>
      <w:pPr>
        <w:ind w:left="2400" w:right="120" w:hanging="797"/>
        <w:spacing w:after="0" w:line="286" w:lineRule="auto"/>
        <w:tabs>
          <w:tab w:leader="none" w:pos="2400" w:val="left"/>
        </w:tabs>
        <w:numPr>
          <w:ilvl w:val="1"/>
          <w:numId w:val="22"/>
        </w:numPr>
        <w:rPr>
          <w:rFonts w:ascii="Arial" w:cs="Arial" w:eastAsia="Arial" w:hAnsi="Arial"/>
          <w:sz w:val="13"/>
          <w:szCs w:val="13"/>
          <w:color w:val="auto"/>
        </w:rPr>
      </w:pPr>
      <w:r>
        <w:rPr>
          <w:rFonts w:ascii="Arial" w:cs="Arial" w:eastAsia="Arial" w:hAnsi="Arial"/>
          <w:sz w:val="13"/>
          <w:szCs w:val="13"/>
          <w:u w:val="single" w:color="auto"/>
          <w:color w:val="auto"/>
        </w:rPr>
        <w:t>Cancellation Right</w:t>
      </w:r>
      <w:r>
        <w:rPr>
          <w:rFonts w:ascii="Arial" w:cs="Arial" w:eastAsia="Arial" w:hAnsi="Arial"/>
          <w:sz w:val="13"/>
          <w:szCs w:val="13"/>
          <w:color w:val="auto"/>
        </w:rPr>
        <w:t>. The Grantee must be in continuous service as an employee of the Company or any of its Affiliates or as a Director from the Award Date through the applicable Vesting Date for a Share to become vested. Subject to Section 4, Grantee’s termination of employment and, if applicable, service as a Director prior to the vesting of any Shares shall cause any unvested Shares to be automatically forfeited.</w:t>
      </w:r>
    </w:p>
    <w:p>
      <w:pPr>
        <w:spacing w:after="0" w:line="95" w:lineRule="exact"/>
        <w:rPr>
          <w:rFonts w:ascii="Arial" w:cs="Arial" w:eastAsia="Arial" w:hAnsi="Arial"/>
          <w:sz w:val="13"/>
          <w:szCs w:val="13"/>
          <w:color w:val="auto"/>
        </w:rPr>
      </w:pPr>
    </w:p>
    <w:p>
      <w:pPr>
        <w:ind w:firstLine="799"/>
        <w:spacing w:after="0" w:line="246" w:lineRule="auto"/>
        <w:tabs>
          <w:tab w:leader="none" w:pos="1347"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Change-in-Control; Death or Disability; Retirement</w:t>
      </w:r>
      <w:r>
        <w:rPr>
          <w:rFonts w:ascii="Arial" w:cs="Arial" w:eastAsia="Arial" w:hAnsi="Arial"/>
          <w:sz w:val="14"/>
          <w:szCs w:val="14"/>
          <w:color w:val="auto"/>
        </w:rPr>
        <w:t xml:space="preserve">. The restrictions set forth above in Section 3 shall lapse with respect to any unvested Shares not previously forfeited and the remaining shares of this Award shall become fully vested without regard to the limitations set forth in Section 3 above, provided that the Grantee has been in continuous employment with the Company or any of its Affiliates or has been in continuous service as a Director from the Award Date through: (A) the occurrence of a Change in Control (as defined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 value of shares of the surviving parent corporation, or (ii) the Award is to be settled in cash in accordance with the last sentence of this Section 4, or (B) Grantee’s termination of employment and, if applicable, discontinuation of service as a Director, by reason of death, Disability or Retirement. Upon a Change in Control, pursuant to Section 15 of the Plan, the Company may, in its discretion, settle the Award by a cash payment that the Committee shall determine in its sole discretion is equal to the fair market value of the Award on the date of such event.</w:t>
      </w:r>
    </w:p>
    <w:p>
      <w:pPr>
        <w:spacing w:after="0" w:line="119" w:lineRule="exact"/>
        <w:rPr>
          <w:rFonts w:ascii="Arial" w:cs="Arial" w:eastAsia="Arial" w:hAnsi="Arial"/>
          <w:sz w:val="14"/>
          <w:szCs w:val="14"/>
          <w:color w:val="auto"/>
        </w:rPr>
      </w:pPr>
    </w:p>
    <w:p>
      <w:pPr>
        <w:ind w:right="80" w:firstLine="799"/>
        <w:spacing w:after="0" w:line="312" w:lineRule="auto"/>
        <w:tabs>
          <w:tab w:leader="none" w:pos="1347"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Stockholder Rights</w:t>
      </w:r>
      <w:r>
        <w:rPr>
          <w:rFonts w:ascii="Arial" w:cs="Arial" w:eastAsia="Arial" w:hAnsi="Arial"/>
          <w:sz w:val="13"/>
          <w:szCs w:val="13"/>
          <w:color w:val="auto"/>
        </w:rPr>
        <w:t>. Until such time as any of the unvested Shares are forfeited, the Grantee shall have the right to vote any Shares, and the Grantee shall have the right to receive any cash dividends declared and paid on unvested Shares after the date hereof at the same time such amounts are paid with respect to all other shares of Common Stock.</w:t>
      </w:r>
    </w:p>
    <w:p>
      <w:pPr>
        <w:spacing w:after="0" w:line="79" w:lineRule="exact"/>
        <w:rPr>
          <w:rFonts w:ascii="Arial" w:cs="Arial" w:eastAsia="Arial" w:hAnsi="Arial"/>
          <w:sz w:val="13"/>
          <w:szCs w:val="13"/>
          <w:color w:val="auto"/>
        </w:rPr>
      </w:pPr>
    </w:p>
    <w:p>
      <w:pPr>
        <w:ind w:right="100" w:firstLine="799"/>
        <w:spacing w:after="0" w:line="247" w:lineRule="auto"/>
        <w:tabs>
          <w:tab w:leader="none" w:pos="1347"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Capital Adjustments and Corporate Events</w:t>
      </w:r>
      <w:r>
        <w:rPr>
          <w:rFonts w:ascii="Arial" w:cs="Arial" w:eastAsia="Arial" w:hAnsi="Arial"/>
          <w:sz w:val="14"/>
          <w:szCs w:val="14"/>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 (as may be modified pursuant to this Agreement) and included thereafter as Shares for purposes of this Agreement.</w:t>
      </w:r>
    </w:p>
    <w:p>
      <w:pPr>
        <w:spacing w:after="0" w:line="121" w:lineRule="exact"/>
        <w:rPr>
          <w:rFonts w:ascii="Arial" w:cs="Arial" w:eastAsia="Arial" w:hAnsi="Arial"/>
          <w:sz w:val="14"/>
          <w:szCs w:val="14"/>
          <w:color w:val="auto"/>
        </w:rPr>
      </w:pPr>
    </w:p>
    <w:p>
      <w:pPr>
        <w:ind w:left="1340" w:hanging="541"/>
        <w:spacing w:after="0"/>
        <w:tabs>
          <w:tab w:leader="none" w:pos="1340"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Refusal to Transfer</w:t>
      </w:r>
      <w:r>
        <w:rPr>
          <w:rFonts w:ascii="Arial" w:cs="Arial" w:eastAsia="Arial" w:hAnsi="Arial"/>
          <w:sz w:val="14"/>
          <w:szCs w:val="14"/>
          <w:color w:val="auto"/>
        </w:rPr>
        <w:t>.</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Company shall not be required:</w:t>
      </w:r>
    </w:p>
    <w:p>
      <w:pPr>
        <w:spacing w:after="0" w:line="145" w:lineRule="exact"/>
        <w:rPr>
          <w:sz w:val="20"/>
          <w:szCs w:val="20"/>
          <w:color w:val="auto"/>
        </w:rPr>
      </w:pPr>
    </w:p>
    <w:p>
      <w:pPr>
        <w:ind w:left="2400" w:hanging="797"/>
        <w:spacing w:after="0"/>
        <w:tabs>
          <w:tab w:leader="none" w:pos="24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to transfer on its books any Shares that have been sold or otherwise transferred in violation of any of the provisions of this Agreement or the Plan; or</w:t>
      </w:r>
    </w:p>
    <w:p>
      <w:pPr>
        <w:spacing w:after="0" w:line="156" w:lineRule="exact"/>
        <w:rPr>
          <w:rFonts w:ascii="Arial" w:cs="Arial" w:eastAsia="Arial" w:hAnsi="Arial"/>
          <w:sz w:val="13"/>
          <w:szCs w:val="13"/>
          <w:color w:val="auto"/>
        </w:rPr>
      </w:pPr>
    </w:p>
    <w:p>
      <w:pPr>
        <w:ind w:left="2400" w:hanging="797"/>
        <w:spacing w:after="0" w:line="273" w:lineRule="auto"/>
        <w:tabs>
          <w:tab w:leader="none" w:pos="24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 treat such purchaser or other transferee as owner of such Shares, accord such purchaser or other transferee the right to vote; or pay or deliver dividends or other distributions to such purchaser or other transferee with respect to such Shares.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- 2 -</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L:\Confidential\EQUITY AWARDS\FY2022\RS\FORM Time Vest RS Management (FY22).docx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1487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00" w:top="269" w:right="359" w:bottom="1440" w:gutter="0" w:footer="0" w:header="0"/>
        </w:sectPr>
      </w:pPr>
    </w:p>
    <w:bookmarkStart w:id="49" w:name="page50"/>
    <w:bookmarkEnd w:id="49"/>
    <w:p>
      <w:pPr>
        <w:ind w:left="1340" w:hanging="541"/>
        <w:spacing w:after="0"/>
        <w:tabs>
          <w:tab w:leader="none" w:pos="1340"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Legends</w:t>
      </w:r>
      <w:r>
        <w:rPr>
          <w:rFonts w:ascii="Arial" w:cs="Arial" w:eastAsia="Arial" w:hAnsi="Arial"/>
          <w:sz w:val="14"/>
          <w:szCs w:val="14"/>
          <w:color w:val="auto"/>
        </w:rPr>
        <w:t>. If the Shares are certificated, the certificate or certificates evidencing the Shares, if any, issued hereunder shall be endorsed with the following legend:</w:t>
      </w:r>
    </w:p>
    <w:p>
      <w:pPr>
        <w:spacing w:after="0" w:line="145" w:lineRule="exact"/>
        <w:rPr>
          <w:sz w:val="20"/>
          <w:szCs w:val="20"/>
          <w:color w:val="auto"/>
        </w:rPr>
      </w:pPr>
    </w:p>
    <w:p>
      <w:pPr>
        <w:ind w:left="1600" w:right="1640"/>
        <w:spacing w:after="0" w:line="249" w:lineRule="auto"/>
        <w:rPr>
          <w:sz w:val="20"/>
          <w:szCs w:val="20"/>
          <w:color w:val="auto"/>
        </w:rPr>
      </w:pPr>
      <w:r>
        <w:rPr>
          <w:rFonts w:ascii="Arial" w:cs="Arial" w:eastAsia="Arial" w:hAnsi="Arial"/>
          <w:sz w:val="14"/>
          <w:szCs w:val="14"/>
          <w:color w:val="auto"/>
        </w:rPr>
        <w:t>THE SHARES REPRESENTED BY THIS CERTIFICATE ARE SUBJECT TO CERTAIN RESTRICTIONS AND, ACCORDINGLY, MAY NOT BE SOLD, ASSIGNED, TRANSFERRED, ENCUMBERED, OR IN ANY MANNER DISPOSED OF EXCEPT IN CONFORMITY WITH THE TERMS OF THAT CERTAIN RESTRICTED STOCK AGREEMENT BETWEEN THE ISSUER AND THE ORIGINAL HOLDER OF THESE SHARES. A COPY OF SUCH AGREEMENT IS MAINTAINED AT THE ISSUER’S PRINCIPAL CORPORATE OFFICES.</w:t>
      </w:r>
    </w:p>
    <w:p>
      <w:pPr>
        <w:spacing w:after="0" w:line="119" w:lineRule="exact"/>
        <w:rPr>
          <w:sz w:val="20"/>
          <w:szCs w:val="20"/>
          <w:color w:val="auto"/>
        </w:rPr>
      </w:pPr>
    </w:p>
    <w:p>
      <w:pPr>
        <w:ind w:firstLine="799"/>
        <w:spacing w:after="0" w:line="267" w:lineRule="auto"/>
        <w:tabs>
          <w:tab w:leader="none" w:pos="1347" w:val="left"/>
        </w:tabs>
        <w:numPr>
          <w:ilvl w:val="0"/>
          <w:numId w:val="26"/>
        </w:numPr>
        <w:rPr>
          <w:rFonts w:ascii="Arial" w:cs="Arial" w:eastAsia="Arial" w:hAnsi="Arial"/>
          <w:sz w:val="13"/>
          <w:szCs w:val="13"/>
          <w:color w:val="auto"/>
        </w:rPr>
      </w:pPr>
      <w:r>
        <w:rPr>
          <w:rFonts w:ascii="Arial" w:cs="Arial" w:eastAsia="Arial" w:hAnsi="Arial"/>
          <w:sz w:val="13"/>
          <w:szCs w:val="13"/>
          <w:u w:val="single" w:color="auto"/>
          <w:color w:val="auto"/>
        </w:rPr>
        <w:t>Tax Consequences</w:t>
      </w:r>
      <w:r>
        <w:rPr>
          <w:rFonts w:ascii="Arial" w:cs="Arial" w:eastAsia="Arial" w:hAnsi="Arial"/>
          <w:sz w:val="13"/>
          <w:szCs w:val="13"/>
          <w:color w:val="auto"/>
        </w:rPr>
        <w:t>. The Grantee has reviewed with the Grantee’s own tax advisors the federal, state, and local tax consequences of this investment and the transactions contemplated by this Agreement. The Grantee is relying solely on such advisors and not on any statements or representations of the 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any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09" w:lineRule="exact"/>
        <w:rPr>
          <w:rFonts w:ascii="Arial" w:cs="Arial" w:eastAsia="Arial" w:hAnsi="Arial"/>
          <w:sz w:val="13"/>
          <w:szCs w:val="13"/>
          <w:color w:val="auto"/>
        </w:rPr>
      </w:pPr>
    </w:p>
    <w:p>
      <w:pPr>
        <w:ind w:firstLine="799"/>
        <w:spacing w:after="0" w:line="266" w:lineRule="auto"/>
        <w:tabs>
          <w:tab w:leader="none" w:pos="1419" w:val="left"/>
        </w:tabs>
        <w:numPr>
          <w:ilvl w:val="0"/>
          <w:numId w:val="26"/>
        </w:numPr>
        <w:rPr>
          <w:rFonts w:ascii="Arial" w:cs="Arial" w:eastAsia="Arial" w:hAnsi="Arial"/>
          <w:sz w:val="13"/>
          <w:szCs w:val="13"/>
          <w:color w:val="auto"/>
        </w:rPr>
      </w:pPr>
      <w:r>
        <w:rPr>
          <w:rFonts w:ascii="Arial" w:cs="Arial" w:eastAsia="Arial" w:hAnsi="Arial"/>
          <w:sz w:val="13"/>
          <w:szCs w:val="13"/>
          <w:u w:val="single" w:color="auto"/>
          <w:color w:val="auto"/>
        </w:rPr>
        <w:t>Withholding of Taxes</w:t>
      </w:r>
      <w:r>
        <w:rPr>
          <w:rFonts w:ascii="Arial" w:cs="Arial" w:eastAsia="Arial" w:hAnsi="Arial"/>
          <w:sz w:val="13"/>
          <w:szCs w:val="13"/>
          <w:color w:val="auto"/>
        </w:rPr>
        <w:t>. At the time and to the extent vested Shares become compensation income to the Grantee for federal or state income tax purposes, the Grantee either shall deliver to the Company such amount of money as required to meet the withholding obligation under applicable tax laws or regulations, or, in lieu of cash, the Grantee, in his or her sole discretion, may elect to surrender, or direct the Company to withhold from the vested Shares, shares of Common Stock in such number as necessary to satisfy the tax withholding</w:t>
      </w:r>
    </w:p>
    <w:p>
      <w:pPr>
        <w:ind w:right="700"/>
        <w:spacing w:after="0" w:line="255" w:lineRule="auto"/>
        <w:rPr>
          <w:rFonts w:ascii="Arial" w:cs="Arial" w:eastAsia="Arial" w:hAnsi="Arial"/>
          <w:sz w:val="13"/>
          <w:szCs w:val="13"/>
          <w:color w:val="auto"/>
        </w:rPr>
      </w:pPr>
      <w:r>
        <w:rPr>
          <w:rFonts w:ascii="Arial" w:cs="Arial" w:eastAsia="Arial" w:hAnsi="Arial"/>
          <w:sz w:val="14"/>
          <w:szCs w:val="14"/>
          <w:color w:val="auto"/>
        </w:rPr>
        <w:t>obligations. Further, any dividends paid to you pursuant to Section 5 above prior to the end of the Restriction Period will generally be subject to federal, state and local withholding, as appropriate, as additional compensation.</w:t>
      </w:r>
    </w:p>
    <w:p>
      <w:pPr>
        <w:spacing w:after="0" w:line="113" w:lineRule="exact"/>
        <w:rPr>
          <w:rFonts w:ascii="Arial" w:cs="Arial" w:eastAsia="Arial" w:hAnsi="Arial"/>
          <w:sz w:val="13"/>
          <w:szCs w:val="13"/>
          <w:color w:val="auto"/>
        </w:rPr>
      </w:pPr>
    </w:p>
    <w:p>
      <w:pPr>
        <w:ind w:firstLine="799"/>
        <w:spacing w:after="0" w:line="246" w:lineRule="auto"/>
        <w:tabs>
          <w:tab w:leader="none" w:pos="1414" w:val="left"/>
        </w:tabs>
        <w:numPr>
          <w:ilvl w:val="0"/>
          <w:numId w:val="26"/>
        </w:numPr>
        <w:rPr>
          <w:rFonts w:ascii="Arial" w:cs="Arial" w:eastAsia="Arial" w:hAnsi="Arial"/>
          <w:sz w:val="14"/>
          <w:szCs w:val="14"/>
          <w:color w:val="auto"/>
        </w:rPr>
      </w:pPr>
      <w:r>
        <w:rPr>
          <w:rFonts w:ascii="Arial" w:cs="Arial" w:eastAsia="Arial" w:hAnsi="Arial"/>
          <w:sz w:val="14"/>
          <w:szCs w:val="14"/>
          <w:u w:val="single" w:color="auto"/>
          <w:color w:val="auto"/>
        </w:rPr>
        <w:t>Entire Agreement; Governing Law</w:t>
      </w:r>
      <w:r>
        <w:rPr>
          <w:rFonts w:ascii="Arial" w:cs="Arial" w:eastAsia="Arial" w:hAnsi="Arial"/>
          <w:sz w:val="14"/>
          <w:szCs w:val="14"/>
          <w:color w:val="auto"/>
        </w:rPr>
        <w:t>. The Plan and this Agreement constitute the entire agreement of the Company and the Grantee (collectively, the “</w:t>
      </w:r>
      <w:r>
        <w:rPr>
          <w:rFonts w:ascii="Arial" w:cs="Arial" w:eastAsia="Arial" w:hAnsi="Arial"/>
          <w:sz w:val="14"/>
          <w:szCs w:val="14"/>
          <w:u w:val="single" w:color="auto"/>
          <w:color w:val="auto"/>
        </w:rPr>
        <w:t>Parties</w:t>
      </w:r>
      <w:r>
        <w:rPr>
          <w:rFonts w:ascii="Arial" w:cs="Arial" w:eastAsia="Arial" w:hAnsi="Arial"/>
          <w:sz w:val="14"/>
          <w:szCs w:val="14"/>
          <w:color w:val="auto"/>
        </w:rPr>
        <w:t>”)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L:\Confidential\EQUITY AWARDS\FY2022\RS\FORM Time Vest RS Management (FY22).docx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1487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80"/>
          </w:cols>
          <w:pgMar w:left="300" w:top="269" w:right="319" w:bottom="1440" w:gutter="0" w:footer="0" w:header="0"/>
        </w:sectPr>
      </w:pPr>
    </w:p>
    <w:bookmarkStart w:id="50" w:name="page51"/>
    <w:bookmarkEnd w:id="50"/>
    <w:p>
      <w:pPr>
        <w:ind w:firstLine="799"/>
        <w:spacing w:after="0" w:line="252" w:lineRule="auto"/>
        <w:tabs>
          <w:tab w:leader="none" w:pos="1419"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Interpretive Matters</w:t>
      </w:r>
      <w:r>
        <w:rPr>
          <w:rFonts w:ascii="Arial" w:cs="Arial" w:eastAsia="Arial" w:hAnsi="Arial"/>
          <w:sz w:val="14"/>
          <w:szCs w:val="14"/>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15" w:lineRule="exact"/>
        <w:rPr>
          <w:rFonts w:ascii="Arial" w:cs="Arial" w:eastAsia="Arial" w:hAnsi="Arial"/>
          <w:sz w:val="14"/>
          <w:szCs w:val="14"/>
          <w:color w:val="auto"/>
        </w:rPr>
      </w:pPr>
    </w:p>
    <w:p>
      <w:pPr>
        <w:ind w:right="80" w:firstLine="799"/>
        <w:spacing w:after="0" w:line="286" w:lineRule="auto"/>
        <w:tabs>
          <w:tab w:leader="none" w:pos="1419"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95" w:lineRule="exact"/>
        <w:rPr>
          <w:rFonts w:ascii="Arial" w:cs="Arial" w:eastAsia="Arial" w:hAnsi="Arial"/>
          <w:sz w:val="13"/>
          <w:szCs w:val="13"/>
          <w:color w:val="auto"/>
        </w:rPr>
      </w:pPr>
    </w:p>
    <w:p>
      <w:pPr>
        <w:ind w:right="140" w:firstLine="799"/>
        <w:spacing w:after="0" w:line="286" w:lineRule="auto"/>
        <w:tabs>
          <w:tab w:leader="none" w:pos="1419"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Recoupment</w:t>
      </w:r>
      <w:r>
        <w:rPr>
          <w:rFonts w:ascii="Arial" w:cs="Arial" w:eastAsia="Arial" w:hAnsi="Arial"/>
          <w:sz w:val="13"/>
          <w:szCs w:val="13"/>
          <w:color w:val="auto"/>
        </w:rPr>
        <w:t>. This Award (and amounts paid in respect thereof) shall be subject to the terms of the recoupment (clawback) policy adopted by the Company as in effect from time to time, as well as any recoupment/forfeiture provisions required by law and applicable to the Company or its subsidiaries; provided, however, unless prohibited by applicable law, the Company’s recoupment (clawback) policy shall have no application to this Award (or amounts paid in respect thereof) following a Change in Control.</w:t>
      </w:r>
    </w:p>
    <w:p>
      <w:pPr>
        <w:spacing w:after="0" w:line="95" w:lineRule="exact"/>
        <w:rPr>
          <w:rFonts w:ascii="Arial" w:cs="Arial" w:eastAsia="Arial" w:hAnsi="Arial"/>
          <w:sz w:val="13"/>
          <w:szCs w:val="13"/>
          <w:color w:val="auto"/>
        </w:rPr>
      </w:pPr>
    </w:p>
    <w:p>
      <w:pPr>
        <w:ind w:right="60" w:firstLine="799"/>
        <w:spacing w:after="0" w:line="257" w:lineRule="auto"/>
        <w:tabs>
          <w:tab w:leader="none" w:pos="1419"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follows.]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- 4 -</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L:\Confidential\EQUITY AWARDS\FY2022\RS\FORM Time Vest RS Management (FY22).docx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1487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60"/>
          </w:cols>
          <w:pgMar w:left="300" w:top="269" w:right="339" w:bottom="1440" w:gutter="0" w:footer="0" w:header="0"/>
        </w:sectPr>
      </w:pPr>
    </w:p>
    <w:bookmarkStart w:id="51" w:name="page52"/>
    <w:bookmarkEnd w:id="51"/>
    <w:p>
      <w:pPr>
        <w:jc w:val="center"/>
        <w:ind w:right="400"/>
        <w:spacing w:after="0"/>
        <w:rPr>
          <w:sz w:val="20"/>
          <w:szCs w:val="20"/>
          <w:color w:val="auto"/>
        </w:rPr>
      </w:pPr>
      <w:r>
        <w:rPr>
          <w:rFonts w:ascii="Arial" w:cs="Arial" w:eastAsia="Arial" w:hAnsi="Arial"/>
          <w:sz w:val="14"/>
          <w:szCs w:val="14"/>
          <w:b w:val="1"/>
          <w:bCs w:val="1"/>
          <w:color w:val="auto"/>
        </w:rPr>
        <w:t>EAGLE MATERIALS INC</w:t>
      </w:r>
      <w:r>
        <w:rPr>
          <w:rFonts w:ascii="Arial" w:cs="Arial" w:eastAsia="Arial" w:hAnsi="Arial"/>
          <w:sz w:val="14"/>
          <w:szCs w:val="14"/>
          <w:color w:val="auto"/>
        </w:rPr>
        <w:t>.</w:t>
      </w:r>
    </w:p>
    <w:p>
      <w:pPr>
        <w:spacing w:after="0" w:line="311" w:lineRule="exact"/>
        <w:rPr>
          <w:sz w:val="20"/>
          <w:szCs w:val="20"/>
          <w:color w:val="auto"/>
        </w:rPr>
      </w:pPr>
    </w:p>
    <w:tbl>
      <w:tblPr>
        <w:tblLayout w:type="fixed"/>
        <w:tblInd w:w="2600" w:type="dxa"/>
        <w:tblCellMar>
          <w:top w:w="0" w:type="dxa"/>
          <w:left w:w="0" w:type="dxa"/>
          <w:bottom w:w="0" w:type="dxa"/>
          <w:right w:w="0" w:type="dxa"/>
        </w:tblCellMar>
      </w:tblPr>
      <w:tr>
        <w:trPr>
          <w:trHeight w:val="176"/>
        </w:trPr>
        <w:tc>
          <w:tcPr>
            <w:tcW w:w="640" w:type="dxa"/>
            <w:vAlign w:val="bottom"/>
          </w:tcPr>
          <w:p>
            <w:pPr>
              <w:spacing w:after="0"/>
              <w:rPr>
                <w:sz w:val="20"/>
                <w:szCs w:val="20"/>
                <w:color w:val="auto"/>
              </w:rPr>
            </w:pPr>
            <w:r>
              <w:rPr>
                <w:rFonts w:ascii="Arial" w:cs="Arial" w:eastAsia="Arial" w:hAnsi="Arial"/>
                <w:sz w:val="14"/>
                <w:szCs w:val="14"/>
                <w:color w:val="auto"/>
              </w:rPr>
              <w:t>By:</w:t>
            </w:r>
          </w:p>
        </w:tc>
        <w:tc>
          <w:tcPr>
            <w:tcW w:w="2860" w:type="dxa"/>
            <w:vAlign w:val="bottom"/>
            <w:tcBorders>
              <w:bottom w:val="single" w:sz="8" w:color="auto"/>
            </w:tcBorders>
          </w:tcPr>
          <w:p>
            <w:pPr>
              <w:spacing w:after="0"/>
              <w:rPr>
                <w:sz w:val="15"/>
                <w:szCs w:val="15"/>
                <w:color w:val="auto"/>
              </w:rPr>
            </w:pPr>
          </w:p>
        </w:tc>
      </w:tr>
      <w:tr>
        <w:trPr>
          <w:trHeight w:val="301"/>
        </w:trPr>
        <w:tc>
          <w:tcPr>
            <w:tcW w:w="640" w:type="dxa"/>
            <w:vAlign w:val="bottom"/>
          </w:tcPr>
          <w:p>
            <w:pPr>
              <w:spacing w:after="0"/>
              <w:rPr>
                <w:sz w:val="20"/>
                <w:szCs w:val="20"/>
                <w:color w:val="auto"/>
              </w:rPr>
            </w:pPr>
            <w:r>
              <w:rPr>
                <w:rFonts w:ascii="Arial" w:cs="Arial" w:eastAsia="Arial" w:hAnsi="Arial"/>
                <w:sz w:val="14"/>
                <w:szCs w:val="14"/>
                <w:color w:val="auto"/>
              </w:rPr>
              <w:t>Name:</w:t>
            </w:r>
          </w:p>
        </w:tc>
        <w:tc>
          <w:tcPr>
            <w:tcW w:w="2860" w:type="dxa"/>
            <w:vAlign w:val="bottom"/>
          </w:tcPr>
          <w:p>
            <w:pPr>
              <w:spacing w:after="0"/>
              <w:rPr>
                <w:sz w:val="20"/>
                <w:szCs w:val="20"/>
                <w:color w:val="auto"/>
              </w:rPr>
            </w:pPr>
            <w:r>
              <w:rPr>
                <w:rFonts w:ascii="Arial" w:cs="Arial" w:eastAsia="Arial" w:hAnsi="Arial"/>
                <w:sz w:val="14"/>
                <w:szCs w:val="14"/>
                <w:color w:val="auto"/>
              </w:rPr>
              <w:t>Michael R. Haack</w:t>
            </w:r>
          </w:p>
        </w:tc>
      </w:tr>
      <w:tr>
        <w:trPr>
          <w:trHeight w:val="306"/>
        </w:trPr>
        <w:tc>
          <w:tcPr>
            <w:tcW w:w="640" w:type="dxa"/>
            <w:vAlign w:val="bottom"/>
          </w:tcPr>
          <w:p>
            <w:pPr>
              <w:spacing w:after="0"/>
              <w:rPr>
                <w:sz w:val="20"/>
                <w:szCs w:val="20"/>
                <w:color w:val="auto"/>
              </w:rPr>
            </w:pPr>
            <w:r>
              <w:rPr>
                <w:rFonts w:ascii="Arial" w:cs="Arial" w:eastAsia="Arial" w:hAnsi="Arial"/>
                <w:sz w:val="14"/>
                <w:szCs w:val="14"/>
                <w:color w:val="auto"/>
              </w:rPr>
              <w:t>Its:</w:t>
            </w:r>
          </w:p>
        </w:tc>
        <w:tc>
          <w:tcPr>
            <w:tcW w:w="2860" w:type="dxa"/>
            <w:vAlign w:val="bottom"/>
          </w:tcPr>
          <w:p>
            <w:pPr>
              <w:spacing w:after="0"/>
              <w:rPr>
                <w:sz w:val="20"/>
                <w:szCs w:val="20"/>
                <w:color w:val="auto"/>
              </w:rPr>
            </w:pPr>
            <w:r>
              <w:rPr>
                <w:rFonts w:ascii="Arial" w:cs="Arial" w:eastAsia="Arial" w:hAnsi="Arial"/>
                <w:sz w:val="14"/>
                <w:szCs w:val="14"/>
                <w:color w:val="auto"/>
              </w:rPr>
              <w:t>President and CEO</w:t>
            </w:r>
          </w:p>
        </w:tc>
      </w:tr>
    </w:tbl>
    <w:p>
      <w:pPr>
        <w:spacing w:after="0" w:line="12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3"/>
          <w:szCs w:val="13"/>
          <w:color w:val="auto"/>
        </w:rPr>
        <w:t>5960 Berkshire Ln., Suite 900</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Dallas, Texas 75225</w:t>
      </w:r>
    </w:p>
    <w:p>
      <w:pPr>
        <w:spacing w:after="0" w:line="133" w:lineRule="exact"/>
        <w:rPr>
          <w:sz w:val="20"/>
          <w:szCs w:val="20"/>
          <w:color w:val="auto"/>
        </w:rPr>
      </w:pPr>
    </w:p>
    <w:p>
      <w:pPr>
        <w:ind w:firstLine="807"/>
        <w:spacing w:after="0" w:line="252" w:lineRule="auto"/>
        <w:rPr>
          <w:sz w:val="20"/>
          <w:szCs w:val="20"/>
          <w:color w:val="auto"/>
        </w:rPr>
      </w:pPr>
      <w:r>
        <w:rPr>
          <w:rFonts w:ascii="Arial" w:cs="Arial" w:eastAsia="Arial" w:hAnsi="Arial"/>
          <w:sz w:val="14"/>
          <w:szCs w:val="14"/>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GRANTEE:</w:t>
      </w:r>
    </w:p>
    <w:p>
      <w:pPr>
        <w:spacing w:after="0" w:line="293"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Signed:</w:t>
        <w:tab/>
        <w:t>_____________________________________</w:t>
      </w:r>
    </w:p>
    <w:p>
      <w:pPr>
        <w:spacing w:after="0" w:line="145"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Name:</w:t>
      </w:r>
    </w:p>
    <w:p>
      <w:pPr>
        <w:spacing w:after="0" w:line="289"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4"/>
          <w:szCs w:val="14"/>
          <w:color w:val="auto"/>
        </w:rPr>
        <w:t>Address:</w:t>
      </w:r>
      <w:r>
        <w:rPr>
          <w:sz w:val="20"/>
          <w:szCs w:val="20"/>
          <w:color w:val="auto"/>
        </w:rPr>
        <w:tab/>
      </w:r>
      <w:r>
        <w:rPr>
          <w:rFonts w:ascii="Arial" w:cs="Arial" w:eastAsia="Arial" w:hAnsi="Arial"/>
          <w:sz w:val="13"/>
          <w:szCs w:val="13"/>
          <w:color w:val="auto"/>
        </w:rPr>
        <w:t>Eagle Materials Inc.</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5960 Berkshire Ln., Suite 900</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4"/>
          <w:szCs w:val="14"/>
          <w:color w:val="auto"/>
        </w:rPr>
        <w:t>Dallas, Texas 75225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- 5 -</w:t>
      </w:r>
    </w:p>
    <w:p>
      <w:pPr>
        <w:spacing w:after="0" w:line="12" w:lineRule="exact"/>
        <w:rPr>
          <w:sz w:val="20"/>
          <w:szCs w:val="20"/>
          <w:color w:val="auto"/>
        </w:rPr>
      </w:pPr>
    </w:p>
    <w:p>
      <w:pPr>
        <w:spacing w:after="0"/>
        <w:rPr>
          <w:sz w:val="20"/>
          <w:szCs w:val="20"/>
          <w:color w:val="auto"/>
        </w:rPr>
      </w:pPr>
      <w:r>
        <w:rPr>
          <w:rFonts w:ascii="Arial" w:cs="Arial" w:eastAsia="Arial" w:hAnsi="Arial"/>
          <w:sz w:val="8"/>
          <w:szCs w:val="8"/>
          <w:color w:val="auto"/>
        </w:rPr>
        <w:t>L:\Confidential\EQUITY AWARDS\FY2022\RS\FORM Time Vest RS Management (FY22).docx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33655</wp:posOffset>
            </wp:positionV>
            <wp:extent cx="721487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00" w:top="409" w:right="35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u w:val="single" w:color="auto"/>
          <w:color w:val="auto"/>
        </w:rPr>
        <w:t>EXHIBIT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CHANGE-IN-CONTROL</w:t>
      </w:r>
    </w:p>
    <w:p>
      <w:pPr>
        <w:spacing w:after="0" w:line="203" w:lineRule="exact"/>
        <w:rPr>
          <w:sz w:val="20"/>
          <w:szCs w:val="20"/>
          <w:color w:val="auto"/>
        </w:rPr>
      </w:pPr>
    </w:p>
    <w:p>
      <w:pPr>
        <w:ind w:left="780"/>
        <w:spacing w:after="0"/>
        <w:rPr>
          <w:sz w:val="20"/>
          <w:szCs w:val="20"/>
          <w:color w:val="auto"/>
        </w:rPr>
      </w:pPr>
      <w:r>
        <w:rPr>
          <w:rFonts w:ascii="Arial" w:cs="Arial" w:eastAsia="Arial" w:hAnsi="Arial"/>
          <w:sz w:val="14"/>
          <w:szCs w:val="14"/>
          <w:color w:val="auto"/>
        </w:rPr>
        <w:t>For the purpose of this Agreement, a "Change in Control" shall mean the occurrence of any of the following events:</w:t>
      </w:r>
    </w:p>
    <w:p>
      <w:pPr>
        <w:spacing w:after="0" w:line="73" w:lineRule="exact"/>
        <w:rPr>
          <w:sz w:val="20"/>
          <w:szCs w:val="20"/>
          <w:color w:val="auto"/>
        </w:rPr>
      </w:pPr>
    </w:p>
    <w:p>
      <w:pPr>
        <w:ind w:left="-20" w:right="60" w:firstLine="799"/>
        <w:spacing w:after="0" w:line="249" w:lineRule="auto"/>
        <w:tabs>
          <w:tab w:leader="none" w:pos="1379"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46" w:lineRule="exact"/>
        <w:rPr>
          <w:rFonts w:ascii="Arial" w:cs="Arial" w:eastAsia="Arial" w:hAnsi="Arial"/>
          <w:sz w:val="14"/>
          <w:szCs w:val="14"/>
          <w:color w:val="auto"/>
        </w:rPr>
      </w:pPr>
    </w:p>
    <w:p>
      <w:pPr>
        <w:ind w:left="-20" w:right="40" w:firstLine="799"/>
        <w:spacing w:after="0" w:line="247" w:lineRule="auto"/>
        <w:tabs>
          <w:tab w:leader="none" w:pos="1387"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49" w:lineRule="exact"/>
        <w:rPr>
          <w:rFonts w:ascii="Arial" w:cs="Arial" w:eastAsia="Arial" w:hAnsi="Arial"/>
          <w:sz w:val="14"/>
          <w:szCs w:val="14"/>
          <w:color w:val="auto"/>
        </w:rPr>
      </w:pPr>
    </w:p>
    <w:p>
      <w:pPr>
        <w:ind w:left="-20" w:firstLine="799"/>
        <w:spacing w:after="0" w:line="245" w:lineRule="auto"/>
        <w:tabs>
          <w:tab w:leader="none" w:pos="1379"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50" w:lineRule="exact"/>
        <w:rPr>
          <w:rFonts w:ascii="Arial" w:cs="Arial" w:eastAsia="Arial" w:hAnsi="Arial"/>
          <w:sz w:val="14"/>
          <w:szCs w:val="14"/>
          <w:color w:val="auto"/>
        </w:rPr>
      </w:pPr>
    </w:p>
    <w:p>
      <w:pPr>
        <w:ind w:left="-20" w:firstLine="799"/>
        <w:spacing w:after="0" w:line="252" w:lineRule="auto"/>
        <w:tabs>
          <w:tab w:leader="none" w:pos="1387" w:val="left"/>
        </w:tabs>
        <w:numPr>
          <w:ilvl w:val="0"/>
          <w:numId w:val="28"/>
        </w:numPr>
        <w:rPr>
          <w:rFonts w:ascii="Arial" w:cs="Arial" w:eastAsia="Arial" w:hAnsi="Arial"/>
          <w:sz w:val="14"/>
          <w:szCs w:val="14"/>
          <w:color w:val="auto"/>
        </w:rPr>
      </w:pPr>
      <w:r>
        <w:rPr>
          <w:rFonts w:ascii="Arial" w:cs="Arial" w:eastAsia="Arial" w:hAnsi="Arial"/>
          <w:sz w:val="14"/>
          <w:szCs w:val="14"/>
          <w:color w:val="auto"/>
        </w:rPr>
        <w:t>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207010</wp:posOffset>
            </wp:positionV>
            <wp:extent cx="721487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3" w:name="page54"/>
    <w:bookmarkEnd w:id="53"/>
    <w:p>
      <w:pPr>
        <w:ind w:right="40"/>
        <w:spacing w:after="0" w:line="249" w:lineRule="auto"/>
        <w:rPr>
          <w:sz w:val="20"/>
          <w:szCs w:val="20"/>
          <w:color w:val="auto"/>
        </w:rPr>
      </w:pPr>
      <w:r>
        <w:rPr>
          <w:rFonts w:ascii="Arial" w:cs="Arial" w:eastAsia="Arial" w:hAnsi="Arial"/>
          <w:sz w:val="14"/>
          <w:szCs w:val="14"/>
          <w:color w:val="auto"/>
        </w:rPr>
        <w:t>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4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For purposes of the foregoing,</w:t>
      </w:r>
    </w:p>
    <w:p>
      <w:pPr>
        <w:spacing w:after="0" w:line="73" w:lineRule="exact"/>
        <w:rPr>
          <w:sz w:val="20"/>
          <w:szCs w:val="20"/>
          <w:color w:val="auto"/>
        </w:rPr>
      </w:pPr>
    </w:p>
    <w:p>
      <w:pPr>
        <w:ind w:left="1600" w:hanging="807"/>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Person</w:t>
      </w:r>
      <w:r>
        <w:rPr>
          <w:rFonts w:ascii="Arial" w:cs="Arial" w:eastAsia="Arial" w:hAnsi="Arial"/>
          <w:sz w:val="14"/>
          <w:szCs w:val="14"/>
          <w:color w:val="auto"/>
        </w:rPr>
        <w:t>" means an individual, entity or group;</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group</w:t>
      </w:r>
      <w:r>
        <w:rPr>
          <w:rFonts w:ascii="Arial" w:cs="Arial" w:eastAsia="Arial" w:hAnsi="Arial"/>
          <w:sz w:val="14"/>
          <w:szCs w:val="14"/>
          <w:color w:val="auto"/>
        </w:rPr>
        <w:t>" is used as it is defined for purposes of Section 13(d)(3) of the Exchange Act;</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terms "</w:t>
      </w:r>
      <w:r>
        <w:rPr>
          <w:rFonts w:ascii="Arial" w:cs="Arial" w:eastAsia="Arial" w:hAnsi="Arial"/>
          <w:sz w:val="14"/>
          <w:szCs w:val="14"/>
          <w:i w:val="1"/>
          <w:iCs w:val="1"/>
          <w:color w:val="auto"/>
        </w:rPr>
        <w:t>beneficial owner</w:t>
      </w:r>
      <w:r>
        <w:rPr>
          <w:rFonts w:ascii="Arial" w:cs="Arial" w:eastAsia="Arial" w:hAnsi="Arial"/>
          <w:sz w:val="14"/>
          <w:szCs w:val="14"/>
          <w:color w:val="auto"/>
        </w:rPr>
        <w:t>", "</w:t>
      </w:r>
      <w:r>
        <w:rPr>
          <w:rFonts w:ascii="Arial" w:cs="Arial" w:eastAsia="Arial" w:hAnsi="Arial"/>
          <w:sz w:val="14"/>
          <w:szCs w:val="14"/>
          <w:i w:val="1"/>
          <w:iCs w:val="1"/>
          <w:color w:val="auto"/>
        </w:rPr>
        <w:t>beneficial ownership</w:t>
      </w:r>
      <w:r>
        <w:rPr>
          <w:rFonts w:ascii="Arial" w:cs="Arial" w:eastAsia="Arial" w:hAnsi="Arial"/>
          <w:sz w:val="14"/>
          <w:szCs w:val="14"/>
          <w:color w:val="auto"/>
        </w:rPr>
        <w:t>" and "</w:t>
      </w:r>
      <w:r>
        <w:rPr>
          <w:rFonts w:ascii="Arial" w:cs="Arial" w:eastAsia="Arial" w:hAnsi="Arial"/>
          <w:sz w:val="14"/>
          <w:szCs w:val="14"/>
          <w:i w:val="1"/>
          <w:iCs w:val="1"/>
          <w:color w:val="auto"/>
        </w:rPr>
        <w:t>beneficially own</w:t>
      </w:r>
      <w:r>
        <w:rPr>
          <w:rFonts w:ascii="Arial" w:cs="Arial" w:eastAsia="Arial" w:hAnsi="Arial"/>
          <w:sz w:val="14"/>
          <w:szCs w:val="14"/>
          <w:color w:val="auto"/>
        </w:rPr>
        <w:t>" are used as defined for purposes of Rule 13d-3 under the Exchange Act;</w:t>
      </w:r>
    </w:p>
    <w:p>
      <w:pPr>
        <w:spacing w:after="0" w:line="73" w:lineRule="exact"/>
        <w:rPr>
          <w:rFonts w:ascii="Arial" w:cs="Arial" w:eastAsia="Arial" w:hAnsi="Arial"/>
          <w:sz w:val="14"/>
          <w:szCs w:val="14"/>
          <w:color w:val="auto"/>
        </w:rPr>
      </w:pPr>
    </w:p>
    <w:p>
      <w:pPr>
        <w:ind w:left="1600" w:right="440" w:hanging="807"/>
        <w:spacing w:after="0" w:line="273"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Business Combination</w:t>
      </w:r>
      <w:r>
        <w:rPr>
          <w:rFonts w:ascii="Arial" w:cs="Arial" w:eastAsia="Arial" w:hAnsi="Arial"/>
          <w:sz w:val="14"/>
          <w:szCs w:val="14"/>
          <w:color w:val="auto"/>
        </w:rPr>
        <w:t>" means (x) a merger, consolidation or share exchange involving the Company or its stock or (y) an acquisition by the Company, directly or through one or more subsidiaries, of another entity or its stock or assets;</w:t>
      </w:r>
    </w:p>
    <w:p>
      <w:pPr>
        <w:spacing w:after="0" w:line="29" w:lineRule="exact"/>
        <w:rPr>
          <w:rFonts w:ascii="Arial" w:cs="Arial" w:eastAsia="Arial" w:hAnsi="Arial"/>
          <w:sz w:val="14"/>
          <w:szCs w:val="14"/>
          <w:color w:val="auto"/>
        </w:rPr>
      </w:pPr>
    </w:p>
    <w:p>
      <w:pPr>
        <w:ind w:left="1600" w:hanging="807"/>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Company Common Stock</w:t>
      </w:r>
      <w:r>
        <w:rPr>
          <w:rFonts w:ascii="Arial" w:cs="Arial" w:eastAsia="Arial" w:hAnsi="Arial"/>
          <w:sz w:val="14"/>
          <w:szCs w:val="14"/>
          <w:color w:val="auto"/>
        </w:rPr>
        <w:t>" shall mean the Common Stock, par value $.01 per share, of the Company;</w:t>
      </w:r>
    </w:p>
    <w:p>
      <w:pPr>
        <w:spacing w:after="0" w:line="73" w:lineRule="exact"/>
        <w:rPr>
          <w:rFonts w:ascii="Arial" w:cs="Arial" w:eastAsia="Arial" w:hAnsi="Arial"/>
          <w:sz w:val="14"/>
          <w:szCs w:val="14"/>
          <w:color w:val="auto"/>
        </w:rPr>
      </w:pPr>
    </w:p>
    <w:p>
      <w:pPr>
        <w:ind w:left="1600" w:hanging="807"/>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Exchange Act</w:t>
      </w:r>
      <w:r>
        <w:rPr>
          <w:rFonts w:ascii="Arial" w:cs="Arial" w:eastAsia="Arial" w:hAnsi="Arial"/>
          <w:sz w:val="14"/>
          <w:szCs w:val="14"/>
          <w:color w:val="auto"/>
        </w:rPr>
        <w:t>" means the Securities Exchange Act of 1934, as amended;</w:t>
      </w:r>
    </w:p>
    <w:p>
      <w:pPr>
        <w:spacing w:after="0" w:line="73" w:lineRule="exact"/>
        <w:rPr>
          <w:rFonts w:ascii="Arial" w:cs="Arial" w:eastAsia="Arial" w:hAnsi="Arial"/>
          <w:sz w:val="14"/>
          <w:szCs w:val="14"/>
          <w:color w:val="auto"/>
        </w:rPr>
      </w:pPr>
    </w:p>
    <w:p>
      <w:pPr>
        <w:ind w:left="1600" w:right="160" w:hanging="807"/>
        <w:spacing w:after="0" w:line="257"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phrase "</w:t>
      </w:r>
      <w:r>
        <w:rPr>
          <w:rFonts w:ascii="Arial" w:cs="Arial" w:eastAsia="Arial" w:hAnsi="Arial"/>
          <w:sz w:val="14"/>
          <w:szCs w:val="14"/>
          <w:i w:val="1"/>
          <w:iCs w:val="1"/>
          <w:color w:val="auto"/>
        </w:rPr>
        <w:t>parent corporation resulting from a Business Combination</w:t>
      </w:r>
      <w:r>
        <w:rPr>
          <w:rFonts w:ascii="Arial" w:cs="Arial" w:eastAsia="Arial" w:hAnsi="Arial"/>
          <w:sz w:val="14"/>
          <w:szCs w:val="14"/>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40" w:lineRule="exact"/>
        <w:rPr>
          <w:rFonts w:ascii="Arial" w:cs="Arial" w:eastAsia="Arial" w:hAnsi="Arial"/>
          <w:sz w:val="14"/>
          <w:szCs w:val="14"/>
          <w:color w:val="auto"/>
        </w:rPr>
      </w:pPr>
    </w:p>
    <w:p>
      <w:pPr>
        <w:ind w:left="1600" w:hanging="807"/>
        <w:spacing w:after="0" w:line="257"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Major Asset Disposition</w:t>
      </w:r>
      <w:r>
        <w:rPr>
          <w:rFonts w:ascii="Arial" w:cs="Arial" w:eastAsia="Arial" w:hAnsi="Arial"/>
          <w:sz w:val="14"/>
          <w:szCs w:val="14"/>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40" w:lineRule="exact"/>
        <w:rPr>
          <w:rFonts w:ascii="Arial" w:cs="Arial" w:eastAsia="Arial" w:hAnsi="Arial"/>
          <w:sz w:val="14"/>
          <w:szCs w:val="14"/>
          <w:color w:val="auto"/>
        </w:rPr>
      </w:pPr>
    </w:p>
    <w:p>
      <w:pPr>
        <w:ind w:left="1600" w:right="200" w:hanging="807"/>
        <w:spacing w:after="0" w:line="257"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i w:val="1"/>
          <w:iCs w:val="1"/>
          <w:color w:val="auto"/>
        </w:rPr>
        <w:t>Acquiring Entity</w:t>
      </w:r>
      <w:r>
        <w:rPr>
          <w:rFonts w:ascii="Arial" w:cs="Arial" w:eastAsia="Arial" w:hAnsi="Arial"/>
          <w:sz w:val="14"/>
          <w:szCs w:val="14"/>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40" w:lineRule="exact"/>
        <w:rPr>
          <w:rFonts w:ascii="Arial" w:cs="Arial" w:eastAsia="Arial" w:hAnsi="Arial"/>
          <w:sz w:val="14"/>
          <w:szCs w:val="14"/>
          <w:color w:val="auto"/>
        </w:rPr>
      </w:pPr>
    </w:p>
    <w:p>
      <w:pPr>
        <w:jc w:val="both"/>
        <w:ind w:left="1600" w:right="80" w:hanging="807"/>
        <w:spacing w:after="0" w:line="277" w:lineRule="auto"/>
        <w:tabs>
          <w:tab w:leader="none" w:pos="1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phrase "</w:t>
      </w:r>
      <w:r>
        <w:rPr>
          <w:rFonts w:ascii="Arial" w:cs="Arial" w:eastAsia="Arial" w:hAnsi="Arial"/>
          <w:sz w:val="13"/>
          <w:szCs w:val="13"/>
          <w:i w:val="1"/>
          <w:iCs w:val="1"/>
          <w:color w:val="auto"/>
        </w:rPr>
        <w:t>substantially the same proportions</w:t>
      </w:r>
      <w:r>
        <w:rPr>
          <w:rFonts w:ascii="Arial" w:cs="Arial" w:eastAsia="Arial" w:hAnsi="Arial"/>
          <w:sz w:val="13"/>
          <w:szCs w:val="13"/>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 - 2</w:t>
      </w:r>
    </w:p>
    <w:p>
      <w:pPr>
        <w:sectPr>
          <w:pgSz w:w="11900" w:h="16838" w:orient="portrait"/>
          <w:cols w:equalWidth="0" w:num="1">
            <w:col w:w="11300"/>
          </w:cols>
          <w:pgMar w:left="300" w:top="269"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b w:val="1"/>
          <w:bCs w:val="1"/>
          <w:color w:val="auto"/>
        </w:rPr>
        <w:t>EXHIBIT 10.5</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EAGLE MATERIALS INC</w:t>
      </w:r>
      <w:r>
        <w:rPr>
          <w:rFonts w:ascii="Arial" w:cs="Arial" w:eastAsia="Arial" w:hAnsi="Arial"/>
          <w:sz w:val="14"/>
          <w:szCs w:val="14"/>
          <w:b w:val="1"/>
          <w:bCs w:val="1"/>
          <w:color w:val="auto"/>
        </w:rPr>
        <w:t>.</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AMERICAN GYPSUM COMPANY</w:t>
      </w:r>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SALARIED INCENTIVE COMPENSATION PROGRAM</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FOR FISCAL YEAR 2022*</w:t>
      </w:r>
    </w:p>
    <w:p>
      <w:pPr>
        <w:spacing w:after="0" w:line="309" w:lineRule="exact"/>
        <w:rPr>
          <w:sz w:val="20"/>
          <w:szCs w:val="20"/>
          <w:color w:val="auto"/>
        </w:rPr>
      </w:pPr>
    </w:p>
    <w:p>
      <w:pPr>
        <w:ind w:left="428" w:hanging="428"/>
        <w:spacing w:after="0"/>
        <w:tabs>
          <w:tab w:leader="none" w:pos="428"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Purpose</w:t>
      </w:r>
    </w:p>
    <w:p>
      <w:pPr>
        <w:spacing w:after="0" w:line="86" w:lineRule="exact"/>
        <w:rPr>
          <w:sz w:val="20"/>
          <w:szCs w:val="20"/>
          <w:color w:val="auto"/>
        </w:rPr>
      </w:pPr>
    </w:p>
    <w:p>
      <w:pPr>
        <w:jc w:val="both"/>
        <w:ind w:left="8" w:firstLine="869"/>
        <w:spacing w:after="0" w:line="249" w:lineRule="auto"/>
        <w:rPr>
          <w:sz w:val="20"/>
          <w:szCs w:val="20"/>
          <w:color w:val="auto"/>
        </w:rPr>
      </w:pPr>
      <w:r>
        <w:rPr>
          <w:rFonts w:ascii="Arial" w:cs="Arial" w:eastAsia="Arial" w:hAnsi="Arial"/>
          <w:sz w:val="14"/>
          <w:szCs w:val="14"/>
          <w:color w:val="auto"/>
        </w:rPr>
        <w:t>The purpose of the American Gypsum Company Salaried Incentive Compensation Program for Fiscal Year 2022 (the "Plan") is to establish an incentive bonus program which: (i) focuses on the performance of American Gypsum Company ("American") as well as individual performance; and (ii) aligns the interest of participants with those of the shareholders of Eagle Materials Inc. ("Eagle"). The Plan is adopted by the Compensation Committee of the Board of Directors (the "Committee") under the structure of Eagle Materials Inc. Amended and Restated Incentive Plan (the "Incentive Plan") and is subject to all the terms and conditions of such Incentive Plan, including, without limitation the limits set forth in Section 8 of the Incentive Plan. The Plan shall be in effect for the fiscal year ending March 31, 2022.</w:t>
      </w:r>
    </w:p>
    <w:p>
      <w:pPr>
        <w:spacing w:after="0" w:line="133" w:lineRule="exact"/>
        <w:rPr>
          <w:sz w:val="20"/>
          <w:szCs w:val="20"/>
          <w:color w:val="auto"/>
        </w:rPr>
      </w:pPr>
    </w:p>
    <w:p>
      <w:pPr>
        <w:ind w:left="868" w:hanging="868"/>
        <w:spacing w:after="0"/>
        <w:tabs>
          <w:tab w:leader="none" w:pos="868"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Bonus Pool</w:t>
      </w:r>
    </w:p>
    <w:p>
      <w:pPr>
        <w:spacing w:after="0" w:line="167" w:lineRule="exact"/>
        <w:rPr>
          <w:sz w:val="20"/>
          <w:szCs w:val="20"/>
          <w:color w:val="auto"/>
        </w:rPr>
      </w:pPr>
    </w:p>
    <w:p>
      <w:pPr>
        <w:jc w:val="both"/>
        <w:ind w:left="8" w:right="20" w:firstLine="869"/>
        <w:spacing w:after="0" w:line="273" w:lineRule="auto"/>
        <w:rPr>
          <w:sz w:val="20"/>
          <w:szCs w:val="20"/>
          <w:color w:val="auto"/>
        </w:rPr>
      </w:pPr>
      <w:r>
        <w:rPr>
          <w:rFonts w:ascii="Arial" w:cs="Arial" w:eastAsia="Arial" w:hAnsi="Arial"/>
          <w:sz w:val="14"/>
          <w:szCs w:val="14"/>
          <w:color w:val="auto"/>
        </w:rPr>
        <w:t xml:space="preserve">To insure reasonableness and affordability the available funds for bonus payments are determined as a percent of the EBITDA of American. The actual percentage may vary from year to year. For Fiscal Year 2022, the bonus pool will be equal to </w:t>
      </w:r>
      <w:r>
        <w:rPr>
          <w:rFonts w:ascii="Arial" w:cs="Arial" w:eastAsia="Arial" w:hAnsi="Arial"/>
          <w:sz w:val="14"/>
          <w:szCs w:val="14"/>
          <w:b w:val="1"/>
          <w:bCs w:val="1"/>
          <w:color w:val="auto"/>
        </w:rPr>
        <w:t>2.0%</w:t>
      </w:r>
      <w:r>
        <w:rPr>
          <w:rFonts w:ascii="Arial" w:cs="Arial" w:eastAsia="Arial" w:hAnsi="Arial"/>
          <w:sz w:val="14"/>
          <w:szCs w:val="14"/>
          <w:color w:val="auto"/>
        </w:rPr>
        <w:t xml:space="preserve"> of American's EBITDA.</w:t>
      </w:r>
    </w:p>
    <w:p>
      <w:pPr>
        <w:spacing w:after="0" w:line="120" w:lineRule="exact"/>
        <w:rPr>
          <w:sz w:val="20"/>
          <w:szCs w:val="20"/>
          <w:color w:val="auto"/>
        </w:rPr>
      </w:pPr>
    </w:p>
    <w:p>
      <w:pPr>
        <w:jc w:val="both"/>
        <w:ind w:left="8" w:firstLine="869"/>
        <w:spacing w:after="0" w:line="257" w:lineRule="auto"/>
        <w:rPr>
          <w:sz w:val="20"/>
          <w:szCs w:val="20"/>
          <w:color w:val="auto"/>
        </w:rPr>
      </w:pPr>
      <w:r>
        <w:rPr>
          <w:rFonts w:ascii="Arial" w:cs="Arial" w:eastAsia="Arial" w:hAnsi="Arial"/>
          <w:sz w:val="14"/>
          <w:szCs w:val="14"/>
          <w:color w:val="auto"/>
        </w:rPr>
        <w:t>Participants must be employed at fiscal year-end to be eligible for any bonus award. Awards may be adjusted for partial year participation for participants added during a year. The Committee hereby delegates to the CEO of Eagle all its duties and authorities to grant awards under the Plan except that the Committee shall retain all authority with respect to awards to the American President.</w:t>
      </w:r>
    </w:p>
    <w:p>
      <w:pPr>
        <w:spacing w:after="0" w:line="127" w:lineRule="exact"/>
        <w:rPr>
          <w:sz w:val="20"/>
          <w:szCs w:val="20"/>
          <w:color w:val="auto"/>
        </w:rPr>
      </w:pPr>
    </w:p>
    <w:p>
      <w:pPr>
        <w:ind w:left="868" w:hanging="868"/>
        <w:spacing w:after="0"/>
        <w:tabs>
          <w:tab w:leader="none" w:pos="868"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Eligibility</w:t>
      </w:r>
    </w:p>
    <w:p>
      <w:pPr>
        <w:spacing w:after="0" w:line="167" w:lineRule="exact"/>
        <w:rPr>
          <w:sz w:val="20"/>
          <w:szCs w:val="20"/>
          <w:color w:val="auto"/>
        </w:rPr>
      </w:pPr>
    </w:p>
    <w:p>
      <w:pPr>
        <w:jc w:val="both"/>
        <w:ind w:left="8" w:firstLine="869"/>
        <w:spacing w:after="0" w:line="257" w:lineRule="auto"/>
        <w:rPr>
          <w:sz w:val="20"/>
          <w:szCs w:val="20"/>
          <w:color w:val="auto"/>
        </w:rPr>
      </w:pPr>
      <w:r>
        <w:rPr>
          <w:rFonts w:ascii="Arial" w:cs="Arial" w:eastAsia="Arial" w:hAnsi="Arial"/>
          <w:sz w:val="14"/>
          <w:szCs w:val="14"/>
          <w:color w:val="auto"/>
        </w:rPr>
        <w:t>The American President, Vice Presidents and Plant Managers will be participants in the Plan. Additional participants who have management responsibilities or are in a professional capacity that can measurably impact earnings may be recommended by the American President subject to the approval of the Eagle Materials CEO. The addition of new plan participants will not affect the total pool available but will in effect dilute the potential bonuses of the original participants.</w:t>
      </w:r>
    </w:p>
    <w:p>
      <w:pPr>
        <w:spacing w:after="0" w:line="131" w:lineRule="exact"/>
        <w:rPr>
          <w:sz w:val="20"/>
          <w:szCs w:val="20"/>
          <w:color w:val="auto"/>
        </w:rPr>
      </w:pPr>
    </w:p>
    <w:p>
      <w:pPr>
        <w:jc w:val="both"/>
        <w:ind w:left="8" w:firstLine="869"/>
        <w:spacing w:after="0" w:line="257" w:lineRule="auto"/>
        <w:rPr>
          <w:sz w:val="20"/>
          <w:szCs w:val="20"/>
          <w:color w:val="auto"/>
        </w:rPr>
      </w:pPr>
      <w:r>
        <w:rPr>
          <w:rFonts w:ascii="Arial" w:cs="Arial" w:eastAsia="Arial" w:hAnsi="Arial"/>
          <w:sz w:val="14"/>
          <w:szCs w:val="14"/>
          <w:color w:val="auto"/>
        </w:rPr>
        <w:t>A participant must be an exempt salaried manager or professional. No hourly or non-exempt employee may participate. Participants in this Plan may not participate in any other company incentive plan with monetary awards, except for American Gypsum Company’s Long-Term Compensation Program, the Eagle Materials Long-Term Compensation Program and the Eagle Materials Special Situation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125095</wp:posOffset>
            </wp:positionV>
            <wp:extent cx="721487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122" w:right="299" w:bottom="1440" w:gutter="0" w:footer="0" w:header="0"/>
        </w:sectPr>
      </w:pPr>
    </w:p>
    <w:bookmarkStart w:id="55" w:name="page56"/>
    <w:bookmarkEnd w:id="55"/>
    <w:p>
      <w:pPr>
        <w:ind w:left="868" w:hanging="868"/>
        <w:spacing w:after="0"/>
        <w:tabs>
          <w:tab w:leader="none" w:pos="868"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Allocation of Pool</w:t>
      </w:r>
    </w:p>
    <w:p>
      <w:pPr>
        <w:spacing w:after="0" w:line="167" w:lineRule="exact"/>
        <w:rPr>
          <w:sz w:val="20"/>
          <w:szCs w:val="20"/>
          <w:color w:val="auto"/>
        </w:rPr>
      </w:pPr>
    </w:p>
    <w:p>
      <w:pPr>
        <w:jc w:val="both"/>
        <w:ind w:left="8" w:firstLine="869"/>
        <w:spacing w:after="0" w:line="252" w:lineRule="auto"/>
        <w:rPr>
          <w:sz w:val="20"/>
          <w:szCs w:val="20"/>
          <w:color w:val="auto"/>
        </w:rPr>
      </w:pPr>
      <w:r>
        <w:rPr>
          <w:rFonts w:ascii="Arial" w:cs="Arial" w:eastAsia="Arial" w:hAnsi="Arial"/>
          <w:sz w:val="14"/>
          <w:szCs w:val="14"/>
          <w:color w:val="auto"/>
        </w:rPr>
        <w:t>The American President will be eligible for a percentage of the pool to be recommended by the Eagle CEO and shall be approved by the Committee. The American President will recommend the distribution of the remainder of the company pool. For each participant in the Plan, the maximum annual bonus award opportunity is represented by the percentage of the pool assigned to such participant. The participants in the Plan and their percentage of the pool will be approved by the Eagle CEO (except for the American President and his percentage which shall be approved by the Committee) at the beginning of the fiscal year for which the bonus is being earned.</w:t>
      </w:r>
    </w:p>
    <w:p>
      <w:pPr>
        <w:spacing w:after="0" w:line="134" w:lineRule="exact"/>
        <w:rPr>
          <w:sz w:val="20"/>
          <w:szCs w:val="20"/>
          <w:color w:val="auto"/>
        </w:rPr>
      </w:pPr>
    </w:p>
    <w:p>
      <w:pPr>
        <w:jc w:val="both"/>
        <w:ind w:left="8" w:firstLine="869"/>
        <w:spacing w:after="0" w:line="286" w:lineRule="auto"/>
        <w:rPr>
          <w:sz w:val="20"/>
          <w:szCs w:val="20"/>
          <w:color w:val="auto"/>
        </w:rPr>
      </w:pPr>
      <w:r>
        <w:rPr>
          <w:rFonts w:ascii="Arial" w:cs="Arial" w:eastAsia="Arial" w:hAnsi="Arial"/>
          <w:sz w:val="13"/>
          <w:szCs w:val="13"/>
          <w:color w:val="auto"/>
        </w:rPr>
        <w:t>The American President's bonus opportunity shall be 50% goal based, 10% budget based and 40% discretionary taking into consideration overall job performance and compliance with Eagle Policies and Code of Ethics. All participants in the Plan must have the ability to significantly affect the performance of the subsidiary company by achieving measurable, quantifiable objectives. The American President will determine the objective and discretionary balance of bonus opportunities for the other participants in this Plan, subject to approval by the Eagle CEO.</w:t>
      </w:r>
    </w:p>
    <w:p>
      <w:pPr>
        <w:spacing w:after="0" w:line="110" w:lineRule="exact"/>
        <w:rPr>
          <w:sz w:val="20"/>
          <w:szCs w:val="20"/>
          <w:color w:val="auto"/>
        </w:rPr>
      </w:pPr>
    </w:p>
    <w:p>
      <w:pPr>
        <w:ind w:left="868" w:hanging="868"/>
        <w:spacing w:after="0"/>
        <w:tabs>
          <w:tab w:leader="none" w:pos="868"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Objective Criteria</w:t>
      </w:r>
    </w:p>
    <w:p>
      <w:pPr>
        <w:spacing w:after="0" w:line="167" w:lineRule="exact"/>
        <w:rPr>
          <w:sz w:val="20"/>
          <w:szCs w:val="20"/>
          <w:color w:val="auto"/>
        </w:rPr>
      </w:pPr>
    </w:p>
    <w:p>
      <w:pPr>
        <w:ind w:left="8" w:firstLine="869"/>
        <w:spacing w:after="0" w:line="273" w:lineRule="auto"/>
        <w:rPr>
          <w:sz w:val="20"/>
          <w:szCs w:val="20"/>
          <w:color w:val="auto"/>
        </w:rPr>
      </w:pPr>
      <w:r>
        <w:rPr>
          <w:rFonts w:ascii="Arial" w:cs="Arial" w:eastAsia="Arial" w:hAnsi="Arial"/>
          <w:sz w:val="14"/>
          <w:szCs w:val="14"/>
          <w:color w:val="auto"/>
        </w:rPr>
        <w:t>At the beginning of the fiscal year goals and objectives shall be established for each participant. Objectives should be measurable and focus on areas that have meaningful impact on our operational performance.</w:t>
      </w:r>
    </w:p>
    <w:p>
      <w:pPr>
        <w:spacing w:after="0" w:line="116" w:lineRule="exact"/>
        <w:rPr>
          <w:sz w:val="20"/>
          <w:szCs w:val="20"/>
          <w:color w:val="auto"/>
        </w:rPr>
      </w:pPr>
    </w:p>
    <w:p>
      <w:pPr>
        <w:ind w:left="428" w:hanging="428"/>
        <w:spacing w:after="0"/>
        <w:tabs>
          <w:tab w:leader="none" w:pos="428"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Measuring Performance</w:t>
      </w:r>
    </w:p>
    <w:p>
      <w:pPr>
        <w:spacing w:after="0" w:line="167" w:lineRule="exact"/>
        <w:rPr>
          <w:sz w:val="20"/>
          <w:szCs w:val="20"/>
          <w:color w:val="auto"/>
        </w:rPr>
      </w:pPr>
    </w:p>
    <w:p>
      <w:pPr>
        <w:jc w:val="both"/>
        <w:ind w:left="8" w:firstLine="869"/>
        <w:spacing w:after="0" w:line="286" w:lineRule="auto"/>
        <w:rPr>
          <w:sz w:val="20"/>
          <w:szCs w:val="20"/>
          <w:color w:val="auto"/>
        </w:rPr>
      </w:pPr>
      <w:r>
        <w:rPr>
          <w:rFonts w:ascii="Arial" w:cs="Arial" w:eastAsia="Arial" w:hAnsi="Arial"/>
          <w:sz w:val="13"/>
          <w:szCs w:val="13"/>
          <w:color w:val="auto"/>
        </w:rPr>
        <w:t>At the close of the fiscal year the American President will review each participant's overall performance and each participant's achievement of the goals and objectives submitted at the beginning of the fiscal year and recommend the distribution of the pool to the participants. Distribution of the pool to all participants other than the American President requires the approval of the Eagle CEO. Distribution of any portion of the pool to the American President requires the recommendation of the Eagle CEO and the approval of the Committee.</w:t>
      </w:r>
    </w:p>
    <w:p>
      <w:pPr>
        <w:spacing w:after="0" w:line="110" w:lineRule="exact"/>
        <w:rPr>
          <w:sz w:val="20"/>
          <w:szCs w:val="20"/>
          <w:color w:val="auto"/>
        </w:rPr>
      </w:pPr>
    </w:p>
    <w:p>
      <w:pPr>
        <w:jc w:val="center"/>
        <w:ind w:right="52"/>
        <w:spacing w:after="0"/>
        <w:rPr>
          <w:sz w:val="20"/>
          <w:szCs w:val="20"/>
          <w:color w:val="auto"/>
        </w:rPr>
      </w:pPr>
      <w:r>
        <w:rPr>
          <w:rFonts w:ascii="Arial" w:cs="Arial" w:eastAsia="Arial" w:hAnsi="Arial"/>
          <w:sz w:val="14"/>
          <w:szCs w:val="14"/>
          <w:b w:val="1"/>
          <w:bCs w:val="1"/>
          <w:color w:val="auto"/>
        </w:rPr>
        <w:t>Any portion of the Company Operating Pool not paid out (unearned) or forfeited will be added to the Special Situation Program (the "SSP") at Corporate.</w:t>
      </w:r>
    </w:p>
    <w:p>
      <w:pPr>
        <w:spacing w:after="0" w:line="163" w:lineRule="exact"/>
        <w:rPr>
          <w:sz w:val="20"/>
          <w:szCs w:val="20"/>
          <w:color w:val="auto"/>
        </w:rPr>
      </w:pPr>
    </w:p>
    <w:p>
      <w:pPr>
        <w:ind w:left="868" w:hanging="868"/>
        <w:spacing w:after="0"/>
        <w:tabs>
          <w:tab w:leader="none" w:pos="868"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 Employment Guaranteed</w:t>
      </w:r>
    </w:p>
    <w:p>
      <w:pPr>
        <w:spacing w:after="0" w:line="167" w:lineRule="exact"/>
        <w:rPr>
          <w:rFonts w:ascii="Arial" w:cs="Arial" w:eastAsia="Arial" w:hAnsi="Arial"/>
          <w:sz w:val="14"/>
          <w:szCs w:val="14"/>
          <w:b w:val="1"/>
          <w:bCs w:val="1"/>
          <w:color w:val="auto"/>
        </w:rPr>
      </w:pPr>
    </w:p>
    <w:p>
      <w:pPr>
        <w:ind w:left="868"/>
        <w:spacing w:after="0"/>
        <w:rPr>
          <w:rFonts w:ascii="Arial" w:cs="Arial" w:eastAsia="Arial" w:hAnsi="Arial"/>
          <w:sz w:val="14"/>
          <w:szCs w:val="14"/>
          <w:b w:val="1"/>
          <w:bCs w:val="1"/>
          <w:color w:val="auto"/>
        </w:rPr>
      </w:pPr>
      <w:r>
        <w:rPr>
          <w:rFonts w:ascii="Arial" w:cs="Arial" w:eastAsia="Arial" w:hAnsi="Arial"/>
          <w:sz w:val="14"/>
          <w:szCs w:val="14"/>
          <w:color w:val="auto"/>
        </w:rPr>
        <w:t>No provision of this Plan hereunder shall confer any right upon any participant to continued employment.</w:t>
      </w:r>
    </w:p>
    <w:p>
      <w:pPr>
        <w:spacing w:after="0" w:line="159" w:lineRule="exact"/>
        <w:rPr>
          <w:rFonts w:ascii="Arial" w:cs="Arial" w:eastAsia="Arial" w:hAnsi="Arial"/>
          <w:sz w:val="14"/>
          <w:szCs w:val="14"/>
          <w:b w:val="1"/>
          <w:bCs w:val="1"/>
          <w:color w:val="auto"/>
        </w:rPr>
      </w:pPr>
    </w:p>
    <w:p>
      <w:pPr>
        <w:ind w:left="868" w:hanging="868"/>
        <w:spacing w:after="0"/>
        <w:tabs>
          <w:tab w:leader="none" w:pos="868"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Governing Law</w:t>
      </w:r>
    </w:p>
    <w:p>
      <w:pPr>
        <w:spacing w:after="0" w:line="167" w:lineRule="exact"/>
        <w:rPr>
          <w:sz w:val="20"/>
          <w:szCs w:val="20"/>
          <w:color w:val="auto"/>
        </w:rPr>
      </w:pPr>
    </w:p>
    <w:p>
      <w:pPr>
        <w:ind w:left="8" w:firstLine="869"/>
        <w:spacing w:after="0" w:line="273" w:lineRule="auto"/>
        <w:rPr>
          <w:sz w:val="20"/>
          <w:szCs w:val="20"/>
          <w:color w:val="auto"/>
        </w:rPr>
      </w:pPr>
      <w:r>
        <w:rPr>
          <w:rFonts w:ascii="Arial" w:cs="Arial" w:eastAsia="Arial" w:hAnsi="Arial"/>
          <w:sz w:val="14"/>
          <w:szCs w:val="14"/>
          <w:color w:val="auto"/>
        </w:rPr>
        <w:t>This Plan and all determinations made and actions taken pursuant hereto, shall be governed by and construed in accordance with the laws of the State of Texas, without reference to any conflicts of law principles thereof that would require the application of the laws of another jurisdiction.</w:t>
      </w: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168275</wp:posOffset>
            </wp:positionV>
            <wp:extent cx="721487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8"/>
          </w:cols>
          <w:pgMar w:left="292" w:top="265" w:right="299" w:bottom="1440" w:gutter="0" w:footer="0" w:header="0"/>
        </w:sectPr>
      </w:pPr>
    </w:p>
    <w:bookmarkStart w:id="56" w:name="page57"/>
    <w:bookmarkEnd w:id="56"/>
    <w:p>
      <w:pPr>
        <w:ind w:left="428" w:hanging="428"/>
        <w:spacing w:after="0"/>
        <w:tabs>
          <w:tab w:leader="none" w:pos="428"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Recoupment</w:t>
      </w:r>
    </w:p>
    <w:p>
      <w:pPr>
        <w:spacing w:after="0" w:line="86" w:lineRule="exact"/>
        <w:rPr>
          <w:sz w:val="20"/>
          <w:szCs w:val="20"/>
          <w:color w:val="auto"/>
        </w:rPr>
      </w:pPr>
    </w:p>
    <w:p>
      <w:pPr>
        <w:ind w:left="8" w:firstLine="869"/>
        <w:spacing w:after="0" w:line="273" w:lineRule="auto"/>
        <w:rPr>
          <w:sz w:val="20"/>
          <w:szCs w:val="20"/>
          <w:color w:val="auto"/>
        </w:rPr>
      </w:pPr>
      <w:r>
        <w:rPr>
          <w:rFonts w:ascii="Arial" w:cs="Arial" w:eastAsia="Arial" w:hAnsi="Arial"/>
          <w:sz w:val="14"/>
          <w:szCs w:val="14"/>
          <w:color w:val="auto"/>
        </w:rPr>
        <w:t>This Plan (and amounts paid in respect hereof) shall be subject to the terms of the recoupment (clawback) policy adopted by Eagle as in effect from time to time, as well as any recoupment/forfeiture provisions required by law and applicable to Eagle or its subsidiaries.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
        <w:spacing w:after="0"/>
        <w:rPr>
          <w:sz w:val="20"/>
          <w:szCs w:val="20"/>
          <w:color w:val="auto"/>
        </w:rPr>
      </w:pPr>
      <w:r>
        <w:rPr>
          <w:rFonts w:ascii="Arial" w:cs="Arial" w:eastAsia="Arial" w:hAnsi="Arial"/>
          <w:sz w:val="11"/>
          <w:szCs w:val="11"/>
          <w:color w:val="auto"/>
        </w:rPr>
        <w:t>*Note: On May 17, 2021, the Compensation Committee approved this program. The Compensation Committee also determined the percentage of the pool available for payment of the annual incentive bonus to the following named</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executive officer participating in the program: Steven L. Wentzel, 12.5%.</w:t>
      </w:r>
    </w:p>
    <w:p>
      <w:pPr>
        <w:spacing w:after="0" w:line="280"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8"/>
          </w:cols>
          <w:pgMar w:left="292" w:top="265" w:right="299" w:bottom="1440" w:gutter="0" w:footer="0" w:header="0"/>
        </w:sectPr>
      </w:pPr>
    </w:p>
    <w:bookmarkStart w:id="57" w:name="page58"/>
    <w:bookmarkEnd w:id="57"/>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Periodic Report Pursuant to Section 302 of the Sarbanes-Oxley Act of 2002</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R. Haack, certify that:</w:t>
      </w:r>
    </w:p>
    <w:p>
      <w:pPr>
        <w:spacing w:after="0" w:line="78" w:lineRule="exact"/>
        <w:rPr>
          <w:sz w:val="20"/>
          <w:szCs w:val="20"/>
          <w:color w:val="auto"/>
        </w:rPr>
      </w:pPr>
    </w:p>
    <w:p>
      <w:pPr>
        <w:ind w:left="128" w:hanging="128"/>
        <w:spacing w:after="0"/>
        <w:tabs>
          <w:tab w:leader="none" w:pos="128" w:val="left"/>
        </w:tabs>
        <w:numPr>
          <w:ilvl w:val="0"/>
          <w:numId w:val="38"/>
        </w:numPr>
        <w:rPr>
          <w:rFonts w:ascii="Arial" w:cs="Arial" w:eastAsia="Arial" w:hAnsi="Arial"/>
          <w:sz w:val="12"/>
          <w:szCs w:val="12"/>
          <w:color w:val="auto"/>
        </w:rPr>
      </w:pPr>
      <w:r>
        <w:rPr>
          <w:rFonts w:ascii="Arial" w:cs="Arial" w:eastAsia="Arial" w:hAnsi="Arial"/>
          <w:sz w:val="12"/>
          <w:szCs w:val="12"/>
          <w:color w:val="auto"/>
        </w:rPr>
        <w:t>I have reviewed this report on Form 10-Q of Eagle Materials Inc.;</w:t>
      </w:r>
    </w:p>
    <w:p>
      <w:pPr>
        <w:spacing w:after="0" w:line="78" w:lineRule="exact"/>
        <w:rPr>
          <w:rFonts w:ascii="Arial" w:cs="Arial" w:eastAsia="Arial" w:hAnsi="Arial"/>
          <w:sz w:val="12"/>
          <w:szCs w:val="12"/>
          <w:color w:val="auto"/>
        </w:rPr>
      </w:pPr>
    </w:p>
    <w:p>
      <w:pPr>
        <w:ind w:left="8" w:right="20" w:hanging="8"/>
        <w:spacing w:after="0" w:line="276" w:lineRule="auto"/>
        <w:tabs>
          <w:tab w:leader="none" w:pos="135" w:val="left"/>
        </w:tabs>
        <w:numPr>
          <w:ilvl w:val="0"/>
          <w:numId w:val="3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 w:hanging="8"/>
        <w:spacing w:after="0" w:line="276" w:lineRule="auto"/>
        <w:tabs>
          <w:tab w:leader="none" w:pos="133" w:val="left"/>
        </w:tabs>
        <w:numPr>
          <w:ilvl w:val="0"/>
          <w:numId w:val="3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 w:right="20" w:hanging="8"/>
        <w:spacing w:after="0" w:line="276" w:lineRule="auto"/>
        <w:tabs>
          <w:tab w:leader="none" w:pos="141"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8" w:right="20" w:hanging="8"/>
        <w:spacing w:after="0" w:line="276" w:lineRule="auto"/>
        <w:tabs>
          <w:tab w:leader="none" w:pos="142"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 w:hanging="8"/>
        <w:spacing w:after="0" w:line="276" w:lineRule="auto"/>
        <w:tabs>
          <w:tab w:leader="none" w:pos="139"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 w:hanging="8"/>
        <w:spacing w:after="0" w:line="276" w:lineRule="auto"/>
        <w:tabs>
          <w:tab w:leader="none" w:pos="137" w:val="left"/>
        </w:tabs>
        <w:numPr>
          <w:ilvl w:val="0"/>
          <w:numId w:val="3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 w:hanging="8"/>
        <w:spacing w:after="0" w:line="276" w:lineRule="auto"/>
        <w:tabs>
          <w:tab w:leader="none" w:pos="139" w:val="left"/>
        </w:tabs>
        <w:numPr>
          <w:ilvl w:val="0"/>
          <w:numId w:val="3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sz w:val="20"/>
          <w:szCs w:val="20"/>
          <w:color w:val="auto"/>
        </w:rPr>
      </w:pPr>
    </w:p>
    <w:p>
      <w:pPr>
        <w:ind w:left="8" w:hanging="8"/>
        <w:spacing w:after="0" w:line="276" w:lineRule="auto"/>
        <w:tabs>
          <w:tab w:leader="none" w:pos="131"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3" w:lineRule="exact"/>
        <w:rPr>
          <w:sz w:val="20"/>
          <w:szCs w:val="20"/>
          <w:color w:val="auto"/>
        </w:rPr>
      </w:pPr>
    </w:p>
    <w:p>
      <w:pPr>
        <w:ind w:left="8" w:hanging="8"/>
        <w:spacing w:after="0" w:line="276" w:lineRule="auto"/>
        <w:tabs>
          <w:tab w:leader="none" w:pos="132" w:val="left"/>
        </w:tabs>
        <w:numPr>
          <w:ilvl w:val="0"/>
          <w:numId w:val="4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28" w:hanging="128"/>
        <w:spacing w:after="0"/>
        <w:tabs>
          <w:tab w:leader="none" w:pos="1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Dated: July 28, 2021</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00" w:type="dxa"/>
            <w:vAlign w:val="bottom"/>
          </w:tcPr>
          <w:p>
            <w:pPr>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R. Haack</w:t>
            </w:r>
          </w:p>
        </w:tc>
      </w:tr>
      <w:tr>
        <w:trPr>
          <w:trHeight w:val="124"/>
        </w:trPr>
        <w:tc>
          <w:tcPr>
            <w:tcW w:w="40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Michael R. Haack</w:t>
            </w:r>
          </w:p>
        </w:tc>
      </w:tr>
      <w:tr>
        <w:trPr>
          <w:trHeight w:val="153"/>
        </w:trPr>
        <w:tc>
          <w:tcPr>
            <w:tcW w:w="4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308"/>
          </w:cols>
          <w:pgMar w:left="292" w:top="127" w:right="29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Periodic Report Pursuant to Section 302 of the Sarbanes-Oxley Act of 2002</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D. Craig Kesler, certify that:</w:t>
      </w:r>
    </w:p>
    <w:p>
      <w:pPr>
        <w:spacing w:after="0" w:line="78" w:lineRule="exact"/>
        <w:rPr>
          <w:sz w:val="20"/>
          <w:szCs w:val="20"/>
          <w:color w:val="auto"/>
        </w:rPr>
      </w:pPr>
    </w:p>
    <w:p>
      <w:pPr>
        <w:ind w:left="128" w:hanging="128"/>
        <w:spacing w:after="0"/>
        <w:tabs>
          <w:tab w:leader="none" w:pos="1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I have reviewed this report on Form 10-Q of Eagle Materials Inc.;</w:t>
      </w:r>
    </w:p>
    <w:p>
      <w:pPr>
        <w:spacing w:after="0" w:line="78" w:lineRule="exact"/>
        <w:rPr>
          <w:rFonts w:ascii="Arial" w:cs="Arial" w:eastAsia="Arial" w:hAnsi="Arial"/>
          <w:sz w:val="12"/>
          <w:szCs w:val="12"/>
          <w:color w:val="auto"/>
        </w:rPr>
      </w:pPr>
    </w:p>
    <w:p>
      <w:pPr>
        <w:ind w:left="8" w:right="20" w:hanging="8"/>
        <w:spacing w:after="0" w:line="276" w:lineRule="auto"/>
        <w:tabs>
          <w:tab w:leader="none" w:pos="135" w:val="left"/>
        </w:tabs>
        <w:numPr>
          <w:ilvl w:val="0"/>
          <w:numId w:val="4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 w:hanging="8"/>
        <w:spacing w:after="0" w:line="276" w:lineRule="auto"/>
        <w:tabs>
          <w:tab w:leader="none" w:pos="133" w:val="left"/>
        </w:tabs>
        <w:numPr>
          <w:ilvl w:val="0"/>
          <w:numId w:val="4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 w:right="20" w:hanging="8"/>
        <w:spacing w:after="0" w:line="276" w:lineRule="auto"/>
        <w:tabs>
          <w:tab w:leader="none" w:pos="141"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sz w:val="20"/>
          <w:szCs w:val="20"/>
          <w:color w:val="auto"/>
        </w:rPr>
      </w:pPr>
    </w:p>
    <w:p>
      <w:pPr>
        <w:ind w:left="8" w:right="20" w:hanging="8"/>
        <w:spacing w:after="0" w:line="276" w:lineRule="auto"/>
        <w:tabs>
          <w:tab w:leader="none" w:pos="142" w:val="left"/>
        </w:tabs>
        <w:numPr>
          <w:ilvl w:val="0"/>
          <w:numId w:val="4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8" w:hanging="8"/>
        <w:spacing w:after="0" w:line="276" w:lineRule="auto"/>
        <w:tabs>
          <w:tab w:leader="none" w:pos="139" w:val="left"/>
        </w:tabs>
        <w:numPr>
          <w:ilvl w:val="0"/>
          <w:numId w:val="4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8" w:hanging="8"/>
        <w:spacing w:after="0" w:line="276" w:lineRule="auto"/>
        <w:tabs>
          <w:tab w:leader="none" w:pos="137" w:val="left"/>
        </w:tabs>
        <w:numPr>
          <w:ilvl w:val="0"/>
          <w:numId w:val="4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8" w:hanging="8"/>
        <w:spacing w:after="0" w:line="276" w:lineRule="auto"/>
        <w:tabs>
          <w:tab w:leader="none" w:pos="139" w:val="left"/>
        </w:tabs>
        <w:numPr>
          <w:ilvl w:val="0"/>
          <w:numId w:val="4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sz w:val="20"/>
          <w:szCs w:val="20"/>
          <w:color w:val="auto"/>
        </w:rPr>
      </w:pPr>
    </w:p>
    <w:p>
      <w:pPr>
        <w:ind w:left="8" w:hanging="8"/>
        <w:spacing w:after="0" w:line="276" w:lineRule="auto"/>
        <w:tabs>
          <w:tab w:leader="none" w:pos="131"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3" w:lineRule="exact"/>
        <w:rPr>
          <w:sz w:val="20"/>
          <w:szCs w:val="20"/>
          <w:color w:val="auto"/>
        </w:rPr>
      </w:pPr>
    </w:p>
    <w:p>
      <w:pPr>
        <w:ind w:left="8" w:hanging="8"/>
        <w:spacing w:after="0" w:line="276" w:lineRule="auto"/>
        <w:tabs>
          <w:tab w:leader="none" w:pos="132" w:val="left"/>
        </w:tabs>
        <w:numPr>
          <w:ilvl w:val="0"/>
          <w:numId w:val="4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28" w:hanging="128"/>
        <w:spacing w:after="0"/>
        <w:tabs>
          <w:tab w:leader="none" w:pos="1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Dated: July 28, 2021</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00" w:type="dxa"/>
            <w:vAlign w:val="bottom"/>
          </w:tcPr>
          <w:p>
            <w:pPr>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 Craig Kesler</w:t>
            </w:r>
          </w:p>
        </w:tc>
      </w:tr>
      <w:tr>
        <w:trPr>
          <w:trHeight w:val="124"/>
        </w:trPr>
        <w:tc>
          <w:tcPr>
            <w:tcW w:w="40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D. Craig Kesler</w:t>
            </w:r>
          </w:p>
        </w:tc>
      </w:tr>
      <w:tr>
        <w:trPr>
          <w:trHeight w:val="144"/>
        </w:trPr>
        <w:tc>
          <w:tcPr>
            <w:tcW w:w="40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4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ectPr>
          <w:pgSz w:w="11900" w:h="16838" w:orient="portrait"/>
          <w:cols w:equalWidth="0" w:num="1">
            <w:col w:w="11308"/>
          </w:cols>
          <w:pgMar w:left="292" w:top="127" w:right="299" w:bottom="1440" w:gutter="0" w:footer="0" w:header="0"/>
        </w:sectPr>
      </w:pPr>
    </w:p>
    <w:bookmarkStart w:id="59" w:name="page60"/>
    <w:bookmarkEnd w:id="59"/>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Periodic Report Pursuant to Section 906 of the Sarbanes-Oxley Act of 2002</w:t>
      </w:r>
    </w:p>
    <w:p>
      <w:pPr>
        <w:spacing w:after="0" w:line="154" w:lineRule="exact"/>
        <w:rPr>
          <w:sz w:val="20"/>
          <w:szCs w:val="20"/>
          <w:color w:val="auto"/>
        </w:rPr>
      </w:pPr>
    </w:p>
    <w:p>
      <w:pPr>
        <w:jc w:val="both"/>
        <w:ind w:firstLine="256"/>
        <w:spacing w:after="0" w:line="263" w:lineRule="auto"/>
        <w:rPr>
          <w:sz w:val="20"/>
          <w:szCs w:val="20"/>
          <w:color w:val="auto"/>
        </w:rPr>
      </w:pPr>
      <w:r>
        <w:rPr>
          <w:rFonts w:ascii="Arial" w:cs="Arial" w:eastAsia="Arial" w:hAnsi="Arial"/>
          <w:sz w:val="12"/>
          <w:szCs w:val="12"/>
          <w:color w:val="auto"/>
        </w:rPr>
        <w:t>In connection with the Quarterly Report of Eagle Materials Inc. and subsidiaries (the “Company”) on Form 10-Q for the period ended June 30, 2021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50" w:lineRule="exact"/>
        <w:rPr>
          <w:sz w:val="20"/>
          <w:szCs w:val="20"/>
          <w:color w:val="auto"/>
        </w:rPr>
      </w:pPr>
    </w:p>
    <w:p>
      <w:pPr>
        <w:ind w:left="620" w:hanging="376"/>
        <w:spacing w:after="0"/>
        <w:tabs>
          <w:tab w:leader="none" w:pos="6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96" w:lineRule="exact"/>
        <w:rPr>
          <w:rFonts w:ascii="Arial" w:cs="Arial" w:eastAsia="Arial" w:hAnsi="Arial"/>
          <w:sz w:val="12"/>
          <w:szCs w:val="12"/>
          <w:color w:val="auto"/>
        </w:rPr>
      </w:pPr>
    </w:p>
    <w:p>
      <w:pPr>
        <w:ind w:left="620" w:hanging="376"/>
        <w:spacing w:after="0"/>
        <w:tabs>
          <w:tab w:leader="none" w:pos="6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Dated: July 28,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0" w:type="dxa"/>
            <w:vAlign w:val="bottom"/>
          </w:tcPr>
          <w:p>
            <w:pPr>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R. Haack</w:t>
            </w:r>
          </w:p>
        </w:tc>
      </w:tr>
      <w:tr>
        <w:trPr>
          <w:trHeight w:val="124"/>
        </w:trPr>
        <w:tc>
          <w:tcPr>
            <w:tcW w:w="40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Michael R. Haack</w:t>
            </w:r>
          </w:p>
        </w:tc>
      </w:tr>
      <w:tr>
        <w:trPr>
          <w:trHeight w:val="153"/>
        </w:trPr>
        <w:tc>
          <w:tcPr>
            <w:tcW w:w="4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300"/>
          </w:cols>
          <w:pgMar w:left="300" w:top="127" w:right="299" w:bottom="1440" w:gutter="0" w:footer="0" w:header="0"/>
        </w:sectPr>
      </w:pPr>
    </w:p>
    <w:bookmarkStart w:id="60" w:name="page61"/>
    <w:bookmarkEnd w:id="60"/>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Periodic Report Pursuant to Section 906 of the Sarbanes-Oxley Act of 2002</w:t>
      </w:r>
    </w:p>
    <w:p>
      <w:pPr>
        <w:spacing w:after="0" w:line="154" w:lineRule="exact"/>
        <w:rPr>
          <w:sz w:val="20"/>
          <w:szCs w:val="20"/>
          <w:color w:val="auto"/>
        </w:rPr>
      </w:pPr>
    </w:p>
    <w:p>
      <w:pPr>
        <w:ind w:firstLine="256"/>
        <w:spacing w:after="0" w:line="323" w:lineRule="auto"/>
        <w:rPr>
          <w:sz w:val="20"/>
          <w:szCs w:val="20"/>
          <w:color w:val="auto"/>
        </w:rPr>
      </w:pPr>
      <w:r>
        <w:rPr>
          <w:rFonts w:ascii="Arial" w:cs="Arial" w:eastAsia="Arial" w:hAnsi="Arial"/>
          <w:sz w:val="11"/>
          <w:szCs w:val="11"/>
          <w:color w:val="auto"/>
        </w:rPr>
        <w:t>In connection with the Quarterly Report of Eagle Materials Inc. and subsidiaries (the “Company”) on Form 10-Q for the period ended June 30, 2021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20" w:lineRule="exact"/>
        <w:rPr>
          <w:sz w:val="20"/>
          <w:szCs w:val="20"/>
          <w:color w:val="auto"/>
        </w:rPr>
      </w:pPr>
    </w:p>
    <w:p>
      <w:pPr>
        <w:ind w:left="620" w:hanging="376"/>
        <w:spacing w:after="0"/>
        <w:tabs>
          <w:tab w:leader="none" w:pos="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96" w:lineRule="exact"/>
        <w:rPr>
          <w:rFonts w:ascii="Arial" w:cs="Arial" w:eastAsia="Arial" w:hAnsi="Arial"/>
          <w:sz w:val="12"/>
          <w:szCs w:val="12"/>
          <w:color w:val="auto"/>
        </w:rPr>
      </w:pPr>
    </w:p>
    <w:p>
      <w:pPr>
        <w:ind w:left="620" w:hanging="376"/>
        <w:spacing w:after="0"/>
        <w:tabs>
          <w:tab w:leader="none" w:pos="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Dated: July 28, 2021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0" w:type="dxa"/>
            <w:vAlign w:val="bottom"/>
          </w:tcPr>
          <w:p>
            <w:pPr>
              <w:spacing w:after="0"/>
              <w:rPr>
                <w:sz w:val="20"/>
                <w:szCs w:val="20"/>
                <w:color w:val="auto"/>
              </w:rPr>
            </w:pPr>
            <w:r>
              <w:rPr>
                <w:rFonts w:ascii="Arial" w:cs="Arial" w:eastAsia="Arial" w:hAnsi="Arial"/>
                <w:sz w:val="12"/>
                <w:szCs w:val="12"/>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 Craig Kesler</w:t>
            </w:r>
          </w:p>
        </w:tc>
      </w:tr>
      <w:tr>
        <w:trPr>
          <w:trHeight w:val="124"/>
        </w:trPr>
        <w:tc>
          <w:tcPr>
            <w:tcW w:w="400" w:type="dxa"/>
            <w:vAlign w:val="bottom"/>
          </w:tcPr>
          <w:p>
            <w:pPr>
              <w:spacing w:after="0"/>
              <w:rPr>
                <w:sz w:val="10"/>
                <w:szCs w:val="10"/>
                <w:color w:val="auto"/>
              </w:rPr>
            </w:pPr>
          </w:p>
        </w:tc>
        <w:tc>
          <w:tcPr>
            <w:tcW w:w="4100" w:type="dxa"/>
            <w:vAlign w:val="bottom"/>
          </w:tcPr>
          <w:p>
            <w:pPr>
              <w:spacing w:after="0" w:line="124" w:lineRule="exact"/>
              <w:rPr>
                <w:sz w:val="20"/>
                <w:szCs w:val="20"/>
                <w:color w:val="auto"/>
              </w:rPr>
            </w:pPr>
            <w:r>
              <w:rPr>
                <w:rFonts w:ascii="Arial" w:cs="Arial" w:eastAsia="Arial" w:hAnsi="Arial"/>
                <w:sz w:val="12"/>
                <w:szCs w:val="12"/>
                <w:color w:val="auto"/>
              </w:rPr>
              <w:t>D. Craig Kesler</w:t>
            </w:r>
          </w:p>
        </w:tc>
      </w:tr>
      <w:tr>
        <w:trPr>
          <w:trHeight w:val="144"/>
        </w:trPr>
        <w:tc>
          <w:tcPr>
            <w:tcW w:w="40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40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ectPr>
          <w:pgSz w:w="11900" w:h="16838" w:orient="portrait"/>
          <w:cols w:equalWidth="0" w:num="1">
            <w:col w:w="11300"/>
          </w:cols>
          <w:pgMar w:left="300" w:top="127" w:right="299" w:bottom="1440" w:gutter="0" w:footer="0" w:header="0"/>
        </w:sectPr>
      </w:pPr>
    </w:p>
    <w:bookmarkStart w:id="61" w:name="page62"/>
    <w:bookmarkEnd w:id="61"/>
    <w:p>
      <w:pPr>
        <w:ind w:left="6200"/>
        <w:spacing w:after="0"/>
        <w:rPr>
          <w:sz w:val="20"/>
          <w:szCs w:val="20"/>
          <w:color w:val="auto"/>
        </w:rPr>
      </w:pPr>
      <w:r>
        <w:rPr>
          <w:rFonts w:ascii="Arial" w:cs="Arial" w:eastAsia="Arial" w:hAnsi="Arial"/>
          <w:sz w:val="12"/>
          <w:szCs w:val="12"/>
          <w:b w:val="1"/>
          <w:bCs w:val="1"/>
          <w:i w:val="1"/>
          <w:iCs w:val="1"/>
          <w:color w:val="auto"/>
        </w:rPr>
        <w:t>MINE SAFETY DISCLOSURE</w:t>
      </w:r>
    </w:p>
    <w:p>
      <w:pPr>
        <w:spacing w:after="0" w:line="109" w:lineRule="exact"/>
        <w:rPr>
          <w:sz w:val="20"/>
          <w:szCs w:val="20"/>
          <w:color w:val="auto"/>
        </w:rPr>
      </w:pPr>
    </w:p>
    <w:p>
      <w:pPr>
        <w:jc w:val="both"/>
        <w:spacing w:after="0" w:line="351" w:lineRule="auto"/>
        <w:rPr>
          <w:sz w:val="20"/>
          <w:szCs w:val="20"/>
          <w:color w:val="auto"/>
        </w:rPr>
      </w:pPr>
      <w:r>
        <w:rPr>
          <w:rFonts w:ascii="Arial" w:cs="Arial" w:eastAsia="Arial" w:hAnsi="Arial"/>
          <w:sz w:val="9"/>
          <w:szCs w:val="9"/>
          <w:color w:val="auto"/>
        </w:rPr>
        <w:t>Section 1503 of the Dodd-Frank Wall Street Reform and Consumer Protection Act contains reporting requirements regarding mine safety. The operation of our quarries is subject to regulation by the federal Mine Safety and Health Administration, or MSHA, unde Mine Act. Set forth below is the required information regarding certain mining safety and health matters for the three month period ended June 30, 2021 for our facilities. In evaluating this information, consideration should be given to factors such as: (i) the num of the quarry, (ii) the number of citations issued will vary from inspector-to-inspector and mine-to-mine, and (iii) citations and orders can be contested and appealed, and in that process, may be reduced in severity and amount, and are sometimes dismissed.</w:t>
      </w:r>
    </w:p>
    <w:p>
      <w:pPr>
        <w:sectPr>
          <w:pgSz w:w="11900" w:h="16838" w:orient="portrait"/>
          <w:cols w:equalWidth="0" w:num="1">
            <w:col w:w="11360"/>
          </w:cols>
          <w:pgMar w:left="300" w:top="3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8"/>
          <w:szCs w:val="8"/>
          <w:color w:val="auto"/>
        </w:rPr>
        <w:t>Mine or Operating Name/MSHA</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Identification Number</w:t>
      </w:r>
    </w:p>
    <w:p>
      <w:pPr>
        <w:spacing w:after="0" w:line="232" w:lineRule="auto"/>
        <w:rPr>
          <w:sz w:val="20"/>
          <w:szCs w:val="20"/>
          <w:color w:val="auto"/>
        </w:rPr>
      </w:pPr>
      <w:r>
        <w:rPr>
          <w:rFonts w:ascii="Arial" w:cs="Arial" w:eastAsia="Arial" w:hAnsi="Arial"/>
          <w:sz w:val="10"/>
          <w:szCs w:val="10"/>
          <w:color w:val="auto"/>
        </w:rPr>
        <w:t>3D Concrete LLC</w:t>
      </w:r>
    </w:p>
    <w:p>
      <w:pPr>
        <w:spacing w:after="0" w:line="237" w:lineRule="auto"/>
        <w:rPr>
          <w:sz w:val="20"/>
          <w:szCs w:val="20"/>
          <w:color w:val="auto"/>
        </w:rPr>
      </w:pPr>
      <w:r>
        <w:rPr>
          <w:rFonts w:ascii="Arial" w:cs="Arial" w:eastAsia="Arial" w:hAnsi="Arial"/>
          <w:sz w:val="10"/>
          <w:szCs w:val="10"/>
          <w:color w:val="auto"/>
        </w:rPr>
        <w:t>Lander, NV (2602434)</w:t>
      </w:r>
    </w:p>
    <w:p>
      <w:pPr>
        <w:spacing w:after="0" w:line="33" w:lineRule="exact"/>
        <w:rPr>
          <w:sz w:val="20"/>
          <w:szCs w:val="20"/>
          <w:color w:val="auto"/>
        </w:rPr>
      </w:pPr>
    </w:p>
    <w:p>
      <w:pPr>
        <w:spacing w:after="0"/>
        <w:rPr>
          <w:sz w:val="20"/>
          <w:szCs w:val="20"/>
          <w:color w:val="auto"/>
        </w:rPr>
      </w:pPr>
      <w:r>
        <w:rPr>
          <w:rFonts w:ascii="Arial" w:cs="Arial" w:eastAsia="Arial" w:hAnsi="Arial"/>
          <w:sz w:val="10"/>
          <w:szCs w:val="10"/>
          <w:color w:val="auto"/>
        </w:rPr>
        <w:t>3D Concrete LLC</w:t>
      </w:r>
    </w:p>
    <w:p>
      <w:pPr>
        <w:spacing w:after="0" w:line="236" w:lineRule="auto"/>
        <w:rPr>
          <w:sz w:val="20"/>
          <w:szCs w:val="20"/>
          <w:color w:val="auto"/>
        </w:rPr>
      </w:pPr>
      <w:r>
        <w:rPr>
          <w:rFonts w:ascii="Arial" w:cs="Arial" w:eastAsia="Arial" w:hAnsi="Arial"/>
          <w:sz w:val="10"/>
          <w:szCs w:val="10"/>
          <w:color w:val="auto"/>
        </w:rPr>
        <w:t>Lyon, Nevada (2602412)</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American Gypsum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Albuquerque, NM (2900181)</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American Gypsum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Duke, OK (3400256)</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American Gypsum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Eagle, CO (0503997)</w:t>
      </w:r>
    </w:p>
    <w:p>
      <w:pPr>
        <w:spacing w:after="0" w:line="33" w:lineRule="exact"/>
        <w:rPr>
          <w:sz w:val="20"/>
          <w:szCs w:val="20"/>
          <w:color w:val="auto"/>
        </w:rPr>
      </w:pPr>
    </w:p>
    <w:p>
      <w:pPr>
        <w:spacing w:after="0"/>
        <w:rPr>
          <w:sz w:val="20"/>
          <w:szCs w:val="20"/>
          <w:color w:val="auto"/>
        </w:rPr>
      </w:pPr>
      <w:r>
        <w:rPr>
          <w:rFonts w:ascii="Arial" w:cs="Arial" w:eastAsia="Arial" w:hAnsi="Arial"/>
          <w:sz w:val="10"/>
          <w:szCs w:val="10"/>
          <w:color w:val="auto"/>
        </w:rPr>
        <w:t>Centex Materials LLC</w:t>
      </w:r>
    </w:p>
    <w:p>
      <w:pPr>
        <w:spacing w:after="0" w:line="236" w:lineRule="auto"/>
        <w:rPr>
          <w:sz w:val="20"/>
          <w:szCs w:val="20"/>
          <w:color w:val="auto"/>
        </w:rPr>
      </w:pPr>
      <w:r>
        <w:rPr>
          <w:rFonts w:ascii="Arial" w:cs="Arial" w:eastAsia="Arial" w:hAnsi="Arial"/>
          <w:sz w:val="10"/>
          <w:szCs w:val="10"/>
          <w:color w:val="auto"/>
        </w:rPr>
        <w:t>Buda, TX (4102241)</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Central Plains Cement Company</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Sugar Creek, MO (2302171)</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Central Plains Cement Company</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Tulsa, OK (3400026)</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Fairborn Cement Company LLC</w:t>
      </w:r>
    </w:p>
    <w:p>
      <w:pPr>
        <w:spacing w:after="0" w:line="15" w:lineRule="exact"/>
        <w:rPr>
          <w:sz w:val="20"/>
          <w:szCs w:val="20"/>
          <w:color w:val="auto"/>
        </w:rPr>
      </w:pPr>
    </w:p>
    <w:p>
      <w:pPr>
        <w:spacing w:after="0"/>
        <w:rPr>
          <w:sz w:val="20"/>
          <w:szCs w:val="20"/>
          <w:color w:val="auto"/>
        </w:rPr>
      </w:pPr>
      <w:r>
        <w:rPr>
          <w:rFonts w:ascii="Arial" w:cs="Arial" w:eastAsia="Arial" w:hAnsi="Arial"/>
          <w:sz w:val="8"/>
          <w:szCs w:val="8"/>
          <w:color w:val="auto"/>
        </w:rPr>
        <w:t>Greene County, OH (3300161)</w:t>
      </w:r>
    </w:p>
    <w:p>
      <w:pPr>
        <w:spacing w:after="0" w:line="54" w:lineRule="exact"/>
        <w:rPr>
          <w:sz w:val="20"/>
          <w:szCs w:val="20"/>
          <w:color w:val="auto"/>
        </w:rPr>
      </w:pPr>
    </w:p>
    <w:p>
      <w:pPr>
        <w:spacing w:after="0"/>
        <w:rPr>
          <w:sz w:val="20"/>
          <w:szCs w:val="20"/>
          <w:color w:val="auto"/>
        </w:rPr>
      </w:pPr>
      <w:r>
        <w:rPr>
          <w:rFonts w:ascii="Arial" w:cs="Arial" w:eastAsia="Arial" w:hAnsi="Arial"/>
          <w:sz w:val="10"/>
          <w:szCs w:val="10"/>
          <w:color w:val="auto"/>
        </w:rPr>
        <w:t>Illinois Cement Company</w:t>
      </w:r>
    </w:p>
    <w:p>
      <w:pPr>
        <w:spacing w:after="0" w:line="236" w:lineRule="auto"/>
        <w:rPr>
          <w:sz w:val="20"/>
          <w:szCs w:val="20"/>
          <w:color w:val="auto"/>
        </w:rPr>
      </w:pPr>
      <w:r>
        <w:rPr>
          <w:rFonts w:ascii="Arial" w:cs="Arial" w:eastAsia="Arial" w:hAnsi="Arial"/>
          <w:sz w:val="10"/>
          <w:szCs w:val="10"/>
          <w:color w:val="auto"/>
        </w:rPr>
        <w:t>LaSalle, IL (1100003)</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Kosmos Cement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Jefferson, KY (1504469)</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Mountain Cement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Laramie, WY (4800007)</w:t>
      </w:r>
    </w:p>
    <w:p>
      <w:pPr>
        <w:spacing w:after="0" w:line="41" w:lineRule="exact"/>
        <w:rPr>
          <w:sz w:val="20"/>
          <w:szCs w:val="20"/>
          <w:color w:val="auto"/>
        </w:rPr>
      </w:pPr>
    </w:p>
    <w:p>
      <w:pPr>
        <w:spacing w:after="0"/>
        <w:rPr>
          <w:sz w:val="20"/>
          <w:szCs w:val="20"/>
          <w:color w:val="auto"/>
        </w:rPr>
      </w:pPr>
      <w:r>
        <w:rPr>
          <w:rFonts w:ascii="Arial" w:cs="Arial" w:eastAsia="Arial" w:hAnsi="Arial"/>
          <w:sz w:val="8"/>
          <w:szCs w:val="8"/>
          <w:color w:val="auto"/>
        </w:rPr>
        <w:t>Nevada Cement Company LLC</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Fernley, NV (2600015)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9"/>
              </w:rPr>
              <w:t>Section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9"/>
              </w:rPr>
              <w:t>Section</w:t>
            </w:r>
          </w:p>
        </w:tc>
        <w:tc>
          <w:tcPr>
            <w:tcW w:w="1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0"/>
                <w:szCs w:val="10"/>
                <w:color w:val="auto"/>
                <w:w w:val="87"/>
              </w:rPr>
              <w:t>Received Notice of Pattern of</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7"/>
              </w:rPr>
              <w:t>Received Notice of Potential to Have</w:t>
            </w:r>
          </w:p>
        </w:tc>
        <w:tc>
          <w:tcPr>
            <w:tcW w:w="340" w:type="dxa"/>
            <w:vAlign w:val="bottom"/>
          </w:tcPr>
          <w:p>
            <w:pPr>
              <w:spacing w:after="0"/>
              <w:rPr>
                <w:sz w:val="10"/>
                <w:szCs w:val="10"/>
                <w:color w:val="auto"/>
              </w:rPr>
            </w:pPr>
          </w:p>
        </w:tc>
      </w:tr>
      <w:tr>
        <w:trPr>
          <w:trHeight w:val="99"/>
        </w:trPr>
        <w:tc>
          <w:tcPr>
            <w:tcW w:w="640" w:type="dxa"/>
            <w:vAlign w:val="bottom"/>
          </w:tcPr>
          <w:p>
            <w:pPr>
              <w:jc w:val="center"/>
              <w:ind w:right="12"/>
              <w:spacing w:after="0" w:line="99" w:lineRule="exact"/>
              <w:rPr>
                <w:sz w:val="20"/>
                <w:szCs w:val="20"/>
                <w:color w:val="auto"/>
              </w:rPr>
            </w:pPr>
            <w:r>
              <w:rPr>
                <w:rFonts w:ascii="Arial" w:cs="Arial" w:eastAsia="Arial" w:hAnsi="Arial"/>
                <w:sz w:val="10"/>
                <w:szCs w:val="10"/>
                <w:color w:val="auto"/>
                <w:w w:val="87"/>
              </w:rPr>
              <w:t>Section 104</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9"/>
              </w:rPr>
              <w:t>104(b)</w:t>
            </w:r>
          </w:p>
        </w:tc>
        <w:tc>
          <w:tcPr>
            <w:tcW w:w="900" w:type="dxa"/>
            <w:vAlign w:val="bottom"/>
          </w:tcPr>
          <w:p>
            <w:pPr>
              <w:jc w:val="center"/>
              <w:spacing w:after="0" w:line="99" w:lineRule="exact"/>
              <w:rPr>
                <w:sz w:val="20"/>
                <w:szCs w:val="20"/>
                <w:color w:val="auto"/>
              </w:rPr>
            </w:pPr>
            <w:r>
              <w:rPr>
                <w:rFonts w:ascii="Arial" w:cs="Arial" w:eastAsia="Arial" w:hAnsi="Arial"/>
                <w:sz w:val="10"/>
                <w:szCs w:val="10"/>
                <w:color w:val="auto"/>
                <w:w w:val="86"/>
              </w:rPr>
              <w:t>Section 104(d)</w:t>
            </w:r>
          </w:p>
        </w:tc>
        <w:tc>
          <w:tcPr>
            <w:tcW w:w="660" w:type="dxa"/>
            <w:vAlign w:val="bottom"/>
          </w:tcPr>
          <w:p>
            <w:pPr>
              <w:jc w:val="center"/>
              <w:ind w:right="12"/>
              <w:spacing w:after="0" w:line="99" w:lineRule="exact"/>
              <w:rPr>
                <w:sz w:val="20"/>
                <w:szCs w:val="20"/>
                <w:color w:val="auto"/>
              </w:rPr>
            </w:pPr>
            <w:r>
              <w:rPr>
                <w:rFonts w:ascii="Arial" w:cs="Arial" w:eastAsia="Arial" w:hAnsi="Arial"/>
                <w:sz w:val="10"/>
                <w:szCs w:val="10"/>
                <w:color w:val="auto"/>
                <w:w w:val="86"/>
              </w:rPr>
              <w:t>Section 110(b)</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9"/>
              </w:rPr>
              <w:t>107(a)</w:t>
            </w:r>
          </w:p>
        </w:tc>
        <w:tc>
          <w:tcPr>
            <w:tcW w:w="1260" w:type="dxa"/>
            <w:vAlign w:val="bottom"/>
          </w:tcPr>
          <w:p>
            <w:pPr>
              <w:ind w:left="120"/>
              <w:spacing w:after="0" w:line="99" w:lineRule="exact"/>
              <w:rPr>
                <w:sz w:val="20"/>
                <w:szCs w:val="20"/>
                <w:color w:val="auto"/>
              </w:rPr>
            </w:pPr>
            <w:r>
              <w:rPr>
                <w:rFonts w:ascii="Arial" w:cs="Arial" w:eastAsia="Arial" w:hAnsi="Arial"/>
                <w:sz w:val="10"/>
                <w:szCs w:val="10"/>
                <w:color w:val="auto"/>
                <w:w w:val="91"/>
              </w:rPr>
              <w:t>Total Dollar Value of MSHA</w:t>
            </w:r>
          </w:p>
        </w:tc>
        <w:tc>
          <w:tcPr>
            <w:tcW w:w="1060" w:type="dxa"/>
            <w:vAlign w:val="bottom"/>
          </w:tcPr>
          <w:p>
            <w:pPr>
              <w:jc w:val="center"/>
              <w:spacing w:after="0" w:line="99" w:lineRule="exact"/>
              <w:rPr>
                <w:sz w:val="20"/>
                <w:szCs w:val="20"/>
                <w:color w:val="auto"/>
              </w:rPr>
            </w:pPr>
            <w:r>
              <w:rPr>
                <w:rFonts w:ascii="Arial" w:cs="Arial" w:eastAsia="Arial" w:hAnsi="Arial"/>
                <w:sz w:val="10"/>
                <w:szCs w:val="10"/>
                <w:color w:val="auto"/>
                <w:w w:val="90"/>
              </w:rPr>
              <w:t>Total Number of Mining</w:t>
            </w:r>
          </w:p>
        </w:tc>
        <w:tc>
          <w:tcPr>
            <w:tcW w:w="1400" w:type="dxa"/>
            <w:vAlign w:val="bottom"/>
          </w:tcPr>
          <w:p>
            <w:pPr>
              <w:jc w:val="center"/>
              <w:spacing w:after="0" w:line="99" w:lineRule="exact"/>
              <w:rPr>
                <w:sz w:val="20"/>
                <w:szCs w:val="20"/>
                <w:color w:val="auto"/>
              </w:rPr>
            </w:pPr>
            <w:r>
              <w:rPr>
                <w:rFonts w:ascii="Arial" w:cs="Arial" w:eastAsia="Arial" w:hAnsi="Arial"/>
                <w:sz w:val="10"/>
                <w:szCs w:val="10"/>
                <w:color w:val="auto"/>
                <w:w w:val="89"/>
              </w:rPr>
              <w:t>Violations Under Section 104(e)</w:t>
            </w:r>
          </w:p>
        </w:tc>
        <w:tc>
          <w:tcPr>
            <w:tcW w:w="1560" w:type="dxa"/>
            <w:vAlign w:val="bottom"/>
          </w:tcPr>
          <w:p>
            <w:pPr>
              <w:jc w:val="center"/>
              <w:ind w:left="12"/>
              <w:spacing w:after="0" w:line="99" w:lineRule="exact"/>
              <w:rPr>
                <w:sz w:val="20"/>
                <w:szCs w:val="20"/>
                <w:color w:val="auto"/>
              </w:rPr>
            </w:pPr>
            <w:r>
              <w:rPr>
                <w:rFonts w:ascii="Arial" w:cs="Arial" w:eastAsia="Arial" w:hAnsi="Arial"/>
                <w:sz w:val="10"/>
                <w:szCs w:val="10"/>
                <w:color w:val="auto"/>
                <w:w w:val="87"/>
              </w:rPr>
              <w:t>Pattern Under Section 104(e)</w:t>
            </w:r>
          </w:p>
        </w:tc>
        <w:tc>
          <w:tcPr>
            <w:tcW w:w="340" w:type="dxa"/>
            <w:vAlign w:val="bottom"/>
          </w:tcPr>
          <w:p>
            <w:pPr>
              <w:ind w:left="40"/>
              <w:spacing w:after="0" w:line="99" w:lineRule="exact"/>
              <w:rPr>
                <w:sz w:val="20"/>
                <w:szCs w:val="20"/>
                <w:color w:val="auto"/>
              </w:rPr>
            </w:pPr>
            <w:r>
              <w:rPr>
                <w:rFonts w:ascii="Arial" w:cs="Arial" w:eastAsia="Arial" w:hAnsi="Arial"/>
                <w:sz w:val="10"/>
                <w:szCs w:val="10"/>
                <w:color w:val="auto"/>
                <w:w w:val="82"/>
              </w:rPr>
              <w:t>Legal A</w:t>
            </w:r>
          </w:p>
        </w:tc>
      </w:tr>
      <w:tr>
        <w:trPr>
          <w:trHeight w:val="12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90"/>
              </w:rPr>
              <w:t>S&amp;S Citations</w:t>
            </w:r>
          </w:p>
        </w:tc>
        <w:tc>
          <w:tcPr>
            <w:tcW w:w="420" w:type="dxa"/>
            <w:vAlign w:val="bottom"/>
          </w:tcPr>
          <w:p>
            <w:pPr>
              <w:jc w:val="center"/>
              <w:spacing w:after="0"/>
              <w:rPr>
                <w:sz w:val="20"/>
                <w:szCs w:val="20"/>
                <w:color w:val="auto"/>
              </w:rPr>
            </w:pPr>
            <w:r>
              <w:rPr>
                <w:rFonts w:ascii="Arial" w:cs="Arial" w:eastAsia="Arial" w:hAnsi="Arial"/>
                <w:sz w:val="10"/>
                <w:szCs w:val="10"/>
                <w:color w:val="auto"/>
                <w:w w:val="84"/>
              </w:rPr>
              <w:t>Orders</w:t>
            </w:r>
          </w:p>
        </w:tc>
        <w:tc>
          <w:tcPr>
            <w:tcW w:w="900" w:type="dxa"/>
            <w:vAlign w:val="bottom"/>
          </w:tcPr>
          <w:p>
            <w:pPr>
              <w:jc w:val="center"/>
              <w:spacing w:after="0"/>
              <w:rPr>
                <w:sz w:val="20"/>
                <w:szCs w:val="20"/>
                <w:color w:val="auto"/>
              </w:rPr>
            </w:pPr>
            <w:r>
              <w:rPr>
                <w:rFonts w:ascii="Arial" w:cs="Arial" w:eastAsia="Arial" w:hAnsi="Arial"/>
                <w:sz w:val="10"/>
                <w:szCs w:val="10"/>
                <w:color w:val="auto"/>
                <w:w w:val="87"/>
              </w:rPr>
              <w:t>Citations and Orders</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89"/>
              </w:rPr>
              <w:t>(2) Violations</w:t>
            </w:r>
          </w:p>
        </w:tc>
        <w:tc>
          <w:tcPr>
            <w:tcW w:w="420" w:type="dxa"/>
            <w:vAlign w:val="bottom"/>
          </w:tcPr>
          <w:p>
            <w:pPr>
              <w:jc w:val="center"/>
              <w:spacing w:after="0"/>
              <w:rPr>
                <w:sz w:val="20"/>
                <w:szCs w:val="20"/>
                <w:color w:val="auto"/>
              </w:rPr>
            </w:pPr>
            <w:r>
              <w:rPr>
                <w:rFonts w:ascii="Arial" w:cs="Arial" w:eastAsia="Arial" w:hAnsi="Arial"/>
                <w:sz w:val="10"/>
                <w:szCs w:val="10"/>
                <w:color w:val="auto"/>
                <w:w w:val="84"/>
              </w:rPr>
              <w:t>Orders</w:t>
            </w:r>
          </w:p>
        </w:tc>
        <w:tc>
          <w:tcPr>
            <w:tcW w:w="1260" w:type="dxa"/>
            <w:vAlign w:val="bottom"/>
          </w:tcPr>
          <w:p>
            <w:pPr>
              <w:ind w:left="240"/>
              <w:spacing w:after="0"/>
              <w:rPr>
                <w:sz w:val="20"/>
                <w:szCs w:val="20"/>
                <w:color w:val="auto"/>
              </w:rPr>
            </w:pPr>
            <w:r>
              <w:rPr>
                <w:rFonts w:ascii="Arial" w:cs="Arial" w:eastAsia="Arial" w:hAnsi="Arial"/>
                <w:sz w:val="10"/>
                <w:szCs w:val="10"/>
                <w:color w:val="auto"/>
                <w:w w:val="95"/>
              </w:rPr>
              <w:t>Assessments Proposed</w:t>
            </w:r>
          </w:p>
        </w:tc>
        <w:tc>
          <w:tcPr>
            <w:tcW w:w="1060" w:type="dxa"/>
            <w:vAlign w:val="bottom"/>
          </w:tcPr>
          <w:p>
            <w:pPr>
              <w:jc w:val="center"/>
              <w:spacing w:after="0"/>
              <w:rPr>
                <w:sz w:val="20"/>
                <w:szCs w:val="20"/>
                <w:color w:val="auto"/>
              </w:rPr>
            </w:pPr>
            <w:r>
              <w:rPr>
                <w:rFonts w:ascii="Arial" w:cs="Arial" w:eastAsia="Arial" w:hAnsi="Arial"/>
                <w:sz w:val="10"/>
                <w:szCs w:val="10"/>
                <w:color w:val="auto"/>
                <w:w w:val="87"/>
              </w:rPr>
              <w:t>Related Fatalities</w:t>
            </w:r>
          </w:p>
        </w:tc>
        <w:tc>
          <w:tcPr>
            <w:tcW w:w="1400" w:type="dxa"/>
            <w:vAlign w:val="bottom"/>
          </w:tcPr>
          <w:p>
            <w:pPr>
              <w:jc w:val="center"/>
              <w:spacing w:after="0"/>
              <w:rPr>
                <w:sz w:val="20"/>
                <w:szCs w:val="20"/>
                <w:color w:val="auto"/>
              </w:rPr>
            </w:pPr>
            <w:r>
              <w:rPr>
                <w:rFonts w:ascii="Arial" w:cs="Arial" w:eastAsia="Arial" w:hAnsi="Arial"/>
                <w:sz w:val="10"/>
                <w:szCs w:val="10"/>
                <w:color w:val="auto"/>
                <w:w w:val="82"/>
              </w:rPr>
              <w:t>(yes/no)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2"/>
              </w:rPr>
              <w:t>(yes/no)</w:t>
            </w:r>
          </w:p>
        </w:tc>
        <w:tc>
          <w:tcPr>
            <w:tcW w:w="340" w:type="dxa"/>
            <w:vAlign w:val="bottom"/>
          </w:tcPr>
          <w:p>
            <w:pPr>
              <w:ind w:left="220"/>
              <w:spacing w:after="0"/>
              <w:rPr>
                <w:sz w:val="20"/>
                <w:szCs w:val="20"/>
                <w:color w:val="auto"/>
              </w:rPr>
            </w:pPr>
            <w:r>
              <w:rPr>
                <w:rFonts w:ascii="Arial" w:cs="Arial" w:eastAsia="Arial" w:hAnsi="Arial"/>
                <w:sz w:val="10"/>
                <w:szCs w:val="10"/>
                <w:color w:val="auto"/>
                <w:w w:val="89"/>
              </w:rPr>
              <w:t>La</w:t>
            </w:r>
          </w:p>
        </w:tc>
      </w:tr>
      <w:tr>
        <w:trPr>
          <w:trHeight w:val="180"/>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15"/>
                <w:szCs w:val="15"/>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2</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$3,706</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3</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1</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$578</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4</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4</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r>
        <w:trPr>
          <w:trHeight w:val="261"/>
        </w:trPr>
        <w:tc>
          <w:tcPr>
            <w:tcW w:w="640" w:type="dxa"/>
            <w:vAlign w:val="bottom"/>
          </w:tcPr>
          <w:p>
            <w:pPr>
              <w:jc w:val="center"/>
              <w:ind w:right="3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90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60" w:type="dxa"/>
            <w:vAlign w:val="bottom"/>
          </w:tcPr>
          <w:p>
            <w:pPr>
              <w:jc w:val="center"/>
              <w:ind w:right="12"/>
              <w:spacing w:after="0"/>
              <w:rPr>
                <w:sz w:val="20"/>
                <w:szCs w:val="20"/>
                <w:color w:val="auto"/>
              </w:rPr>
            </w:pPr>
            <w:r>
              <w:rPr>
                <w:rFonts w:ascii="Arial" w:cs="Arial" w:eastAsia="Arial" w:hAnsi="Arial"/>
                <w:sz w:val="10"/>
                <w:szCs w:val="10"/>
                <w:color w:val="auto"/>
                <w:w w:val="71"/>
              </w:rPr>
              <w:t>0</w:t>
            </w:r>
          </w:p>
        </w:tc>
        <w:tc>
          <w:tcPr>
            <w:tcW w:w="420" w:type="dxa"/>
            <w:vAlign w:val="bottom"/>
          </w:tcPr>
          <w:p>
            <w:pPr>
              <w:jc w:val="center"/>
              <w:spacing w:after="0"/>
              <w:rPr>
                <w:sz w:val="20"/>
                <w:szCs w:val="20"/>
                <w:color w:val="auto"/>
              </w:rPr>
            </w:pPr>
            <w:r>
              <w:rPr>
                <w:rFonts w:ascii="Arial" w:cs="Arial" w:eastAsia="Arial" w:hAnsi="Arial"/>
                <w:sz w:val="10"/>
                <w:szCs w:val="10"/>
                <w:color w:val="auto"/>
              </w:rPr>
              <w:t>0</w:t>
            </w:r>
          </w:p>
        </w:tc>
        <w:tc>
          <w:tcPr>
            <w:tcW w:w="1260" w:type="dxa"/>
            <w:vAlign w:val="bottom"/>
          </w:tcPr>
          <w:p>
            <w:pPr>
              <w:ind w:left="60"/>
              <w:spacing w:after="0"/>
              <w:rPr>
                <w:sz w:val="20"/>
                <w:szCs w:val="20"/>
                <w:color w:val="auto"/>
              </w:rPr>
            </w:pPr>
            <w:r>
              <w:rPr>
                <w:rFonts w:ascii="Arial" w:cs="Arial" w:eastAsia="Arial" w:hAnsi="Arial"/>
                <w:sz w:val="10"/>
                <w:szCs w:val="10"/>
                <w:color w:val="auto"/>
              </w:rPr>
              <w:t>$0</w:t>
            </w:r>
          </w:p>
        </w:tc>
        <w:tc>
          <w:tcPr>
            <w:tcW w:w="10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1400" w:type="dxa"/>
            <w:vAlign w:val="bottom"/>
          </w:tcPr>
          <w:p>
            <w:pPr>
              <w:jc w:val="center"/>
              <w:spacing w:after="0"/>
              <w:rPr>
                <w:sz w:val="20"/>
                <w:szCs w:val="20"/>
                <w:color w:val="auto"/>
              </w:rPr>
            </w:pPr>
            <w:r>
              <w:rPr>
                <w:rFonts w:ascii="Arial" w:cs="Arial" w:eastAsia="Arial" w:hAnsi="Arial"/>
                <w:sz w:val="10"/>
                <w:szCs w:val="10"/>
                <w:color w:val="auto"/>
                <w:w w:val="89"/>
              </w:rPr>
              <w:t>no</w:t>
            </w:r>
          </w:p>
        </w:tc>
        <w:tc>
          <w:tcPr>
            <w:tcW w:w="1560" w:type="dxa"/>
            <w:vAlign w:val="bottom"/>
          </w:tcPr>
          <w:p>
            <w:pPr>
              <w:jc w:val="center"/>
              <w:ind w:left="12"/>
              <w:spacing w:after="0"/>
              <w:rPr>
                <w:sz w:val="20"/>
                <w:szCs w:val="20"/>
                <w:color w:val="auto"/>
              </w:rPr>
            </w:pPr>
            <w:r>
              <w:rPr>
                <w:rFonts w:ascii="Arial" w:cs="Arial" w:eastAsia="Arial" w:hAnsi="Arial"/>
                <w:sz w:val="10"/>
                <w:szCs w:val="10"/>
                <w:color w:val="auto"/>
                <w:w w:val="89"/>
              </w:rPr>
              <w:t>no</w:t>
            </w:r>
          </w:p>
        </w:tc>
        <w:tc>
          <w:tcPr>
            <w:tcW w:w="3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-2108835</wp:posOffset>
            </wp:positionV>
            <wp:extent cx="7218680" cy="165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-1777365</wp:posOffset>
            </wp:positionV>
            <wp:extent cx="7218680" cy="165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-1445895</wp:posOffset>
            </wp:positionV>
            <wp:extent cx="7218680" cy="165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-1114425</wp:posOffset>
            </wp:positionV>
            <wp:extent cx="7218680" cy="165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-782955</wp:posOffset>
            </wp:positionV>
            <wp:extent cx="7218680" cy="165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-451485</wp:posOffset>
            </wp:positionV>
            <wp:extent cx="7218680" cy="165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218680" cy="16573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-120015</wp:posOffset>
            </wp:positionV>
            <wp:extent cx="7218680" cy="165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218680" cy="16573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1980" w:space="720"/>
            <w:col w:w="8660"/>
          </w:cols>
          <w:pgMar w:left="300" w:top="302" w:right="239" w:bottom="1440" w:gutter="0" w:footer="0" w:header="0"/>
          <w:type w:val="continuous"/>
        </w:sectPr>
      </w:pPr>
    </w:p>
    <w:p>
      <w:pPr>
        <w:ind w:left="160"/>
        <w:spacing w:after="0"/>
        <w:rPr>
          <w:sz w:val="20"/>
          <w:szCs w:val="20"/>
          <w:color w:val="auto"/>
        </w:rPr>
      </w:pPr>
      <w:r>
        <w:rPr>
          <w:rFonts w:ascii="Arial" w:cs="Arial" w:eastAsia="Arial" w:hAnsi="Arial"/>
          <w:sz w:val="8"/>
          <w:szCs w:val="8"/>
          <w:color w:val="auto"/>
        </w:rPr>
        <w:t>(1) All legal actions were penalty contests.</w:t>
      </w:r>
    </w:p>
    <w:sectPr>
      <w:pgSz w:w="11900" w:h="16838" w:orient="portrait"/>
      <w:cols w:equalWidth="0" w:num="1">
        <w:col w:w="11360"/>
      </w:cols>
      <w:pgMar w:left="300" w:top="30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214"/>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upperLetter"/>
      <w:start w:val="2"/>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lvl w:ilvl="1">
      <w:lvlJc w:val="left"/>
      <w:lvlText w:val="(%2)"/>
      <w:numFmt w:val="lowerLetter"/>
      <w:start w:val="1"/>
    </w:lvl>
  </w:abstractNum>
  <w:abstractNum w:abstractNumId="10">
    <w:nsid w:val="2901D82"/>
    <w:multiLevelType w:val="hybridMultilevel"/>
    <w:lvl w:ilvl="0">
      <w:lvlJc w:val="left"/>
      <w:lvlText w:val="(%1)"/>
      <w:numFmt w:val="lowerLetter"/>
      <w:start w:val="1"/>
    </w:lvl>
    <w:lvl w:ilvl="1">
      <w:lvlJc w:val="left"/>
      <w:lvlText w:val=";"/>
      <w:numFmt w:val="bullet"/>
      <w:start w:val="1"/>
    </w:lvl>
  </w:abstractNum>
  <w:abstractNum w:abstractNumId="11">
    <w:nsid w:val="3A95F874"/>
    <w:multiLevelType w:val="hybridMultilevel"/>
    <w:lvl w:ilvl="0">
      <w:lvlJc w:val="left"/>
      <w:lvlText w:val="%1."/>
      <w:numFmt w:val="decimal"/>
      <w:start w:val="4"/>
    </w:lvl>
  </w:abstractNum>
  <w:abstractNum w:abstractNumId="12">
    <w:nsid w:val="8138641"/>
    <w:multiLevelType w:val="hybridMultilevel"/>
    <w:lvl w:ilvl="0">
      <w:lvlJc w:val="left"/>
      <w:lvlText w:val="%1."/>
      <w:numFmt w:val="decimal"/>
      <w:start w:val="7"/>
    </w:lvl>
  </w:abstractNum>
  <w:abstractNum w:abstractNumId="13">
    <w:nsid w:val="1E7FF521"/>
    <w:multiLevelType w:val="hybridMultilevel"/>
    <w:lvl w:ilvl="0">
      <w:lvlJc w:val="left"/>
      <w:lvlText w:val="%1"/>
      <w:numFmt w:val="decimal"/>
      <w:start w:val="1"/>
    </w:lvl>
    <w:lvl w:ilvl="1">
      <w:lvlJc w:val="left"/>
      <w:lvlText w:val="(%2)"/>
      <w:numFmt w:val="lowerLetter"/>
      <w:start w:val="1"/>
    </w:lvl>
  </w:abstractNum>
  <w:abstractNum w:abstractNumId="14">
    <w:nsid w:val="7C3DBD3D"/>
    <w:multiLevelType w:val="hybridMultilevel"/>
    <w:lvl w:ilvl="0">
      <w:lvlJc w:val="left"/>
      <w:lvlText w:val="%1."/>
      <w:numFmt w:val="decimal"/>
      <w:start w:val="8"/>
    </w:lvl>
    <w:lvl w:ilvl="1">
      <w:lvlJc w:val="left"/>
      <w:lvlText w:val="%2"/>
      <w:numFmt w:val="lowerLetter"/>
      <w:start w:val="1"/>
    </w:lvl>
  </w:abstractNum>
  <w:abstractNum w:abstractNumId="15">
    <w:nsid w:val="737B8DDC"/>
    <w:multiLevelType w:val="hybridMultilevel"/>
    <w:lvl w:ilvl="0">
      <w:lvlJc w:val="left"/>
      <w:lvlText w:val="%1."/>
      <w:numFmt w:val="decimal"/>
      <w:start w:val="9"/>
    </w:lvl>
  </w:abstractNum>
  <w:abstractNum w:abstractNumId="16">
    <w:nsid w:val="6CEAF087"/>
    <w:multiLevelType w:val="hybridMultilevel"/>
    <w:lvl w:ilvl="0">
      <w:lvlJc w:val="left"/>
      <w:lvlText w:val="%1."/>
      <w:numFmt w:val="decimal"/>
      <w:start w:val="12"/>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Roman"/>
      <w:start w:val="1"/>
    </w:lvl>
  </w:abstractNum>
  <w:abstractNum w:abstractNumId="19">
    <w:nsid w:val="3006C83E"/>
    <w:multiLevelType w:val="hybridMultilevel"/>
    <w:lvl w:ilvl="0">
      <w:lvlJc w:val="left"/>
      <w:lvlText w:val="%1."/>
      <w:numFmt w:val="decimal"/>
      <w:start w:val="1"/>
    </w:lvl>
    <w:lvl w:ilvl="1">
      <w:lvlJc w:val="left"/>
      <w:lvlText w:val="(%2)"/>
      <w:numFmt w:val="lowerLetter"/>
      <w:start w:val="1"/>
    </w:lvl>
  </w:abstractNum>
  <w:abstractNum w:abstractNumId="20">
    <w:nsid w:val="614FD4A1"/>
    <w:multiLevelType w:val="hybridMultilevel"/>
    <w:lvl w:ilvl="0">
      <w:lvlJc w:val="left"/>
      <w:lvlText w:val="(%1)"/>
      <w:numFmt w:val="lowerLetter"/>
      <w:start w:val="2"/>
    </w:lvl>
  </w:abstractNum>
  <w:abstractNum w:abstractNumId="21">
    <w:nsid w:val="419AC241"/>
    <w:multiLevelType w:val="hybridMultilevel"/>
    <w:lvl w:ilvl="0">
      <w:lvlJc w:val="left"/>
      <w:lvlText w:val="%1"/>
      <w:numFmt w:val="decimal"/>
      <w:start w:val="1"/>
    </w:lvl>
    <w:lvl w:ilvl="1">
      <w:lvlJc w:val="left"/>
      <w:lvlText w:val="(%2)"/>
      <w:numFmt w:val="lowerLetter"/>
      <w:start w:val="3"/>
    </w:lvl>
  </w:abstractNum>
  <w:abstractNum w:abstractNumId="22">
    <w:nsid w:val="5577F8E1"/>
    <w:multiLevelType w:val="hybridMultilevel"/>
    <w:lvl w:ilvl="0">
      <w:lvlJc w:val="left"/>
      <w:lvlText w:val="%1."/>
      <w:numFmt w:val="decimal"/>
      <w:start w:val="4"/>
    </w:lvl>
    <w:lvl w:ilvl="1">
      <w:lvlJc w:val="left"/>
      <w:lvlText w:val="%2"/>
      <w:numFmt w:val="lowerLetter"/>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decimal"/>
      <w:start w:val="8"/>
    </w:lvl>
  </w:abstractNum>
  <w:abstractNum w:abstractNumId="25">
    <w:nsid w:val="3804823E"/>
    <w:multiLevelType w:val="hybridMultilevel"/>
    <w:lvl w:ilvl="0">
      <w:lvlJc w:val="left"/>
      <w:lvlText w:val="%1."/>
      <w:numFmt w:val="decimal"/>
      <w:start w:val="9"/>
    </w:lvl>
  </w:abstractNum>
  <w:abstractNum w:abstractNumId="26">
    <w:nsid w:val="77465F01"/>
    <w:multiLevelType w:val="hybridMultilevel"/>
    <w:lvl w:ilvl="0">
      <w:lvlJc w:val="left"/>
      <w:lvlText w:val="%1."/>
      <w:numFmt w:val="decimal"/>
      <w:start w:val="12"/>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Roman"/>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2"/>
    </w:lvl>
  </w:abstractNum>
  <w:abstractNum w:abstractNumId="31">
    <w:nsid w:val="51EAD36B"/>
    <w:multiLevelType w:val="hybridMultilevel"/>
    <w:lvl w:ilvl="0">
      <w:lvlJc w:val="left"/>
      <w:lvlText w:val="%1."/>
      <w:numFmt w:val="decimal"/>
      <w:start w:val="3"/>
    </w:lvl>
  </w:abstractNum>
  <w:abstractNum w:abstractNumId="32">
    <w:nsid w:val="2D517796"/>
    <w:multiLevelType w:val="hybridMultilevel"/>
    <w:lvl w:ilvl="0">
      <w:lvlJc w:val="left"/>
      <w:lvlText w:val="%1."/>
      <w:numFmt w:val="decimal"/>
      <w:start w:val="4"/>
    </w:lvl>
  </w:abstractNum>
  <w:abstractNum w:abstractNumId="33">
    <w:nsid w:val="580BD78F"/>
    <w:multiLevelType w:val="hybridMultilevel"/>
    <w:lvl w:ilvl="0">
      <w:lvlJc w:val="left"/>
      <w:lvlText w:val="%1."/>
      <w:numFmt w:val="decimal"/>
      <w:start w:val="5"/>
    </w:lvl>
  </w:abstractNum>
  <w:abstractNum w:abstractNumId="34">
    <w:nsid w:val="153EA438"/>
    <w:multiLevelType w:val="hybridMultilevel"/>
    <w:lvl w:ilvl="0">
      <w:lvlJc w:val="left"/>
      <w:lvlText w:val="%1."/>
      <w:numFmt w:val="decimal"/>
      <w:start w:val="6"/>
    </w:lvl>
  </w:abstractNum>
  <w:abstractNum w:abstractNumId="35">
    <w:nsid w:val="3855585C"/>
    <w:multiLevelType w:val="hybridMultilevel"/>
    <w:lvl w:ilvl="0">
      <w:lvlJc w:val="left"/>
      <w:lvlText w:val="%1."/>
      <w:numFmt w:val="decimal"/>
      <w:start w:val="7"/>
    </w:lvl>
  </w:abstractNum>
  <w:abstractNum w:abstractNumId="36">
    <w:nsid w:val="70A64E2A"/>
    <w:multiLevelType w:val="hybridMultilevel"/>
    <w:lvl w:ilvl="0">
      <w:lvlJc w:val="left"/>
      <w:lvlText w:val="%1."/>
      <w:numFmt w:val="decimal"/>
      <w:start w:val="9"/>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88" Type="http://schemas.openxmlformats.org/officeDocument/2006/relationships/hyperlink" Target="http://www.sec.gov/Archives/edgar/data/918646/000119312521195286/d171267dex11.htm" TargetMode="External"/><Relationship Id="rId89" Type="http://schemas.openxmlformats.org/officeDocument/2006/relationships/hyperlink" Target="http://www.sec.gov/Archives/edgar/data/918646/000119312520147444/d934029dex101.htm" TargetMode="External"/><Relationship Id="rId90" Type="http://schemas.openxmlformats.org/officeDocument/2006/relationships/hyperlink" Target="http://www.sec.gov/Archives/edgar/data/918646/000119312520147444/d93402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2021-07-28T16:38:00Z</dcterms:created>
  <dcterms:modified xsi:type="dcterms:W3CDTF">2021-07-28T16:38:00Z</dcterms:modified>
</cp:coreProperties>
</file>