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OMB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Expires:</w:t>
            </w:r>
          </w:p>
        </w:tc>
        <w:tc>
          <w:tcPr>
            <w:tcW w:w="1420" w:type="dxa"/>
            <w:vAlign w:val="bottom"/>
          </w:tcPr>
          <w:p>
            <w:pPr>
              <w:jc w:val="right"/>
              <w:spacing w:after="0"/>
              <w:rPr>
                <w:sz w:val="20"/>
                <w:szCs w:val="20"/>
                <w:color w:val="auto"/>
              </w:rPr>
            </w:pPr>
            <w:r>
              <w:rPr>
                <w:rFonts w:ascii="Arial" w:cs="Arial" w:eastAsia="Arial" w:hAnsi="Arial"/>
                <w:sz w:val="18"/>
                <w:szCs w:val="18"/>
                <w:color w:val="auto"/>
              </w:rPr>
              <w:t>August 31, 2004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8"/>
              </w:rPr>
              <w:t>Estimated average burden</w:t>
            </w:r>
          </w:p>
        </w:tc>
        <w:tc>
          <w:tcPr>
            <w:tcW w:w="1420" w:type="dxa"/>
            <w:vAlign w:val="bottom"/>
          </w:tcPr>
          <w:p>
            <w:pPr>
              <w:spacing w:after="0"/>
              <w:rPr>
                <w:sz w:val="18"/>
                <w:szCs w:val="18"/>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hours per response</w:t>
            </w: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CENTEX CONSTRUCTION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286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potentially are to respond to the collection of information contained in this form are not required to respond</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unless the 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CENTEX CONSTRUCTION PRODUCTS, INC.</w:t>
      </w:r>
    </w:p>
    <w:p>
      <w:pPr>
        <w:spacing w:after="0" w:line="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2728 N. Harwood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Dallas, Texas 75201</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July 21,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225" w:lineRule="exact"/>
        <w:rPr>
          <w:sz w:val="20"/>
          <w:szCs w:val="20"/>
          <w:color w:val="auto"/>
        </w:rPr>
      </w:pPr>
    </w:p>
    <w:p>
      <w:pPr>
        <w:ind w:right="140" w:firstLine="220"/>
        <w:spacing w:after="0" w:line="259" w:lineRule="auto"/>
        <w:rPr>
          <w:sz w:val="20"/>
          <w:szCs w:val="20"/>
          <w:color w:val="auto"/>
        </w:rPr>
      </w:pPr>
      <w:r>
        <w:rPr>
          <w:rFonts w:ascii="Arial" w:cs="Arial" w:eastAsia="Arial" w:hAnsi="Arial"/>
          <w:sz w:val="18"/>
          <w:szCs w:val="18"/>
          <w:color w:val="auto"/>
        </w:rPr>
        <w:t>NOTICE IS HEREBY GIVEN that the annual meeting of stockholders of Centex Construction Products, Inc., a Delaware corporation (the “Corporation”), will be held at its corporate headquarters, 2728 North Harwood, 10th Floor, Dallas, Texas on Monday, July 21, 2003 at 10:00 a.m. (C.D.T.) for the following purposes:</w:t>
      </w:r>
    </w:p>
    <w:p>
      <w:pPr>
        <w:spacing w:after="0" w:line="194" w:lineRule="exact"/>
        <w:rPr>
          <w:sz w:val="20"/>
          <w:szCs w:val="20"/>
          <w:color w:val="auto"/>
        </w:rPr>
      </w:pPr>
    </w:p>
    <w:p>
      <w:pPr>
        <w:ind w:left="1000" w:hanging="560"/>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six directors, each to hold office until the next annual meeting of stockholders or until his successor shall have been elected and qualified.</w:t>
      </w:r>
    </w:p>
    <w:p>
      <w:pPr>
        <w:spacing w:after="0" w:line="259" w:lineRule="exact"/>
        <w:rPr>
          <w:rFonts w:ascii="Arial" w:cs="Arial" w:eastAsia="Arial" w:hAnsi="Arial"/>
          <w:sz w:val="15"/>
          <w:szCs w:val="15"/>
          <w:color w:val="auto"/>
        </w:rPr>
      </w:pPr>
    </w:p>
    <w:p>
      <w:pPr>
        <w:ind w:left="1000" w:hanging="56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right="60" w:firstLine="216"/>
        <w:spacing w:after="0" w:line="259" w:lineRule="auto"/>
        <w:rPr>
          <w:sz w:val="20"/>
          <w:szCs w:val="20"/>
          <w:color w:val="auto"/>
        </w:rPr>
      </w:pPr>
      <w:r>
        <w:rPr>
          <w:rFonts w:ascii="Arial" w:cs="Arial" w:eastAsia="Arial" w:hAnsi="Arial"/>
          <w:sz w:val="18"/>
          <w:szCs w:val="18"/>
          <w:color w:val="auto"/>
        </w:rPr>
        <w:t>The Board of Directors of the Corporation has fixed the close of business on June 2, 2003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194" w:lineRule="exact"/>
        <w:rPr>
          <w:sz w:val="20"/>
          <w:szCs w:val="20"/>
          <w:color w:val="auto"/>
        </w:rPr>
      </w:pPr>
    </w:p>
    <w:p>
      <w:pPr>
        <w:ind w:right="60" w:firstLine="213"/>
        <w:spacing w:after="0" w:line="259" w:lineRule="auto"/>
        <w:rPr>
          <w:sz w:val="20"/>
          <w:szCs w:val="20"/>
          <w:color w:val="auto"/>
        </w:rPr>
      </w:pPr>
      <w:r>
        <w:rPr>
          <w:rFonts w:ascii="Arial" w:cs="Arial" w:eastAsia="Arial" w:hAnsi="Arial"/>
          <w:sz w:val="18"/>
          <w:szCs w:val="18"/>
          <w:color w:val="auto"/>
        </w:rPr>
        <w:t>You are cordially invited to attend the meeting. Whether or not you expect to attend the meeting in person, you are urged to sign, date and mail promptly the accompanying form of proxy so that your shares may be represented and voted at the meeting. Your proxy will be returned to you if you choose to attend the meeting and request such return.</w:t>
      </w:r>
    </w:p>
    <w:p>
      <w:pPr>
        <w:spacing w:after="0" w:line="200" w:lineRule="exact"/>
        <w:rPr>
          <w:sz w:val="20"/>
          <w:szCs w:val="20"/>
          <w:color w:val="auto"/>
        </w:rPr>
      </w:pPr>
    </w:p>
    <w:p>
      <w:pPr>
        <w:spacing w:after="0" w:line="23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INTRODUCTION</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RECORD DATE AND VOTING</w:t>
        </w:r>
      </w:hyperlink>
    </w:p>
    <w:p>
      <w:pPr>
        <w:spacing w:after="0" w:line="1" w:lineRule="exact"/>
        <w:rPr>
          <w:sz w:val="20"/>
          <w:szCs w:val="20"/>
          <w:color w:val="auto"/>
        </w:rPr>
      </w:pPr>
    </w:p>
    <w:p>
      <w:pPr>
        <w:spacing w:after="0"/>
        <w:rPr>
          <w:rFonts w:ascii="Arial" w:cs="Arial" w:eastAsia="Arial" w:hAnsi="Arial"/>
          <w:sz w:val="19"/>
          <w:szCs w:val="19"/>
          <w:u w:val="single" w:color="auto"/>
          <w:color w:val="0000EE"/>
        </w:rPr>
      </w:pPr>
      <w:hyperlink w:anchor="page10">
        <w:r>
          <w:rPr>
            <w:rFonts w:ascii="Arial" w:cs="Arial" w:eastAsia="Arial" w:hAnsi="Arial"/>
            <w:sz w:val="19"/>
            <w:szCs w:val="19"/>
            <w:u w:val="single" w:color="auto"/>
            <w:color w:val="0000EE"/>
          </w:rPr>
          <w:t>SECURITY OWNERSHIP OF MANAGEMENT AND CERTAIN BENEFICIAL OWNERS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EXECUTIVE COMPENSATION</w:t>
        </w:r>
      </w:hyperlink>
    </w:p>
    <w:p>
      <w:pPr>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CERTAIN TRANSACTIONS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RELATIONSHIP WITH INDEPENDENT PUBLIC ACCOUNTANTS</w:t>
        </w:r>
      </w:hyperlink>
    </w:p>
    <w:p>
      <w:pPr>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STOCKHOLDER PROPOSALS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CENTEX CONSTRUCTION PRODUCTS, INC.</w:t>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July 21, 2003</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 accompanying proxy, mailed together with this proxy statement, is solicited by and on behalf of the Board of Directors of Centex Construction Products, Inc., a Delaware corporation (the “Corporation”), for use at the annual meeting of stockholders of the Corporation to be held on July 21, 2003, and at any adjournment thereof. The mailing address of the executive offices of the Corporation is 2728 N. Harwood, Dallas, Texas 75201. The approximate date on which this proxy statement and accompanying proxy were first sent to stockholders was on or about June 30,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Meeting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225" w:lineRule="exact"/>
        <w:rPr>
          <w:sz w:val="20"/>
          <w:szCs w:val="20"/>
          <w:color w:val="auto"/>
        </w:rPr>
      </w:pPr>
    </w:p>
    <w:p>
      <w:pPr>
        <w:ind w:left="1000" w:right="500" w:hanging="560"/>
        <w:spacing w:after="0" w:line="26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six directors, each to hold office until the next annual meeting of stockholders or until his successor shall have been elected and qualified.</w:t>
      </w:r>
    </w:p>
    <w:p>
      <w:pPr>
        <w:spacing w:after="0" w:line="185" w:lineRule="exact"/>
        <w:rPr>
          <w:rFonts w:ascii="Arial" w:cs="Arial" w:eastAsia="Arial" w:hAnsi="Arial"/>
          <w:sz w:val="18"/>
          <w:szCs w:val="18"/>
          <w:color w:val="auto"/>
        </w:rPr>
      </w:pPr>
    </w:p>
    <w:p>
      <w:pPr>
        <w:ind w:left="1000" w:hanging="56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meeting or any adjournment thereof.</w:t>
      </w:r>
    </w:p>
    <w:p>
      <w:pPr>
        <w:spacing w:after="0" w:line="225"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The Board of Directors of the Corporation (the “Board” or “Board of Directors”) does not know of any matters that may be acted upon at the meeting other than the matters set forth in item (1)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220" w:firstLine="220"/>
        <w:spacing w:after="0" w:line="275" w:lineRule="auto"/>
        <w:rPr>
          <w:sz w:val="20"/>
          <w:szCs w:val="20"/>
          <w:color w:val="auto"/>
        </w:rPr>
      </w:pPr>
      <w:r>
        <w:rPr>
          <w:rFonts w:ascii="Arial" w:cs="Arial" w:eastAsia="Arial" w:hAnsi="Arial"/>
          <w:sz w:val="18"/>
          <w:szCs w:val="18"/>
          <w:b w:val="1"/>
          <w:bCs w:val="1"/>
          <w:color w:val="auto"/>
        </w:rPr>
        <w:t>The Board of Directors of the Corporation recommends a vote FOR the election of the six nominees for director of the Corporation named in the accompanying proxy.</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RECORD DATE AND VOTING</w:t>
      </w:r>
    </w:p>
    <w:p>
      <w:pPr>
        <w:spacing w:after="0" w:line="231" w:lineRule="exact"/>
        <w:rPr>
          <w:sz w:val="20"/>
          <w:szCs w:val="20"/>
          <w:color w:val="auto"/>
        </w:rPr>
      </w:pPr>
    </w:p>
    <w:p>
      <w:pPr>
        <w:ind w:right="100" w:firstLine="216"/>
        <w:spacing w:after="0" w:line="259" w:lineRule="auto"/>
        <w:rPr>
          <w:sz w:val="20"/>
          <w:szCs w:val="20"/>
          <w:color w:val="auto"/>
        </w:rPr>
      </w:pPr>
      <w:r>
        <w:rPr>
          <w:rFonts w:ascii="Arial" w:cs="Arial" w:eastAsia="Arial" w:hAnsi="Arial"/>
          <w:sz w:val="18"/>
          <w:szCs w:val="18"/>
          <w:color w:val="auto"/>
        </w:rPr>
        <w:t>The record date for the determination of stockholders entitled to notice of and to vote at the meeting is the close of business on June 2, 2003. At the close of business on the record date, the issued and outstanding capital stock of the Corporation entitled to vote at the meeting consisted of 18,402,471 shares of the Corporation’s common stock, par value $.01 per share (“Common Stock”).</w:t>
      </w:r>
    </w:p>
    <w:p>
      <w:pPr>
        <w:spacing w:after="0" w:line="194"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The holders of Common Stock will be entitled to one vote per share upon the election of directors and each other matter that may properly be brought before the meeting or any adjournment thereof. Neither the Certificate of Incorporation nor the Bylaws of the Corporation provide for cumulative voting rights. The presence at the meeting, in person or by proxy, of a majority of the outstanding shares of Common Stock is necessary to constitute a quorum. Abstentions and broker non-votes will be counted as present for the purpose of establishing a quorum. Directors will be elected by a plurality of the votes cast at the meeting in person or by proxy. Under Delaware law, abstentions and broker non-votes will not be counted as votes cast.</w:t>
      </w:r>
    </w:p>
    <w:p>
      <w:pPr>
        <w:spacing w:after="0" w:line="170" w:lineRule="exact"/>
        <w:rPr>
          <w:sz w:val="20"/>
          <w:szCs w:val="20"/>
          <w:color w:val="auto"/>
        </w:rPr>
      </w:pPr>
    </w:p>
    <w:p>
      <w:pPr>
        <w:jc w:val="both"/>
        <w:ind w:right="20" w:firstLine="220"/>
        <w:spacing w:after="0" w:line="306"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proxy card is signed and returned without any direction given, the shares will be voted for election of the six nominees for director named in the proxy. The Board of Directors does not intend to present, and has no information that others will present, any business at the annual meeting other than as is set forth in the attached</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Notice of Annual Meeting of Stockholders. However, if other matters requiring the vote of stockholders come before the meeting, it is the intention of the persons named in the accompanying form of proxy to vote the proxies held by them in accordance with their best judgment in such matters. Any stockholder of the Corporation has the unconditional right to revoke his, her or its proxy at any time prior to the voting thereof by submitting a later-dated proxy, by attending the meeting and voting in person or by written notice to the Corporation addressed to James H. Graass, Secretary, Centex Construction Products, Inc., 2728 N. Harwood, Dallas, Texas 75201. No such revocation shall be effective, however, unless and until received by the Corporation at or prior to the meeting.</w:t>
      </w:r>
    </w:p>
    <w:p>
      <w:pPr>
        <w:spacing w:after="0" w:line="170" w:lineRule="exact"/>
        <w:rPr>
          <w:sz w:val="20"/>
          <w:szCs w:val="20"/>
          <w:color w:val="auto"/>
        </w:rPr>
      </w:pPr>
    </w:p>
    <w:p>
      <w:pPr>
        <w:ind w:right="60" w:firstLine="216"/>
        <w:spacing w:after="0" w:line="255" w:lineRule="auto"/>
        <w:rPr>
          <w:sz w:val="20"/>
          <w:szCs w:val="20"/>
          <w:color w:val="auto"/>
        </w:rPr>
      </w:pPr>
      <w:r>
        <w:rPr>
          <w:rFonts w:ascii="Arial" w:cs="Arial" w:eastAsia="Arial" w:hAnsi="Arial"/>
          <w:sz w:val="18"/>
          <w:szCs w:val="18"/>
          <w:color w:val="auto"/>
        </w:rPr>
        <w:t>The cost of soliciting proxies for the meeting will be borne by the Corporation. Solicitation may be made on behalf of the board of directors by mail, personal interview, telephone or other electronic means by officers and other employees of the Corporation, who will receive no additional compensation therefore. To aid in the solicitation of proxies, the Corporation has retained the firm of Mellon Investor Services LLC, which will receive a fee of approximately $5,500, plus out-of-pocket expenses. The Corporation will reimburse banks, brokerage firms and other custodians, nominees and fiduciaries for reasonable expenses incurred by them in forwarding proxy material to beneficial owners.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right="20" w:firstLine="210"/>
        <w:spacing w:after="0" w:line="253" w:lineRule="auto"/>
        <w:rPr>
          <w:sz w:val="20"/>
          <w:szCs w:val="20"/>
          <w:color w:val="auto"/>
        </w:rPr>
      </w:pPr>
      <w:r>
        <w:rPr>
          <w:rFonts w:ascii="Arial" w:cs="Arial" w:eastAsia="Arial" w:hAnsi="Arial"/>
          <w:sz w:val="18"/>
          <w:szCs w:val="18"/>
          <w:color w:val="auto"/>
        </w:rPr>
        <w:t>At a meeting of the Board held on June 26, 2003, the Board increased the number of directors from six to seven and appointed F. William Barnett to fill the vacancy. Since Mr. Work is retiring as of the date of the annual meeting, the Board also established the number of directors to be elected at the annual meeting at six, which shall be the entire Board of Directors. Unless contrary instructions are indicated on the accompanying proxy, it is intended that the shares represented by the proxy will be voted for the election of the six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then outstanding shares of Common Stock.</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recommends that stockholders vote FOR the election of such nominees.</w:t>
      </w:r>
    </w:p>
    <w:p>
      <w:pPr>
        <w:spacing w:after="0" w:line="231" w:lineRule="exact"/>
        <w:rPr>
          <w:sz w:val="20"/>
          <w:szCs w:val="20"/>
          <w:color w:val="auto"/>
        </w:rPr>
      </w:pPr>
    </w:p>
    <w:p>
      <w:pPr>
        <w:ind w:right="160" w:firstLine="216"/>
        <w:spacing w:after="0" w:line="306" w:lineRule="auto"/>
        <w:rPr>
          <w:sz w:val="20"/>
          <w:szCs w:val="20"/>
          <w:color w:val="auto"/>
        </w:rPr>
      </w:pPr>
      <w:r>
        <w:rPr>
          <w:rFonts w:ascii="Arial" w:cs="Arial" w:eastAsia="Arial" w:hAnsi="Arial"/>
          <w:sz w:val="16"/>
          <w:szCs w:val="16"/>
          <w:color w:val="auto"/>
        </w:rPr>
        <w:t>The six persons named below are the Board’s nominees for election as directors at the meeting. All of the persons named below are currently directors of the Corporation. Mr. Work will not be standing for re-election as he will be retiring from the Board as of July 21, 2003. The biographical information appearing below regarding the nominees for director has been furnished to the Corporation by the respective nominees.</w:t>
      </w:r>
    </w:p>
    <w:p>
      <w:pPr>
        <w:spacing w:after="0" w:line="155" w:lineRule="exact"/>
        <w:rPr>
          <w:sz w:val="20"/>
          <w:szCs w:val="20"/>
          <w:color w:val="auto"/>
        </w:rPr>
      </w:pPr>
    </w:p>
    <w:p>
      <w:pPr>
        <w:ind w:right="320" w:firstLine="220"/>
        <w:spacing w:after="0" w:line="258" w:lineRule="auto"/>
        <w:rPr>
          <w:sz w:val="20"/>
          <w:szCs w:val="20"/>
          <w:color w:val="auto"/>
        </w:rPr>
      </w:pPr>
      <w:r>
        <w:rPr>
          <w:rFonts w:ascii="Arial" w:cs="Arial" w:eastAsia="Arial" w:hAnsi="Arial"/>
          <w:sz w:val="18"/>
          <w:szCs w:val="18"/>
          <w:b w:val="1"/>
          <w:bCs w:val="1"/>
          <w:color w:val="auto"/>
        </w:rPr>
        <w:t>Robert L. Clarke</w:t>
      </w:r>
      <w:r>
        <w:rPr>
          <w:rFonts w:ascii="Arial" w:cs="Arial" w:eastAsia="Arial" w:hAnsi="Arial"/>
          <w:sz w:val="18"/>
          <w:szCs w:val="18"/>
          <w:color w:val="auto"/>
        </w:rPr>
        <w:t>, 60, has been a member of the Board since 1994, and serves as Chairman of the Audit Committee of the Board and also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Stock Option Committee and Nominating Committee of the Board. He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190" w:lineRule="exact"/>
        <w:rPr>
          <w:sz w:val="20"/>
          <w:szCs w:val="20"/>
          <w:color w:val="auto"/>
        </w:rPr>
      </w:pPr>
    </w:p>
    <w:p>
      <w:pPr>
        <w:ind w:right="240" w:firstLine="220"/>
        <w:spacing w:after="0" w:line="256" w:lineRule="auto"/>
        <w:rPr>
          <w:sz w:val="20"/>
          <w:szCs w:val="20"/>
          <w:color w:val="auto"/>
        </w:rPr>
      </w:pPr>
      <w:r>
        <w:rPr>
          <w:rFonts w:ascii="Arial" w:cs="Arial" w:eastAsia="Arial" w:hAnsi="Arial"/>
          <w:sz w:val="18"/>
          <w:szCs w:val="18"/>
          <w:b w:val="1"/>
          <w:bCs w:val="1"/>
          <w:color w:val="auto"/>
        </w:rPr>
        <w:t>F. William Barnett</w:t>
      </w:r>
      <w:r>
        <w:rPr>
          <w:rFonts w:ascii="Arial" w:cs="Arial" w:eastAsia="Arial" w:hAnsi="Arial"/>
          <w:sz w:val="18"/>
          <w:szCs w:val="18"/>
          <w:color w:val="auto"/>
        </w:rPr>
        <w:t>, 56, has been with McKinsey &amp; Company, Inc., a management consulting firm, for 23 years. He is currently a Director in their Dallas</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and will be retiring from the firm at the end of June 2003. Mr. Barnett is a member of the Board of Directors of the International Rescue Committee in New York and the Dallas Citizen’s Council. He is also a member of the Council on Foreign Relations. Mr. Barnett was with the U.S. Department of State from 1977 to 1981 and from 1973 to 1976 in the Office of the Secretary of Defense. Mr. Barnett has a B.S. in Engineering from the United States Military Academy and an M.B.A. from Harvard Business School.</w:t>
      </w:r>
    </w:p>
    <w:p>
      <w:pPr>
        <w:spacing w:after="0" w:line="193" w:lineRule="exact"/>
        <w:rPr>
          <w:sz w:val="20"/>
          <w:szCs w:val="20"/>
          <w:color w:val="auto"/>
        </w:rPr>
      </w:pPr>
    </w:p>
    <w:p>
      <w:pPr>
        <w:ind w:right="180" w:firstLine="220"/>
        <w:spacing w:after="0" w:line="301" w:lineRule="auto"/>
        <w:rPr>
          <w:sz w:val="20"/>
          <w:szCs w:val="20"/>
          <w:color w:val="auto"/>
        </w:rPr>
      </w:pPr>
      <w:r>
        <w:rPr>
          <w:rFonts w:ascii="Arial" w:cs="Arial" w:eastAsia="Arial" w:hAnsi="Arial"/>
          <w:sz w:val="16"/>
          <w:szCs w:val="16"/>
          <w:b w:val="1"/>
          <w:bCs w:val="1"/>
          <w:color w:val="auto"/>
        </w:rPr>
        <w:t>Timothy R. Eller</w:t>
      </w:r>
      <w:r>
        <w:rPr>
          <w:rFonts w:ascii="Arial" w:cs="Arial" w:eastAsia="Arial" w:hAnsi="Arial"/>
          <w:sz w:val="16"/>
          <w:szCs w:val="16"/>
          <w:color w:val="auto"/>
        </w:rPr>
        <w:t>, 54, has been a member of the Board since May 10, 2001. He was elected President and Chief Operating Officer of Centex Corporation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2002 and has been a director of the Corporation since July 18, 2002. Mr. Eller joined Centex Homes’ Illinois operations in 1973 and was named Project Manager for the Illinois division in 1975. He became Vice President of the Minnesota division in 1977 and the division’s President in 1981. He was named an Executive Vice President of Centex Real Estate Corporation in 1985 and elected President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and Chief Operating Officer of Centex Corporation in January 1990. In July 1991, he was named President and Chief Executive Officer of Centex Homes and held the position as Chairman of Centex Homes in April 1998 through April 2003. In August 1998, Mr. Eller was named Executive Vice President of Centex Corporation. Mr. Eller is the Chairman of the High Production Home Builders Council of the National Association of Home Builders and is a life trustee of the National Housing Endowment. He is Chairman of the Policy Advisory Board for Harvard University’s Joint Center for Housing Studies, and serves on the Advisory Board of JP Morgan Chase Dallas Region and the Board of Trustees of the Nature Conservancy of Texas. Mr. Eller has a B.S. in construction management from the University of Nebraska.</w:t>
      </w:r>
    </w:p>
    <w:p>
      <w:pPr>
        <w:spacing w:after="0" w:line="192" w:lineRule="exact"/>
        <w:rPr>
          <w:sz w:val="20"/>
          <w:szCs w:val="20"/>
          <w:color w:val="auto"/>
        </w:rPr>
      </w:pPr>
    </w:p>
    <w:p>
      <w:pPr>
        <w:ind w:right="220" w:firstLine="220"/>
        <w:spacing w:after="0" w:line="320" w:lineRule="auto"/>
        <w:rPr>
          <w:sz w:val="20"/>
          <w:szCs w:val="20"/>
          <w:color w:val="auto"/>
        </w:rPr>
      </w:pPr>
      <w:r>
        <w:rPr>
          <w:rFonts w:ascii="Arial" w:cs="Arial" w:eastAsia="Arial" w:hAnsi="Arial"/>
          <w:sz w:val="15"/>
          <w:szCs w:val="15"/>
          <w:b w:val="1"/>
          <w:bCs w:val="1"/>
          <w:color w:val="auto"/>
        </w:rPr>
        <w:t>Laurence E. Hirsch</w:t>
      </w:r>
      <w:r>
        <w:rPr>
          <w:rFonts w:ascii="Arial" w:cs="Arial" w:eastAsia="Arial" w:hAnsi="Arial"/>
          <w:sz w:val="15"/>
          <w:szCs w:val="15"/>
          <w:color w:val="auto"/>
        </w:rPr>
        <w:t>, 57, has been a member of the Board since 1985, and serves on the Executive Committee of the Board. Mr. Hirsch also became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of the Corporation on April 1, 2003. He has served as Chairman of the Board of Directors of the Corporation from January 1994 through December 1997 and from July 1999 to the present. Mr. Hirsch has served as a director of Centex Corporation since 1985, as Chief Executive Officer of Centex Corporation since July 1988 and as Chairman of the Board of Centex Corporation since July 1991. He served as President of Centex Corporation from March 1985 until July 1991. Mr. Hirsch also serves as a director of Belo Corp. and Luminex Corporation, and as an advisory director of Heidelberger Zement AG.</w:t>
      </w:r>
    </w:p>
    <w:p>
      <w:pPr>
        <w:spacing w:after="0" w:line="147" w:lineRule="exact"/>
        <w:rPr>
          <w:sz w:val="20"/>
          <w:szCs w:val="20"/>
          <w:color w:val="auto"/>
        </w:rPr>
      </w:pPr>
    </w:p>
    <w:p>
      <w:pPr>
        <w:ind w:right="200" w:firstLine="220"/>
        <w:spacing w:after="0" w:line="256" w:lineRule="auto"/>
        <w:rPr>
          <w:sz w:val="20"/>
          <w:szCs w:val="20"/>
          <w:color w:val="auto"/>
        </w:rPr>
      </w:pPr>
      <w:r>
        <w:rPr>
          <w:rFonts w:ascii="Arial" w:cs="Arial" w:eastAsia="Arial" w:hAnsi="Arial"/>
          <w:sz w:val="18"/>
          <w:szCs w:val="18"/>
          <w:b w:val="1"/>
          <w:bCs w:val="1"/>
          <w:color w:val="auto"/>
        </w:rPr>
        <w:t>Michael R. Nicolais</w:t>
      </w:r>
      <w:r>
        <w:rPr>
          <w:rFonts w:ascii="Arial" w:cs="Arial" w:eastAsia="Arial" w:hAnsi="Arial"/>
          <w:sz w:val="18"/>
          <w:szCs w:val="18"/>
          <w:color w:val="auto"/>
        </w:rPr>
        <w:t>, 45, has been a member of the Board since May 2001, and serves on the Audit Committee, the Compensation and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the Nominating Committee of the Board. In August 2002, Mr. Nicolais became a Managing Director of Stephens, Inc., an investment banking firm. He was a partner in the private investment firm of Olivhan Investments, L.P. from March 2001 to August 2002. From August 1986 to December 2000, he was employed by Donaldson, Lufkin &amp; Jenrette Securities Corporation’s Investment Banking Division, most recently in the position of Managing Director and Co-head of the firm’s Dallas office.</w:t>
      </w:r>
    </w:p>
    <w:p>
      <w:pPr>
        <w:spacing w:after="0" w:line="193" w:lineRule="exact"/>
        <w:rPr>
          <w:sz w:val="20"/>
          <w:szCs w:val="20"/>
          <w:color w:val="auto"/>
        </w:rPr>
      </w:pPr>
    </w:p>
    <w:p>
      <w:pPr>
        <w:ind w:right="40" w:firstLine="220"/>
        <w:spacing w:after="0" w:line="258" w:lineRule="auto"/>
        <w:rPr>
          <w:sz w:val="20"/>
          <w:szCs w:val="20"/>
          <w:color w:val="auto"/>
        </w:rPr>
      </w:pPr>
      <w:r>
        <w:rPr>
          <w:rFonts w:ascii="Arial" w:cs="Arial" w:eastAsia="Arial" w:hAnsi="Arial"/>
          <w:sz w:val="18"/>
          <w:szCs w:val="18"/>
          <w:b w:val="1"/>
          <w:bCs w:val="1"/>
          <w:color w:val="auto"/>
        </w:rPr>
        <w:t>David W. Quinn</w:t>
      </w:r>
      <w:r>
        <w:rPr>
          <w:rFonts w:ascii="Arial" w:cs="Arial" w:eastAsia="Arial" w:hAnsi="Arial"/>
          <w:sz w:val="18"/>
          <w:szCs w:val="18"/>
          <w:color w:val="auto"/>
        </w:rPr>
        <w:t>, 61, has been a member of the Board since 1994, and serves on the Executive Committee of the Board. He has served as a director of Centex</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since 1989, as Vice Chairman of the Board of Centex Corporation from May 1996 until March 2002, as Executive Vice President of Centex Corporation from February 1987 until May 1996 and as Chief Financial Officer of Centex Corporation from February 1987 until June 1997 and from October 1997 through May 2000. Mr. Quinn is also a director of ElkCorp.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Fees, Committees and Attendance Records</w:t>
      </w:r>
    </w:p>
    <w:p>
      <w:pPr>
        <w:spacing w:after="0" w:line="231"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During the Corporation’s fiscal year ended March 31, 2003, the Board of Directors held four regularly scheduled meetings. During such fiscal year, each director attended at least 75 percent of the total number of meetings of the Board of Directors and all committees of the Board of Directors on which such director served.</w:t>
      </w:r>
    </w:p>
    <w:p>
      <w:pPr>
        <w:spacing w:after="0" w:line="194" w:lineRule="exact"/>
        <w:rPr>
          <w:sz w:val="20"/>
          <w:szCs w:val="20"/>
          <w:color w:val="auto"/>
        </w:rPr>
      </w:pPr>
    </w:p>
    <w:p>
      <w:pPr>
        <w:ind w:right="160" w:firstLine="220"/>
        <w:spacing w:after="0" w:line="298" w:lineRule="auto"/>
        <w:rPr>
          <w:sz w:val="20"/>
          <w:szCs w:val="20"/>
          <w:color w:val="auto"/>
        </w:rPr>
      </w:pPr>
      <w:r>
        <w:rPr>
          <w:rFonts w:ascii="Arial" w:cs="Arial" w:eastAsia="Arial" w:hAnsi="Arial"/>
          <w:sz w:val="16"/>
          <w:szCs w:val="16"/>
          <w:color w:val="auto"/>
        </w:rPr>
        <w:t>Board members who are not employees of the Corporation, Centex Corporation or any of their respective subsidiaries (“Independent Directors”) received an annual retainer of $32,000 and options to purchase 3,000 shares of common stock during fiscal year 2003. In addition, the Corporation reimburses the directors for reasonable expenses incurred in attending Board and Board committee meetings. The three standing committees of the Board of Directors are the Audit Committee, the Compensation and Stock Option Committee and the Nominating Committee.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340" w:firstLine="216"/>
        <w:spacing w:after="0" w:line="259" w:lineRule="auto"/>
        <w:rPr>
          <w:sz w:val="20"/>
          <w:szCs w:val="20"/>
          <w:color w:val="auto"/>
        </w:rPr>
      </w:pPr>
      <w:r>
        <w:rPr>
          <w:rFonts w:ascii="Arial" w:cs="Arial" w:eastAsia="Arial" w:hAnsi="Arial"/>
          <w:sz w:val="18"/>
          <w:szCs w:val="18"/>
          <w:color w:val="auto"/>
        </w:rPr>
        <w:t>The Board of Directors has an Audit Committee, composed of three Independent Directors. The Audit Committee is comprised of Mr. Clarke (Chairman), Mr. Nicolais and Mr. Work. Each member of the Audit Committee is an independent director as defined by applicable New York Stock Exchange listing standards. During the last fiscal year, the Audit Committee held four meetings.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the key responsibilities of the Audit Committee:</w:t>
      </w:r>
    </w:p>
    <w:p>
      <w:pPr>
        <w:spacing w:after="0" w:line="225" w:lineRule="exact"/>
        <w:rPr>
          <w:sz w:val="20"/>
          <w:szCs w:val="20"/>
          <w:color w:val="auto"/>
        </w:rPr>
      </w:pPr>
    </w:p>
    <w:p>
      <w:pPr>
        <w:jc w:val="right"/>
        <w:ind w:left="5680" w:right="5640" w:hanging="5321"/>
        <w:spacing w:after="0" w:line="455" w:lineRule="auto"/>
        <w:tabs>
          <w:tab w:leader="none" w:pos="828" w:val="left"/>
        </w:tabs>
        <w:numPr>
          <w:ilvl w:val="0"/>
          <w:numId w:val="8"/>
        </w:numPr>
        <w:rPr>
          <w:rFonts w:ascii="Arial" w:cs="Arial" w:eastAsia="Arial" w:hAnsi="Arial"/>
          <w:sz w:val="15"/>
          <w:szCs w:val="15"/>
          <w:color w:val="auto"/>
        </w:rPr>
      </w:pPr>
      <w:r>
        <w:rPr>
          <w:rFonts w:ascii="Arial" w:cs="Arial" w:eastAsia="Arial" w:hAnsi="Arial"/>
          <w:sz w:val="15"/>
          <w:szCs w:val="15"/>
          <w:color w:val="auto"/>
        </w:rPr>
        <w:t>recommending the appointment of independent auditors to the Board;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scope of the independent auditors’ examination and the scope of the activities of the internal audit function;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Corporation’s basic systems of internal controls regarding auditing, accounting and legal compliance;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Corporation’s audited financial statements and interim financial statements;</w:t>
      </w:r>
    </w:p>
    <w:p>
      <w:pPr>
        <w:spacing w:after="0" w:line="225" w:lineRule="exact"/>
        <w:rPr>
          <w:rFonts w:ascii="Arial" w:cs="Arial" w:eastAsia="Arial" w:hAnsi="Arial"/>
          <w:sz w:val="18"/>
          <w:szCs w:val="18"/>
          <w:color w:val="auto"/>
        </w:rPr>
      </w:pPr>
    </w:p>
    <w:p>
      <w:pPr>
        <w:ind w:left="820" w:right="280" w:hanging="461"/>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a report for inclusion in the Corporation’s proxy statement regarding review of audited financial statements for the last fiscal year, which includes a statement on whether it recommended that the Board include those financial statements in the Annual Report on Form 10-K (the Audit Committee’s report for fiscal year 2002 is reproduced below);</w:t>
      </w:r>
    </w:p>
    <w:p>
      <w:pPr>
        <w:spacing w:after="0" w:line="194" w:lineRule="exact"/>
        <w:rPr>
          <w:rFonts w:ascii="Arial" w:cs="Arial" w:eastAsia="Arial" w:hAnsi="Arial"/>
          <w:sz w:val="18"/>
          <w:szCs w:val="18"/>
          <w:color w:val="auto"/>
        </w:rPr>
      </w:pPr>
    </w:p>
    <w:p>
      <w:pPr>
        <w:ind w:left="82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duties and compensation of the independent auditors and the effect of any such compensation on the auditors’ independence, including a review of management consulting services provided by the independent auditors; and</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assessing the adequacy of the Audit Committee’s Charter and recommending revisions to the Board.</w:t>
      </w:r>
    </w:p>
    <w:p>
      <w:pPr>
        <w:spacing w:after="0" w:line="225"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The Audit Committee meets separately with the independent auditors and with members of the internal audit staff of Centex Corporation (who provide internal audit services pursuant to the terms of a services agreement between the Corporation and a wholly-owned subsidiary of Centex Corporation) outside the presence of the Corporation’s management or other employees to discuss matters of concern, to receive recommendations or suggestions for change and to exchange relevant views and information. The Audit Committee and the Board of Directors are ultimately responsible for the selection, evaluation and replacement of the independent auditors.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Centex Construction Products, Inc.:</w:t>
      </w:r>
    </w:p>
    <w:p>
      <w:pPr>
        <w:spacing w:after="0" w:line="225"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i w:val="1"/>
          <w:iCs w:val="1"/>
          <w:color w:val="auto"/>
        </w:rPr>
        <w:t>We have reviewed and discussed with management Centex Construction Products, Inc.’s audited financial statements as of and for the year ended March 31, 2003.</w:t>
      </w:r>
    </w:p>
    <w:p>
      <w:pPr>
        <w:spacing w:after="0" w:line="186"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i w:val="1"/>
          <w:iCs w:val="1"/>
          <w:color w:val="auto"/>
        </w:rPr>
        <w:t xml:space="preserve">We have discussed with the independent auditors the matters required to be discussed by Statement on Auditing Standards No. 61, </w:t>
      </w:r>
      <w:r>
        <w:rPr>
          <w:rFonts w:ascii="Arial" w:cs="Arial" w:eastAsia="Arial" w:hAnsi="Arial"/>
          <w:sz w:val="18"/>
          <w:szCs w:val="18"/>
          <w:i w:val="1"/>
          <w:iCs w:val="1"/>
          <w:u w:val="single" w:color="auto"/>
          <w:color w:val="auto"/>
        </w:rPr>
        <w:t>Communication with Audit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Committees</w:t>
      </w:r>
      <w:r>
        <w:rPr>
          <w:rFonts w:ascii="Arial" w:cs="Arial" w:eastAsia="Arial" w:hAnsi="Arial"/>
          <w:sz w:val="18"/>
          <w:szCs w:val="18"/>
          <w:i w:val="1"/>
          <w:iCs w:val="1"/>
          <w:color w:val="auto"/>
        </w:rPr>
        <w:t xml:space="preserve">, as amended by Statement on Auditing Standards No. 90, </w:t>
      </w:r>
      <w:r>
        <w:rPr>
          <w:rFonts w:ascii="Arial" w:cs="Arial" w:eastAsia="Arial" w:hAnsi="Arial"/>
          <w:sz w:val="18"/>
          <w:szCs w:val="18"/>
          <w:i w:val="1"/>
          <w:iCs w:val="1"/>
          <w:u w:val="single" w:color="auto"/>
          <w:color w:val="auto"/>
        </w:rPr>
        <w:t>Audit Committee Communications</w:t>
      </w:r>
      <w:r>
        <w:rPr>
          <w:rFonts w:ascii="Arial" w:cs="Arial" w:eastAsia="Arial" w:hAnsi="Arial"/>
          <w:sz w:val="18"/>
          <w:szCs w:val="18"/>
          <w:i w:val="1"/>
          <w:iCs w:val="1"/>
          <w:color w:val="auto"/>
        </w:rPr>
        <w:t>, by the Auditing Standards Board of the American Institute of Certified Public Accountants.</w:t>
      </w:r>
    </w:p>
    <w:p>
      <w:pPr>
        <w:spacing w:after="0" w:line="194"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i w:val="1"/>
          <w:iCs w:val="1"/>
          <w:color w:val="auto"/>
        </w:rPr>
        <w:t xml:space="preserve">We have received and reviewed the written disclosures and the letter from the independent auditors required by Independence Standard No. 1, </w:t>
      </w:r>
      <w:r>
        <w:rPr>
          <w:rFonts w:ascii="Arial" w:cs="Arial" w:eastAsia="Arial" w:hAnsi="Arial"/>
          <w:sz w:val="18"/>
          <w:szCs w:val="18"/>
          <w:i w:val="1"/>
          <w:iCs w:val="1"/>
          <w:u w:val="single" w:color="auto"/>
          <w:color w:val="auto"/>
        </w:rPr>
        <w:t>Independence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Discussions with Audit Committees</w:t>
      </w:r>
      <w:r>
        <w:rPr>
          <w:rFonts w:ascii="Arial" w:cs="Arial" w:eastAsia="Arial" w:hAnsi="Arial"/>
          <w:sz w:val="18"/>
          <w:szCs w:val="18"/>
          <w:i w:val="1"/>
          <w:iCs w:val="1"/>
          <w:color w:val="auto"/>
        </w:rPr>
        <w:t>, as amended, by the Independence Standards Board, and have discussed with the auditors the auditors’ independence. We have also considered whether the auditors’ provision of non-audit services to Centex Construction Products, Inc. and its affiliates is compatible with the auditors’ independence.</w:t>
      </w:r>
    </w:p>
    <w:p>
      <w:pPr>
        <w:spacing w:after="0" w:line="197"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Centex Construction Products, Inc.’s Annual Report on Form 10-K for the year ended March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 of the Centex Construction Products, Inc.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L. Clarke,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R. Nicolais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K.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8,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Compensation and Stock Option Committee</w:t>
      </w:r>
    </w:p>
    <w:p>
      <w:pPr>
        <w:spacing w:after="0" w:line="225" w:lineRule="exact"/>
        <w:rPr>
          <w:sz w:val="20"/>
          <w:szCs w:val="20"/>
          <w:color w:val="auto"/>
        </w:rPr>
      </w:pPr>
    </w:p>
    <w:p>
      <w:pPr>
        <w:ind w:right="240" w:firstLine="216"/>
        <w:spacing w:after="0" w:line="291" w:lineRule="auto"/>
        <w:rPr>
          <w:sz w:val="20"/>
          <w:szCs w:val="20"/>
          <w:color w:val="auto"/>
        </w:rPr>
      </w:pPr>
      <w:r>
        <w:rPr>
          <w:rFonts w:ascii="Arial" w:cs="Arial" w:eastAsia="Arial" w:hAnsi="Arial"/>
          <w:sz w:val="16"/>
          <w:szCs w:val="16"/>
          <w:color w:val="auto"/>
        </w:rPr>
        <w:t>The Board has a Compensation and Stock Option Committee composed solely of independent directors who qualify as “non-employee directors” within the meaning of Rule 16b-3(b)(3) under the Securities Exchange Act of 1934, as amended. The Compensation and Stock Option Committee consists of Mr. Work (Chairman), Mr. Clarke and Mr. Nicolais. This committee recommends to the Board the base salaries and incentive bonuses of the executive officers of the Corporation and administers the Centex Construction Products, Inc. Amended and Restated Stock Option Plan (the “Stock Option Plan”) and the Centex Construction Products, Inc. 2000 Stock Option Plan. The Compensation and Stock Option Committee is authorized to grant options to acquire Common Stock and to grant awards of restricted stock under both plans. During fiscal year 2003, the Compensation and Stock Option Committee held one meeting.</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Nominating Committee</w:t>
      </w:r>
    </w:p>
    <w:p>
      <w:pPr>
        <w:spacing w:after="0" w:line="225" w:lineRule="exact"/>
        <w:rPr>
          <w:sz w:val="20"/>
          <w:szCs w:val="20"/>
          <w:color w:val="auto"/>
        </w:rPr>
      </w:pPr>
    </w:p>
    <w:p>
      <w:pPr>
        <w:ind w:right="400" w:firstLine="216"/>
        <w:spacing w:after="0" w:line="332" w:lineRule="auto"/>
        <w:rPr>
          <w:sz w:val="20"/>
          <w:szCs w:val="20"/>
          <w:color w:val="auto"/>
        </w:rPr>
      </w:pPr>
      <w:r>
        <w:rPr>
          <w:rFonts w:ascii="Arial" w:cs="Arial" w:eastAsia="Arial" w:hAnsi="Arial"/>
          <w:sz w:val="16"/>
          <w:szCs w:val="16"/>
          <w:color w:val="auto"/>
        </w:rPr>
        <w:t>The Board has a Nominating Committee composed solely of Independent Directors. The Nominating Committee consists of Mr. Clarke, Mr. Nicolais and Mr. Work. The Committee provides advice and recommendations to the Board regarding, and oversight of, the Corporation’s selection of directors.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80" w:firstLine="216"/>
        <w:spacing w:after="0" w:line="256" w:lineRule="auto"/>
        <w:rPr>
          <w:sz w:val="20"/>
          <w:szCs w:val="20"/>
          <w:color w:val="auto"/>
        </w:rPr>
      </w:pPr>
      <w:r>
        <w:rPr>
          <w:rFonts w:ascii="Arial" w:cs="Arial" w:eastAsia="Arial" w:hAnsi="Arial"/>
          <w:sz w:val="18"/>
          <w:szCs w:val="18"/>
          <w:color w:val="auto"/>
        </w:rPr>
        <w:t>The following table sets forth information as of June 2, 2003 with respect to the beneficial ownership of shares of Common Stock by each director (and each nominee for election to the Board of Directors) and executive officer named in the Summary Compensation Table under “Executive Compensation,” individually itemized, and by all directors and executive officers of the Corporation as a group (11 persons). Except as otherwise indicated, all shares are owned directly, and the owner has the sole voting and investment power with respect thereto.</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4"/>
          </w:tcPr>
          <w:p>
            <w:pPr>
              <w:ind w:left="660"/>
              <w:spacing w:after="0"/>
              <w:rPr>
                <w:sz w:val="20"/>
                <w:szCs w:val="20"/>
                <w:color w:val="auto"/>
              </w:rPr>
            </w:pPr>
            <w:r>
              <w:rPr>
                <w:rFonts w:ascii="Arial" w:cs="Arial" w:eastAsia="Arial" w:hAnsi="Arial"/>
                <w:sz w:val="18"/>
                <w:szCs w:val="18"/>
                <w:b w:val="1"/>
                <w:bCs w:val="1"/>
                <w:color w:val="auto"/>
                <w:w w:val="86"/>
              </w:rPr>
              <w:t>Common Stock (1)</w:t>
            </w:r>
          </w:p>
        </w:tc>
        <w:tc>
          <w:tcPr>
            <w:tcW w:w="920" w:type="dxa"/>
            <w:vAlign w:val="bottom"/>
          </w:tcPr>
          <w:p>
            <w:pPr>
              <w:spacing w:after="0"/>
              <w:rPr>
                <w:sz w:val="19"/>
                <w:szCs w:val="19"/>
                <w:color w:val="auto"/>
              </w:rPr>
            </w:pPr>
          </w:p>
        </w:tc>
      </w:tr>
      <w:tr>
        <w:trPr>
          <w:trHeight w:val="110"/>
        </w:trPr>
        <w:tc>
          <w:tcPr>
            <w:tcW w:w="7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03"/>
        </w:trPr>
        <w:tc>
          <w:tcPr>
            <w:tcW w:w="7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87"/>
              </w:rPr>
              <w:t>Number of Shares</w:t>
            </w: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Percent</w:t>
            </w:r>
          </w:p>
        </w:tc>
      </w:tr>
      <w:tr>
        <w:trPr>
          <w:trHeight w:val="228"/>
        </w:trPr>
        <w:tc>
          <w:tcPr>
            <w:tcW w:w="7180" w:type="dxa"/>
            <w:vAlign w:val="bottom"/>
          </w:tcPr>
          <w:p>
            <w:pPr>
              <w:ind w:left="2600"/>
              <w:spacing w:after="0"/>
              <w:rPr>
                <w:sz w:val="20"/>
                <w:szCs w:val="20"/>
                <w:color w:val="auto"/>
              </w:rPr>
            </w:pPr>
            <w:r>
              <w:rPr>
                <w:rFonts w:ascii="Arial" w:cs="Arial" w:eastAsia="Arial" w:hAnsi="Arial"/>
                <w:sz w:val="18"/>
                <w:szCs w:val="18"/>
                <w:b w:val="1"/>
                <w:bCs w:val="1"/>
                <w:color w:val="auto"/>
              </w:rPr>
              <w:t>Name of Beneficial Owner</w:t>
            </w:r>
          </w:p>
        </w:tc>
        <w:tc>
          <w:tcPr>
            <w:tcW w:w="3320" w:type="dxa"/>
            <w:vAlign w:val="bottom"/>
            <w:gridSpan w:val="6"/>
          </w:tcPr>
          <w:p>
            <w:pPr>
              <w:jc w:val="center"/>
              <w:ind w:left="92"/>
              <w:spacing w:after="0"/>
              <w:rPr>
                <w:sz w:val="20"/>
                <w:szCs w:val="20"/>
                <w:color w:val="auto"/>
              </w:rPr>
            </w:pPr>
            <w:r>
              <w:rPr>
                <w:rFonts w:ascii="Arial" w:cs="Arial" w:eastAsia="Arial" w:hAnsi="Arial"/>
                <w:sz w:val="18"/>
                <w:szCs w:val="18"/>
                <w:b w:val="1"/>
                <w:bCs w:val="1"/>
                <w:color w:val="auto"/>
                <w:w w:val="88"/>
              </w:rPr>
              <w:t>Beneficially Owned</w:t>
            </w: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w w:val="82"/>
              </w:rPr>
              <w:t>of Class</w:t>
            </w:r>
          </w:p>
        </w:tc>
      </w:tr>
      <w:tr>
        <w:trPr>
          <w:trHeight w:val="110"/>
        </w:trPr>
        <w:tc>
          <w:tcPr>
            <w:tcW w:w="718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09"/>
        </w:trPr>
        <w:tc>
          <w:tcPr>
            <w:tcW w:w="7180" w:type="dxa"/>
            <w:vAlign w:val="bottom"/>
          </w:tcPr>
          <w:p>
            <w:pPr>
              <w:spacing w:after="0"/>
              <w:rPr>
                <w:sz w:val="20"/>
                <w:szCs w:val="20"/>
                <w:color w:val="auto"/>
              </w:rPr>
            </w:pPr>
            <w:r>
              <w:rPr>
                <w:rFonts w:ascii="Arial" w:cs="Arial" w:eastAsia="Arial" w:hAnsi="Arial"/>
                <w:sz w:val="18"/>
                <w:szCs w:val="18"/>
                <w:color w:val="auto"/>
              </w:rPr>
              <w:t>F. William Barnett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right"/>
              <w:ind w:right="1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Robert L. Clarke</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16,029</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Timothy R. Eller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1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Gerald J. Essl</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1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Laurence E. Hirsch</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H. David House</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80,918</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Michael R. Nicolais (2)</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1,676</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David W. Quinn</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Steven R. Rowley</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82,083</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Harold K. Work **</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13,029</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Arthur R. Zunker, Jr.</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70,924</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110"/>
        </w:trPr>
        <w:tc>
          <w:tcPr>
            <w:tcW w:w="71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316"/>
        </w:trPr>
        <w:tc>
          <w:tcPr>
            <w:tcW w:w="7180" w:type="dxa"/>
            <w:vAlign w:val="bottom"/>
          </w:tcPr>
          <w:p>
            <w:pPr>
              <w:spacing w:after="0"/>
              <w:rPr>
                <w:sz w:val="20"/>
                <w:szCs w:val="20"/>
                <w:color w:val="auto"/>
              </w:rPr>
            </w:pPr>
            <w:r>
              <w:rPr>
                <w:rFonts w:ascii="Arial" w:cs="Arial" w:eastAsia="Arial" w:hAnsi="Arial"/>
                <w:sz w:val="18"/>
                <w:szCs w:val="18"/>
                <w:color w:val="auto"/>
              </w:rPr>
              <w:t>All directors and executive officers of the Corporation as a group (11 persons)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276,659</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1" w:lineRule="exact"/>
        <w:rPr>
          <w:sz w:val="20"/>
          <w:szCs w:val="20"/>
          <w:color w:val="auto"/>
        </w:rPr>
      </w:pPr>
    </w:p>
    <w:p>
      <w:pPr>
        <w:ind w:left="840" w:hanging="508"/>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840" w:hanging="508"/>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retiring as a director on July 21,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hanging="548"/>
        <w:spacing w:after="0" w:line="303"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Shares covered by stock options that are outstanding under the Stock Option Plan which are exercisable on June 2, 2003 or within 60 days thereafter are included as “beneficially owned” pursuant to the rules and regulations of the Securities and Exchange Commission (the “SEC”). Amounts include the following shares that may be acquired upon exercise of such stock options: Mr. Clarke — 13,029 shares; Mr. House — 80,918 shares;</w:t>
      </w:r>
    </w:p>
    <w:p>
      <w:pPr>
        <w:spacing w:after="0" w:line="1" w:lineRule="exact"/>
        <w:rPr>
          <w:rFonts w:ascii="Arial" w:cs="Arial" w:eastAsia="Arial" w:hAnsi="Arial"/>
          <w:sz w:val="15"/>
          <w:szCs w:val="15"/>
          <w:color w:val="auto"/>
        </w:rPr>
      </w:pPr>
    </w:p>
    <w:p>
      <w:pPr>
        <w:ind w:left="880"/>
        <w:spacing w:after="0" w:line="288" w:lineRule="auto"/>
        <w:rPr>
          <w:rFonts w:ascii="Arial" w:cs="Arial" w:eastAsia="Arial" w:hAnsi="Arial"/>
          <w:sz w:val="15"/>
          <w:szCs w:val="15"/>
          <w:color w:val="auto"/>
        </w:rPr>
      </w:pPr>
      <w:r>
        <w:rPr>
          <w:rFonts w:ascii="Arial" w:cs="Arial" w:eastAsia="Arial" w:hAnsi="Arial"/>
          <w:sz w:val="16"/>
          <w:szCs w:val="16"/>
          <w:color w:val="auto"/>
        </w:rPr>
        <w:t>Mr. Rowley — 80,918 shares; Mr. Work — 13,029 shares; Mr. Zunker — 65,612 shares; and all directors and executive officers of the Corporation as a group (11 persons) — 154,670 shares. In addition, this table includes shares of Common Stock that are held for the account of participants as of June 2, 2003, pursuant to the Common Stock Fund of the Profit Sharing and Retirement Plan of Centex Construction Products, Inc., a defined contribution plan (the “Profit Sharing Plan”), as follows: Mr. Rowley — 1,165 shares; Mr. Zunker — 5,302 shares; and all directors, nominees and executive officers of the Corporation as a group (11 persons) — 6,467 shares. Amounts shown for Messrs. Eller, Hirsch and Quinn do not include 11,962,304 shares of Common Stock owned by Centex Corporation, which shares each of Messrs. Eller, Hirsch and Quinn may be deemed to beneficially own indirectly because of their positions as directors and/or executive officers of Centex Corporation.</w:t>
      </w:r>
    </w:p>
    <w:p>
      <w:pPr>
        <w:spacing w:after="0" w:line="176" w:lineRule="exact"/>
        <w:rPr>
          <w:rFonts w:ascii="Arial" w:cs="Arial" w:eastAsia="Arial" w:hAnsi="Arial"/>
          <w:sz w:val="15"/>
          <w:szCs w:val="15"/>
          <w:color w:val="auto"/>
        </w:rPr>
      </w:pPr>
    </w:p>
    <w:p>
      <w:pPr>
        <w:ind w:left="880" w:hanging="548"/>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400 shares owned by Mr. Nicolais’ wife.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31" w:lineRule="exact"/>
        <w:rPr>
          <w:sz w:val="20"/>
          <w:szCs w:val="20"/>
          <w:color w:val="auto"/>
        </w:rPr>
      </w:pPr>
    </w:p>
    <w:p>
      <w:pPr>
        <w:ind w:right="180" w:firstLine="216"/>
        <w:spacing w:after="0" w:line="268" w:lineRule="auto"/>
        <w:rPr>
          <w:sz w:val="20"/>
          <w:szCs w:val="20"/>
          <w:color w:val="auto"/>
        </w:rPr>
      </w:pPr>
      <w:r>
        <w:rPr>
          <w:rFonts w:ascii="Arial" w:cs="Arial" w:eastAsia="Arial" w:hAnsi="Arial"/>
          <w:sz w:val="18"/>
          <w:szCs w:val="18"/>
          <w:color w:val="auto"/>
        </w:rPr>
        <w:t>The following table sets forth information as of June 2, 2002 with respect to the holders of shares of Common Stock who are known to the Corporation to be beneficial owners of more than five percent of such shares outstanding.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gridSpan w:val="3"/>
          </w:tcPr>
          <w:p>
            <w:pPr>
              <w:ind w:left="1300"/>
              <w:spacing w:after="0"/>
              <w:rPr>
                <w:sz w:val="20"/>
                <w:szCs w:val="20"/>
                <w:color w:val="auto"/>
              </w:rPr>
            </w:pPr>
            <w:r>
              <w:rPr>
                <w:rFonts w:ascii="Arial" w:cs="Arial" w:eastAsia="Arial" w:hAnsi="Arial"/>
                <w:sz w:val="18"/>
                <w:szCs w:val="18"/>
                <w:b w:val="1"/>
                <w:bCs w:val="1"/>
                <w:color w:val="auto"/>
                <w:w w:val="95"/>
              </w:rPr>
              <w:t>Common Stock</w:t>
            </w:r>
          </w:p>
        </w:tc>
        <w:tc>
          <w:tcPr>
            <w:tcW w:w="1160" w:type="dxa"/>
            <w:vAlign w:val="bottom"/>
          </w:tcPr>
          <w:p>
            <w:pPr>
              <w:spacing w:after="0"/>
              <w:rPr>
                <w:sz w:val="19"/>
                <w:szCs w:val="19"/>
                <w:color w:val="auto"/>
              </w:rPr>
            </w:pPr>
          </w:p>
        </w:tc>
      </w:tr>
      <w:tr>
        <w:trPr>
          <w:trHeight w:val="110"/>
        </w:trPr>
        <w:tc>
          <w:tcPr>
            <w:tcW w:w="6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03"/>
        </w:trPr>
        <w:tc>
          <w:tcPr>
            <w:tcW w:w="6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8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8"/>
              </w:rPr>
              <w:t>Number of Shares</w:t>
            </w: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auto"/>
              </w:rPr>
              <w:t>Percent</w:t>
            </w:r>
          </w:p>
        </w:tc>
      </w:tr>
      <w:tr>
        <w:trPr>
          <w:trHeight w:val="228"/>
        </w:trPr>
        <w:tc>
          <w:tcPr>
            <w:tcW w:w="7680" w:type="dxa"/>
            <w:vAlign w:val="bottom"/>
            <w:gridSpan w:val="2"/>
          </w:tcPr>
          <w:p>
            <w:pPr>
              <w:ind w:left="1840"/>
              <w:spacing w:after="0"/>
              <w:rPr>
                <w:sz w:val="20"/>
                <w:szCs w:val="20"/>
                <w:color w:val="auto"/>
              </w:rPr>
            </w:pPr>
            <w:r>
              <w:rPr>
                <w:rFonts w:ascii="Arial" w:cs="Arial" w:eastAsia="Arial" w:hAnsi="Arial"/>
                <w:sz w:val="18"/>
                <w:szCs w:val="18"/>
                <w:b w:val="1"/>
                <w:bCs w:val="1"/>
                <w:color w:val="auto"/>
              </w:rPr>
              <w:t>Name and Address of Beneficial Owner</w:t>
            </w:r>
          </w:p>
        </w:tc>
        <w:tc>
          <w:tcPr>
            <w:tcW w:w="258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8"/>
              </w:rPr>
              <w:t>Beneficially Owned</w:t>
            </w:r>
          </w:p>
        </w:tc>
        <w:tc>
          <w:tcPr>
            <w:tcW w:w="1160" w:type="dxa"/>
            <w:vAlign w:val="bottom"/>
          </w:tcPr>
          <w:p>
            <w:pPr>
              <w:jc w:val="right"/>
              <w:ind w:right="352"/>
              <w:spacing w:after="0"/>
              <w:rPr>
                <w:sz w:val="20"/>
                <w:szCs w:val="20"/>
                <w:color w:val="auto"/>
              </w:rPr>
            </w:pPr>
            <w:r>
              <w:rPr>
                <w:rFonts w:ascii="Arial" w:cs="Arial" w:eastAsia="Arial" w:hAnsi="Arial"/>
                <w:sz w:val="18"/>
                <w:szCs w:val="18"/>
                <w:b w:val="1"/>
                <w:bCs w:val="1"/>
                <w:color w:val="auto"/>
                <w:w w:val="99"/>
              </w:rPr>
              <w:t>of Class</w:t>
            </w:r>
          </w:p>
        </w:tc>
      </w:tr>
      <w:tr>
        <w:trPr>
          <w:trHeight w:val="110"/>
        </w:trPr>
        <w:tc>
          <w:tcPr>
            <w:tcW w:w="664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09"/>
        </w:trPr>
        <w:tc>
          <w:tcPr>
            <w:tcW w:w="7680" w:type="dxa"/>
            <w:vAlign w:val="bottom"/>
            <w:gridSpan w:val="2"/>
          </w:tcPr>
          <w:p>
            <w:pPr>
              <w:spacing w:after="0"/>
              <w:rPr>
                <w:sz w:val="20"/>
                <w:szCs w:val="20"/>
                <w:color w:val="auto"/>
              </w:rPr>
            </w:pPr>
            <w:r>
              <w:rPr>
                <w:rFonts w:ascii="Arial" w:cs="Arial" w:eastAsia="Arial" w:hAnsi="Arial"/>
                <w:sz w:val="18"/>
                <w:szCs w:val="18"/>
                <w:color w:val="auto"/>
              </w:rPr>
              <w:t>Centex Corporation</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11,962,304</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65.08%</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2728 N. Harwood</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Dallas, Texas 75201</w:t>
            </w: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7680" w:type="dxa"/>
            <w:vAlign w:val="bottom"/>
            <w:gridSpan w:val="2"/>
          </w:tcPr>
          <w:p>
            <w:pPr>
              <w:spacing w:after="0"/>
              <w:rPr>
                <w:sz w:val="20"/>
                <w:szCs w:val="20"/>
                <w:color w:val="auto"/>
              </w:rPr>
            </w:pPr>
            <w:r>
              <w:rPr>
                <w:rFonts w:ascii="Arial" w:cs="Arial" w:eastAsia="Arial" w:hAnsi="Arial"/>
                <w:sz w:val="18"/>
                <w:szCs w:val="18"/>
                <w:color w:val="auto"/>
              </w:rPr>
              <w:t>Artisan Partners Limited Partnership</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1,429,983</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Artisan Investment Corporation</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Andrew A. Ziegler</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Carlene Murphy Ziegler (1)</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1000 North Water Street, #1770</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Milwaukee, Wisconsin 53202</w:t>
            </w: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7680" w:type="dxa"/>
            <w:vAlign w:val="bottom"/>
            <w:gridSpan w:val="2"/>
          </w:tcPr>
          <w:p>
            <w:pPr>
              <w:spacing w:after="0"/>
              <w:rPr>
                <w:sz w:val="20"/>
                <w:szCs w:val="20"/>
                <w:color w:val="auto"/>
              </w:rPr>
            </w:pPr>
            <w:r>
              <w:rPr>
                <w:rFonts w:ascii="Arial" w:cs="Arial" w:eastAsia="Arial" w:hAnsi="Arial"/>
                <w:sz w:val="18"/>
                <w:szCs w:val="18"/>
                <w:color w:val="auto"/>
              </w:rPr>
              <w:t>FMR Corp (2)</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1,242,254</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82 Devonshire street</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1" w:lineRule="exact"/>
        <w:rPr>
          <w:sz w:val="20"/>
          <w:szCs w:val="20"/>
          <w:color w:val="auto"/>
        </w:rPr>
      </w:pPr>
    </w:p>
    <w:p>
      <w:pPr>
        <w:ind w:left="880" w:right="40" w:hanging="548"/>
        <w:spacing w:after="0" w:line="25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information contained in the Schedule 13G of Artisan Partners Limited Partnership (“Artisan Partners”), Artisan Investment Corporation (“Artisan Corporation”), Andrew A. Ziegler and Carlene Murphy Ziegler filed with the SEC on January 31, 2003 with respect to shares of Common Stock owned as of December 31, 2002 (the “Artisan 13G”), but calculating the percentage shown by dividing the number of such shares by the total number of shares of Common Stock issued and outstanding on the record date. According to the Artisan 13G, such number represents shares acquired on behalf of discretionary clients of Artisan Partners, an investment adviser registered under the Investment Advisers Act of 1940, none of whom has an economic interest in more than five percent of the outstanding shares of Common Stock. According to the Artisan 13G, Artisan Partners, Artisan Corporation, in its capacity as corporate general partner of Artisan Partners, and Andrew A. Ziegler and Carlene Murphy Ziegler, in their capacity as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right="140"/>
        <w:spacing w:after="0" w:line="268" w:lineRule="auto"/>
        <w:rPr>
          <w:sz w:val="20"/>
          <w:szCs w:val="20"/>
          <w:color w:val="auto"/>
        </w:rPr>
      </w:pPr>
      <w:r>
        <w:rPr>
          <w:rFonts w:ascii="Arial" w:cs="Arial" w:eastAsia="Arial" w:hAnsi="Arial"/>
          <w:sz w:val="18"/>
          <w:szCs w:val="18"/>
          <w:color w:val="auto"/>
        </w:rPr>
        <w:t>principal stockholders of Artisan Corporation, had shared power to vote or to direct the vote and shared power to dispose or to direct the disposition of such shares.</w:t>
      </w:r>
    </w:p>
    <w:p>
      <w:pPr>
        <w:spacing w:after="0" w:line="186" w:lineRule="exact"/>
        <w:rPr>
          <w:sz w:val="20"/>
          <w:szCs w:val="20"/>
          <w:color w:val="auto"/>
        </w:rPr>
      </w:pPr>
    </w:p>
    <w:p>
      <w:pPr>
        <w:ind w:left="880" w:right="80" w:hanging="548"/>
        <w:spacing w:after="0" w:line="25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information contained in the Schedule 13G of FMR Corp. filed with the Commission on February 14, 2003 with respect to shares of Common Stock owned as of December 31, 2002 (the “FMR 13G”), but calculating the percentage shown by dividing the number of such shares by the total number of shares of Common Stock issued and outstanding on the record date. According to the FMR 13G, FMR Corp. had sole dispositive power over such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color w:val="auto"/>
        </w:rPr>
        <w:t>The following table sets forth the cash and non-cash compensation for each of the last three fiscal years awarded to or earned by the Chief Executive Officer of the Corporation and the four other most highly compensated executive officers of the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ind w:left="280"/>
              <w:spacing w:after="0"/>
              <w:rPr>
                <w:sz w:val="20"/>
                <w:szCs w:val="20"/>
                <w:color w:val="auto"/>
              </w:rPr>
            </w:pPr>
            <w:r>
              <w:rPr>
                <w:rFonts w:ascii="Arial" w:cs="Arial" w:eastAsia="Arial" w:hAnsi="Arial"/>
                <w:sz w:val="18"/>
                <w:szCs w:val="18"/>
                <w:b w:val="1"/>
                <w:bCs w:val="1"/>
                <w:color w:val="auto"/>
                <w:w w:val="99"/>
              </w:rPr>
              <w:t>Summary Compensation Table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63"/>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Long-Term</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3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Compensation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10"/>
        </w:trPr>
        <w:tc>
          <w:tcPr>
            <w:tcW w:w="3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316"/>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Annual Compensation</w:t>
            </w:r>
          </w:p>
        </w:tc>
        <w:tc>
          <w:tcPr>
            <w:tcW w:w="34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0"/>
        </w:trPr>
        <w:tc>
          <w:tcPr>
            <w:tcW w:w="3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303"/>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All Other</w:t>
            </w:r>
          </w:p>
        </w:tc>
      </w:tr>
      <w:tr>
        <w:trPr>
          <w:trHeight w:val="216"/>
        </w:trPr>
        <w:tc>
          <w:tcPr>
            <w:tcW w:w="3960" w:type="dxa"/>
            <w:vAlign w:val="bottom"/>
          </w:tcPr>
          <w:p>
            <w:pPr>
              <w:ind w:left="1600"/>
              <w:spacing w:after="0"/>
              <w:rPr>
                <w:sz w:val="20"/>
                <w:szCs w:val="20"/>
                <w:color w:val="auto"/>
              </w:rPr>
            </w:pPr>
            <w:r>
              <w:rPr>
                <w:rFonts w:ascii="Arial" w:cs="Arial" w:eastAsia="Arial" w:hAnsi="Arial"/>
                <w:sz w:val="18"/>
                <w:szCs w:val="18"/>
                <w:b w:val="1"/>
                <w:bCs w:val="1"/>
                <w:color w:val="auto"/>
              </w:rPr>
              <w:t>Name and</w:t>
            </w:r>
          </w:p>
        </w:tc>
        <w:tc>
          <w:tcPr>
            <w:tcW w:w="3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Fiscal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Underlying</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Compensation</w:t>
            </w:r>
          </w:p>
        </w:tc>
      </w:tr>
      <w:tr>
        <w:trPr>
          <w:trHeight w:val="228"/>
        </w:trPr>
        <w:tc>
          <w:tcPr>
            <w:tcW w:w="3960" w:type="dxa"/>
            <w:vAlign w:val="bottom"/>
          </w:tcPr>
          <w:p>
            <w:pPr>
              <w:ind w:left="1320"/>
              <w:spacing w:after="0"/>
              <w:rPr>
                <w:sz w:val="20"/>
                <w:szCs w:val="20"/>
                <w:color w:val="auto"/>
              </w:rPr>
            </w:pPr>
            <w:r>
              <w:rPr>
                <w:rFonts w:ascii="Arial" w:cs="Arial" w:eastAsia="Arial" w:hAnsi="Arial"/>
                <w:sz w:val="18"/>
                <w:szCs w:val="18"/>
                <w:b w:val="1"/>
                <w:bCs w:val="1"/>
                <w:color w:val="auto"/>
              </w:rPr>
              <w:t>Principal Position</w:t>
            </w:r>
          </w:p>
        </w:tc>
        <w:tc>
          <w:tcPr>
            <w:tcW w:w="320" w:type="dxa"/>
            <w:vAlign w:val="bottom"/>
          </w:tcPr>
          <w:p>
            <w:pPr>
              <w:spacing w:after="0"/>
              <w:rPr>
                <w:sz w:val="19"/>
                <w:szCs w:val="19"/>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Salary ($)</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Bonus ($) (1)</w:t>
            </w: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Options/SARs (#)</w:t>
            </w:r>
          </w:p>
        </w:tc>
        <w:tc>
          <w:tcPr>
            <w:tcW w:w="1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color w:val="auto"/>
              </w:rPr>
              <w:t>($) (2)</w:t>
            </w:r>
          </w:p>
        </w:tc>
      </w:tr>
      <w:tr>
        <w:trPr>
          <w:trHeight w:val="110"/>
        </w:trPr>
        <w:tc>
          <w:tcPr>
            <w:tcW w:w="39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3960" w:type="dxa"/>
            <w:vAlign w:val="bottom"/>
          </w:tcPr>
          <w:p>
            <w:pPr>
              <w:spacing w:after="0"/>
              <w:rPr>
                <w:sz w:val="20"/>
                <w:szCs w:val="20"/>
                <w:color w:val="auto"/>
              </w:rPr>
            </w:pPr>
            <w:r>
              <w:rPr>
                <w:rFonts w:ascii="Arial" w:cs="Arial" w:eastAsia="Arial" w:hAnsi="Arial"/>
                <w:sz w:val="18"/>
                <w:szCs w:val="18"/>
                <w:color w:val="auto"/>
              </w:rPr>
              <w:t>Richard D. Jones, Jr.,</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428,500</w:t>
            </w:r>
          </w:p>
        </w:tc>
        <w:tc>
          <w:tcPr>
            <w:tcW w:w="34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457,944</w:t>
            </w:r>
          </w:p>
        </w:tc>
        <w:tc>
          <w:tcPr>
            <w:tcW w:w="34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42,276</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President and</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415,000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370,243</w:t>
            </w:r>
          </w:p>
        </w:tc>
        <w:tc>
          <w:tcPr>
            <w:tcW w:w="3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39,576</w:t>
            </w:r>
          </w:p>
        </w:tc>
      </w:tr>
      <w:tr>
        <w:trPr>
          <w:trHeight w:val="222"/>
        </w:trPr>
        <w:tc>
          <w:tcPr>
            <w:tcW w:w="3960" w:type="dxa"/>
            <w:vAlign w:val="bottom"/>
          </w:tcPr>
          <w:p>
            <w:pPr>
              <w:ind w:left="340"/>
              <w:spacing w:after="0"/>
              <w:rPr>
                <w:sz w:val="20"/>
                <w:szCs w:val="20"/>
                <w:color w:val="auto"/>
              </w:rPr>
            </w:pPr>
            <w:r>
              <w:rPr>
                <w:rFonts w:ascii="Arial" w:cs="Arial" w:eastAsia="Arial" w:hAnsi="Arial"/>
                <w:sz w:val="18"/>
                <w:szCs w:val="18"/>
                <w:color w:val="auto"/>
              </w:rPr>
              <w:t>Chief Executive Officer (3)</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350,000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530,693</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60,000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32,498</w:t>
            </w:r>
          </w:p>
        </w:tc>
      </w:tr>
      <w:tr>
        <w:trPr>
          <w:trHeight w:val="426"/>
        </w:trPr>
        <w:tc>
          <w:tcPr>
            <w:tcW w:w="3960" w:type="dxa"/>
            <w:vAlign w:val="bottom"/>
          </w:tcPr>
          <w:p>
            <w:pPr>
              <w:spacing w:after="0"/>
              <w:rPr>
                <w:sz w:val="20"/>
                <w:szCs w:val="20"/>
                <w:color w:val="auto"/>
              </w:rPr>
            </w:pPr>
            <w:r>
              <w:rPr>
                <w:rFonts w:ascii="Arial" w:cs="Arial" w:eastAsia="Arial" w:hAnsi="Arial"/>
                <w:sz w:val="18"/>
                <w:szCs w:val="18"/>
                <w:color w:val="auto"/>
              </w:rPr>
              <w:t>Steven R. Rowley,</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245,557</w:t>
            </w:r>
          </w:p>
        </w:tc>
        <w:tc>
          <w:tcPr>
            <w:tcW w:w="34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388,328</w:t>
            </w:r>
          </w:p>
        </w:tc>
        <w:tc>
          <w:tcPr>
            <w:tcW w:w="34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21,809</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Executive Vice President -</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190,000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401,047</w:t>
            </w:r>
          </w:p>
        </w:tc>
        <w:tc>
          <w:tcPr>
            <w:tcW w:w="3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17,758</w:t>
            </w:r>
          </w:p>
        </w:tc>
      </w:tr>
      <w:tr>
        <w:trPr>
          <w:trHeight w:val="222"/>
        </w:trPr>
        <w:tc>
          <w:tcPr>
            <w:tcW w:w="3960" w:type="dxa"/>
            <w:vAlign w:val="bottom"/>
          </w:tcPr>
          <w:p>
            <w:pPr>
              <w:ind w:left="340"/>
              <w:spacing w:after="0"/>
              <w:rPr>
                <w:sz w:val="20"/>
                <w:szCs w:val="20"/>
                <w:color w:val="auto"/>
              </w:rPr>
            </w:pPr>
            <w:r>
              <w:rPr>
                <w:rFonts w:ascii="Arial" w:cs="Arial" w:eastAsia="Arial" w:hAnsi="Arial"/>
                <w:sz w:val="18"/>
                <w:szCs w:val="18"/>
                <w:color w:val="auto"/>
              </w:rPr>
              <w:t>Chief Operating Officer (4)</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154,900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414,194</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28,000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15,019</w:t>
            </w:r>
          </w:p>
        </w:tc>
      </w:tr>
      <w:tr>
        <w:trPr>
          <w:trHeight w:val="426"/>
        </w:trPr>
        <w:tc>
          <w:tcPr>
            <w:tcW w:w="3960" w:type="dxa"/>
            <w:vAlign w:val="bottom"/>
          </w:tcPr>
          <w:p>
            <w:pPr>
              <w:spacing w:after="0"/>
              <w:rPr>
                <w:sz w:val="20"/>
                <w:szCs w:val="20"/>
                <w:color w:val="auto"/>
              </w:rPr>
            </w:pPr>
            <w:r>
              <w:rPr>
                <w:rFonts w:ascii="Arial" w:cs="Arial" w:eastAsia="Arial" w:hAnsi="Arial"/>
                <w:sz w:val="18"/>
                <w:szCs w:val="18"/>
                <w:color w:val="auto"/>
              </w:rPr>
              <w:t>H. David House,</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231,750</w:t>
            </w:r>
          </w:p>
        </w:tc>
        <w:tc>
          <w:tcPr>
            <w:tcW w:w="34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228,061</w:t>
            </w:r>
          </w:p>
        </w:tc>
        <w:tc>
          <w:tcPr>
            <w:tcW w:w="34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22,710</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Executive Vice President -</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225,000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139,085</w:t>
            </w:r>
          </w:p>
        </w:tc>
        <w:tc>
          <w:tcPr>
            <w:tcW w:w="3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21,028</w:t>
            </w:r>
          </w:p>
        </w:tc>
      </w:tr>
      <w:tr>
        <w:trPr>
          <w:trHeight w:val="222"/>
        </w:trPr>
        <w:tc>
          <w:tcPr>
            <w:tcW w:w="3960" w:type="dxa"/>
            <w:vAlign w:val="bottom"/>
          </w:tcPr>
          <w:p>
            <w:pPr>
              <w:ind w:left="340"/>
              <w:spacing w:after="0"/>
              <w:rPr>
                <w:sz w:val="20"/>
                <w:szCs w:val="20"/>
                <w:color w:val="auto"/>
              </w:rPr>
            </w:pPr>
            <w:r>
              <w:rPr>
                <w:rFonts w:ascii="Arial" w:cs="Arial" w:eastAsia="Arial" w:hAnsi="Arial"/>
                <w:sz w:val="18"/>
                <w:szCs w:val="18"/>
                <w:color w:val="auto"/>
              </w:rPr>
              <w:t>Gypsum and Paperboard</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176,800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217,720</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28,000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17,230</w:t>
            </w:r>
          </w:p>
        </w:tc>
      </w:tr>
      <w:tr>
        <w:trPr>
          <w:trHeight w:val="426"/>
        </w:trPr>
        <w:tc>
          <w:tcPr>
            <w:tcW w:w="3960" w:type="dxa"/>
            <w:vAlign w:val="bottom"/>
          </w:tcPr>
          <w:p>
            <w:pPr>
              <w:spacing w:after="0"/>
              <w:rPr>
                <w:sz w:val="20"/>
                <w:szCs w:val="20"/>
                <w:color w:val="auto"/>
              </w:rPr>
            </w:pPr>
            <w:r>
              <w:rPr>
                <w:rFonts w:ascii="Arial" w:cs="Arial" w:eastAsia="Arial" w:hAnsi="Arial"/>
                <w:sz w:val="18"/>
                <w:szCs w:val="18"/>
                <w:color w:val="auto"/>
              </w:rPr>
              <w:t>Arthur R. Zunker, Jr.,</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195,700</w:t>
            </w:r>
          </w:p>
        </w:tc>
        <w:tc>
          <w:tcPr>
            <w:tcW w:w="34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223,387</w:t>
            </w:r>
          </w:p>
        </w:tc>
        <w:tc>
          <w:tcPr>
            <w:tcW w:w="34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19,387</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Senior Vice President -</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190,000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180,606</w:t>
            </w:r>
          </w:p>
        </w:tc>
        <w:tc>
          <w:tcPr>
            <w:tcW w:w="3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18,275</w:t>
            </w:r>
          </w:p>
        </w:tc>
      </w:tr>
      <w:tr>
        <w:trPr>
          <w:trHeight w:val="222"/>
        </w:trPr>
        <w:tc>
          <w:tcPr>
            <w:tcW w:w="3960" w:type="dxa"/>
            <w:vAlign w:val="bottom"/>
          </w:tcPr>
          <w:p>
            <w:pPr>
              <w:ind w:left="340"/>
              <w:spacing w:after="0"/>
              <w:rPr>
                <w:sz w:val="20"/>
                <w:szCs w:val="20"/>
                <w:color w:val="auto"/>
              </w:rPr>
            </w:pPr>
            <w:r>
              <w:rPr>
                <w:rFonts w:ascii="Arial" w:cs="Arial" w:eastAsia="Arial" w:hAnsi="Arial"/>
                <w:sz w:val="18"/>
                <w:szCs w:val="18"/>
                <w:color w:val="auto"/>
              </w:rPr>
              <w:t>Finance and Treasurer</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165,900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271,244</w:t>
            </w:r>
          </w:p>
        </w:tc>
        <w:tc>
          <w:tcPr>
            <w:tcW w:w="1640" w:type="dxa"/>
            <w:vAlign w:val="bottom"/>
            <w:gridSpan w:val="2"/>
          </w:tcPr>
          <w:p>
            <w:pPr>
              <w:jc w:val="right"/>
              <w:ind w:right="172"/>
              <w:spacing w:after="0"/>
              <w:rPr>
                <w:sz w:val="20"/>
                <w:szCs w:val="20"/>
                <w:color w:val="auto"/>
              </w:rPr>
            </w:pPr>
            <w:r>
              <w:rPr>
                <w:rFonts w:ascii="Arial" w:cs="Arial" w:eastAsia="Arial" w:hAnsi="Arial"/>
                <w:sz w:val="18"/>
                <w:szCs w:val="18"/>
                <w:color w:val="auto"/>
              </w:rPr>
              <w:t>28,000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16,426</w:t>
            </w:r>
          </w:p>
        </w:tc>
      </w:tr>
      <w:tr>
        <w:trPr>
          <w:trHeight w:val="426"/>
        </w:trPr>
        <w:tc>
          <w:tcPr>
            <w:tcW w:w="3960" w:type="dxa"/>
            <w:vAlign w:val="bottom"/>
          </w:tcPr>
          <w:p>
            <w:pPr>
              <w:spacing w:after="0"/>
              <w:rPr>
                <w:sz w:val="20"/>
                <w:szCs w:val="20"/>
                <w:color w:val="auto"/>
              </w:rPr>
            </w:pPr>
            <w:r>
              <w:rPr>
                <w:rFonts w:ascii="Arial" w:cs="Arial" w:eastAsia="Arial" w:hAnsi="Arial"/>
                <w:sz w:val="18"/>
                <w:szCs w:val="18"/>
                <w:color w:val="auto"/>
              </w:rPr>
              <w:t>Gerald J. Essl</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176,763</w:t>
            </w:r>
          </w:p>
        </w:tc>
        <w:tc>
          <w:tcPr>
            <w:tcW w:w="34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274,300</w:t>
            </w:r>
          </w:p>
        </w:tc>
        <w:tc>
          <w:tcPr>
            <w:tcW w:w="34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540,510(6)</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Executive Vice President -</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2"/>
        </w:trPr>
        <w:tc>
          <w:tcPr>
            <w:tcW w:w="3960" w:type="dxa"/>
            <w:vAlign w:val="bottom"/>
          </w:tcPr>
          <w:p>
            <w:pPr>
              <w:ind w:left="340"/>
              <w:spacing w:after="0"/>
              <w:rPr>
                <w:sz w:val="20"/>
                <w:szCs w:val="20"/>
                <w:color w:val="auto"/>
              </w:rPr>
            </w:pPr>
            <w:r>
              <w:rPr>
                <w:rFonts w:ascii="Arial" w:cs="Arial" w:eastAsia="Arial" w:hAnsi="Arial"/>
                <w:sz w:val="18"/>
                <w:szCs w:val="18"/>
                <w:color w:val="auto"/>
              </w:rPr>
              <w:t>Cement/Concrete and Aggregates (5)</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80" w:hanging="548"/>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Cash bonuses for services rendered in fiscal years 2003, 2002 and 2001 have been listed in the year earned but were paid in the following fiscal year.</w:t>
      </w:r>
    </w:p>
    <w:p>
      <w:pPr>
        <w:spacing w:after="0" w:line="259" w:lineRule="exact"/>
        <w:rPr>
          <w:rFonts w:ascii="Arial" w:cs="Arial" w:eastAsia="Arial" w:hAnsi="Arial"/>
          <w:sz w:val="15"/>
          <w:szCs w:val="15"/>
          <w:color w:val="auto"/>
        </w:rPr>
      </w:pPr>
    </w:p>
    <w:p>
      <w:pPr>
        <w:ind w:left="880" w:right="80" w:hanging="548"/>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for Mr. Essl, the compensation reported represents the Corporation’s contributions to, and forfeitures allocated to, the account of the recipient under the Profit Sharing Plan and contributions to the account of the recipient pursuant to the Centex Construction Products, Inc. Amended and Restated Supplemental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right="40"/>
        <w:spacing w:after="0" w:line="283" w:lineRule="auto"/>
        <w:rPr>
          <w:sz w:val="20"/>
          <w:szCs w:val="20"/>
          <w:color w:val="auto"/>
        </w:rPr>
      </w:pPr>
      <w:r>
        <w:rPr>
          <w:rFonts w:ascii="Arial" w:cs="Arial" w:eastAsia="Arial" w:hAnsi="Arial"/>
          <w:sz w:val="16"/>
          <w:szCs w:val="16"/>
          <w:color w:val="auto"/>
        </w:rPr>
        <w:t>Executive Retirement Plan (the “SERP”), an unfunded, non-qualified plan for certain executives of the Corporation. See “Report of Compensation and Stock Option Committee on Executive Compensation.” All of such amounts are fully vested in the recipient unless otherwise noted. The compensation for the named executive officers for fiscal years 2003, 2002 and 2001, respectively, includes contributions accrued pursuant to the Profit Sharing Plan in the following amounts: Mr. Jones — $19,763, $16,792 and $16,779; Mr. House — $19,704, $16,733 and $16,720; Mr. Rowley</w:t>
      </w:r>
    </w:p>
    <w:p>
      <w:pPr>
        <w:spacing w:after="0" w:line="3" w:lineRule="exact"/>
        <w:rPr>
          <w:sz w:val="20"/>
          <w:szCs w:val="20"/>
          <w:color w:val="auto"/>
        </w:rPr>
      </w:pPr>
    </w:p>
    <w:p>
      <w:pPr>
        <w:ind w:left="880" w:right="240"/>
        <w:spacing w:after="0" w:line="254" w:lineRule="auto"/>
        <w:rPr>
          <w:sz w:val="20"/>
          <w:szCs w:val="20"/>
          <w:color w:val="auto"/>
        </w:rPr>
      </w:pPr>
      <w:r>
        <w:rPr>
          <w:rFonts w:ascii="Arial" w:cs="Arial" w:eastAsia="Arial" w:hAnsi="Arial"/>
          <w:sz w:val="18"/>
          <w:szCs w:val="18"/>
          <w:color w:val="auto"/>
        </w:rPr>
        <w:t>- - $19,753, $16,782 and $15,019; and Mr. Zunker — $19,387, $16,978 and $16,426. The compensation for the named executive officers also includes contributions accrued pursuant to the SERP in the following amounts: Mr. Jones — $22,513, $22,604 and $15,719 for fiscal years 2003, 2002 and 2001, respectively; Mr. House — $3,006, $4,295 and $510 for fiscal years 2003, 2002 and 2001, respectively; Mr. Rowley — $2,056 for fiscal year 2003.</w:t>
      </w:r>
    </w:p>
    <w:p>
      <w:pPr>
        <w:spacing w:after="0" w:line="197" w:lineRule="exact"/>
        <w:rPr>
          <w:sz w:val="20"/>
          <w:szCs w:val="20"/>
          <w:color w:val="auto"/>
        </w:rPr>
      </w:pPr>
    </w:p>
    <w:p>
      <w:pPr>
        <w:ind w:left="880" w:hanging="54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Jones retired as of March 31, 2003 from all of his positions as an officer and a director of the Corporation and its subsidiaries.</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Rowley was promoted to Chief Operating Officer on October 28, 2002.</w:t>
      </w:r>
    </w:p>
    <w:p>
      <w:pPr>
        <w:spacing w:after="0" w:line="225" w:lineRule="exact"/>
        <w:rPr>
          <w:rFonts w:ascii="Arial" w:cs="Arial" w:eastAsia="Arial" w:hAnsi="Arial"/>
          <w:sz w:val="18"/>
          <w:szCs w:val="18"/>
          <w:color w:val="auto"/>
        </w:rPr>
      </w:pPr>
    </w:p>
    <w:p>
      <w:pPr>
        <w:ind w:left="880" w:right="40" w:hanging="548"/>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Essl became Executive Vice President — Cement/Concrete and Aggregates on January 2, 2003. Prior to January 2, 2003, Mr. Essl was not an executive officer of the Corporation. Mr. Essl had been President of Texas Lehigh Cement Company, L.P., a 50% owned subsidiary of the Corporation (“Texas Lehigh”) from 1986 through 2002. Salary and bonus represent compensation paid by Texas Lehigh with respect to services rendered from April 1, 2002 to December 31, 2002 and by the Corporation with respect to services rendered from January 2, 2003 through March 31, 2003. Mr. Essl’s current annual salary is $207,000.</w:t>
      </w:r>
    </w:p>
    <w:p>
      <w:pPr>
        <w:spacing w:after="0" w:line="196" w:lineRule="exact"/>
        <w:rPr>
          <w:rFonts w:ascii="Arial" w:cs="Arial" w:eastAsia="Arial" w:hAnsi="Arial"/>
          <w:sz w:val="18"/>
          <w:szCs w:val="18"/>
          <w:color w:val="auto"/>
        </w:rPr>
      </w:pPr>
    </w:p>
    <w:p>
      <w:pPr>
        <w:ind w:left="880" w:hanging="548"/>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$521,054 paid to Mr. Essl under Texas Lehigh’s long-term incentive compensation plan and $19,456 in contributions to Mr. Essl's account under Texas Lehigh’s non-qualified retirement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 and Fiscal Year-End Option/SAR Values (1)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220" w:type="dxa"/>
            <w:vAlign w:val="bottom"/>
          </w:tcPr>
          <w:p>
            <w:pPr>
              <w:spacing w:after="0"/>
              <w:rPr>
                <w:sz w:val="18"/>
                <w:szCs w:val="18"/>
                <w:color w:val="auto"/>
              </w:rPr>
            </w:pPr>
          </w:p>
        </w:tc>
        <w:tc>
          <w:tcPr>
            <w:tcW w:w="3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Underlying Unexercised</w:t>
            </w:r>
          </w:p>
        </w:tc>
        <w:tc>
          <w:tcPr>
            <w:tcW w:w="220" w:type="dxa"/>
            <w:vAlign w:val="bottom"/>
          </w:tcPr>
          <w:p>
            <w:pPr>
              <w:spacing w:after="0"/>
              <w:rPr>
                <w:sz w:val="18"/>
                <w:szCs w:val="18"/>
                <w:color w:val="auto"/>
              </w:rPr>
            </w:pPr>
          </w:p>
        </w:tc>
        <w:tc>
          <w:tcPr>
            <w:tcW w:w="3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In-the-Money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Options/SARs</w:t>
            </w:r>
          </w:p>
        </w:tc>
        <w:tc>
          <w:tcPr>
            <w:tcW w:w="220" w:type="dxa"/>
            <w:vAlign w:val="bottom"/>
          </w:tcPr>
          <w:p>
            <w:pPr>
              <w:spacing w:after="0"/>
              <w:rPr>
                <w:sz w:val="18"/>
                <w:szCs w:val="18"/>
                <w:color w:val="auto"/>
              </w:rPr>
            </w:pPr>
          </w:p>
        </w:tc>
        <w:tc>
          <w:tcPr>
            <w:tcW w:w="3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Options/SARs</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at Fiscal Year-End (#)</w:t>
            </w:r>
          </w:p>
        </w:tc>
        <w:tc>
          <w:tcPr>
            <w:tcW w:w="22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at Fiscal Year-End ($)(2)</w:t>
            </w: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9"/>
                <w:szCs w:val="9"/>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Realized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Pr>
          <w:p>
            <w:pPr>
              <w:ind w:left="9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w:t>
            </w:r>
          </w:p>
        </w:tc>
        <w:tc>
          <w:tcPr>
            <w:tcW w:w="132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19"/>
                <w:szCs w:val="19"/>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Unexercisable</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220" w:type="dxa"/>
            <w:vAlign w:val="bottom"/>
          </w:tcPr>
          <w:p>
            <w:pPr>
              <w:spacing w:after="0"/>
              <w:rPr>
                <w:sz w:val="19"/>
                <w:szCs w:val="19"/>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Unexercisable</w:t>
            </w:r>
          </w:p>
        </w:tc>
        <w:tc>
          <w:tcPr>
            <w:tcW w:w="0" w:type="dxa"/>
            <w:vAlign w:val="bottom"/>
          </w:tcPr>
          <w:p>
            <w:pPr>
              <w:spacing w:after="0"/>
              <w:rPr>
                <w:sz w:val="1"/>
                <w:szCs w:val="1"/>
                <w:color w:val="auto"/>
              </w:rPr>
            </w:pPr>
          </w:p>
        </w:tc>
      </w:tr>
      <w:tr>
        <w:trPr>
          <w:trHeight w:val="110"/>
        </w:trPr>
        <w:tc>
          <w:tcPr>
            <w:tcW w:w="2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80" w:type="dxa"/>
            <w:vAlign w:val="bottom"/>
          </w:tcPr>
          <w:p>
            <w:pPr>
              <w:spacing w:after="0"/>
              <w:rPr>
                <w:sz w:val="20"/>
                <w:szCs w:val="20"/>
                <w:color w:val="auto"/>
              </w:rPr>
            </w:pPr>
            <w:r>
              <w:rPr>
                <w:rFonts w:ascii="Arial" w:cs="Arial" w:eastAsia="Arial" w:hAnsi="Arial"/>
                <w:sz w:val="18"/>
                <w:szCs w:val="18"/>
                <w:color w:val="auto"/>
              </w:rPr>
              <w:t>Richard D. Jones, Jr.</w:t>
            </w:r>
          </w:p>
        </w:tc>
        <w:tc>
          <w:tcPr>
            <w:tcW w:w="1460" w:type="dxa"/>
            <w:vAlign w:val="bottom"/>
            <w:gridSpan w:val="2"/>
          </w:tcPr>
          <w:p>
            <w:pPr>
              <w:jc w:val="right"/>
              <w:ind w:right="352"/>
              <w:spacing w:after="0"/>
              <w:rPr>
                <w:sz w:val="20"/>
                <w:szCs w:val="20"/>
                <w:color w:val="auto"/>
              </w:rPr>
            </w:pPr>
            <w:r>
              <w:rPr>
                <w:rFonts w:ascii="Arial" w:cs="Arial" w:eastAsia="Arial" w:hAnsi="Arial"/>
                <w:sz w:val="18"/>
                <w:szCs w:val="18"/>
                <w:color w:val="auto"/>
              </w:rPr>
              <w:t>33,300</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473,555</w:t>
            </w:r>
          </w:p>
        </w:tc>
        <w:tc>
          <w:tcPr>
            <w:tcW w:w="20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127,000</w:t>
            </w:r>
          </w:p>
        </w:tc>
        <w:tc>
          <w:tcPr>
            <w:tcW w:w="200" w:type="dxa"/>
            <w:vAlign w:val="bottom"/>
          </w:tcPr>
          <w:p>
            <w:pPr>
              <w:spacing w:after="0"/>
              <w:rPr>
                <w:sz w:val="24"/>
                <w:szCs w:val="24"/>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359,220</w:t>
            </w:r>
          </w:p>
        </w:tc>
        <w:tc>
          <w:tcPr>
            <w:tcW w:w="220" w:type="dxa"/>
            <w:vAlign w:val="bottom"/>
          </w:tcPr>
          <w:p>
            <w:pPr>
              <w:spacing w:after="0"/>
              <w:rPr>
                <w:sz w:val="24"/>
                <w:szCs w:val="24"/>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H. David House</w:t>
            </w:r>
          </w:p>
        </w:tc>
        <w:tc>
          <w:tcPr>
            <w:tcW w:w="200" w:type="dxa"/>
            <w:vAlign w:val="bottom"/>
          </w:tcPr>
          <w:p>
            <w:pPr>
              <w:spacing w:after="0"/>
              <w:rPr>
                <w:sz w:val="18"/>
                <w:szCs w:val="18"/>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80,918</w:t>
            </w:r>
          </w:p>
        </w:tc>
        <w:tc>
          <w:tcPr>
            <w:tcW w:w="1480" w:type="dxa"/>
            <w:vAlign w:val="bottom"/>
            <w:gridSpan w:val="2"/>
          </w:tcPr>
          <w:p>
            <w:pPr>
              <w:jc w:val="right"/>
              <w:ind w:right="432"/>
              <w:spacing w:after="0"/>
              <w:rPr>
                <w:sz w:val="20"/>
                <w:szCs w:val="20"/>
                <w:color w:val="auto"/>
              </w:rPr>
            </w:pPr>
            <w:r>
              <w:rPr>
                <w:rFonts w:ascii="Arial" w:cs="Arial" w:eastAsia="Arial" w:hAnsi="Arial"/>
                <w:sz w:val="18"/>
                <w:szCs w:val="18"/>
                <w:color w:val="auto"/>
              </w:rPr>
              <w:t>3,082</w:t>
            </w:r>
          </w:p>
        </w:tc>
        <w:tc>
          <w:tcPr>
            <w:tcW w:w="164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363,429</w:t>
            </w:r>
          </w:p>
        </w:tc>
        <w:tc>
          <w:tcPr>
            <w:tcW w:w="1620" w:type="dxa"/>
            <w:vAlign w:val="bottom"/>
            <w:gridSpan w:val="2"/>
          </w:tcPr>
          <w:p>
            <w:pPr>
              <w:jc w:val="right"/>
              <w:ind w:right="432"/>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Steven R. Rowley</w:t>
            </w:r>
          </w:p>
        </w:tc>
        <w:tc>
          <w:tcPr>
            <w:tcW w:w="1460" w:type="dxa"/>
            <w:vAlign w:val="bottom"/>
            <w:gridSpan w:val="2"/>
          </w:tcPr>
          <w:p>
            <w:pPr>
              <w:jc w:val="right"/>
              <w:ind w:right="352"/>
              <w:spacing w:after="0"/>
              <w:rPr>
                <w:sz w:val="20"/>
                <w:szCs w:val="20"/>
                <w:color w:val="auto"/>
              </w:rPr>
            </w:pPr>
            <w:r>
              <w:rPr>
                <w:rFonts w:ascii="Arial" w:cs="Arial" w:eastAsia="Arial" w:hAnsi="Arial"/>
                <w:sz w:val="18"/>
                <w:szCs w:val="18"/>
                <w:color w:val="auto"/>
              </w:rPr>
              <w:t>15,000</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452,270</w:t>
            </w:r>
          </w:p>
        </w:tc>
        <w:tc>
          <w:tcPr>
            <w:tcW w:w="20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80,918</w:t>
            </w:r>
          </w:p>
        </w:tc>
        <w:tc>
          <w:tcPr>
            <w:tcW w:w="1480" w:type="dxa"/>
            <w:vAlign w:val="bottom"/>
            <w:gridSpan w:val="2"/>
          </w:tcPr>
          <w:p>
            <w:pPr>
              <w:jc w:val="right"/>
              <w:ind w:right="432"/>
              <w:spacing w:after="0"/>
              <w:rPr>
                <w:sz w:val="20"/>
                <w:szCs w:val="20"/>
                <w:color w:val="auto"/>
              </w:rPr>
            </w:pPr>
            <w:r>
              <w:rPr>
                <w:rFonts w:ascii="Arial" w:cs="Arial" w:eastAsia="Arial" w:hAnsi="Arial"/>
                <w:sz w:val="18"/>
                <w:szCs w:val="18"/>
                <w:color w:val="auto"/>
              </w:rPr>
              <w:t>3,082</w:t>
            </w:r>
          </w:p>
        </w:tc>
        <w:tc>
          <w:tcPr>
            <w:tcW w:w="164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363,429</w:t>
            </w:r>
          </w:p>
        </w:tc>
        <w:tc>
          <w:tcPr>
            <w:tcW w:w="1620" w:type="dxa"/>
            <w:vAlign w:val="bottom"/>
            <w:gridSpan w:val="2"/>
          </w:tcPr>
          <w:p>
            <w:pPr>
              <w:jc w:val="right"/>
              <w:ind w:right="432"/>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Arthur R. Zunker, Jr.</w:t>
            </w:r>
          </w:p>
        </w:tc>
        <w:tc>
          <w:tcPr>
            <w:tcW w:w="1460" w:type="dxa"/>
            <w:vAlign w:val="bottom"/>
            <w:gridSpan w:val="2"/>
          </w:tcPr>
          <w:p>
            <w:pPr>
              <w:jc w:val="right"/>
              <w:ind w:right="352"/>
              <w:spacing w:after="0"/>
              <w:rPr>
                <w:sz w:val="20"/>
                <w:szCs w:val="20"/>
                <w:color w:val="auto"/>
              </w:rPr>
            </w:pPr>
            <w:r>
              <w:rPr>
                <w:rFonts w:ascii="Arial" w:cs="Arial" w:eastAsia="Arial" w:hAnsi="Arial"/>
                <w:sz w:val="18"/>
                <w:szCs w:val="18"/>
                <w:color w:val="auto"/>
              </w:rPr>
              <w:t>15,000</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325,869</w:t>
            </w:r>
          </w:p>
        </w:tc>
        <w:tc>
          <w:tcPr>
            <w:tcW w:w="200" w:type="dxa"/>
            <w:vAlign w:val="bottom"/>
          </w:tcPr>
          <w:p>
            <w:pPr>
              <w:spacing w:after="0"/>
              <w:rPr>
                <w:sz w:val="19"/>
                <w:szCs w:val="19"/>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65,612</w:t>
            </w:r>
          </w:p>
        </w:tc>
        <w:tc>
          <w:tcPr>
            <w:tcW w:w="1480" w:type="dxa"/>
            <w:vAlign w:val="bottom"/>
            <w:gridSpan w:val="2"/>
          </w:tcPr>
          <w:p>
            <w:pPr>
              <w:jc w:val="right"/>
              <w:ind w:right="432"/>
              <w:spacing w:after="0"/>
              <w:rPr>
                <w:sz w:val="20"/>
                <w:szCs w:val="20"/>
                <w:color w:val="auto"/>
              </w:rPr>
            </w:pPr>
            <w:r>
              <w:rPr>
                <w:rFonts w:ascii="Arial" w:cs="Arial" w:eastAsia="Arial" w:hAnsi="Arial"/>
                <w:sz w:val="18"/>
                <w:szCs w:val="18"/>
                <w:color w:val="auto"/>
              </w:rPr>
              <w:t>3,082</w:t>
            </w:r>
          </w:p>
        </w:tc>
        <w:tc>
          <w:tcPr>
            <w:tcW w:w="164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158,798</w:t>
            </w:r>
          </w:p>
        </w:tc>
        <w:tc>
          <w:tcPr>
            <w:tcW w:w="1620" w:type="dxa"/>
            <w:vAlign w:val="bottom"/>
            <w:gridSpan w:val="2"/>
          </w:tcPr>
          <w:p>
            <w:pPr>
              <w:jc w:val="right"/>
              <w:ind w:right="432"/>
              <w:spacing w:after="0"/>
              <w:rPr>
                <w:sz w:val="20"/>
                <w:szCs w:val="20"/>
                <w:color w:val="auto"/>
              </w:rPr>
            </w:pPr>
            <w:r>
              <w:rPr>
                <w:rFonts w:ascii="Arial" w:cs="Arial" w:eastAsia="Arial" w:hAnsi="Arial"/>
                <w:sz w:val="18"/>
                <w:szCs w:val="18"/>
                <w:color w:val="auto"/>
              </w:rPr>
              <w:t>41,607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80" w:hanging="54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The Corporation has issued no SARs.</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the difference between the closing price of the Common Stock on March 31, 2003 of $36 per share and the exercise price of such options.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Stock Option Committee Interlocks and Insider Participation in Compensation Decisions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 of the Corporation’s directors, officers or employees has any relationship requiring disclosure under Item 402(j) of Regulation 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and Stock Option Committee on Executive Compensation</w:t>
      </w:r>
    </w:p>
    <w:p>
      <w:pPr>
        <w:spacing w:after="0" w:line="231"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 Compensation and Stock Option Committee of the Board (the “Committee”) reviews and approves the salaries and bonuses of the executive officers of the Corporation. The Committee also administers the Corporation’s stock option plans and is authorized under such plans to grant options to Independent Directors, officers and other key employees of the Corporation and its subsidiaries. The Committee is comprised of three Independent Directors. This report describes the policies and principles that shape the structure of the Corporation’s executive compensation program.</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Corporation’s executive compensation program is structured to achieve the following objectives:</w:t>
      </w:r>
    </w:p>
    <w:p>
      <w:pPr>
        <w:spacing w:after="0" w:line="225" w:lineRule="exact"/>
        <w:rPr>
          <w:sz w:val="20"/>
          <w:szCs w:val="20"/>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attract, retain and motivate highly qualified, energetic and talented executives;</w:t>
      </w:r>
    </w:p>
    <w:p>
      <w:pPr>
        <w:spacing w:after="0" w:line="225" w:lineRule="exact"/>
        <w:rPr>
          <w:rFonts w:ascii="Arial" w:cs="Arial" w:eastAsia="Arial" w:hAnsi="Arial"/>
          <w:sz w:val="18"/>
          <w:szCs w:val="18"/>
          <w:color w:val="auto"/>
        </w:rPr>
      </w:pPr>
    </w:p>
    <w:p>
      <w:pPr>
        <w:ind w:left="820" w:right="62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create an incentive to increase stockholder returns by establishing a direct and substantial link between individual compensation and certain financial measures that have a direct effect on stockholder values; and</w:t>
      </w:r>
    </w:p>
    <w:p>
      <w:pPr>
        <w:spacing w:after="0" w:line="185" w:lineRule="exact"/>
        <w:rPr>
          <w:rFonts w:ascii="Arial" w:cs="Arial" w:eastAsia="Arial" w:hAnsi="Arial"/>
          <w:sz w:val="18"/>
          <w:szCs w:val="18"/>
          <w:color w:val="auto"/>
        </w:rPr>
      </w:pPr>
    </w:p>
    <w:p>
      <w:pPr>
        <w:ind w:left="820" w:right="26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create substantial long-term compensation opportunities for individual executive officers based not only on long-term corporate performance but also on sustained long-term individual performance.</w:t>
      </w:r>
    </w:p>
    <w:p>
      <w:pPr>
        <w:spacing w:after="0" w:line="186"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To achieve its compensation objectives, the Corporation has structured an executive compensation program using a combination of short-term and long-term elements: (i) annual salary, (ii) annual bonus and (iii) long-term incentive compensation in the form of stock options. In addition, the executive officers of the Corporation are eligible to receive other benefits, such as medical benefits and Profit Sharing Plan contributions, that are generally available to employees of the Corporation and contributions under the Corporation’s SERP that are accrued for the named executive officers and certain other officers of the Corporation and its subsidiaries.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structuring the specific components of executive compensation, the Corporation is guided by the following principles:</w:t>
      </w:r>
    </w:p>
    <w:p>
      <w:pPr>
        <w:spacing w:after="0" w:line="225" w:lineRule="exact"/>
        <w:rPr>
          <w:sz w:val="20"/>
          <w:szCs w:val="20"/>
          <w:color w:val="auto"/>
        </w:rPr>
      </w:pPr>
    </w:p>
    <w:p>
      <w:pPr>
        <w:ind w:left="820" w:right="58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compensation should be set within reasonable ranges of the annual compensation for similar positions with similarly-sized and types of companies that engage in one or more of the businesses in which the Corporation engages;</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bonus payments should vary with the individual’s performance and the Corporation’s financial performance; and</w:t>
      </w:r>
    </w:p>
    <w:p>
      <w:pPr>
        <w:spacing w:after="0" w:line="225" w:lineRule="exact"/>
        <w:rPr>
          <w:rFonts w:ascii="Arial" w:cs="Arial" w:eastAsia="Arial" w:hAnsi="Arial"/>
          <w:sz w:val="18"/>
          <w:szCs w:val="18"/>
          <w:color w:val="auto"/>
        </w:rPr>
      </w:pPr>
    </w:p>
    <w:p>
      <w:pPr>
        <w:ind w:left="820" w:right="200" w:hanging="461"/>
        <w:spacing w:after="0" w:line="370" w:lineRule="auto"/>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significant portion of compensation should be in the form of long-term incentive compensation that aligns the interests of executives with those of the stockholders and creates rewards for long-term sustained corporate performance and the achievement of the Corporation’s strategic objectives.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The Committee is responsible for reviewing and approving the base salary levels for the named executive officers. In general, the base salary for the named executive officers is below the median for similar positions in companies that engage in one or more of the principal businesses of the Corporation. This determination is based on a comparative compensation study of companies that engage in one or more of the principal businesses of the Corporation: manufacture and sale of cement, gypsum wallboard, recycled paperboard and readymix concrete and aggregates. These companies include all of the companies included in the peer group reflected on the performance graph below.</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Annual Incentive Bonus</w:t>
      </w:r>
    </w:p>
    <w:p>
      <w:pPr>
        <w:spacing w:after="0" w:line="225" w:lineRule="exact"/>
        <w:rPr>
          <w:sz w:val="20"/>
          <w:szCs w:val="20"/>
          <w:color w:val="auto"/>
        </w:rPr>
      </w:pPr>
    </w:p>
    <w:p>
      <w:pPr>
        <w:ind w:right="240" w:firstLine="216"/>
        <w:spacing w:after="0" w:line="268" w:lineRule="auto"/>
        <w:rPr>
          <w:sz w:val="20"/>
          <w:szCs w:val="20"/>
          <w:color w:val="auto"/>
        </w:rPr>
      </w:pPr>
      <w:r>
        <w:rPr>
          <w:rFonts w:ascii="Arial" w:cs="Arial" w:eastAsia="Arial" w:hAnsi="Arial"/>
          <w:sz w:val="18"/>
          <w:szCs w:val="18"/>
          <w:color w:val="auto"/>
        </w:rPr>
        <w:t>The Committee is also responsible for reviewing and approving for the annual incentive bonuses awarded to the named executive officers at the end of each fiscal year. The annual incentive bonus program for the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officers has been structured to create financial incentives and rewards that are directly related to corporate performance during the fiscal year. Under the Corporation’s annual incentive bonus program, a percentage of potential earnings in each fiscal year is designated as a pool for bonuses with each participating employee being assigned a percentage of such pool. At the end of the fiscal year, the pool is divided, and bonuses are paid among the employees participating in the program in accordance with such percentages, subject to reduction based on the employees’ individual performance.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Long-term Compensation</w:t>
      </w:r>
    </w:p>
    <w:p>
      <w:pPr>
        <w:spacing w:after="0" w:line="225" w:lineRule="exact"/>
        <w:rPr>
          <w:sz w:val="20"/>
          <w:szCs w:val="20"/>
          <w:color w:val="auto"/>
        </w:rPr>
      </w:pPr>
    </w:p>
    <w:p>
      <w:pPr>
        <w:ind w:right="40" w:firstLine="216"/>
        <w:spacing w:after="0" w:line="287" w:lineRule="auto"/>
        <w:rPr>
          <w:sz w:val="20"/>
          <w:szCs w:val="20"/>
          <w:color w:val="auto"/>
        </w:rPr>
      </w:pPr>
      <w:r>
        <w:rPr>
          <w:rFonts w:ascii="Arial" w:cs="Arial" w:eastAsia="Arial" w:hAnsi="Arial"/>
          <w:sz w:val="16"/>
          <w:szCs w:val="16"/>
          <w:color w:val="auto"/>
        </w:rPr>
        <w:t>To increase the proportion of management compensation that is tied to the Corporation’s performance, the Corporation’s stock option programs have been structured to link the vesting of option grants to the achievement by the Corporation of certain specific performance targets during the ten years following the dates on which such options are granted. Under the terms of options granted since fiscal year 1998, the number of shares that vest or which become exercisable by the optionee depends upon the achievement of specific financial goals by the Corporation and, for a portion of such options, the passage of time after the achievement of such goals. These financial goals are tied to the Corporation’s operating earnings and return on average net assets and are structured to reward the optionee for superior long-term operating performance of the Corporation. Failure to meet the specified goals results in those shares not vesting until the end of the ten-year term. The Committee believes that these programs properly align the interests of the Corporation’s directors, officers and managers with the interests of the stockholders by linking a majority of their long-term compensation with goals that have a direct and positive effect on stockholder value. Except for certain options granted in fiscal 1995 in connection with the Corporation’s initial public offering, all of the options granted by the Corporation to its directors, officers and key employees have been granted under performance programs.</w:t>
      </w:r>
    </w:p>
    <w:p>
      <w:pPr>
        <w:spacing w:after="0" w:line="177" w:lineRule="exact"/>
        <w:rPr>
          <w:sz w:val="20"/>
          <w:szCs w:val="20"/>
          <w:color w:val="auto"/>
        </w:rPr>
      </w:pPr>
    </w:p>
    <w:p>
      <w:pPr>
        <w:ind w:right="160" w:firstLine="220"/>
        <w:spacing w:after="0" w:line="290" w:lineRule="auto"/>
        <w:rPr>
          <w:sz w:val="20"/>
          <w:szCs w:val="20"/>
          <w:color w:val="auto"/>
        </w:rPr>
      </w:pPr>
      <w:r>
        <w:rPr>
          <w:rFonts w:ascii="Arial" w:cs="Arial" w:eastAsia="Arial" w:hAnsi="Arial"/>
          <w:sz w:val="16"/>
          <w:szCs w:val="16"/>
          <w:color w:val="auto"/>
        </w:rPr>
        <w:t>In fiscal year 1995, the Board approved the SERP for certain employees participating in the Profit Sharing Plan. Pursuant to the Internal Revenue Code, the Internal Revenue Service sets a limit (currently $200,000) on the amount of annual compensation that may be considered in determining, for the account of an eligible participant, the Corporation’s contribution to the Profit Sharing Plan. The SERP was established to eliminate the adverse treatment that higher-salaried employees receive under such rule by funding balances for each participant in an amount equal to the additional contribution that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CEO Compensation</w:t>
      </w:r>
    </w:p>
    <w:p>
      <w:pPr>
        <w:spacing w:after="0" w:line="225"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The Chief Executive Officer of the Corporation participates in the same compensation programs as the other executive officers, and each component of his compensation is approved by the Committee according to the same criteria. The base salary and annual incentive bonus of the Chief Executive Officer for fiscal year 2003 were consistent with the Committee’s compensation range guidelines and objectives for all officers. The annual incentive bonus for the Chief Executive Officer was determined in accordance with the existing annual bonus program. The annual incentive bonus program for the Chief Executive Officer establishes a bonus pool based on a percentage of the Corporation’s earnings. The Chief Executive Officer’s annual incentive bonus is based upon a predetermined percentage of this bonus pool.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and Stock Option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Harold K. Work,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40" w:firstLine="216"/>
        <w:spacing w:after="0" w:line="288" w:lineRule="auto"/>
        <w:rPr>
          <w:sz w:val="20"/>
          <w:szCs w:val="20"/>
          <w:color w:val="auto"/>
        </w:rPr>
      </w:pPr>
      <w:r>
        <w:rPr>
          <w:rFonts w:ascii="Arial" w:cs="Arial" w:eastAsia="Arial" w:hAnsi="Arial"/>
          <w:sz w:val="16"/>
          <w:szCs w:val="16"/>
          <w:color w:val="auto"/>
        </w:rPr>
        <w:t>The following graph compares the yearly change in the cumulative total stockholder return on the Common Stock during the five fiscal years ended March 31, 2003 with the S&amp;P 500 Index and a peer group of companies comprised of Caraustar Industries, Inc., Lafarge Corporation and USG Corporation. Caraustar Industries, Inc.’s principal manufacturing activity is the production of uncoated and clay-coated recycled paperboard. Lafarge is engaged primarily in the production and distribution of construction materials, including cement, ready-mix concrete, gypsum wallboard, aggregates, cementitious materials and concrete products. USG Corporation is engaged in the production and distribution of building materials, primarily gypsum wallboard and related products. These companies are included in the peer group because they each engage in one or more activities that are comparable to one or more of the Corporation’s business segments. The comparison assumes $100 was invested on March 31, 1998 in each of the Common Stock, the S&amp;P 500 Index and the peer group and assumes reinvestment of dividends. The returns of the companies comprising the peer groups are weighted by their respective market capitalizations at the beginning of each period.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1998</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1999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2000</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2001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r>
      <w:tr>
        <w:trPr>
          <w:trHeight w:val="95"/>
        </w:trPr>
        <w:tc>
          <w:tcPr>
            <w:tcW w:w="59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309"/>
        </w:trPr>
        <w:tc>
          <w:tcPr>
            <w:tcW w:w="5900" w:type="dxa"/>
            <w:vAlign w:val="bottom"/>
          </w:tcPr>
          <w:p>
            <w:pPr>
              <w:spacing w:after="0"/>
              <w:rPr>
                <w:sz w:val="20"/>
                <w:szCs w:val="20"/>
                <w:color w:val="auto"/>
              </w:rPr>
            </w:pPr>
            <w:r>
              <w:rPr>
                <w:rFonts w:ascii="Arial" w:cs="Arial" w:eastAsia="Arial" w:hAnsi="Arial"/>
                <w:sz w:val="18"/>
                <w:szCs w:val="18"/>
                <w:color w:val="auto"/>
              </w:rPr>
              <w:t>Centex Construction Products</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w w:val="89"/>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w w:val="86"/>
              </w:rPr>
              <w:t>112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w w:val="86"/>
              </w:rPr>
              <w:t>102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 &amp; P 500 Index</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w w:val="89"/>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w w:val="79"/>
              </w:rPr>
              <w:t>118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w w:val="79"/>
              </w:rPr>
              <w:t>140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w w:val="79"/>
              </w:rPr>
              <w:t>109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w w:val="86"/>
              </w:rPr>
              <w:t>110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83</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Peer Group</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w w:val="89"/>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83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138430</wp:posOffset>
            </wp:positionV>
            <wp:extent cx="5240020" cy="3319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4002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Section 16(a) of the Securities Exchange Act of 1934, as amended, requires the Corporation’s directors and executive officers, and persons who beneficially own more than 10% of a registered class of the Corporation’s equity securities, to file initial reports of ownership, reports of changes in ownership and annual reports of ownership with the SEC and the New York Stock Exchange. Such persons are required by SEC regulations to furnish the Corporation with copies of all Section 16(a) forms that they file with the SEC.</w:t>
      </w:r>
    </w:p>
    <w:p>
      <w:pPr>
        <w:spacing w:after="0" w:line="197" w:lineRule="exact"/>
        <w:rPr>
          <w:sz w:val="20"/>
          <w:szCs w:val="20"/>
          <w:color w:val="auto"/>
        </w:rPr>
      </w:pPr>
    </w:p>
    <w:p>
      <w:pPr>
        <w:jc w:val="both"/>
        <w:ind w:right="160" w:firstLine="220"/>
        <w:spacing w:after="0" w:line="306" w:lineRule="auto"/>
        <w:rPr>
          <w:sz w:val="20"/>
          <w:szCs w:val="20"/>
          <w:color w:val="auto"/>
        </w:rPr>
      </w:pPr>
      <w:r>
        <w:rPr>
          <w:rFonts w:ascii="Arial" w:cs="Arial" w:eastAsia="Arial" w:hAnsi="Arial"/>
          <w:sz w:val="16"/>
          <w:szCs w:val="16"/>
          <w:color w:val="auto"/>
        </w:rPr>
        <w:t>Based solely on its review of the copies of such forms received by it with respect to fiscal 2003 or written representations from certain reporting persons, the Corporation believes that its directors and executive officers, and persons who beneficially own more than 10% of a registered class of the Corporation’s equity securities, have complied with all filing requirements required by Section 16(a) for fiscal 2003 applicable to such persons.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23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Centex Service Company (“CSC”), a subsidiary of Centex Corporation, provides the Corporation with employee benefits administration, legal, public/investor relations and certain other services. These services are provided by CSC pursuant to an Administrative Services Agreement which will expire on March 31, 2004, unless earlier terminated at the option of the Corporation. For fiscal year 2003, the payment by the Corporation to CSC for services rendered under this agreement was $220,000. Messrs. Hirsch and Eller, who are directors of the Corporation, are directors and executive officers of CSC. The Corporation also subleases office space at its corporate headquarters from CSC. The lease payments, which totaled $304,000 in fiscal year 2003, represent the Corporation’s pro rata share of the master lease payments based on the amount of space subleased by the Corporation.</w:t>
      </w:r>
    </w:p>
    <w:p>
      <w:pPr>
        <w:spacing w:after="0" w:line="174" w:lineRule="exact"/>
        <w:rPr>
          <w:sz w:val="20"/>
          <w:szCs w:val="20"/>
          <w:color w:val="auto"/>
        </w:rPr>
      </w:pPr>
    </w:p>
    <w:p>
      <w:pPr>
        <w:jc w:val="both"/>
        <w:ind w:right="400" w:firstLine="220"/>
        <w:spacing w:after="0" w:line="259" w:lineRule="auto"/>
        <w:rPr>
          <w:sz w:val="20"/>
          <w:szCs w:val="20"/>
          <w:color w:val="auto"/>
        </w:rPr>
      </w:pPr>
      <w:r>
        <w:rPr>
          <w:rFonts w:ascii="Arial" w:cs="Arial" w:eastAsia="Arial" w:hAnsi="Arial"/>
          <w:sz w:val="18"/>
          <w:szCs w:val="18"/>
          <w:color w:val="auto"/>
        </w:rPr>
        <w:t>Certain of the Corporation’s subsidiaries in the readymix concrete and wallboard businesses, from time to time, sell their respective products directly to a subsidiary of Centex Corporation. Although the Corporation does not track the volume of such sales to subsidiaries of Centex Corporation, the Corporation believes that such sales account for less than five percent of its total sales volume.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31"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On March 23, 2002 the Audit Committee approved the engagement of Ernst &amp; Young LLP (“Ernst &amp; Young”) as the Corporation’s independent auditors for the fiscal year ending March 31, 2002, to replace Arthur Andersen LLP (“Arthur Andersen”), who were dismissed as auditors effective as of that date. This action followed the Audit Committee’s decision to seek proposals from independent accountants to audit the Corporation’s financial statements. Ernst &amp; Young audited the Corporation’s financial statements for the fiscal year ended March 31, 2003.</w:t>
      </w:r>
    </w:p>
    <w:p>
      <w:pPr>
        <w:spacing w:after="0" w:line="197" w:lineRule="exact"/>
        <w:rPr>
          <w:sz w:val="20"/>
          <w:szCs w:val="20"/>
          <w:color w:val="auto"/>
        </w:rPr>
      </w:pPr>
    </w:p>
    <w:p>
      <w:pPr>
        <w:ind w:right="440" w:firstLine="210"/>
        <w:spacing w:after="0" w:line="332" w:lineRule="auto"/>
        <w:rPr>
          <w:sz w:val="20"/>
          <w:szCs w:val="20"/>
          <w:color w:val="auto"/>
        </w:rPr>
      </w:pPr>
      <w:r>
        <w:rPr>
          <w:rFonts w:ascii="Arial" w:cs="Arial" w:eastAsia="Arial" w:hAnsi="Arial"/>
          <w:sz w:val="16"/>
          <w:szCs w:val="16"/>
          <w:color w:val="auto"/>
        </w:rPr>
        <w:t>Arthur Andersen’s audit reports on the Corporation’s financial statements as of and for fiscal years ended March 31, 2000 and 2001, respectively, did not contain an adverse opinion or a disclaimer of opinion, nor were they qualified or modified as to uncertainty, audit scope or accounting principles.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Corporation’s fiscal years ended March 31, 2000 and 2001, respectively, and the subsequent interim period through March 23, 2002:</w:t>
      </w:r>
    </w:p>
    <w:p>
      <w:pPr>
        <w:spacing w:after="0" w:line="248" w:lineRule="exact"/>
        <w:rPr>
          <w:sz w:val="20"/>
          <w:szCs w:val="20"/>
          <w:color w:val="auto"/>
        </w:rPr>
      </w:pPr>
    </w:p>
    <w:p>
      <w:pPr>
        <w:ind w:left="880" w:right="180" w:hanging="548"/>
        <w:spacing w:after="0" w:line="306"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were no disagreements between the Corporation and Arthur Andersen on any matter of accounting principles or practices, financial statement disclosure, or auditing scope or procedure, which disagreements, if not resolved to Arthur Andersen’s satisfaction, would have caused Arthur Andersen to make reference to the subject matter of the disagreement in connection with its reports;</w:t>
      </w:r>
    </w:p>
    <w:p>
      <w:pPr>
        <w:spacing w:after="0" w:line="160" w:lineRule="exact"/>
        <w:rPr>
          <w:rFonts w:ascii="Arial" w:cs="Arial" w:eastAsia="Arial" w:hAnsi="Arial"/>
          <w:sz w:val="16"/>
          <w:szCs w:val="16"/>
          <w:color w:val="auto"/>
        </w:rPr>
      </w:pPr>
    </w:p>
    <w:p>
      <w:pPr>
        <w:ind w:left="880" w:hanging="54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reportable events described under Item 304(a)(1)(v) of Regulation S-K occurred;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120" w:firstLine="112"/>
        <w:spacing w:after="0" w:line="501" w:lineRule="auto"/>
        <w:tabs>
          <w:tab w:leader="none" w:pos="8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 did not consult with Ernst &amp; Young regarding any of the matters or events described in item 304(a)(2)(i) and (ii) of Regulation S-K. Arthur Andersen provided a letter, which the Corporation has filed with the SEC, agreeing with the foregoing statements.</w:t>
      </w:r>
    </w:p>
    <w:p>
      <w:pPr>
        <w:ind w:right="80" w:firstLine="216"/>
        <w:spacing w:after="0" w:line="291" w:lineRule="auto"/>
        <w:rPr>
          <w:sz w:val="20"/>
          <w:szCs w:val="20"/>
          <w:color w:val="auto"/>
        </w:rPr>
      </w:pPr>
      <w:r>
        <w:rPr>
          <w:rFonts w:ascii="Arial" w:cs="Arial" w:eastAsia="Arial" w:hAnsi="Arial"/>
          <w:sz w:val="16"/>
          <w:szCs w:val="16"/>
          <w:color w:val="auto"/>
        </w:rPr>
        <w:t>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various fees for services provided to the Corporation by Ernst &amp; Young in fiscal year 2003 and 2002:</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Fiscal Year</w:t>
            </w:r>
          </w:p>
        </w:tc>
        <w:tc>
          <w:tcPr>
            <w:tcW w:w="380" w:type="dxa"/>
            <w:vAlign w:val="bottom"/>
          </w:tcPr>
          <w:p>
            <w:pPr>
              <w:spacing w:after="0"/>
              <w:rPr>
                <w:sz w:val="19"/>
                <w:szCs w:val="19"/>
                <w:color w:val="auto"/>
              </w:rPr>
            </w:pPr>
          </w:p>
        </w:tc>
        <w:tc>
          <w:tcPr>
            <w:tcW w:w="1880" w:type="dxa"/>
            <w:vAlign w:val="bottom"/>
          </w:tcPr>
          <w:p>
            <w:pPr>
              <w:jc w:val="right"/>
              <w:ind w:right="312"/>
              <w:spacing w:after="0"/>
              <w:rPr>
                <w:sz w:val="20"/>
                <w:szCs w:val="20"/>
                <w:color w:val="auto"/>
              </w:rPr>
            </w:pPr>
            <w:r>
              <w:rPr>
                <w:rFonts w:ascii="Arial" w:cs="Arial" w:eastAsia="Arial" w:hAnsi="Arial"/>
                <w:sz w:val="18"/>
                <w:szCs w:val="18"/>
                <w:b w:val="1"/>
                <w:bCs w:val="1"/>
                <w:color w:val="auto"/>
              </w:rPr>
              <w:t>Audit Fees (1)</w:t>
            </w:r>
          </w:p>
        </w:tc>
        <w:tc>
          <w:tcPr>
            <w:tcW w:w="380" w:type="dxa"/>
            <w:vAlign w:val="bottom"/>
          </w:tcPr>
          <w:p>
            <w:pPr>
              <w:spacing w:after="0"/>
              <w:rPr>
                <w:sz w:val="19"/>
                <w:szCs w:val="19"/>
                <w:color w:val="auto"/>
              </w:rPr>
            </w:pPr>
          </w:p>
        </w:tc>
        <w:tc>
          <w:tcPr>
            <w:tcW w:w="2040" w:type="dxa"/>
            <w:vAlign w:val="bottom"/>
          </w:tcPr>
          <w:p>
            <w:pPr>
              <w:jc w:val="right"/>
              <w:ind w:right="92"/>
              <w:spacing w:after="0"/>
              <w:rPr>
                <w:sz w:val="20"/>
                <w:szCs w:val="20"/>
                <w:color w:val="auto"/>
              </w:rPr>
            </w:pPr>
            <w:r>
              <w:rPr>
                <w:rFonts w:ascii="Arial" w:cs="Arial" w:eastAsia="Arial" w:hAnsi="Arial"/>
                <w:sz w:val="18"/>
                <w:szCs w:val="18"/>
                <w:b w:val="1"/>
                <w:bCs w:val="1"/>
                <w:color w:val="auto"/>
                <w:w w:val="97"/>
              </w:rPr>
              <w:t>Audit Related Fees (2)</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Tax Fees</w:t>
            </w:r>
          </w:p>
        </w:tc>
        <w:tc>
          <w:tcPr>
            <w:tcW w:w="1900" w:type="dxa"/>
            <w:vAlign w:val="bottom"/>
          </w:tcPr>
          <w:p>
            <w:pPr>
              <w:jc w:val="right"/>
              <w:ind w:right="192"/>
              <w:spacing w:after="0"/>
              <w:rPr>
                <w:sz w:val="20"/>
                <w:szCs w:val="20"/>
                <w:color w:val="auto"/>
              </w:rPr>
            </w:pPr>
            <w:r>
              <w:rPr>
                <w:rFonts w:ascii="Arial" w:cs="Arial" w:eastAsia="Arial" w:hAnsi="Arial"/>
                <w:sz w:val="18"/>
                <w:szCs w:val="18"/>
                <w:b w:val="1"/>
                <w:bCs w:val="1"/>
                <w:color w:val="auto"/>
              </w:rPr>
              <w:t>All Other Fees (3)</w:t>
            </w:r>
          </w:p>
        </w:tc>
        <w:tc>
          <w:tcPr>
            <w:tcW w:w="380" w:type="dxa"/>
            <w:vAlign w:val="bottom"/>
          </w:tcPr>
          <w:p>
            <w:pPr>
              <w:spacing w:after="0"/>
              <w:rPr>
                <w:sz w:val="19"/>
                <w:szCs w:val="19"/>
                <w:color w:val="auto"/>
              </w:rPr>
            </w:pPr>
          </w:p>
        </w:tc>
        <w:tc>
          <w:tcPr>
            <w:tcW w:w="1980" w:type="dxa"/>
            <w:vAlign w:val="bottom"/>
          </w:tcPr>
          <w:p>
            <w:pPr>
              <w:jc w:val="right"/>
              <w:ind w:right="712"/>
              <w:spacing w:after="0"/>
              <w:rPr>
                <w:sz w:val="20"/>
                <w:szCs w:val="20"/>
                <w:color w:val="auto"/>
              </w:rPr>
            </w:pPr>
            <w:r>
              <w:rPr>
                <w:rFonts w:ascii="Arial" w:cs="Arial" w:eastAsia="Arial" w:hAnsi="Arial"/>
                <w:sz w:val="18"/>
                <w:szCs w:val="18"/>
                <w:b w:val="1"/>
                <w:bCs w:val="1"/>
                <w:color w:val="auto"/>
              </w:rPr>
              <w:t>Total</w:t>
            </w:r>
          </w:p>
        </w:tc>
      </w:tr>
      <w:tr>
        <w:trPr>
          <w:trHeight w:val="110"/>
        </w:trPr>
        <w:tc>
          <w:tcPr>
            <w:tcW w:w="10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r>
        <w:trPr>
          <w:trHeight w:val="309"/>
        </w:trPr>
        <w:tc>
          <w:tcPr>
            <w:tcW w:w="108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2260" w:type="dxa"/>
            <w:vAlign w:val="bottom"/>
            <w:gridSpan w:val="2"/>
          </w:tcPr>
          <w:p>
            <w:pPr>
              <w:jc w:val="right"/>
              <w:ind w:right="612"/>
              <w:spacing w:after="0"/>
              <w:rPr>
                <w:sz w:val="20"/>
                <w:szCs w:val="20"/>
                <w:color w:val="auto"/>
              </w:rPr>
            </w:pPr>
            <w:r>
              <w:rPr>
                <w:rFonts w:ascii="Arial" w:cs="Arial" w:eastAsia="Arial" w:hAnsi="Arial"/>
                <w:sz w:val="18"/>
                <w:szCs w:val="18"/>
                <w:color w:val="auto"/>
              </w:rPr>
              <w:t>$168,152</w:t>
            </w:r>
          </w:p>
        </w:tc>
        <w:tc>
          <w:tcPr>
            <w:tcW w:w="2420" w:type="dxa"/>
            <w:vAlign w:val="bottom"/>
            <w:gridSpan w:val="2"/>
          </w:tcPr>
          <w:p>
            <w:pPr>
              <w:jc w:val="right"/>
              <w:ind w:right="752"/>
              <w:spacing w:after="0"/>
              <w:rPr>
                <w:sz w:val="20"/>
                <w:szCs w:val="20"/>
                <w:color w:val="auto"/>
              </w:rPr>
            </w:pPr>
            <w:r>
              <w:rPr>
                <w:rFonts w:ascii="Arial" w:cs="Arial" w:eastAsia="Arial" w:hAnsi="Arial"/>
                <w:sz w:val="18"/>
                <w:szCs w:val="18"/>
                <w:color w:val="auto"/>
              </w:rPr>
              <w:t>$60,800</w:t>
            </w:r>
          </w:p>
        </w:tc>
        <w:tc>
          <w:tcPr>
            <w:tcW w:w="38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672"/>
              <w:spacing w:after="0"/>
              <w:rPr>
                <w:sz w:val="20"/>
                <w:szCs w:val="20"/>
                <w:color w:val="auto"/>
              </w:rPr>
            </w:pPr>
            <w:r>
              <w:rPr>
                <w:rFonts w:ascii="Arial" w:cs="Arial" w:eastAsia="Arial" w:hAnsi="Arial"/>
                <w:sz w:val="18"/>
                <w:szCs w:val="18"/>
                <w:color w:val="auto"/>
              </w:rPr>
              <w:t>$20,000</w:t>
            </w:r>
          </w:p>
        </w:tc>
        <w:tc>
          <w:tcPr>
            <w:tcW w:w="2360" w:type="dxa"/>
            <w:vAlign w:val="bottom"/>
            <w:gridSpan w:val="2"/>
          </w:tcPr>
          <w:p>
            <w:pPr>
              <w:jc w:val="right"/>
              <w:ind w:right="592"/>
              <w:spacing w:after="0"/>
              <w:rPr>
                <w:sz w:val="20"/>
                <w:szCs w:val="20"/>
                <w:color w:val="auto"/>
              </w:rPr>
            </w:pPr>
            <w:r>
              <w:rPr>
                <w:rFonts w:ascii="Arial" w:cs="Arial" w:eastAsia="Arial" w:hAnsi="Arial"/>
                <w:sz w:val="18"/>
                <w:szCs w:val="18"/>
                <w:color w:val="auto"/>
              </w:rPr>
              <w:t>$248,000</w:t>
            </w:r>
          </w:p>
        </w:tc>
      </w:tr>
      <w:tr>
        <w:trPr>
          <w:trHeight w:val="222"/>
        </w:trPr>
        <w:tc>
          <w:tcPr>
            <w:tcW w:w="108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2260" w:type="dxa"/>
            <w:vAlign w:val="bottom"/>
            <w:gridSpan w:val="2"/>
          </w:tcPr>
          <w:p>
            <w:pPr>
              <w:jc w:val="right"/>
              <w:ind w:right="612"/>
              <w:spacing w:after="0"/>
              <w:rPr>
                <w:sz w:val="20"/>
                <w:szCs w:val="20"/>
                <w:color w:val="auto"/>
              </w:rPr>
            </w:pPr>
            <w:r>
              <w:rPr>
                <w:rFonts w:ascii="Arial" w:cs="Arial" w:eastAsia="Arial" w:hAnsi="Arial"/>
                <w:sz w:val="18"/>
                <w:szCs w:val="18"/>
                <w:color w:val="auto"/>
              </w:rPr>
              <w:t>$155,000</w:t>
            </w:r>
          </w:p>
        </w:tc>
        <w:tc>
          <w:tcPr>
            <w:tcW w:w="2420" w:type="dxa"/>
            <w:vAlign w:val="bottom"/>
            <w:gridSpan w:val="2"/>
          </w:tcPr>
          <w:p>
            <w:pPr>
              <w:jc w:val="right"/>
              <w:ind w:right="752"/>
              <w:spacing w:after="0"/>
              <w:rPr>
                <w:sz w:val="20"/>
                <w:szCs w:val="20"/>
                <w:color w:val="auto"/>
              </w:rPr>
            </w:pPr>
            <w:r>
              <w:rPr>
                <w:rFonts w:ascii="Arial" w:cs="Arial" w:eastAsia="Arial" w:hAnsi="Arial"/>
                <w:sz w:val="18"/>
                <w:szCs w:val="18"/>
                <w:color w:val="auto"/>
              </w:rPr>
              <w:t>$57,000</w:t>
            </w:r>
          </w:p>
        </w:tc>
        <w:tc>
          <w:tcPr>
            <w:tcW w:w="38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592"/>
              <w:spacing w:after="0"/>
              <w:rPr>
                <w:sz w:val="20"/>
                <w:szCs w:val="20"/>
                <w:color w:val="auto"/>
              </w:rPr>
            </w:pPr>
            <w:r>
              <w:rPr>
                <w:rFonts w:ascii="Arial" w:cs="Arial" w:eastAsia="Arial" w:hAnsi="Arial"/>
                <w:sz w:val="18"/>
                <w:szCs w:val="18"/>
                <w:color w:val="auto"/>
              </w:rPr>
              <w:t>$212,000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80" w:right="280" w:hanging="548"/>
        <w:spacing w:after="0" w:line="26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fees for the audit of a subsidiary’s compliance with certain pricing provisions of a supply agreement.</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Representatives of Ernst &amp; Young are expected to be present at the Annual Meeting, with the opportunity to make a statement if they desire to do so, and will be available to respond to appropriate questions from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Next year’s annual meeting of stockholders is scheduled to be held on July 22, 2004. In order to be considered for inclusion in the Corporation’s proxy material for that meeting, stockholder proposals must be received at the Corporation’s executive offices, addressed to the attention of the Secretary, not later than February 27, 2004.</w:t>
      </w:r>
    </w:p>
    <w:p>
      <w:pPr>
        <w:spacing w:after="0" w:line="194"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For any proposal that is not submitted for inclusion in the Corporation’s proxy material for the 2004 annual meeting of stockholders but is instead sought to be presented directly at that meeting, Rule 14a-4(c) under the Securities Exchange Act of 1934 permits the Corporation’s management to exercise discretionary voting authority under proxies it solicits unless the Corporation is notified about the proposal on or before April 23, 2004, and the stockholder satisfies the other requirements of Rule 14a-4(c). The Corporation’s Bylaws provide that, to be considered at the 2004 annual meeting, a stockholder proposal must be submitted in writing and received by the Secretary at the executive offices of the Corporation during the period beginning on January 23, 2004 and ending April 23, 2004, and must contain the information specified by and otherwise comply with the Corporation’s Bylaws. Any stockholder wishing to receive a copy of the Corporation’s Bylaws should direct a written request to the Secretary at the Corporation’s principal executive offices.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firstLine="220"/>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Corporation’s Annual Report on Form 10-K for the fiscal year ended March 31, 2003, including the financial statements required to be filed with the SEC, without charge, upon written or verbal request to Centex Construction Products, Inc., Attention: James H. Graass, Secretary, 2728 N. Harwood, Dallas, Texas 75201, (214) 981-5000.</w:t>
      </w:r>
    </w:p>
    <w:p>
      <w:pPr>
        <w:spacing w:after="0" w:line="40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CENTEX CONSTRUCTION PRODUCTS,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of Stockholders — July 21, 2003</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appoints Laurence E. Hirsch and Steven R. Rowley (acting unanimously or, if only one be present, by that one alone), and each of them, proxies, with full power of substitution to each, to vote, as specified on the reverse side, at the Annual Meeting of Stockholders of Centex Construction Products, Inc. to be held July 21, 2003, or any adjournment thereof, all shares of Common Stock of Centex Construction Products, Inc. registered in the name of the undersigned at the close of business on June 2, 2003.</w:t>
      </w:r>
    </w:p>
    <w:p>
      <w:pPr>
        <w:spacing w:after="0" w:line="191" w:lineRule="exact"/>
        <w:rPr>
          <w:sz w:val="20"/>
          <w:szCs w:val="20"/>
          <w:color w:val="auto"/>
        </w:rPr>
      </w:pPr>
    </w:p>
    <w:p>
      <w:pPr>
        <w:jc w:val="both"/>
        <w:ind w:right="360"/>
        <w:spacing w:after="0" w:line="262"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execution of this proxy, you hereby acknowledge receipt herewith of the Notice of Annual Meeting and</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 Statement for the July 21, 2003 Annual Meeting.</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139700</wp:posOffset>
            </wp:positionV>
            <wp:extent cx="6543040" cy="831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3040" cy="831215"/>
                    </a:xfrm>
                    <a:prstGeom prst="rect">
                      <a:avLst/>
                    </a:prstGeom>
                    <a:noFill/>
                  </pic:spPr>
                </pic:pic>
              </a:graphicData>
            </a:graphic>
          </wp:anchor>
        </w:drawing>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 FOLD AND DETACH HERE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 vote FOR the election of all of the nominees in Item 1.</w:t>
      </w:r>
    </w:p>
    <w:p>
      <w:pPr>
        <w:spacing w:after="0" w:line="200" w:lineRule="exact"/>
        <w:rPr>
          <w:sz w:val="20"/>
          <w:szCs w:val="20"/>
          <w:color w:val="auto"/>
        </w:rPr>
      </w:pPr>
    </w:p>
    <w:p>
      <w:pPr>
        <w:spacing w:after="0" w:line="269" w:lineRule="exact"/>
        <w:rPr>
          <w:sz w:val="20"/>
          <w:szCs w:val="20"/>
          <w:color w:val="auto"/>
        </w:rPr>
      </w:pPr>
    </w:p>
    <w:p>
      <w:pPr>
        <w:spacing w:after="0"/>
        <w:tabs>
          <w:tab w:leader="none" w:pos="200" w:val="left"/>
          <w:tab w:leader="none" w:pos="2180" w:val="left"/>
          <w:tab w:leader="none" w:pos="4320" w:val="left"/>
        </w:tabs>
        <w:rPr>
          <w:sz w:val="20"/>
          <w:szCs w:val="20"/>
          <w:color w:val="auto"/>
        </w:rPr>
      </w:pPr>
      <w:r>
        <w:rPr>
          <w:rFonts w:ascii="Arial" w:cs="Arial" w:eastAsia="Arial" w:hAnsi="Arial"/>
          <w:sz w:val="14"/>
          <w:szCs w:val="14"/>
          <w:color w:val="auto"/>
        </w:rPr>
        <w:t>1.</w:t>
        <w:tab/>
        <w:t>Election of Directors listed</w:t>
      </w:r>
      <w:r>
        <w:rPr>
          <w:sz w:val="20"/>
          <w:szCs w:val="20"/>
          <w:color w:val="auto"/>
        </w:rPr>
        <w:tab/>
      </w:r>
      <w:r>
        <w:rPr>
          <w:rFonts w:ascii="Arial" w:cs="Arial" w:eastAsia="Arial" w:hAnsi="Arial"/>
          <w:sz w:val="14"/>
          <w:szCs w:val="14"/>
          <w:b w:val="1"/>
          <w:bCs w:val="1"/>
          <w:color w:val="auto"/>
        </w:rPr>
        <w:t xml:space="preserve">FOR </w:t>
      </w:r>
      <w:r>
        <w:rPr>
          <w:rFonts w:ascii="Arial" w:cs="Arial" w:eastAsia="Arial" w:hAnsi="Arial"/>
          <w:sz w:val="14"/>
          <w:szCs w:val="14"/>
          <w:color w:val="auto"/>
        </w:rPr>
        <w:t>all nominees listed</w:t>
      </w:r>
      <w:r>
        <w:rPr>
          <w:sz w:val="20"/>
          <w:szCs w:val="20"/>
          <w:color w:val="auto"/>
        </w:rPr>
        <w:tab/>
      </w:r>
      <w:r>
        <w:rPr>
          <w:rFonts w:ascii="Arial" w:cs="Arial" w:eastAsia="Arial" w:hAnsi="Arial"/>
          <w:sz w:val="14"/>
          <w:szCs w:val="14"/>
          <w:b w:val="1"/>
          <w:bCs w:val="1"/>
          <w:color w:val="auto"/>
        </w:rPr>
        <w:t>WITHHOLD</w:t>
      </w:r>
    </w:p>
    <w:p>
      <w:pPr>
        <w:ind w:left="220"/>
        <w:spacing w:after="0"/>
        <w:tabs>
          <w:tab w:leader="none" w:pos="2100" w:val="left"/>
          <w:tab w:leader="none" w:pos="4000"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 (except as marked to</w:t>
      </w:r>
      <w:r>
        <w:rPr>
          <w:sz w:val="20"/>
          <w:szCs w:val="20"/>
          <w:color w:val="auto"/>
        </w:rPr>
        <w:tab/>
      </w:r>
      <w:r>
        <w:rPr>
          <w:rFonts w:ascii="Arial" w:cs="Arial" w:eastAsia="Arial" w:hAnsi="Arial"/>
          <w:sz w:val="12"/>
          <w:szCs w:val="12"/>
          <w:b w:val="1"/>
          <w:bCs w:val="1"/>
          <w:color w:val="auto"/>
        </w:rPr>
        <w:t xml:space="preserve">AUTHORITY </w:t>
      </w:r>
      <w:r>
        <w:rPr>
          <w:rFonts w:ascii="Arial" w:cs="Arial" w:eastAsia="Arial" w:hAnsi="Arial"/>
          <w:sz w:val="12"/>
          <w:szCs w:val="12"/>
          <w:color w:val="auto"/>
        </w:rPr>
        <w:t>to vote for</w:t>
      </w:r>
    </w:p>
    <w:p>
      <w:pPr>
        <w:ind w:left="2520"/>
        <w:spacing w:after="0"/>
        <w:tabs>
          <w:tab w:leader="none" w:pos="4020" w:val="left"/>
        </w:tabs>
        <w:rPr>
          <w:sz w:val="20"/>
          <w:szCs w:val="20"/>
          <w:color w:val="auto"/>
        </w:rPr>
      </w:pPr>
      <w:r>
        <w:rPr>
          <w:rFonts w:ascii="Arial" w:cs="Arial" w:eastAsia="Arial" w:hAnsi="Arial"/>
          <w:sz w:val="14"/>
          <w:szCs w:val="14"/>
          <w:color w:val="auto"/>
        </w:rPr>
        <w:t>the contrary)</w:t>
      </w:r>
      <w:r>
        <w:rPr>
          <w:sz w:val="20"/>
          <w:szCs w:val="20"/>
          <w:color w:val="auto"/>
        </w:rPr>
        <w:tab/>
      </w:r>
      <w:r>
        <w:rPr>
          <w:rFonts w:ascii="Arial" w:cs="Arial" w:eastAsia="Arial" w:hAnsi="Arial"/>
          <w:sz w:val="12"/>
          <w:szCs w:val="12"/>
          <w:color w:val="auto"/>
        </w:rPr>
        <w:t>all nominees listed below</w:t>
      </w:r>
    </w:p>
    <w:p>
      <w:pPr>
        <w:spacing w:after="0" w:line="125" w:lineRule="exact"/>
        <w:rPr>
          <w:sz w:val="20"/>
          <w:szCs w:val="20"/>
          <w:color w:val="auto"/>
        </w:rPr>
      </w:pPr>
    </w:p>
    <w:p>
      <w:pPr>
        <w:ind w:left="2820"/>
        <w:spacing w:after="0"/>
        <w:tabs>
          <w:tab w:leader="none" w:pos="46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31" w:lineRule="exact"/>
        <w:rPr>
          <w:sz w:val="20"/>
          <w:szCs w:val="20"/>
          <w:color w:val="auto"/>
        </w:rPr>
      </w:pPr>
    </w:p>
    <w:p>
      <w:pPr>
        <w:ind w:left="220" w:right="500"/>
        <w:spacing w:after="0" w:line="241" w:lineRule="auto"/>
        <w:rPr>
          <w:sz w:val="20"/>
          <w:szCs w:val="20"/>
          <w:color w:val="auto"/>
        </w:rPr>
      </w:pPr>
      <w:r>
        <w:rPr>
          <w:rFonts w:ascii="Arial" w:cs="Arial" w:eastAsia="Arial" w:hAnsi="Arial"/>
          <w:sz w:val="14"/>
          <w:szCs w:val="14"/>
          <w:b w:val="1"/>
          <w:bCs w:val="1"/>
          <w:color w:val="auto"/>
        </w:rPr>
        <w:t>(INSTRUCTIONS: To withhold authority to vote for any individual nominee, write the nominee’s name in the space provided below.)</w:t>
      </w:r>
    </w:p>
    <w:p>
      <w:pPr>
        <w:spacing w:after="0" w:line="124" w:lineRule="exact"/>
        <w:rPr>
          <w:sz w:val="20"/>
          <w:szCs w:val="20"/>
          <w:color w:val="auto"/>
        </w:rPr>
      </w:pPr>
    </w:p>
    <w:p>
      <w:pPr>
        <w:ind w:left="220" w:right="560"/>
        <w:spacing w:after="0" w:line="239" w:lineRule="auto"/>
        <w:rPr>
          <w:sz w:val="20"/>
          <w:szCs w:val="20"/>
          <w:color w:val="auto"/>
        </w:rPr>
      </w:pPr>
      <w:r>
        <w:rPr>
          <w:rFonts w:ascii="Arial" w:cs="Arial" w:eastAsia="Arial" w:hAnsi="Arial"/>
          <w:sz w:val="14"/>
          <w:szCs w:val="14"/>
          <w:color w:val="auto"/>
        </w:rPr>
        <w:t>01 F. William Barnett, 02 Robert L. Clarke, 03 Timothy R. Eller, 04 Laurence E. Hirsch, 05 Michael R. Nicolais, and 06 David W.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154940</wp:posOffset>
            </wp:positionV>
            <wp:extent cx="3344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33" w:lineRule="exact"/>
        <w:rPr>
          <w:sz w:val="20"/>
          <w:szCs w:val="20"/>
          <w:color w:val="auto"/>
        </w:rPr>
      </w:pPr>
    </w:p>
    <w:p>
      <w:pPr>
        <w:ind w:left="220" w:right="520"/>
        <w:spacing w:after="0" w:line="241" w:lineRule="auto"/>
        <w:rPr>
          <w:sz w:val="20"/>
          <w:szCs w:val="20"/>
          <w:color w:val="auto"/>
        </w:rPr>
      </w:pPr>
      <w:r>
        <w:rPr>
          <w:rFonts w:ascii="Arial" w:cs="Arial" w:eastAsia="Arial" w:hAnsi="Arial"/>
          <w:sz w:val="14"/>
          <w:szCs w:val="14"/>
          <w:b w:val="1"/>
          <w:bCs w:val="1"/>
          <w:color w:val="auto"/>
        </w:rPr>
        <w:t>THIS PROXY MAY BE REVOKED AT ANY TIME BEFORE IT IS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1869440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3460"/>
        <w:spacing w:after="0"/>
        <w:tabs>
          <w:tab w:leader="none" w:pos="4920" w:val="left"/>
        </w:tabs>
        <w:rPr>
          <w:sz w:val="20"/>
          <w:szCs w:val="20"/>
          <w:color w:val="auto"/>
        </w:rPr>
      </w:pPr>
      <w:r>
        <w:rPr>
          <w:rFonts w:ascii="Arial" w:cs="Arial" w:eastAsia="Arial" w:hAnsi="Arial"/>
          <w:sz w:val="11"/>
          <w:szCs w:val="11"/>
          <w:color w:val="auto"/>
        </w:rPr>
        <w:t>Please</w:t>
      </w:r>
      <w:r>
        <w:rPr>
          <w:sz w:val="20"/>
          <w:szCs w:val="20"/>
          <w:color w:val="auto"/>
        </w:rPr>
        <w:tab/>
      </w:r>
      <w:r>
        <w:rPr>
          <w:rFonts w:ascii="Arial" w:cs="Arial" w:eastAsia="Arial" w:hAnsi="Arial"/>
          <w:sz w:val="26"/>
          <w:szCs w:val="26"/>
          <w:color w:val="auto"/>
          <w:vertAlign w:val="subscript"/>
        </w:rPr>
        <w:t>o</w:t>
      </w:r>
    </w:p>
    <w:p>
      <w:pPr>
        <w:spacing w:after="0" w:line="158"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Mark Here</w:t>
      </w:r>
    </w:p>
    <w:p>
      <w:pPr>
        <w:spacing w:after="0" w:line="46"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for Address</w:t>
      </w:r>
    </w:p>
    <w:p>
      <w:pPr>
        <w:spacing w:after="0" w:line="55"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Change or</w:t>
      </w:r>
    </w:p>
    <w:p>
      <w:pPr>
        <w:spacing w:after="0" w:line="55"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Comments</w:t>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SEE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right="300" w:hanging="371"/>
        <w:spacing w:after="0" w:line="239"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their discretion, on such other business as may properly be brought before the meeting or any adjournment thereof.</w:t>
      </w:r>
    </w:p>
    <w:p>
      <w:pPr>
        <w:spacing w:after="0" w:line="274"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UNLESS OTHERWISE SPECIFIED, THIS PROXY WILL BE VOTED FOR ITEM 1 and, at the discretion of the named proxies, upon such other business as may properly be brought before the meeting or any adjournment thereof. By executing this proxy, the undersigned hereby revokes prior proxies relating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60" w:type="dxa"/>
            <w:vAlign w:val="bottom"/>
          </w:tcPr>
          <w:p>
            <w:pPr>
              <w:spacing w:after="0"/>
              <w:rPr>
                <w:sz w:val="20"/>
                <w:szCs w:val="20"/>
                <w:color w:val="auto"/>
              </w:rPr>
            </w:pPr>
            <w:r>
              <w:rPr>
                <w:rFonts w:ascii="Arial" w:cs="Arial" w:eastAsia="Arial" w:hAnsi="Arial"/>
                <w:sz w:val="14"/>
                <w:szCs w:val="14"/>
                <w:color w:val="auto"/>
                <w:w w:val="82"/>
              </w:rPr>
              <w:t>Dated:</w:t>
            </w:r>
          </w:p>
        </w:tc>
        <w:tc>
          <w:tcPr>
            <w:tcW w:w="4660" w:type="dxa"/>
            <w:vAlign w:val="bottom"/>
            <w:gridSpan w:val="2"/>
          </w:tcPr>
          <w:p>
            <w:pPr>
              <w:jc w:val="right"/>
              <w:spacing w:after="0"/>
              <w:rPr>
                <w:sz w:val="20"/>
                <w:szCs w:val="20"/>
                <w:color w:val="auto"/>
              </w:rPr>
            </w:pPr>
            <w:r>
              <w:rPr>
                <w:rFonts w:ascii="Arial" w:cs="Arial" w:eastAsia="Arial" w:hAnsi="Arial"/>
                <w:sz w:val="14"/>
                <w:szCs w:val="14"/>
                <w:color w:val="auto"/>
              </w:rPr>
              <w:t>, 2003</w:t>
            </w:r>
          </w:p>
        </w:tc>
      </w:tr>
      <w:tr>
        <w:trPr>
          <w:trHeight w:val="95"/>
        </w:trPr>
        <w:tc>
          <w:tcPr>
            <w:tcW w:w="360" w:type="dxa"/>
            <w:vAlign w:val="bottom"/>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3207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32073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jc w:val="both"/>
        <w:ind w:right="20"/>
        <w:spacing w:after="0" w:line="318" w:lineRule="auto"/>
        <w:rPr>
          <w:sz w:val="20"/>
          <w:szCs w:val="20"/>
          <w:color w:val="auto"/>
        </w:rPr>
      </w:pPr>
      <w:r>
        <w:rPr>
          <w:rFonts w:ascii="Arial" w:cs="Arial" w:eastAsia="Arial" w:hAnsi="Arial"/>
          <w:sz w:val="12"/>
          <w:szCs w:val="12"/>
          <w:color w:val="auto"/>
        </w:rPr>
        <w:t>NOTE: Please sign as name appears hereon. Joint owners should each sign. When signing as attorney, executor, administrator, trustee or guardian, please give full title.</w:t>
      </w:r>
    </w:p>
    <w:p>
      <w:pPr>
        <w:spacing w:after="0" w:line="200" w:lineRule="exact"/>
        <w:rPr>
          <w:sz w:val="20"/>
          <w:szCs w:val="20"/>
          <w:color w:val="auto"/>
        </w:rPr>
      </w:pPr>
    </w:p>
    <w:p>
      <w:pPr>
        <w:sectPr>
          <w:pgSz w:w="11900" w:h="16838" w:orient="portrait"/>
          <w:cols w:equalWidth="0" w:num="2">
            <w:col w:w="5740" w:space="620"/>
            <w:col w:w="5040"/>
          </w:cols>
          <w:pgMar w:left="240" w:top="4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 FOLD AND DETACH HERE o</w:t>
      </w:r>
    </w:p>
    <w:sectPr>
      <w:pgSz w:w="11900" w:h="16838" w:orient="portrait"/>
      <w:cols w:equalWidth="0" w:num="1">
        <w:col w:w="11400"/>
      </w:cols>
      <w:pgMar w:left="240" w:top="41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o"/>
      <w:numFmt w:val="bullet"/>
      <w:start w:val="1"/>
    </w:lvl>
    <w:lvl w:ilvl="1">
      <w:lvlJc w:val="left"/>
      <w:lvlText w:val="%2)"/>
      <w:numFmt w:val="decimal"/>
      <w:start w:val="1"/>
    </w:lvl>
  </w:abstractNum>
  <w:abstractNum w:abstractNumId="3">
    <w:nsid w:val="109CF92E"/>
    <w:multiLevelType w:val="hybridMultilevel"/>
    <w:lvl w:ilvl="0">
      <w:lvlJc w:val="left"/>
      <w:lvlText w:val="o"/>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3"/>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2019-12-14T03:19:08Z</dcterms:created>
  <dcterms:modified xsi:type="dcterms:W3CDTF">2019-12-14T03:19:08Z</dcterms:modified>
</cp:coreProperties>
</file>