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2021</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77"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96"/>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7"/>
                <w:szCs w:val="17"/>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0"/>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4"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left="5000" w:right="2240" w:hanging="4991"/>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26, 2021, the number of outstanding shares of common stock was:</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 Shares</w:t>
            </w:r>
          </w:p>
        </w:tc>
      </w:tr>
      <w:tr>
        <w:trPr>
          <w:trHeight w:val="472"/>
        </w:trPr>
        <w:tc>
          <w:tcPr>
            <w:tcW w:w="5640" w:type="dxa"/>
            <w:vAlign w:val="bottom"/>
          </w:tcPr>
          <w:p>
            <w:pPr>
              <w:jc w:val="center"/>
              <w:spacing w:after="0"/>
              <w:rPr>
                <w:sz w:val="20"/>
                <w:szCs w:val="20"/>
                <w:color w:val="auto"/>
              </w:rPr>
            </w:pPr>
            <w:r>
              <w:rPr>
                <w:rFonts w:ascii="Arial" w:cs="Arial" w:eastAsia="Arial" w:hAnsi="Arial"/>
                <w:sz w:val="18"/>
                <w:szCs w:val="18"/>
                <w:color w:val="auto"/>
                <w:w w:val="99"/>
              </w:rPr>
              <w:t>Common Stock, $.01 Par Value</w:t>
            </w:r>
          </w:p>
        </w:tc>
        <w:tc>
          <w:tcPr>
            <w:tcW w:w="5600" w:type="dxa"/>
            <w:vAlign w:val="bottom"/>
            <w:gridSpan w:val="2"/>
          </w:tcPr>
          <w:p>
            <w:pPr>
              <w:jc w:val="right"/>
              <w:ind w:right="2210"/>
              <w:spacing w:after="0"/>
              <w:rPr>
                <w:sz w:val="20"/>
                <w:szCs w:val="20"/>
                <w:color w:val="auto"/>
              </w:rPr>
            </w:pPr>
            <w:r>
              <w:rPr>
                <w:rFonts w:ascii="Arial" w:cs="Arial" w:eastAsia="Arial" w:hAnsi="Arial"/>
                <w:sz w:val="18"/>
                <w:szCs w:val="18"/>
                <w:color w:val="auto"/>
              </w:rPr>
              <w:t>40,673,931</w:t>
            </w:r>
          </w:p>
        </w:tc>
      </w:tr>
      <w:tr>
        <w:trPr>
          <w:trHeight w:val="95"/>
        </w:trPr>
        <w:tc>
          <w:tcPr>
            <w:tcW w:w="5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500" w:type="dxa"/>
            <w:vAlign w:val="bottom"/>
            <w:tcBorders>
              <w:bottom w:val="single" w:sz="8" w:color="auto"/>
            </w:tcBorders>
          </w:tcPr>
          <w:p>
            <w:pPr>
              <w:spacing w:after="0"/>
              <w:rPr>
                <w:sz w:val="8"/>
                <w:szCs w:val="8"/>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95"/>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20" w:type="dxa"/>
            <w:vAlign w:val="bottom"/>
            <w:gridSpan w:val="19"/>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Consolidated Statements of Earnings for the Three and Six Months Ended September 30, 2021 and </w:t>
              </w:r>
            </w:hyperlink>
            <w:r>
              <w:rPr>
                <w:rFonts w:ascii="Arial" w:cs="Arial" w:eastAsia="Arial" w:hAnsi="Arial"/>
                <w:sz w:val="18"/>
                <w:szCs w:val="18"/>
                <w:color w:val="auto"/>
              </w:rPr>
              <w:t>2020</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auto"/>
              </w:rPr>
            </w:pPr>
            <w:hyperlink w:anchor="page4">
              <w:r>
                <w:rPr>
                  <w:rFonts w:ascii="Arial" w:cs="Arial" w:eastAsia="Arial" w:hAnsi="Arial"/>
                  <w:sz w:val="18"/>
                  <w:szCs w:val="18"/>
                  <w:color w:val="auto"/>
                </w:rPr>
                <w:t>Consolidated Statements of Comprehensive Earnings for the Three and Six Months Ended September 30, 2021 and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gridSpan w:val="2"/>
          </w:tcPr>
          <w:p>
            <w:pPr>
              <w:jc w:val="right"/>
              <w:ind w:right="20"/>
              <w:spacing w:after="0"/>
              <w:rPr>
                <w:rFonts w:ascii="Arial" w:cs="Arial" w:eastAsia="Arial" w:hAnsi="Arial"/>
                <w:sz w:val="18"/>
                <w:szCs w:val="18"/>
                <w:color w:val="auto"/>
                <w:w w:val="94"/>
              </w:rPr>
            </w:pPr>
            <w:hyperlink w:anchor="page4">
              <w:r>
                <w:rPr>
                  <w:rFonts w:ascii="Arial" w:cs="Arial" w:eastAsia="Arial" w:hAnsi="Arial"/>
                  <w:sz w:val="18"/>
                  <w:szCs w:val="18"/>
                  <w:color w:val="auto"/>
                  <w:w w:val="94"/>
                </w:rPr>
                <w:t>2020</w:t>
              </w:r>
            </w:hyperlink>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auto"/>
              </w:rPr>
            </w:pPr>
            <w:hyperlink w:anchor="page5">
              <w:r>
                <w:rPr>
                  <w:rFonts w:ascii="Arial" w:cs="Arial" w:eastAsia="Arial" w:hAnsi="Arial"/>
                  <w:sz w:val="18"/>
                  <w:szCs w:val="18"/>
                  <w:color w:val="auto"/>
                </w:rPr>
                <w:t xml:space="preserve">Consolidated Balance Sheets as of September 30, 2021, and March 31, </w:t>
              </w:r>
            </w:hyperlink>
            <w:r>
              <w:rPr>
                <w:rFonts w:ascii="Arial" w:cs="Arial" w:eastAsia="Arial" w:hAnsi="Arial"/>
                <w:sz w:val="18"/>
                <w:szCs w:val="18"/>
                <w:color w:val="auto"/>
              </w:rPr>
              <w:t>2021</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Consolidated Statements of Cash Flows for the Three and Six Months Ended September 30, 2021 and </w:t>
              </w:r>
            </w:hyperlink>
            <w:r>
              <w:rPr>
                <w:rFonts w:ascii="Arial" w:cs="Arial" w:eastAsia="Arial" w:hAnsi="Arial"/>
                <w:sz w:val="18"/>
                <w:szCs w:val="18"/>
                <w:color w:val="auto"/>
              </w:rPr>
              <w:t>2020</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Consolidated Statements of Stockholders' Equity for the Three and Six Months Ended September 30, 2021 and </w:t>
              </w:r>
            </w:hyperlink>
            <w:r>
              <w:rPr>
                <w:rFonts w:ascii="Arial" w:cs="Arial" w:eastAsia="Arial" w:hAnsi="Arial"/>
                <w:sz w:val="18"/>
                <w:szCs w:val="18"/>
                <w:color w:val="auto"/>
              </w:rPr>
              <w:t>2020</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Notes to Unaudited Consolidated Financial Statements</w:t>
              </w:r>
            </w:hyperlink>
          </w:p>
        </w:tc>
        <w:tc>
          <w:tcPr>
            <w:tcW w:w="4740" w:type="dxa"/>
            <w:vAlign w:val="bottom"/>
            <w:tcBorders>
              <w:top w:val="single" w:sz="8" w:color="0000EE"/>
            </w:tcBorders>
            <w:gridSpan w:val="7"/>
          </w:tcPr>
          <w:p>
            <w:pPr>
              <w:spacing w:after="0"/>
              <w:rPr>
                <w:sz w:val="24"/>
                <w:szCs w:val="24"/>
                <w:color w:val="auto"/>
              </w:rPr>
            </w:pPr>
          </w:p>
        </w:tc>
        <w:tc>
          <w:tcPr>
            <w:tcW w:w="4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20" w:type="dxa"/>
            <w:vAlign w:val="bottom"/>
            <w:gridSpan w:val="19"/>
          </w:tcPr>
          <w:p>
            <w:pPr>
              <w:spacing w:after="0"/>
              <w:rPr>
                <w:rFonts w:ascii="Arial" w:cs="Arial" w:eastAsia="Arial" w:hAnsi="Arial"/>
                <w:sz w:val="18"/>
                <w:szCs w:val="18"/>
                <w:color w:val="auto"/>
              </w:rPr>
            </w:pPr>
            <w:hyperlink w:anchor="page23">
              <w:r>
                <w:rPr>
                  <w:rFonts w:ascii="Arial" w:cs="Arial" w:eastAsia="Arial" w:hAnsi="Arial"/>
                  <w:sz w:val="18"/>
                  <w:szCs w:val="18"/>
                  <w:color w:val="auto"/>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11"/>
          </w:tcPr>
          <w:p>
            <w:pPr>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Quantitative and Qualitative Disclosures About Market Risk</w:t>
              </w:r>
            </w:hyperlink>
          </w:p>
        </w:tc>
        <w:tc>
          <w:tcPr>
            <w:tcW w:w="2360" w:type="dxa"/>
            <w:vAlign w:val="bottom"/>
            <w:tcBorders>
              <w:top w:val="single" w:sz="8" w:color="0000EE"/>
            </w:tcBorders>
            <w:gridSpan w:val="3"/>
          </w:tcPr>
          <w:p>
            <w:pPr>
              <w:spacing w:after="0"/>
              <w:rPr>
                <w:sz w:val="24"/>
                <w:szCs w:val="24"/>
                <w:color w:val="auto"/>
              </w:rPr>
            </w:pPr>
          </w:p>
        </w:tc>
        <w:tc>
          <w:tcPr>
            <w:tcW w:w="24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9"/>
          </w:tcPr>
          <w:p>
            <w:pPr>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Controls and Procedures</w:t>
              </w:r>
            </w:hyperlink>
          </w:p>
        </w:tc>
        <w:tc>
          <w:tcPr>
            <w:tcW w:w="75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2940" w:type="dxa"/>
            <w:vAlign w:val="bottom"/>
            <w:tcBorders>
              <w:bottom w:val="single" w:sz="8" w:color="auto"/>
            </w:tcBorders>
            <w:gridSpan w:val="9"/>
          </w:tcPr>
          <w:p>
            <w:pPr>
              <w:spacing w:after="0"/>
              <w:rPr>
                <w:rFonts w:ascii="Arial" w:cs="Arial" w:eastAsia="Arial" w:hAnsi="Arial"/>
                <w:sz w:val="20"/>
                <w:szCs w:val="20"/>
                <w:b w:val="1"/>
                <w:bCs w:val="1"/>
                <w:color w:val="auto"/>
                <w:w w:val="97"/>
              </w:rPr>
            </w:pPr>
            <w:hyperlink w:anchor="page41">
              <w:r>
                <w:rPr>
                  <w:rFonts w:ascii="Arial" w:cs="Arial" w:eastAsia="Arial" w:hAnsi="Arial"/>
                  <w:sz w:val="20"/>
                  <w:szCs w:val="20"/>
                  <w:b w:val="1"/>
                  <w:bCs w:val="1"/>
                  <w:color w:val="auto"/>
                  <w:w w:val="97"/>
                </w:rPr>
                <w:t>PART II. OTHER INFORMATION</w:t>
              </w:r>
            </w:hyperlink>
          </w:p>
        </w:tc>
        <w:tc>
          <w:tcPr>
            <w:tcW w:w="76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Legal Proceedings</w:t>
              </w:r>
            </w:hyperlink>
          </w:p>
        </w:tc>
        <w:tc>
          <w:tcPr>
            <w:tcW w:w="80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20" w:type="dxa"/>
            <w:vAlign w:val="bottom"/>
            <w:gridSpan w:val="19"/>
          </w:tcPr>
          <w:p>
            <w:pPr>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2"/>
          </w:tcPr>
          <w:p>
            <w:pPr>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Unregistered Sales of Equity Securities and Use of Proceeds</w:t>
              </w:r>
            </w:hyperlink>
          </w:p>
        </w:tc>
        <w:tc>
          <w:tcPr>
            <w:tcW w:w="46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20" w:type="dxa"/>
            <w:vAlign w:val="bottom"/>
            <w:gridSpan w:val="19"/>
          </w:tcPr>
          <w:p>
            <w:pPr>
              <w:spacing w:after="0"/>
              <w:rPr>
                <w:rFonts w:ascii="Arial" w:cs="Arial" w:eastAsia="Arial" w:hAnsi="Arial"/>
                <w:sz w:val="18"/>
                <w:szCs w:val="18"/>
                <w:color w:val="auto"/>
              </w:rPr>
            </w:pPr>
            <w:hyperlink w:anchor="page41">
              <w:r>
                <w:rPr>
                  <w:rFonts w:ascii="Arial" w:cs="Arial" w:eastAsia="Arial" w:hAnsi="Arial"/>
                  <w:sz w:val="18"/>
                  <w:szCs w:val="18"/>
                  <w:color w:val="auto"/>
                </w:rPr>
                <w:t>Mine Safety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4"/>
          </w:tcPr>
          <w:p>
            <w:pPr>
              <w:spacing w:after="0"/>
              <w:rPr>
                <w:rFonts w:ascii="Arial" w:cs="Arial" w:eastAsia="Arial" w:hAnsi="Arial"/>
                <w:sz w:val="18"/>
                <w:szCs w:val="18"/>
                <w:color w:val="auto"/>
                <w:w w:val="98"/>
              </w:rPr>
            </w:pPr>
            <w:hyperlink w:anchor="page42">
              <w:r>
                <w:rPr>
                  <w:rFonts w:ascii="Arial" w:cs="Arial" w:eastAsia="Arial" w:hAnsi="Arial"/>
                  <w:sz w:val="18"/>
                  <w:szCs w:val="18"/>
                  <w:color w:val="auto"/>
                  <w:w w:val="98"/>
                </w:rPr>
                <w:t>Exhibits</w:t>
              </w:r>
            </w:hyperlink>
          </w:p>
        </w:tc>
        <w:tc>
          <w:tcPr>
            <w:tcW w:w="1260" w:type="dxa"/>
            <w:vAlign w:val="bottom"/>
            <w:tcBorders>
              <w:top w:val="single" w:sz="8" w:color="0000EE"/>
            </w:tcBorders>
            <w:gridSpan w:val="3"/>
          </w:tcPr>
          <w:p>
            <w:pPr>
              <w:spacing w:after="0"/>
              <w:rPr>
                <w:sz w:val="24"/>
                <w:szCs w:val="24"/>
                <w:color w:val="auto"/>
              </w:rPr>
            </w:pPr>
          </w:p>
        </w:tc>
        <w:tc>
          <w:tcPr>
            <w:tcW w:w="76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0540" w:type="dxa"/>
            <w:vAlign w:val="bottom"/>
            <w:gridSpan w:val="20"/>
          </w:tcPr>
          <w:p>
            <w:pPr>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323"/>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80" w:type="dxa"/>
            <w:vAlign w:val="bottom"/>
            <w:shd w:val="clear" w:color="auto" w:fill="004483"/>
          </w:tcPr>
          <w:p>
            <w:pPr>
              <w:spacing w:after="0"/>
              <w:rPr>
                <w:sz w:val="17"/>
                <w:szCs w:val="17"/>
                <w:color w:val="auto"/>
              </w:rPr>
            </w:pPr>
          </w:p>
        </w:tc>
        <w:tc>
          <w:tcPr>
            <w:tcW w:w="2800" w:type="dxa"/>
            <w:vAlign w:val="bottom"/>
            <w:gridSpan w:val="6"/>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40" w:type="dxa"/>
            <w:vAlign w:val="bottom"/>
          </w:tcPr>
          <w:p>
            <w:pPr>
              <w:spacing w:after="0"/>
              <w:rPr>
                <w:sz w:val="17"/>
                <w:szCs w:val="17"/>
                <w:color w:val="auto"/>
              </w:rPr>
            </w:pPr>
          </w:p>
        </w:tc>
        <w:tc>
          <w:tcPr>
            <w:tcW w:w="200" w:type="dxa"/>
            <w:vAlign w:val="bottom"/>
            <w:shd w:val="clear" w:color="auto" w:fill="004483"/>
          </w:tcPr>
          <w:p>
            <w:pPr>
              <w:spacing w:after="0"/>
              <w:rPr>
                <w:sz w:val="17"/>
                <w:szCs w:val="17"/>
                <w:color w:val="auto"/>
              </w:rPr>
            </w:pPr>
          </w:p>
        </w:tc>
        <w:tc>
          <w:tcPr>
            <w:tcW w:w="272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0"/>
              </w:rPr>
              <w:t>For the Six Months Ended September 30,</w:t>
            </w:r>
          </w:p>
        </w:tc>
      </w:t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r>
      <w:tr>
        <w:trPr>
          <w:trHeight w:val="225"/>
        </w:trPr>
        <w:tc>
          <w:tcPr>
            <w:tcW w:w="5200" w:type="dxa"/>
            <w:vAlign w:val="bottom"/>
            <w:tcBorders>
              <w:bottom w:val="single" w:sz="8" w:color="004483"/>
            </w:tcBorders>
          </w:tcPr>
          <w:p>
            <w:pPr>
              <w:spacing w:after="0"/>
              <w:rPr>
                <w:sz w:val="19"/>
                <w:szCs w:val="19"/>
                <w:color w:val="auto"/>
              </w:rPr>
            </w:pPr>
          </w:p>
        </w:tc>
        <w:tc>
          <w:tcPr>
            <w:tcW w:w="180" w:type="dxa"/>
            <w:vAlign w:val="bottom"/>
            <w:tcBorders>
              <w:bottom w:val="single" w:sz="8" w:color="004483"/>
            </w:tcBorders>
          </w:tcPr>
          <w:p>
            <w:pPr>
              <w:spacing w:after="0"/>
              <w:rPr>
                <w:sz w:val="19"/>
                <w:szCs w:val="19"/>
                <w:color w:val="auto"/>
              </w:rPr>
            </w:pPr>
          </w:p>
        </w:tc>
        <w:tc>
          <w:tcPr>
            <w:tcW w:w="116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2940" w:type="dxa"/>
            <w:vAlign w:val="bottom"/>
            <w:tcBorders>
              <w:bottom w:val="single" w:sz="8" w:color="004483"/>
            </w:tcBorders>
            <w:gridSpan w:val="7"/>
          </w:tcPr>
          <w:p>
            <w:pPr>
              <w:ind w:left="40"/>
              <w:spacing w:after="0"/>
              <w:rPr>
                <w:sz w:val="20"/>
                <w:szCs w:val="20"/>
                <w:color w:val="auto"/>
              </w:rPr>
            </w:pPr>
            <w:r>
              <w:rPr>
                <w:rFonts w:ascii="Arial" w:cs="Arial" w:eastAsia="Arial" w:hAnsi="Arial"/>
                <w:sz w:val="13"/>
                <w:szCs w:val="13"/>
                <w:color w:val="auto"/>
                <w:w w:val="90"/>
              </w:rPr>
              <w:t>(dollars in thousands, except share and per share data)</w:t>
            </w:r>
          </w:p>
        </w:tc>
        <w:tc>
          <w:tcPr>
            <w:tcW w:w="120" w:type="dxa"/>
            <w:vAlign w:val="bottom"/>
            <w:tcBorders>
              <w:bottom w:val="single" w:sz="8" w:color="004483"/>
            </w:tcBorders>
          </w:tcPr>
          <w:p>
            <w:pPr>
              <w:spacing w:after="0"/>
              <w:rPr>
                <w:sz w:val="19"/>
                <w:szCs w:val="19"/>
                <w:color w:val="auto"/>
              </w:rPr>
            </w:pPr>
          </w:p>
        </w:tc>
        <w:tc>
          <w:tcPr>
            <w:tcW w:w="320" w:type="dxa"/>
            <w:vAlign w:val="bottom"/>
            <w:tcBorders>
              <w:bottom w:val="single" w:sz="8" w:color="004483"/>
            </w:tcBorders>
          </w:tcPr>
          <w:p>
            <w:pPr>
              <w:spacing w:after="0"/>
              <w:rPr>
                <w:sz w:val="19"/>
                <w:szCs w:val="19"/>
                <w:color w:val="auto"/>
              </w:rPr>
            </w:pPr>
          </w:p>
        </w:tc>
        <w:tc>
          <w:tcPr>
            <w:tcW w:w="9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Pr>
          <w:p>
            <w:pPr>
              <w:spacing w:after="0"/>
              <w:rPr>
                <w:sz w:val="21"/>
                <w:szCs w:val="21"/>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447,684</w:t>
            </w:r>
          </w:p>
        </w:tc>
        <w:tc>
          <w:tcPr>
            <w:tcW w:w="80" w:type="dxa"/>
            <w:vAlign w:val="bottom"/>
          </w:tcPr>
          <w:p>
            <w:pPr>
              <w:spacing w:after="0"/>
              <w:rPr>
                <w:sz w:val="21"/>
                <w:szCs w:val="21"/>
                <w:color w:val="auto"/>
              </w:rPr>
            </w:pPr>
          </w:p>
        </w:tc>
        <w:tc>
          <w:tcPr>
            <w:tcW w:w="340" w:type="dxa"/>
            <w:vAlign w:val="bottom"/>
            <w:tcBorders>
              <w:bottom w:val="single" w:sz="8" w:color="A6A6A6"/>
            </w:tcBorders>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985,464</w:t>
            </w:r>
          </w:p>
        </w:tc>
        <w:tc>
          <w:tcPr>
            <w:tcW w:w="100" w:type="dxa"/>
            <w:vAlign w:val="bottom"/>
          </w:tcPr>
          <w:p>
            <w:pPr>
              <w:spacing w:after="0"/>
              <w:rPr>
                <w:sz w:val="21"/>
                <w:szCs w:val="21"/>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874,673</w:t>
            </w:r>
          </w:p>
        </w:tc>
        <w:tc>
          <w:tcPr>
            <w:tcW w:w="100" w:type="dxa"/>
            <w:vAlign w:val="bottom"/>
          </w:tcPr>
          <w:p>
            <w:pPr>
              <w:spacing w:after="0"/>
              <w:rPr>
                <w:sz w:val="21"/>
                <w:szCs w:val="21"/>
                <w:color w:val="auto"/>
              </w:rPr>
            </w:pPr>
          </w:p>
        </w:tc>
      </w:tr>
      <w:tr>
        <w:trPr>
          <w:trHeight w:val="257"/>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18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354,353</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34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324,835</w:t>
            </w:r>
          </w:p>
        </w:tc>
        <w:tc>
          <w:tcPr>
            <w:tcW w:w="8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20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703,612</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32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649,527</w:t>
            </w:r>
          </w:p>
        </w:tc>
        <w:tc>
          <w:tcPr>
            <w:tcW w:w="100" w:type="dxa"/>
            <w:vAlign w:val="bottom"/>
          </w:tcPr>
          <w:p>
            <w:pPr>
              <w:spacing w:after="0"/>
              <w:rPr>
                <w:sz w:val="22"/>
                <w:szCs w:val="22"/>
                <w:color w:val="auto"/>
              </w:rPr>
            </w:pPr>
          </w:p>
        </w:tc>
      </w:tr>
      <w:tr>
        <w:trPr>
          <w:trHeight w:val="243"/>
        </w:trPr>
        <w:tc>
          <w:tcPr>
            <w:tcW w:w="52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180" w:type="dxa"/>
            <w:vAlign w:val="bottom"/>
            <w:tcBorders>
              <w:bottom w:val="single" w:sz="8" w:color="A6A6A6"/>
            </w:tcBorders>
          </w:tcPr>
          <w:p>
            <w:pPr>
              <w:spacing w:after="0"/>
              <w:rPr>
                <w:sz w:val="21"/>
                <w:szCs w:val="21"/>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155,341</w:t>
            </w: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34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122,849</w:t>
            </w:r>
          </w:p>
        </w:tc>
        <w:tc>
          <w:tcPr>
            <w:tcW w:w="8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200" w:type="dxa"/>
            <w:vAlign w:val="bottom"/>
            <w:tcBorders>
              <w:bottom w:val="single" w:sz="8" w:color="A6A6A6"/>
            </w:tcBorders>
          </w:tcPr>
          <w:p>
            <w:pPr>
              <w:spacing w:after="0"/>
              <w:rPr>
                <w:sz w:val="21"/>
                <w:szCs w:val="21"/>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281,852</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32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225,146</w:t>
            </w:r>
          </w:p>
        </w:tc>
        <w:tc>
          <w:tcPr>
            <w:tcW w:w="100" w:type="dxa"/>
            <w:vAlign w:val="bottom"/>
          </w:tcPr>
          <w:p>
            <w:pPr>
              <w:spacing w:after="0"/>
              <w:rPr>
                <w:sz w:val="21"/>
                <w:szCs w:val="21"/>
                <w:color w:val="auto"/>
              </w:rPr>
            </w:pPr>
          </w:p>
        </w:tc>
      </w:tr>
      <w:tr>
        <w:trPr>
          <w:trHeight w:val="250"/>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180" w:type="dxa"/>
            <w:vAlign w:val="bottom"/>
            <w:tcBorders>
              <w:bottom w:val="single" w:sz="8" w:color="A6A6A6"/>
            </w:tcBorders>
          </w:tcPr>
          <w:p>
            <w:pPr>
              <w:spacing w:after="0"/>
              <w:rPr>
                <w:sz w:val="21"/>
                <w:szCs w:val="21"/>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34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10,577</w:t>
            </w:r>
          </w:p>
        </w:tc>
        <w:tc>
          <w:tcPr>
            <w:tcW w:w="8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200" w:type="dxa"/>
            <w:vAlign w:val="bottom"/>
            <w:tcBorders>
              <w:bottom w:val="single" w:sz="8" w:color="A6A6A6"/>
            </w:tcBorders>
          </w:tcPr>
          <w:p>
            <w:pPr>
              <w:spacing w:after="0"/>
              <w:rPr>
                <w:sz w:val="21"/>
                <w:szCs w:val="21"/>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32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21"/>
                <w:szCs w:val="21"/>
                <w:color w:val="auto"/>
              </w:rPr>
            </w:pPr>
          </w:p>
        </w:tc>
      </w:tr>
      <w:tr>
        <w:trPr>
          <w:trHeight w:val="247"/>
        </w:trPr>
        <w:tc>
          <w:tcPr>
            <w:tcW w:w="520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(10,667 )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(11,109 )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(20,135 )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(28,898 )</w:t>
            </w:r>
          </w:p>
        </w:tc>
      </w:tr>
      <w:tr>
        <w:trPr>
          <w:trHeight w:val="23"/>
        </w:trPr>
        <w:tc>
          <w:tcPr>
            <w:tcW w:w="5200" w:type="dxa"/>
            <w:vAlign w:val="bottom"/>
            <w:shd w:val="clear" w:color="auto" w:fill="A6A6A6"/>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1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9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11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320" w:type="dxa"/>
            <w:vAlign w:val="bottom"/>
            <w:shd w:val="clear" w:color="auto" w:fill="A6A6A6"/>
          </w:tcPr>
          <w:p>
            <w:pPr>
              <w:spacing w:after="0"/>
              <w:rPr>
                <w:sz w:val="2"/>
                <w:szCs w:val="2"/>
                <w:color w:val="auto"/>
              </w:rPr>
            </w:pPr>
          </w:p>
        </w:tc>
        <w:tc>
          <w:tcPr>
            <w:tcW w:w="9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200" w:type="dxa"/>
            <w:vAlign w:val="bottom"/>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1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0"/>
        </w:trPr>
        <w:tc>
          <w:tcPr>
            <w:tcW w:w="52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Gain on Sale of Businesses</w:t>
            </w:r>
          </w:p>
        </w:tc>
        <w:tc>
          <w:tcPr>
            <w:tcW w:w="180" w:type="dxa"/>
            <w:vAlign w:val="bottom"/>
            <w:tcBorders>
              <w:top w:val="single" w:sz="8" w:color="A6A6A6"/>
              <w:bottom w:val="single" w:sz="8" w:color="A6A6A6"/>
            </w:tcBorders>
          </w:tcPr>
          <w:p>
            <w:pPr>
              <w:spacing w:after="0"/>
              <w:rPr>
                <w:sz w:val="21"/>
                <w:szCs w:val="21"/>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340" w:type="dxa"/>
            <w:vAlign w:val="bottom"/>
            <w:tcBorders>
              <w:top w:val="single" w:sz="8" w:color="A6A6A6"/>
              <w:bottom w:val="single" w:sz="8" w:color="A6A6A6"/>
            </w:tcBorders>
          </w:tcPr>
          <w:p>
            <w:pPr>
              <w:spacing w:after="0"/>
              <w:rPr>
                <w:sz w:val="21"/>
                <w:szCs w:val="21"/>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200" w:type="dxa"/>
            <w:vAlign w:val="bottom"/>
            <w:tcBorders>
              <w:top w:val="single" w:sz="8" w:color="A6A6A6"/>
              <w:bottom w:val="single" w:sz="8" w:color="A6A6A6"/>
            </w:tcBorders>
          </w:tcPr>
          <w:p>
            <w:pPr>
              <w:spacing w:after="0"/>
              <w:rPr>
                <w:sz w:val="21"/>
                <w:szCs w:val="21"/>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320" w:type="dxa"/>
            <w:vAlign w:val="bottom"/>
            <w:tcBorders>
              <w:top w:val="single" w:sz="8" w:color="A6A6A6"/>
              <w:bottom w:val="single" w:sz="8" w:color="A6A6A6"/>
            </w:tcBorders>
          </w:tcPr>
          <w:p>
            <w:pPr>
              <w:spacing w:after="0"/>
              <w:rPr>
                <w:sz w:val="21"/>
                <w:szCs w:val="21"/>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21"/>
                <w:szCs w:val="21"/>
                <w:color w:val="auto"/>
              </w:rPr>
            </w:pPr>
          </w:p>
        </w:tc>
      </w:tr>
      <w:tr>
        <w:trPr>
          <w:trHeight w:val="247"/>
        </w:trPr>
        <w:tc>
          <w:tcPr>
            <w:tcW w:w="5200" w:type="dxa"/>
            <w:vAlign w:val="bottom"/>
          </w:tcPr>
          <w:p>
            <w:pPr>
              <w:ind w:left="200"/>
              <w:spacing w:after="0"/>
              <w:rPr>
                <w:sz w:val="20"/>
                <w:szCs w:val="20"/>
                <w:color w:val="auto"/>
              </w:rPr>
            </w:pPr>
            <w:r>
              <w:rPr>
                <w:rFonts w:ascii="Arial" w:cs="Arial" w:eastAsia="Arial" w:hAnsi="Arial"/>
                <w:sz w:val="16"/>
                <w:szCs w:val="16"/>
                <w:color w:val="004483"/>
              </w:rPr>
              <w:t>Other Non-Operating Income (Loss)</w:t>
            </w:r>
          </w:p>
        </w:tc>
        <w:tc>
          <w:tcPr>
            <w:tcW w:w="18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(944 )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(90 )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(399 )</w:t>
            </w:r>
          </w:p>
        </w:tc>
      </w:tr>
      <w:tr>
        <w:trPr>
          <w:trHeight w:val="23"/>
        </w:trPr>
        <w:tc>
          <w:tcPr>
            <w:tcW w:w="5200" w:type="dxa"/>
            <w:vAlign w:val="bottom"/>
            <w:shd w:val="clear" w:color="auto" w:fill="A6A6A6"/>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1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9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11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320" w:type="dxa"/>
            <w:vAlign w:val="bottom"/>
            <w:shd w:val="clear" w:color="auto" w:fill="A6A6A6"/>
          </w:tcPr>
          <w:p>
            <w:pPr>
              <w:spacing w:after="0"/>
              <w:rPr>
                <w:sz w:val="2"/>
                <w:szCs w:val="2"/>
                <w:color w:val="auto"/>
              </w:rPr>
            </w:pPr>
          </w:p>
        </w:tc>
        <w:tc>
          <w:tcPr>
            <w:tcW w:w="9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520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1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(12,268 )</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(12,556 )</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(19,240 )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(26,597 )</w:t>
            </w:r>
          </w:p>
        </w:tc>
      </w:tr>
      <w:tr>
        <w:trPr>
          <w:trHeight w:val="243"/>
        </w:trPr>
        <w:tc>
          <w:tcPr>
            <w:tcW w:w="520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 before Income Taxes</w:t>
            </w:r>
          </w:p>
        </w:tc>
        <w:tc>
          <w:tcPr>
            <w:tcW w:w="180" w:type="dxa"/>
            <w:vAlign w:val="bottom"/>
            <w:tcBorders>
              <w:top w:val="single" w:sz="8" w:color="004483"/>
              <w:bottom w:val="single" w:sz="8" w:color="A6A6A6"/>
            </w:tcBorders>
          </w:tcPr>
          <w:p>
            <w:pPr>
              <w:spacing w:after="0"/>
              <w:rPr>
                <w:sz w:val="21"/>
                <w:szCs w:val="21"/>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131,315</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340" w:type="dxa"/>
            <w:vAlign w:val="bottom"/>
            <w:tcBorders>
              <w:top w:val="single" w:sz="8" w:color="004483"/>
              <w:bottom w:val="single" w:sz="8" w:color="A6A6A6"/>
            </w:tcBorders>
          </w:tcPr>
          <w:p>
            <w:pPr>
              <w:spacing w:after="0"/>
              <w:rPr>
                <w:sz w:val="21"/>
                <w:szCs w:val="21"/>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109,671</w:t>
            </w:r>
          </w:p>
        </w:tc>
        <w:tc>
          <w:tcPr>
            <w:tcW w:w="8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200" w:type="dxa"/>
            <w:vAlign w:val="bottom"/>
            <w:tcBorders>
              <w:top w:val="single" w:sz="8" w:color="004483"/>
              <w:bottom w:val="single" w:sz="8" w:color="A6A6A6"/>
            </w:tcBorders>
          </w:tcPr>
          <w:p>
            <w:pPr>
              <w:spacing w:after="0"/>
              <w:rPr>
                <w:sz w:val="21"/>
                <w:szCs w:val="21"/>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253,034</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320" w:type="dxa"/>
            <w:vAlign w:val="bottom"/>
            <w:tcBorders>
              <w:top w:val="single" w:sz="8" w:color="004483"/>
              <w:bottom w:val="single" w:sz="8" w:color="A6A6A6"/>
            </w:tcBorders>
          </w:tcPr>
          <w:p>
            <w:pPr>
              <w:spacing w:after="0"/>
              <w:rPr>
                <w:sz w:val="21"/>
                <w:szCs w:val="21"/>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239,598</w:t>
            </w:r>
          </w:p>
        </w:tc>
        <w:tc>
          <w:tcPr>
            <w:tcW w:w="100" w:type="dxa"/>
            <w:vAlign w:val="bottom"/>
          </w:tcPr>
          <w:p>
            <w:pPr>
              <w:spacing w:after="0"/>
              <w:rPr>
                <w:sz w:val="21"/>
                <w:szCs w:val="21"/>
                <w:color w:val="auto"/>
              </w:rPr>
            </w:pPr>
          </w:p>
        </w:tc>
      </w:tr>
      <w:tr>
        <w:trPr>
          <w:trHeight w:val="257"/>
        </w:trPr>
        <w:tc>
          <w:tcPr>
            <w:tcW w:w="5200" w:type="dxa"/>
            <w:vAlign w:val="bottom"/>
          </w:tcPr>
          <w:p>
            <w:pPr>
              <w:ind w:left="200"/>
              <w:spacing w:after="0"/>
              <w:rPr>
                <w:sz w:val="20"/>
                <w:szCs w:val="20"/>
                <w:color w:val="auto"/>
              </w:rPr>
            </w:pPr>
            <w:r>
              <w:rPr>
                <w:rFonts w:ascii="Arial" w:cs="Arial" w:eastAsia="Arial" w:hAnsi="Arial"/>
                <w:sz w:val="16"/>
                <w:szCs w:val="16"/>
                <w:color w:val="004483"/>
              </w:rPr>
              <w:t>Income Taxes</w:t>
            </w:r>
          </w:p>
        </w:tc>
        <w:tc>
          <w:tcPr>
            <w:tcW w:w="1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(29,190 )</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(19,800 )</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color w:val="auto"/>
              </w:rPr>
              <w:t>(55,582 )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(52,636 )</w:t>
            </w:r>
          </w:p>
        </w:tc>
      </w:tr>
      <w:tr>
        <w:trPr>
          <w:trHeight w:val="243"/>
        </w:trPr>
        <w:tc>
          <w:tcPr>
            <w:tcW w:w="520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from Continuing Operations</w:t>
            </w:r>
          </w:p>
        </w:tc>
        <w:tc>
          <w:tcPr>
            <w:tcW w:w="180" w:type="dxa"/>
            <w:vAlign w:val="bottom"/>
            <w:tcBorders>
              <w:top w:val="single" w:sz="8" w:color="004483"/>
              <w:bottom w:val="single" w:sz="8" w:color="A6A6A6"/>
            </w:tcBorders>
          </w:tcPr>
          <w:p>
            <w:pPr>
              <w:spacing w:after="0"/>
              <w:rPr>
                <w:sz w:val="21"/>
                <w:szCs w:val="21"/>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10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340" w:type="dxa"/>
            <w:vAlign w:val="bottom"/>
            <w:tcBorders>
              <w:top w:val="single" w:sz="8" w:color="004483"/>
              <w:bottom w:val="single" w:sz="8" w:color="A6A6A6"/>
            </w:tcBorders>
          </w:tcPr>
          <w:p>
            <w:pPr>
              <w:spacing w:after="0"/>
              <w:rPr>
                <w:sz w:val="21"/>
                <w:szCs w:val="21"/>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89,871</w:t>
            </w:r>
          </w:p>
        </w:tc>
        <w:tc>
          <w:tcPr>
            <w:tcW w:w="80" w:type="dxa"/>
            <w:vAlign w:val="bottom"/>
          </w:tcPr>
          <w:p>
            <w:pPr>
              <w:spacing w:after="0"/>
              <w:rPr>
                <w:sz w:val="21"/>
                <w:szCs w:val="21"/>
                <w:color w:val="auto"/>
              </w:rPr>
            </w:pPr>
          </w:p>
        </w:tc>
        <w:tc>
          <w:tcPr>
            <w:tcW w:w="140" w:type="dxa"/>
            <w:vAlign w:val="bottom"/>
            <w:tcBorders>
              <w:top w:val="single" w:sz="8" w:color="A6A6A6"/>
              <w:bottom w:val="single" w:sz="8" w:color="A6A6A6"/>
            </w:tcBorders>
          </w:tcPr>
          <w:p>
            <w:pPr>
              <w:spacing w:after="0"/>
              <w:rPr>
                <w:sz w:val="21"/>
                <w:szCs w:val="21"/>
                <w:color w:val="auto"/>
              </w:rPr>
            </w:pPr>
          </w:p>
        </w:tc>
        <w:tc>
          <w:tcPr>
            <w:tcW w:w="200" w:type="dxa"/>
            <w:vAlign w:val="bottom"/>
            <w:tcBorders>
              <w:top w:val="single" w:sz="8" w:color="004483"/>
              <w:bottom w:val="single" w:sz="8" w:color="A6A6A6"/>
            </w:tcBorders>
          </w:tcPr>
          <w:p>
            <w:pPr>
              <w:spacing w:after="0"/>
              <w:rPr>
                <w:sz w:val="21"/>
                <w:szCs w:val="21"/>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197,452</w:t>
            </w:r>
          </w:p>
        </w:tc>
        <w:tc>
          <w:tcPr>
            <w:tcW w:w="100" w:type="dxa"/>
            <w:vAlign w:val="bottom"/>
          </w:tcPr>
          <w:p>
            <w:pPr>
              <w:spacing w:after="0"/>
              <w:rPr>
                <w:sz w:val="21"/>
                <w:szCs w:val="21"/>
                <w:color w:val="auto"/>
              </w:rPr>
            </w:pPr>
          </w:p>
        </w:tc>
        <w:tc>
          <w:tcPr>
            <w:tcW w:w="120" w:type="dxa"/>
            <w:vAlign w:val="bottom"/>
            <w:tcBorders>
              <w:top w:val="single" w:sz="8" w:color="A6A6A6"/>
              <w:bottom w:val="single" w:sz="8" w:color="A6A6A6"/>
            </w:tcBorders>
          </w:tcPr>
          <w:p>
            <w:pPr>
              <w:spacing w:after="0"/>
              <w:rPr>
                <w:sz w:val="21"/>
                <w:szCs w:val="21"/>
                <w:color w:val="auto"/>
              </w:rPr>
            </w:pPr>
          </w:p>
        </w:tc>
        <w:tc>
          <w:tcPr>
            <w:tcW w:w="320" w:type="dxa"/>
            <w:vAlign w:val="bottom"/>
            <w:tcBorders>
              <w:top w:val="single" w:sz="8" w:color="004483"/>
              <w:bottom w:val="single" w:sz="8" w:color="A6A6A6"/>
            </w:tcBorders>
          </w:tcPr>
          <w:p>
            <w:pPr>
              <w:spacing w:after="0"/>
              <w:rPr>
                <w:sz w:val="21"/>
                <w:szCs w:val="21"/>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186,962</w:t>
            </w:r>
          </w:p>
        </w:tc>
        <w:tc>
          <w:tcPr>
            <w:tcW w:w="100" w:type="dxa"/>
            <w:vAlign w:val="bottom"/>
          </w:tcPr>
          <w:p>
            <w:pPr>
              <w:spacing w:after="0"/>
              <w:rPr>
                <w:sz w:val="21"/>
                <w:szCs w:val="21"/>
                <w:color w:val="auto"/>
              </w:rPr>
            </w:pPr>
          </w:p>
        </w:tc>
      </w:tr>
      <w:tr>
        <w:trPr>
          <w:trHeight w:val="257"/>
        </w:trPr>
        <w:tc>
          <w:tcPr>
            <w:tcW w:w="5200" w:type="dxa"/>
            <w:vAlign w:val="bottom"/>
          </w:tcPr>
          <w:p>
            <w:pPr>
              <w:ind w:left="200"/>
              <w:spacing w:after="0"/>
              <w:rPr>
                <w:sz w:val="20"/>
                <w:szCs w:val="20"/>
                <w:color w:val="auto"/>
              </w:rPr>
            </w:pPr>
            <w:r>
              <w:rPr>
                <w:rFonts w:ascii="Arial" w:cs="Arial" w:eastAsia="Arial" w:hAnsi="Arial"/>
                <w:sz w:val="16"/>
                <w:szCs w:val="16"/>
                <w:color w:val="004483"/>
              </w:rPr>
              <w:t>Earnings from Discontinued Operations, net of Income Taxes</w:t>
            </w:r>
          </w:p>
        </w:tc>
        <w:tc>
          <w:tcPr>
            <w:tcW w:w="18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22"/>
                <w:szCs w:val="22"/>
                <w:color w:val="auto"/>
              </w:rPr>
            </w:pPr>
          </w:p>
        </w:tc>
      </w:tr>
      <w:tr>
        <w:trPr>
          <w:trHeight w:val="217"/>
        </w:trPr>
        <w:tc>
          <w:tcPr>
            <w:tcW w:w="520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17385E"/>
              </w:rPr>
              <w:t>Net Earnings</w:t>
            </w:r>
          </w:p>
        </w:tc>
        <w:tc>
          <w:tcPr>
            <w:tcW w:w="1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102,125</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40" w:type="dxa"/>
            <w:vAlign w:val="bottom"/>
            <w:tcBorders>
              <w:top w:val="single" w:sz="8" w:color="004483"/>
              <w:bottom w:val="single" w:sz="8" w:color="004483"/>
            </w:tcBorders>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96,034</w:t>
            </w:r>
          </w:p>
        </w:tc>
        <w:tc>
          <w:tcPr>
            <w:tcW w:w="8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200" w:type="dxa"/>
            <w:vAlign w:val="bottom"/>
            <w:tcBorders>
              <w:top w:val="single" w:sz="8" w:color="004483"/>
              <w:bottom w:val="single" w:sz="8" w:color="004483"/>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197,452</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320" w:type="dxa"/>
            <w:vAlign w:val="bottom"/>
            <w:tcBorders>
              <w:top w:val="single" w:sz="8" w:color="004483"/>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192,240</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200" w:type="dxa"/>
            <w:vAlign w:val="bottom"/>
            <w:tcBorders>
              <w:bottom w:val="single" w:sz="8" w:color="A6A6A6"/>
            </w:tcBorders>
          </w:tcPr>
          <w:p>
            <w:pPr>
              <w:spacing w:after="0"/>
              <w:rPr>
                <w:sz w:val="21"/>
                <w:szCs w:val="21"/>
                <w:color w:val="auto"/>
              </w:rPr>
            </w:pPr>
          </w:p>
        </w:tc>
        <w:tc>
          <w:tcPr>
            <w:tcW w:w="180" w:type="dxa"/>
            <w:vAlign w:val="bottom"/>
            <w:tcBorders>
              <w:bottom w:val="single" w:sz="8" w:color="A6A6A6"/>
            </w:tcBorders>
          </w:tcPr>
          <w:p>
            <w:pPr>
              <w:spacing w:after="0"/>
              <w:rPr>
                <w:sz w:val="21"/>
                <w:szCs w:val="21"/>
                <w:color w:val="auto"/>
              </w:rPr>
            </w:pPr>
          </w:p>
        </w:tc>
        <w:tc>
          <w:tcPr>
            <w:tcW w:w="116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34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200" w:type="dxa"/>
            <w:vAlign w:val="bottom"/>
            <w:tcBorders>
              <w:bottom w:val="single" w:sz="8" w:color="A6A6A6"/>
            </w:tcBorders>
          </w:tcPr>
          <w:p>
            <w:pPr>
              <w:spacing w:after="0"/>
              <w:rPr>
                <w:sz w:val="21"/>
                <w:szCs w:val="21"/>
                <w:color w:val="auto"/>
              </w:rPr>
            </w:pPr>
          </w:p>
        </w:tc>
        <w:tc>
          <w:tcPr>
            <w:tcW w:w="110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320" w:type="dxa"/>
            <w:vAlign w:val="bottom"/>
            <w:tcBorders>
              <w:bottom w:val="single" w:sz="8" w:color="A6A6A6"/>
            </w:tcBorders>
          </w:tcPr>
          <w:p>
            <w:pPr>
              <w:spacing w:after="0"/>
              <w:rPr>
                <w:sz w:val="21"/>
                <w:szCs w:val="21"/>
                <w:color w:val="auto"/>
              </w:rPr>
            </w:pPr>
          </w:p>
        </w:tc>
        <w:tc>
          <w:tcPr>
            <w:tcW w:w="98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r>
      <w:tr>
        <w:trPr>
          <w:trHeight w:val="204"/>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
        </w:trPr>
        <w:tc>
          <w:tcPr>
            <w:tcW w:w="52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6A6A6"/>
            </w:tcBorders>
            <w:gridSpan w:val="2"/>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6A6A6"/>
            </w:tcBorders>
            <w:gridSpan w:val="2"/>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6A6A6"/>
            </w:tcBorders>
            <w:gridSpan w:val="2"/>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1"/>
                <w:szCs w:val="21"/>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2.17</w:t>
            </w:r>
          </w:p>
        </w:tc>
        <w:tc>
          <w:tcPr>
            <w:tcW w:w="80" w:type="dxa"/>
            <w:vAlign w:val="bottom"/>
          </w:tcPr>
          <w:p>
            <w:pPr>
              <w:spacing w:after="0"/>
              <w:rPr>
                <w:sz w:val="21"/>
                <w:szCs w:val="21"/>
                <w:color w:val="auto"/>
              </w:rPr>
            </w:pPr>
          </w:p>
        </w:tc>
        <w:tc>
          <w:tcPr>
            <w:tcW w:w="340" w:type="dxa"/>
            <w:vAlign w:val="bottom"/>
            <w:tcBorders>
              <w:bottom w:val="single" w:sz="8" w:color="A6A6A6"/>
            </w:tcBorders>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1"/>
                <w:szCs w:val="21"/>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1"/>
                <w:szCs w:val="21"/>
                <w:color w:val="auto"/>
              </w:rPr>
            </w:pPr>
          </w:p>
        </w:tc>
      </w:tr>
      <w:tr>
        <w:trPr>
          <w:trHeight w:val="257"/>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Discontinued Operations</w:t>
            </w:r>
          </w:p>
        </w:tc>
        <w:tc>
          <w:tcPr>
            <w:tcW w:w="18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34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0.15</w:t>
            </w:r>
          </w:p>
        </w:tc>
        <w:tc>
          <w:tcPr>
            <w:tcW w:w="8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20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32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r>
      <w:tr>
        <w:trPr>
          <w:trHeight w:val="216"/>
        </w:trPr>
        <w:tc>
          <w:tcPr>
            <w:tcW w:w="5200" w:type="dxa"/>
            <w:vAlign w:val="bottom"/>
          </w:tcPr>
          <w:p>
            <w:pPr>
              <w:ind w:left="200"/>
              <w:spacing w:after="0"/>
              <w:rPr>
                <w:sz w:val="20"/>
                <w:szCs w:val="20"/>
                <w:color w:val="auto"/>
              </w:rPr>
            </w:pPr>
            <w:r>
              <w:rPr>
                <w:rFonts w:ascii="Arial" w:cs="Arial" w:eastAsia="Arial" w:hAnsi="Arial"/>
                <w:sz w:val="16"/>
                <w:szCs w:val="16"/>
                <w:color w:val="004483"/>
              </w:rPr>
              <w:t>Net Earnings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8"/>
                <w:szCs w:val="18"/>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8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980" w:type="dxa"/>
            <w:vAlign w:val="bottom"/>
            <w:tcBorders>
              <w:top w:val="single" w:sz="8" w:color="004483"/>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00" w:type="dxa"/>
            <w:vAlign w:val="bottom"/>
            <w:tcBorders>
              <w:top w:val="single" w:sz="8" w:color="004483"/>
              <w:bottom w:val="single" w:sz="8" w:color="004483"/>
            </w:tcBorders>
          </w:tcPr>
          <w:p>
            <w:pPr>
              <w:spacing w:after="0" w:line="20" w:lineRule="exact"/>
              <w:rPr>
                <w:sz w:val="1"/>
                <w:szCs w:val="1"/>
                <w:color w:val="auto"/>
              </w:rPr>
            </w:pPr>
          </w:p>
        </w:tc>
        <w:tc>
          <w:tcPr>
            <w:tcW w:w="11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top w:val="single" w:sz="8" w:color="004483"/>
              <w:bottom w:val="single" w:sz="8" w:color="004483"/>
            </w:tcBorders>
          </w:tcPr>
          <w:p>
            <w:pPr>
              <w:spacing w:after="0" w:line="20" w:lineRule="exact"/>
              <w:rPr>
                <w:sz w:val="1"/>
                <w:szCs w:val="1"/>
                <w:color w:val="auto"/>
              </w:rPr>
            </w:pPr>
          </w:p>
        </w:tc>
        <w:tc>
          <w:tcPr>
            <w:tcW w:w="9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
        </w:trPr>
        <w:tc>
          <w:tcPr>
            <w:tcW w:w="52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6A6A6"/>
            </w:tcBorders>
            <w:gridSpan w:val="2"/>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6A6A6"/>
            </w:tcBorders>
            <w:gridSpan w:val="2"/>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6A6A6"/>
            </w:tcBorders>
            <w:gridSpan w:val="2"/>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Continuing Operations</w:t>
            </w:r>
          </w:p>
        </w:tc>
        <w:tc>
          <w:tcPr>
            <w:tcW w:w="1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1"/>
                <w:szCs w:val="21"/>
                <w:color w:val="auto"/>
              </w:rPr>
            </w:pPr>
          </w:p>
        </w:tc>
        <w:tc>
          <w:tcPr>
            <w:tcW w:w="48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21"/>
                <w:szCs w:val="21"/>
                <w:color w:val="auto"/>
              </w:rPr>
            </w:pPr>
          </w:p>
        </w:tc>
        <w:tc>
          <w:tcPr>
            <w:tcW w:w="340" w:type="dxa"/>
            <w:vAlign w:val="bottom"/>
            <w:tcBorders>
              <w:bottom w:val="single" w:sz="8" w:color="A6A6A6"/>
            </w:tcBorders>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1"/>
                <w:szCs w:val="21"/>
                <w:color w:val="auto"/>
              </w:rPr>
            </w:pPr>
          </w:p>
        </w:tc>
        <w:tc>
          <w:tcPr>
            <w:tcW w:w="440" w:type="dxa"/>
            <w:vAlign w:val="bottom"/>
            <w:tcBorders>
              <w:bottom w:val="single" w:sz="8" w:color="A6A6A6"/>
            </w:tcBorders>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1"/>
                <w:szCs w:val="21"/>
                <w:color w:val="auto"/>
              </w:rPr>
            </w:pPr>
          </w:p>
        </w:tc>
      </w:tr>
      <w:tr>
        <w:trPr>
          <w:trHeight w:val="256"/>
        </w:trPr>
        <w:tc>
          <w:tcPr>
            <w:tcW w:w="52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Discontinued Operations</w:t>
            </w:r>
          </w:p>
        </w:tc>
        <w:tc>
          <w:tcPr>
            <w:tcW w:w="18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34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0.15</w:t>
            </w:r>
          </w:p>
        </w:tc>
        <w:tc>
          <w:tcPr>
            <w:tcW w:w="8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20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32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2"/>
                <w:szCs w:val="22"/>
                <w:color w:val="auto"/>
              </w:rPr>
            </w:pPr>
          </w:p>
        </w:tc>
      </w:tr>
      <w:tr>
        <w:trPr>
          <w:trHeight w:val="217"/>
        </w:trPr>
        <w:tc>
          <w:tcPr>
            <w:tcW w:w="5200" w:type="dxa"/>
            <w:vAlign w:val="bottom"/>
          </w:tcPr>
          <w:p>
            <w:pPr>
              <w:ind w:left="200"/>
              <w:spacing w:after="0"/>
              <w:rPr>
                <w:sz w:val="20"/>
                <w:szCs w:val="20"/>
                <w:color w:val="auto"/>
              </w:rPr>
            </w:pPr>
            <w:r>
              <w:rPr>
                <w:rFonts w:ascii="Arial" w:cs="Arial" w:eastAsia="Arial" w:hAnsi="Arial"/>
                <w:sz w:val="16"/>
                <w:szCs w:val="16"/>
                <w:color w:val="004483"/>
              </w:rPr>
              <w:t>Net Earnings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8"/>
                <w:szCs w:val="18"/>
                <w:color w:val="auto"/>
              </w:rPr>
            </w:pPr>
          </w:p>
        </w:tc>
        <w:tc>
          <w:tcPr>
            <w:tcW w:w="34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8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top w:val="single" w:sz="8" w:color="004483"/>
              <w:bottom w:val="single" w:sz="8" w:color="004483"/>
            </w:tcBorders>
          </w:tcPr>
          <w:p>
            <w:pPr>
              <w:spacing w:after="0" w:line="20" w:lineRule="exact"/>
              <w:rPr>
                <w:sz w:val="1"/>
                <w:szCs w:val="1"/>
                <w:color w:val="auto"/>
              </w:rPr>
            </w:pPr>
          </w:p>
        </w:tc>
        <w:tc>
          <w:tcPr>
            <w:tcW w:w="980" w:type="dxa"/>
            <w:vAlign w:val="bottom"/>
            <w:tcBorders>
              <w:top w:val="single" w:sz="8" w:color="004483"/>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00" w:type="dxa"/>
            <w:vAlign w:val="bottom"/>
            <w:tcBorders>
              <w:top w:val="single" w:sz="8" w:color="004483"/>
              <w:bottom w:val="single" w:sz="8" w:color="004483"/>
            </w:tcBorders>
          </w:tcPr>
          <w:p>
            <w:pPr>
              <w:spacing w:after="0" w:line="20" w:lineRule="exact"/>
              <w:rPr>
                <w:sz w:val="1"/>
                <w:szCs w:val="1"/>
                <w:color w:val="auto"/>
              </w:rPr>
            </w:pPr>
          </w:p>
        </w:tc>
        <w:tc>
          <w:tcPr>
            <w:tcW w:w="11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top w:val="single" w:sz="8" w:color="004483"/>
              <w:bottom w:val="single" w:sz="8" w:color="004483"/>
            </w:tcBorders>
          </w:tcPr>
          <w:p>
            <w:pPr>
              <w:spacing w:after="0" w:line="20" w:lineRule="exact"/>
              <w:rPr>
                <w:sz w:val="1"/>
                <w:szCs w:val="1"/>
                <w:color w:val="auto"/>
              </w:rPr>
            </w:pPr>
          </w:p>
        </w:tc>
        <w:tc>
          <w:tcPr>
            <w:tcW w:w="9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
        </w:trPr>
        <w:tc>
          <w:tcPr>
            <w:tcW w:w="5200" w:type="dxa"/>
            <w:vAlign w:val="bottom"/>
            <w:tcBorders>
              <w:bottom w:val="single" w:sz="8" w:color="A6A6A6"/>
            </w:tcBorders>
          </w:tcPr>
          <w:p>
            <w:pPr>
              <w:spacing w:after="0"/>
              <w:rPr>
                <w:sz w:val="4"/>
                <w:szCs w:val="4"/>
                <w:color w:val="auto"/>
              </w:rPr>
            </w:pPr>
          </w:p>
        </w:tc>
        <w:tc>
          <w:tcPr>
            <w:tcW w:w="18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340" w:type="dxa"/>
            <w:vAlign w:val="bottom"/>
            <w:tcBorders>
              <w:bottom w:val="single" w:sz="8" w:color="A6A6A6"/>
            </w:tcBorders>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6A6A6"/>
            </w:tcBorders>
          </w:tcPr>
          <w:p>
            <w:pPr>
              <w:spacing w:after="0"/>
              <w:rPr>
                <w:sz w:val="4"/>
                <w:szCs w:val="4"/>
                <w:color w:val="auto"/>
              </w:rPr>
            </w:pPr>
          </w:p>
        </w:tc>
        <w:tc>
          <w:tcPr>
            <w:tcW w:w="200" w:type="dxa"/>
            <w:vAlign w:val="bottom"/>
            <w:tcBorders>
              <w:bottom w:val="single" w:sz="8" w:color="A6A6A6"/>
            </w:tcBorders>
          </w:tcPr>
          <w:p>
            <w:pPr>
              <w:spacing w:after="0"/>
              <w:rPr>
                <w:sz w:val="4"/>
                <w:szCs w:val="4"/>
                <w:color w:val="auto"/>
              </w:rPr>
            </w:pPr>
          </w:p>
        </w:tc>
        <w:tc>
          <w:tcPr>
            <w:tcW w:w="110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6A6A6"/>
            </w:tcBorders>
          </w:tcPr>
          <w:p>
            <w:pPr>
              <w:spacing w:after="0"/>
              <w:rPr>
                <w:sz w:val="4"/>
                <w:szCs w:val="4"/>
                <w:color w:val="auto"/>
              </w:rPr>
            </w:pPr>
          </w:p>
        </w:tc>
        <w:tc>
          <w:tcPr>
            <w:tcW w:w="320" w:type="dxa"/>
            <w:vAlign w:val="bottom"/>
            <w:tcBorders>
              <w:bottom w:val="single" w:sz="8" w:color="A6A6A6"/>
            </w:tcBorders>
          </w:tcPr>
          <w:p>
            <w:pPr>
              <w:spacing w:after="0"/>
              <w:rPr>
                <w:sz w:val="4"/>
                <w:szCs w:val="4"/>
                <w:color w:val="auto"/>
              </w:rPr>
            </w:pPr>
          </w:p>
        </w:tc>
        <w:tc>
          <w:tcPr>
            <w:tcW w:w="980" w:type="dxa"/>
            <w:vAlign w:val="bottom"/>
            <w:tcBorders>
              <w:bottom w:val="single" w:sz="8" w:color="A6A6A6"/>
            </w:tcBorders>
          </w:tcPr>
          <w:p>
            <w:pPr>
              <w:spacing w:after="0"/>
              <w:rPr>
                <w:sz w:val="4"/>
                <w:szCs w:val="4"/>
                <w:color w:val="auto"/>
              </w:rPr>
            </w:pPr>
          </w:p>
        </w:tc>
        <w:tc>
          <w:tcPr>
            <w:tcW w:w="100" w:type="dxa"/>
            <w:vAlign w:val="bottom"/>
          </w:tcPr>
          <w:p>
            <w:pPr>
              <w:spacing w:after="0"/>
              <w:rPr>
                <w:sz w:val="4"/>
                <w:szCs w:val="4"/>
                <w:color w:val="auto"/>
              </w:rPr>
            </w:pPr>
          </w:p>
        </w:tc>
      </w:tr>
      <w:tr>
        <w:trPr>
          <w:trHeight w:val="217"/>
        </w:trPr>
        <w:tc>
          <w:tcPr>
            <w:tcW w:w="5200" w:type="dxa"/>
            <w:vAlign w:val="bottom"/>
          </w:tcPr>
          <w:p>
            <w:pPr>
              <w:ind w:left="200"/>
              <w:spacing w:after="0"/>
              <w:rPr>
                <w:sz w:val="20"/>
                <w:szCs w:val="20"/>
                <w:color w:val="auto"/>
              </w:rPr>
            </w:pPr>
            <w:r>
              <w:rPr>
                <w:rFonts w:ascii="Arial" w:cs="Arial" w:eastAsia="Arial" w:hAnsi="Arial"/>
                <w:sz w:val="16"/>
                <w:szCs w:val="16"/>
                <w:color w:val="004483"/>
              </w:rPr>
              <w:t>Basic</w:t>
            </w:r>
          </w:p>
        </w:tc>
        <w:tc>
          <w:tcPr>
            <w:tcW w:w="18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41,222,161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41,450,013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41,623,187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41,430,511</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180" w:type="dxa"/>
            <w:vAlign w:val="bottom"/>
            <w:tcBorders>
              <w:bottom w:val="single" w:sz="8" w:color="004483"/>
            </w:tcBorders>
          </w:tcPr>
          <w:p>
            <w:pPr>
              <w:spacing w:after="0"/>
              <w:rPr>
                <w:sz w:val="18"/>
                <w:szCs w:val="18"/>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41,594,733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41,649,319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42,013,847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004483"/>
            </w:tcBorders>
          </w:tcPr>
          <w:p>
            <w:pPr>
              <w:spacing w:after="0"/>
              <w:rPr>
                <w:sz w:val="18"/>
                <w:szCs w:val="18"/>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41,606,401</w:t>
            </w:r>
          </w:p>
        </w:tc>
        <w:tc>
          <w:tcPr>
            <w:tcW w:w="100" w:type="dxa"/>
            <w:vAlign w:val="bottom"/>
          </w:tcPr>
          <w:p>
            <w:pPr>
              <w:spacing w:after="0"/>
              <w:rPr>
                <w:sz w:val="18"/>
                <w:szCs w:val="18"/>
                <w:color w:val="auto"/>
              </w:rPr>
            </w:pPr>
          </w:p>
        </w:tc>
      </w:tr>
      <w:tr>
        <w:trPr>
          <w:trHeight w:val="20"/>
        </w:trPr>
        <w:tc>
          <w:tcPr>
            <w:tcW w:w="52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7199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2603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60" w:type="dxa"/>
            <w:vAlign w:val="bottom"/>
            <w:shd w:val="clear" w:color="auto" w:fill="004483"/>
          </w:tcPr>
          <w:p>
            <w:pPr>
              <w:spacing w:after="0"/>
              <w:rPr>
                <w:sz w:val="16"/>
                <w:szCs w:val="16"/>
                <w:color w:val="auto"/>
              </w:rPr>
            </w:pPr>
          </w:p>
        </w:tc>
        <w:tc>
          <w:tcPr>
            <w:tcW w:w="2800" w:type="dxa"/>
            <w:vAlign w:val="bottom"/>
            <w:gridSpan w:val="6"/>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40" w:type="dxa"/>
            <w:vAlign w:val="bottom"/>
          </w:tcPr>
          <w:p>
            <w:pPr>
              <w:spacing w:after="0"/>
              <w:rPr>
                <w:sz w:val="16"/>
                <w:szCs w:val="16"/>
                <w:color w:val="auto"/>
              </w:rPr>
            </w:pPr>
          </w:p>
        </w:tc>
        <w:tc>
          <w:tcPr>
            <w:tcW w:w="180" w:type="dxa"/>
            <w:vAlign w:val="bottom"/>
            <w:shd w:val="clear" w:color="auto" w:fill="004483"/>
          </w:tcPr>
          <w:p>
            <w:pPr>
              <w:spacing w:after="0"/>
              <w:rPr>
                <w:sz w:val="16"/>
                <w:szCs w:val="16"/>
                <w:color w:val="auto"/>
              </w:rPr>
            </w:pPr>
          </w:p>
        </w:tc>
        <w:tc>
          <w:tcPr>
            <w:tcW w:w="274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1"/>
              </w:rPr>
              <w:t>For the Six Months Ended September 30,</w:t>
            </w:r>
          </w:p>
        </w:tc>
      </w:t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6"/>
        </w:trPr>
        <w:tc>
          <w:tcPr>
            <w:tcW w:w="522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6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480" w:type="dxa"/>
            <w:vAlign w:val="bottom"/>
            <w:tcBorders>
              <w:bottom w:val="single" w:sz="8" w:color="004483"/>
            </w:tcBorders>
          </w:tcPr>
          <w:p>
            <w:pPr>
              <w:spacing w:after="0"/>
              <w:rPr>
                <w:sz w:val="19"/>
                <w:szCs w:val="19"/>
                <w:color w:val="auto"/>
              </w:rPr>
            </w:pPr>
          </w:p>
        </w:tc>
        <w:tc>
          <w:tcPr>
            <w:tcW w:w="2460" w:type="dxa"/>
            <w:vAlign w:val="bottom"/>
            <w:tcBorders>
              <w:bottom w:val="single" w:sz="8" w:color="004483"/>
            </w:tcBorders>
            <w:gridSpan w:val="6"/>
          </w:tcPr>
          <w:p>
            <w:pPr>
              <w:jc w:val="right"/>
              <w:ind w:right="10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9"/>
                <w:szCs w:val="19"/>
                <w:color w:val="auto"/>
              </w:rPr>
            </w:pPr>
          </w:p>
        </w:tc>
        <w:tc>
          <w:tcPr>
            <w:tcW w:w="42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120" w:type="dxa"/>
            <w:vAlign w:val="bottom"/>
          </w:tcPr>
          <w:p>
            <w:pPr>
              <w:spacing w:after="0"/>
              <w:rPr>
                <w:sz w:val="19"/>
                <w:szCs w:val="19"/>
                <w:color w:val="auto"/>
              </w:rPr>
            </w:pPr>
          </w:p>
        </w:tc>
        <w:tc>
          <w:tcPr>
            <w:tcW w:w="60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10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197,452</w:t>
            </w:r>
          </w:p>
        </w:tc>
        <w:tc>
          <w:tcPr>
            <w:tcW w:w="120" w:type="dxa"/>
            <w:vAlign w:val="bottom"/>
          </w:tcPr>
          <w:p>
            <w:pPr>
              <w:spacing w:after="0"/>
              <w:rPr>
                <w:sz w:val="19"/>
                <w:szCs w:val="19"/>
                <w:color w:val="auto"/>
              </w:rPr>
            </w:pPr>
          </w:p>
        </w:tc>
        <w:tc>
          <w:tcPr>
            <w:tcW w:w="54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192,240</w:t>
            </w: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82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r>
      <w:tr>
        <w:trPr>
          <w:trHeight w:val="223"/>
        </w:trPr>
        <w:tc>
          <w:tcPr>
            <w:tcW w:w="5220" w:type="dxa"/>
            <w:vAlign w:val="bottom"/>
          </w:tcPr>
          <w:p>
            <w:pPr>
              <w:ind w:left="200"/>
              <w:spacing w:after="0"/>
              <w:rPr>
                <w:sz w:val="20"/>
                <w:szCs w:val="20"/>
                <w:color w:val="auto"/>
              </w:rPr>
            </w:pPr>
            <w:r>
              <w:rPr>
                <w:rFonts w:ascii="Arial" w:cs="Arial" w:eastAsia="Arial" w:hAnsi="Arial"/>
                <w:sz w:val="16"/>
                <w:szCs w:val="16"/>
                <w:color w:val="004483"/>
              </w:rPr>
              <w:t>Tax Expense</w:t>
            </w:r>
          </w:p>
        </w:tc>
        <w:tc>
          <w:tcPr>
            <w:tcW w:w="1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r>
      <w:tr>
        <w:trPr>
          <w:trHeight w:val="223"/>
        </w:trPr>
        <w:tc>
          <w:tcPr>
            <w:tcW w:w="52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17385E"/>
              </w:rPr>
              <w:t>Comprehensive Earnings</w:t>
            </w:r>
          </w:p>
        </w:tc>
        <w:tc>
          <w:tcPr>
            <w:tcW w:w="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102,152</w:t>
            </w:r>
          </w:p>
        </w:tc>
        <w:tc>
          <w:tcPr>
            <w:tcW w:w="120" w:type="dxa"/>
            <w:vAlign w:val="bottom"/>
          </w:tcPr>
          <w:p>
            <w:pPr>
              <w:spacing w:after="0"/>
              <w:rPr>
                <w:sz w:val="19"/>
                <w:szCs w:val="19"/>
                <w:color w:val="auto"/>
              </w:rPr>
            </w:pPr>
          </w:p>
        </w:tc>
        <w:tc>
          <w:tcPr>
            <w:tcW w:w="120" w:type="dxa"/>
            <w:vAlign w:val="bottom"/>
            <w:tcBorders>
              <w:top w:val="single" w:sz="8" w:color="A6A6A6"/>
            </w:tcBorders>
          </w:tcPr>
          <w:p>
            <w:pPr>
              <w:spacing w:after="0"/>
              <w:rPr>
                <w:sz w:val="19"/>
                <w:szCs w:val="19"/>
                <w:color w:val="auto"/>
              </w:rPr>
            </w:pPr>
          </w:p>
        </w:tc>
        <w:tc>
          <w:tcPr>
            <w:tcW w:w="480" w:type="dxa"/>
            <w:vAlign w:val="bottom"/>
            <w:tcBorders>
              <w:top w:val="single" w:sz="8" w:color="004483"/>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96,060</w:t>
            </w:r>
          </w:p>
        </w:tc>
        <w:tc>
          <w:tcPr>
            <w:tcW w:w="100" w:type="dxa"/>
            <w:vAlign w:val="bottom"/>
          </w:tcPr>
          <w:p>
            <w:pPr>
              <w:spacing w:after="0"/>
              <w:rPr>
                <w:sz w:val="19"/>
                <w:szCs w:val="19"/>
                <w:color w:val="auto"/>
              </w:rPr>
            </w:pPr>
          </w:p>
        </w:tc>
        <w:tc>
          <w:tcPr>
            <w:tcW w:w="140" w:type="dxa"/>
            <w:vAlign w:val="bottom"/>
            <w:tcBorders>
              <w:top w:val="single" w:sz="8" w:color="A6A6A6"/>
            </w:tcBorders>
          </w:tcPr>
          <w:p>
            <w:pPr>
              <w:spacing w:after="0"/>
              <w:rPr>
                <w:sz w:val="19"/>
                <w:szCs w:val="19"/>
                <w:color w:val="auto"/>
              </w:rPr>
            </w:pPr>
          </w:p>
        </w:tc>
        <w:tc>
          <w:tcPr>
            <w:tcW w:w="180" w:type="dxa"/>
            <w:vAlign w:val="bottom"/>
            <w:tcBorders>
              <w:top w:val="single" w:sz="8" w:color="004483"/>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197,506</w:t>
            </w:r>
          </w:p>
        </w:tc>
        <w:tc>
          <w:tcPr>
            <w:tcW w:w="120" w:type="dxa"/>
            <w:vAlign w:val="bottom"/>
          </w:tcPr>
          <w:p>
            <w:pPr>
              <w:spacing w:after="0"/>
              <w:rPr>
                <w:sz w:val="19"/>
                <w:szCs w:val="19"/>
                <w:color w:val="auto"/>
              </w:rPr>
            </w:pPr>
          </w:p>
        </w:tc>
        <w:tc>
          <w:tcPr>
            <w:tcW w:w="120" w:type="dxa"/>
            <w:vAlign w:val="bottom"/>
            <w:tcBorders>
              <w:top w:val="single" w:sz="8" w:color="A6A6A6"/>
            </w:tcBorders>
          </w:tcPr>
          <w:p>
            <w:pPr>
              <w:spacing w:after="0"/>
              <w:rPr>
                <w:sz w:val="19"/>
                <w:szCs w:val="19"/>
                <w:color w:val="auto"/>
              </w:rPr>
            </w:pPr>
          </w:p>
        </w:tc>
        <w:tc>
          <w:tcPr>
            <w:tcW w:w="420" w:type="dxa"/>
            <w:vAlign w:val="bottom"/>
            <w:tcBorders>
              <w:top w:val="single" w:sz="8" w:color="004483"/>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192,291</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8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200025</wp:posOffset>
            </wp:positionV>
            <wp:extent cx="203136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120015"/>
                    </a:xfrm>
                    <a:prstGeom prst="rect">
                      <a:avLst/>
                    </a:prstGeom>
                    <a:noFill/>
                  </pic:spPr>
                </pic:pic>
              </a:graphicData>
            </a:graphic>
          </wp:anchor>
        </w:drawing>
      </w:r>
    </w:p>
    <w:p>
      <w:pPr>
        <w:spacing w:after="0" w:line="304" w:lineRule="exact"/>
        <w:rPr>
          <w:sz w:val="20"/>
          <w:szCs w:val="20"/>
          <w:color w:val="auto"/>
        </w:rPr>
      </w:pPr>
    </w:p>
    <w:p>
      <w:pPr>
        <w:jc w:val="right"/>
        <w:ind w:right="80"/>
        <w:spacing w:after="0"/>
        <w:tabs>
          <w:tab w:leader="none" w:pos="540" w:val="left"/>
        </w:tabs>
        <w:rPr>
          <w:sz w:val="20"/>
          <w:szCs w:val="20"/>
          <w:color w:val="auto"/>
        </w:rPr>
      </w:pPr>
      <w:r>
        <w:rPr>
          <w:rFonts w:ascii="Arial" w:cs="Arial" w:eastAsia="Arial" w:hAnsi="Arial"/>
          <w:sz w:val="13"/>
          <w:szCs w:val="13"/>
          <w:b w:val="1"/>
          <w:bCs w:val="1"/>
          <w:color w:val="FFFFFF"/>
        </w:rPr>
        <w:t>September 30,</w:t>
      </w:r>
      <w:r>
        <w:rPr>
          <w:sz w:val="20"/>
          <w:szCs w:val="20"/>
          <w:color w:val="auto"/>
        </w:rPr>
        <w:tab/>
      </w:r>
      <w:r>
        <w:rPr>
          <w:rFonts w:ascii="Arial" w:cs="Arial" w:eastAsia="Arial" w:hAnsi="Arial"/>
          <w:sz w:val="12"/>
          <w:szCs w:val="12"/>
          <w:b w:val="1"/>
          <w:bCs w:val="1"/>
          <w:color w:val="FFFFFF"/>
        </w:rPr>
        <w:t>March 31,</w:t>
      </w:r>
    </w:p>
    <w:p>
      <w:pPr>
        <w:spacing w:after="0" w:line="40" w:lineRule="exact"/>
        <w:rPr>
          <w:sz w:val="20"/>
          <w:szCs w:val="20"/>
          <w:color w:val="auto"/>
        </w:rPr>
      </w:pPr>
    </w:p>
    <w:p>
      <w:pPr>
        <w:jc w:val="both"/>
        <w:ind w:left="9200"/>
        <w:spacing w:after="0"/>
        <w:tabs>
          <w:tab w:leader="none" w:pos="108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2021</w:t>
      </w:r>
    </w:p>
    <w:p>
      <w:pPr>
        <w:spacing w:after="0" w:line="44" w:lineRule="exact"/>
        <w:rPr>
          <w:sz w:val="20"/>
          <w:szCs w:val="20"/>
          <w:color w:val="auto"/>
        </w:rPr>
      </w:pPr>
    </w:p>
    <w:p>
      <w:pPr>
        <w:ind w:left="904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6374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000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220" w:type="dxa"/>
            <w:vAlign w:val="bottom"/>
            <w:tcBorders>
              <w:top w:val="single" w:sz="8" w:color="A6A6A6"/>
              <w:bottom w:val="single" w:sz="8" w:color="A6A6A6"/>
            </w:tcBorders>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45,214</w:t>
            </w:r>
          </w:p>
        </w:tc>
      </w:tr>
      <w:tr>
        <w:trPr>
          <w:trHeight w:val="223"/>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Restricted Cash</w:t>
            </w:r>
          </w:p>
        </w:tc>
        <w:tc>
          <w:tcPr>
            <w:tcW w:w="3220" w:type="dxa"/>
            <w:vAlign w:val="bottom"/>
            <w:tcBorders>
              <w:bottom w:val="single" w:sz="8" w:color="A6A6A6"/>
            </w:tcBorders>
          </w:tcPr>
          <w:p>
            <w:pPr>
              <w:spacing w:after="0"/>
              <w:rPr>
                <w:sz w:val="19"/>
                <w:szCs w:val="19"/>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220" w:type="dxa"/>
            <w:vAlign w:val="bottom"/>
            <w:tcBorders>
              <w:bottom w:val="single" w:sz="8" w:color="A6A6A6"/>
            </w:tcBorders>
          </w:tcPr>
          <w:p>
            <w:pPr>
              <w:spacing w:after="0"/>
              <w:rPr>
                <w:sz w:val="19"/>
                <w:szCs w:val="19"/>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196,664</w:t>
            </w:r>
          </w:p>
        </w:tc>
      </w:tr>
      <w:tr>
        <w:trPr>
          <w:trHeight w:val="223"/>
        </w:trPr>
        <w:tc>
          <w:tcPr>
            <w:tcW w:w="53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220" w:type="dxa"/>
            <w:vAlign w:val="bottom"/>
            <w:tcBorders>
              <w:bottom w:val="single" w:sz="8" w:color="A6A6A6"/>
            </w:tcBorders>
          </w:tcPr>
          <w:p>
            <w:pPr>
              <w:spacing w:after="0"/>
              <w:rPr>
                <w:sz w:val="19"/>
                <w:szCs w:val="19"/>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203,745</w:t>
            </w:r>
          </w:p>
        </w:tc>
      </w:tr>
      <w:tr>
        <w:trPr>
          <w:trHeight w:val="210"/>
        </w:trPr>
        <w:tc>
          <w:tcPr>
            <w:tcW w:w="530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6000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845" w:hanging="845"/>
        <w:spacing w:after="0"/>
        <w:tabs>
          <w:tab w:leader="none" w:pos="845" w:val="left"/>
        </w:tabs>
        <w:numPr>
          <w:ilvl w:val="0"/>
          <w:numId w:val="2"/>
        </w:numPr>
        <w:rPr>
          <w:rFonts w:ascii="Arial" w:cs="Arial" w:eastAsia="Arial" w:hAnsi="Arial"/>
          <w:sz w:val="14"/>
          <w:szCs w:val="14"/>
          <w:color w:val="auto"/>
        </w:rPr>
      </w:pPr>
      <w:r>
        <w:rPr>
          <w:rFonts w:ascii="Arial" w:cs="Arial" w:eastAsia="Arial" w:hAnsi="Arial"/>
          <w:sz w:val="14"/>
          <w:szCs w:val="14"/>
          <w:color w:val="auto"/>
        </w:rPr>
        <w:t>263,520</w:t>
      </w:r>
    </w:p>
    <w:p>
      <w:pPr>
        <w:spacing w:after="0" w:line="82" w:lineRule="exact"/>
        <w:rPr>
          <w:rFonts w:ascii="Arial" w:cs="Arial" w:eastAsia="Arial" w:hAnsi="Arial"/>
          <w:sz w:val="14"/>
          <w:szCs w:val="14"/>
          <w:color w:val="auto"/>
        </w:rPr>
      </w:pPr>
    </w:p>
    <w:p>
      <w:pPr>
        <w:ind w:left="1005"/>
        <w:spacing w:after="0"/>
        <w:rPr>
          <w:rFonts w:ascii="Arial" w:cs="Arial" w:eastAsia="Arial" w:hAnsi="Arial"/>
          <w:sz w:val="14"/>
          <w:szCs w:val="14"/>
          <w:color w:val="auto"/>
        </w:rPr>
      </w:pPr>
      <w:r>
        <w:rPr>
          <w:rFonts w:ascii="Arial" w:cs="Arial" w:eastAsia="Arial" w:hAnsi="Arial"/>
          <w:sz w:val="14"/>
          <w:szCs w:val="14"/>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-421005</wp:posOffset>
            </wp:positionV>
            <wp:extent cx="994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-266700</wp:posOffset>
            </wp:positionV>
            <wp:extent cx="994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-112395</wp:posOffset>
            </wp:positionV>
            <wp:extent cx="9944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41275</wp:posOffset>
            </wp:positionV>
            <wp:extent cx="994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147,133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9460" w:space="295"/>
            <w:col w:w="1445"/>
          </w:cols>
          <w:pgMar w:left="320" w:top="400" w:right="37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0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5100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0007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004483"/>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color w:val="004483"/>
        </w:rPr>
        <w:t>Preferred Stock, Par Value $0.01; Authorized 5,000,000 Shares;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6000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0" cy="8890"/>
                    </a:xfrm>
                    <a:prstGeom prst="rect">
                      <a:avLst/>
                    </a:prstGeom>
                    <a:noFill/>
                  </pic:spPr>
                </pic:pic>
              </a:graphicData>
            </a:graphic>
          </wp:anchor>
        </w:drawing>
      </w:r>
    </w:p>
    <w:p>
      <w:pPr>
        <w:spacing w:after="0" w:line="62" w:lineRule="exact"/>
        <w:rPr>
          <w:sz w:val="20"/>
          <w:szCs w:val="20"/>
          <w:color w:val="auto"/>
        </w:rPr>
      </w:pPr>
    </w:p>
    <w:p>
      <w:pPr>
        <w:ind w:left="320" w:right="2334" w:hanging="121"/>
        <w:spacing w:after="0" w:line="332" w:lineRule="auto"/>
        <w:rPr>
          <w:sz w:val="20"/>
          <w:szCs w:val="20"/>
          <w:color w:val="auto"/>
        </w:rPr>
      </w:pPr>
      <w:r>
        <w:rPr>
          <w:rFonts w:ascii="Arial" w:cs="Arial" w:eastAsia="Arial" w:hAnsi="Arial"/>
          <w:sz w:val="14"/>
          <w:szCs w:val="14"/>
          <w:color w:val="004483"/>
        </w:rPr>
        <w:t>Common Stock, Par Value $0.01; Authorized 100,000,000 Shares; Issued and Outstanding 40,913,931 and 42,370,878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000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004483"/>
        </w:rPr>
        <w:t>Capital in Excess of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Accumulated Other Comprehensive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00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100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Stockholders’ Equity</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8,534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472,111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1,629,133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8,485</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77,628</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25,127</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390,107</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62" w:lineRule="exact"/>
        <w:rPr>
          <w:sz w:val="20"/>
          <w:szCs w:val="20"/>
          <w:color w:val="auto"/>
        </w:rPr>
      </w:pPr>
    </w:p>
    <w:p>
      <w:pPr>
        <w:ind w:left="746" w:hanging="746"/>
        <w:spacing w:after="0"/>
        <w:tabs>
          <w:tab w:leader="none" w:pos="74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2,619,828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899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46355</wp:posOffset>
            </wp:positionV>
            <wp:extent cx="899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66" w:hanging="866"/>
        <w:spacing w:after="0"/>
        <w:tabs>
          <w:tab w:leader="none" w:pos="866" w:val="left"/>
        </w:tabs>
        <w:numPr>
          <w:ilvl w:val="0"/>
          <w:numId w:val="4"/>
        </w:numPr>
        <w:rPr>
          <w:rFonts w:ascii="Arial" w:cs="Arial" w:eastAsia="Arial" w:hAnsi="Arial"/>
          <w:sz w:val="16"/>
          <w:szCs w:val="16"/>
          <w:color w:val="auto"/>
        </w:rPr>
      </w:pPr>
      <w:r>
        <w:rPr>
          <w:rFonts w:ascii="Arial" w:cs="Arial" w:eastAsia="Arial" w:hAnsi="Arial"/>
          <w:sz w:val="16"/>
          <w:szCs w:val="16"/>
          <w:color w:val="auto"/>
        </w:rPr>
        <w:t>101,293</w:t>
      </w:r>
    </w:p>
    <w:p>
      <w:pPr>
        <w:spacing w:after="0" w:line="59" w:lineRule="exact"/>
        <w:rPr>
          <w:rFonts w:ascii="Arial" w:cs="Arial" w:eastAsia="Arial" w:hAnsi="Arial"/>
          <w:sz w:val="16"/>
          <w:szCs w:val="16"/>
          <w:color w:val="auto"/>
        </w:rPr>
      </w:pPr>
    </w:p>
    <w:p>
      <w:pPr>
        <w:ind w:left="946"/>
        <w:spacing w:after="0"/>
        <w:rPr>
          <w:rFonts w:ascii="Arial" w:cs="Arial" w:eastAsia="Arial" w:hAnsi="Arial"/>
          <w:sz w:val="16"/>
          <w:szCs w:val="16"/>
          <w:color w:val="auto"/>
        </w:rPr>
      </w:pPr>
      <w:r>
        <w:rPr>
          <w:rFonts w:ascii="Arial" w:cs="Arial" w:eastAsia="Arial" w:hAnsi="Arial"/>
          <w:sz w:val="16"/>
          <w:szCs w:val="16"/>
          <w:color w:val="auto"/>
        </w:rPr>
        <w:t>80,324</w:t>
      </w:r>
    </w:p>
    <w:p>
      <w:pPr>
        <w:spacing w:after="0" w:line="59" w:lineRule="exact"/>
        <w:rPr>
          <w:rFonts w:ascii="Arial" w:cs="Arial" w:eastAsia="Arial" w:hAnsi="Arial"/>
          <w:sz w:val="16"/>
          <w:szCs w:val="16"/>
          <w:color w:val="auto"/>
        </w:rPr>
      </w:pPr>
    </w:p>
    <w:p>
      <w:pPr>
        <w:ind w:left="1026"/>
        <w:spacing w:after="0"/>
        <w:rPr>
          <w:rFonts w:ascii="Arial" w:cs="Arial" w:eastAsia="Arial" w:hAnsi="Arial"/>
          <w:sz w:val="16"/>
          <w:szCs w:val="16"/>
          <w:color w:val="auto"/>
        </w:rPr>
      </w:pPr>
      <w:r>
        <w:rPr>
          <w:rFonts w:ascii="Arial" w:cs="Arial" w:eastAsia="Arial" w:hAnsi="Arial"/>
          <w:sz w:val="16"/>
          <w:szCs w:val="16"/>
          <w:color w:val="auto"/>
        </w:rPr>
        <w:t>7,028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99795" cy="2540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188,645</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812,632</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31,683</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45,278</w:t>
      </w:r>
    </w:p>
    <w:p>
      <w:pPr>
        <w:spacing w:after="0" w:line="5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234,281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66" w:lineRule="exact"/>
        <w:rPr>
          <w:sz w:val="20"/>
          <w:szCs w:val="20"/>
          <w:color w:val="auto"/>
        </w:rPr>
      </w:pPr>
    </w:p>
    <w:p>
      <w:pPr>
        <w:ind w:left="746"/>
        <w:spacing w:after="0"/>
        <w:rPr>
          <w:sz w:val="20"/>
          <w:szCs w:val="20"/>
          <w:color w:val="auto"/>
        </w:rPr>
      </w:pPr>
      <w:r>
        <w:rPr>
          <w:rFonts w:ascii="Arial" w:cs="Arial" w:eastAsia="Arial" w:hAnsi="Arial"/>
          <w:sz w:val="16"/>
          <w:szCs w:val="16"/>
          <w:color w:val="auto"/>
        </w:rPr>
        <w:t>1,312,519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99795" cy="26035"/>
                    </a:xfrm>
                    <a:prstGeom prst="rect">
                      <a:avLst/>
                    </a:prstGeom>
                    <a:noFill/>
                  </pic:spPr>
                </pic:pic>
              </a:graphicData>
            </a:graphic>
          </wp:anchor>
        </w:drawing>
      </w:r>
    </w:p>
    <w:p>
      <w:pPr>
        <w:spacing w:after="0" w:line="309" w:lineRule="exact"/>
        <w:rPr>
          <w:sz w:val="20"/>
          <w:szCs w:val="20"/>
          <w:color w:val="auto"/>
        </w:rPr>
      </w:pPr>
    </w:p>
    <w:p>
      <w:pPr>
        <w:ind w:left="1226"/>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ind w:left="1146"/>
        <w:spacing w:after="0"/>
        <w:rPr>
          <w:sz w:val="20"/>
          <w:szCs w:val="20"/>
          <w:color w:val="auto"/>
        </w:rPr>
      </w:pPr>
      <w:r>
        <w:rPr>
          <w:rFonts w:ascii="Arial" w:cs="Arial" w:eastAsia="Arial" w:hAnsi="Arial"/>
          <w:sz w:val="16"/>
          <w:szCs w:val="16"/>
          <w:color w:val="auto"/>
        </w:rPr>
        <w:t>409</w:t>
      </w:r>
    </w:p>
    <w:p>
      <w:pPr>
        <w:spacing w:after="0" w:line="59" w:lineRule="exact"/>
        <w:rPr>
          <w:sz w:val="20"/>
          <w:szCs w:val="20"/>
          <w:color w:val="auto"/>
        </w:rPr>
      </w:pPr>
    </w:p>
    <w:p>
      <w:pPr>
        <w:ind w:left="1226"/>
        <w:spacing w:after="0"/>
        <w:rPr>
          <w:sz w:val="20"/>
          <w:szCs w:val="20"/>
          <w:color w:val="auto"/>
        </w:rPr>
      </w:pPr>
      <w:r>
        <w:rPr>
          <w:rFonts w:ascii="Arial" w:cs="Arial" w:eastAsia="Arial" w:hAnsi="Arial"/>
          <w:sz w:val="16"/>
          <w:szCs w:val="16"/>
          <w:color w:val="auto"/>
        </w:rPr>
        <w:t>—</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(3,386 )</w:t>
      </w:r>
    </w:p>
    <w:p>
      <w:pPr>
        <w:spacing w:after="0" w:line="59" w:lineRule="exact"/>
        <w:rPr>
          <w:sz w:val="20"/>
          <w:szCs w:val="20"/>
          <w:color w:val="auto"/>
        </w:rPr>
      </w:pPr>
    </w:p>
    <w:p>
      <w:pPr>
        <w:ind w:left="746"/>
        <w:spacing w:after="0"/>
        <w:rPr>
          <w:sz w:val="20"/>
          <w:szCs w:val="20"/>
          <w:color w:val="auto"/>
        </w:rPr>
      </w:pPr>
      <w:r>
        <w:rPr>
          <w:rFonts w:ascii="Arial" w:cs="Arial" w:eastAsia="Arial" w:hAnsi="Arial"/>
          <w:sz w:val="16"/>
          <w:szCs w:val="16"/>
          <w:color w:val="auto"/>
        </w:rPr>
        <w:t>1,310,286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9795" cy="25400"/>
                    </a:xfrm>
                    <a:prstGeom prst="rect">
                      <a:avLst/>
                    </a:prstGeom>
                    <a:noFill/>
                  </pic:spPr>
                </pic:pic>
              </a:graphicData>
            </a:graphic>
          </wp:anchor>
        </w:drawing>
      </w:r>
    </w:p>
    <w:p>
      <w:pPr>
        <w:spacing w:after="0" w:line="66" w:lineRule="exact"/>
        <w:rPr>
          <w:sz w:val="20"/>
          <w:szCs w:val="20"/>
          <w:color w:val="auto"/>
        </w:rPr>
      </w:pPr>
    </w:p>
    <w:p>
      <w:pPr>
        <w:ind w:left="746"/>
        <w:spacing w:after="0"/>
        <w:rPr>
          <w:sz w:val="20"/>
          <w:szCs w:val="20"/>
          <w:color w:val="auto"/>
        </w:rPr>
      </w:pPr>
      <w:r>
        <w:rPr>
          <w:rFonts w:ascii="Arial" w:cs="Arial" w:eastAsia="Arial" w:hAnsi="Arial"/>
          <w:sz w:val="16"/>
          <w:szCs w:val="16"/>
          <w:color w:val="auto"/>
        </w:rPr>
        <w:t>1,307,309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9979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99795" cy="25400"/>
                    </a:xfrm>
                    <a:prstGeom prst="rect">
                      <a:avLst/>
                    </a:prstGeom>
                    <a:noFill/>
                  </pic:spPr>
                </pic:pic>
              </a:graphicData>
            </a:graphic>
          </wp:anchor>
        </w:drawing>
      </w:r>
    </w:p>
    <w:p>
      <w:pPr>
        <w:spacing w:after="0" w:line="62" w:lineRule="exact"/>
        <w:rPr>
          <w:sz w:val="20"/>
          <w:szCs w:val="20"/>
          <w:color w:val="auto"/>
        </w:rPr>
      </w:pPr>
    </w:p>
    <w:p>
      <w:pPr>
        <w:ind w:left="746" w:hanging="746"/>
        <w:spacing w:after="0"/>
        <w:tabs>
          <w:tab w:leader="none" w:pos="74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2,619,828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899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46355</wp:posOffset>
            </wp:positionV>
            <wp:extent cx="8997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7,449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661,689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66"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1,659,100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392,315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62" w:lineRule="exact"/>
        <w:rPr>
          <w:sz w:val="20"/>
          <w:szCs w:val="20"/>
          <w:color w:val="auto"/>
        </w:rPr>
      </w:pPr>
    </w:p>
    <w:p>
      <w:pPr>
        <w:ind w:left="725" w:hanging="725"/>
        <w:spacing w:after="0"/>
        <w:tabs>
          <w:tab w:leader="none" w:pos="72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2,838,681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29210</wp:posOffset>
            </wp:positionV>
            <wp:extent cx="9944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94410"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200660</wp:posOffset>
            </wp:positionV>
            <wp:extent cx="994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354965</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925" w:hanging="925"/>
        <w:spacing w:after="0"/>
        <w:tabs>
          <w:tab w:leader="none" w:pos="925" w:val="left"/>
        </w:tabs>
        <w:numPr>
          <w:ilvl w:val="0"/>
          <w:numId w:val="7"/>
        </w:numPr>
        <w:rPr>
          <w:rFonts w:ascii="Arial" w:cs="Arial" w:eastAsia="Arial" w:hAnsi="Arial"/>
          <w:sz w:val="16"/>
          <w:szCs w:val="16"/>
          <w:color w:val="auto"/>
        </w:rPr>
      </w:pPr>
      <w:r>
        <w:rPr>
          <w:rFonts w:ascii="Arial" w:cs="Arial" w:eastAsia="Arial" w:hAnsi="Arial"/>
          <w:sz w:val="16"/>
          <w:szCs w:val="16"/>
          <w:color w:val="auto"/>
        </w:rPr>
        <w:t>84,171</w:t>
      </w:r>
    </w:p>
    <w:p>
      <w:pPr>
        <w:spacing w:after="0" w:line="59"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78,840</w:t>
      </w:r>
    </w:p>
    <w:p>
      <w:pPr>
        <w:spacing w:after="0" w:line="59" w:lineRule="exact"/>
        <w:rPr>
          <w:rFonts w:ascii="Arial" w:cs="Arial" w:eastAsia="Arial" w:hAnsi="Arial"/>
          <w:sz w:val="16"/>
          <w:szCs w:val="16"/>
          <w:color w:val="auto"/>
        </w:rPr>
      </w:pPr>
    </w:p>
    <w:p>
      <w:pPr>
        <w:ind w:left="1005"/>
        <w:spacing w:after="0"/>
        <w:rPr>
          <w:rFonts w:ascii="Arial" w:cs="Arial" w:eastAsia="Arial" w:hAnsi="Arial"/>
          <w:sz w:val="16"/>
          <w:szCs w:val="16"/>
          <w:color w:val="auto"/>
        </w:rPr>
      </w:pPr>
      <w:r>
        <w:rPr>
          <w:rFonts w:ascii="Arial" w:cs="Arial" w:eastAsia="Arial" w:hAnsi="Arial"/>
          <w:sz w:val="16"/>
          <w:szCs w:val="16"/>
          <w:color w:val="auto"/>
        </w:rPr>
        <w:t>6,343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-281305</wp:posOffset>
            </wp:positionV>
            <wp:extent cx="994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-127000</wp:posOffset>
            </wp:positionV>
            <wp:extent cx="994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94410" cy="25400"/>
                    </a:xfrm>
                    <a:prstGeom prst="rect">
                      <a:avLst/>
                    </a:prstGeom>
                    <a:noFill/>
                  </pic:spPr>
                </pic:pic>
              </a:graphicData>
            </a:graphic>
          </wp:anchor>
        </w:drawing>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169,354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1,008,616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9"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225,986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94410" cy="26035"/>
                    </a:xfrm>
                    <a:prstGeom prst="rect">
                      <a:avLst/>
                    </a:prstGeom>
                    <a:noFill/>
                  </pic:spPr>
                </pic:pic>
              </a:graphicData>
            </a:graphic>
          </wp:anchor>
        </w:drawing>
      </w:r>
    </w:p>
    <w:p>
      <w:pPr>
        <w:spacing w:after="0" w:line="66"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1,479,691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94410"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198120</wp:posOffset>
            </wp:positionV>
            <wp:extent cx="994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309" w:lineRule="exact"/>
        <w:rPr>
          <w:sz w:val="20"/>
          <w:szCs w:val="20"/>
          <w:color w:val="auto"/>
        </w:rPr>
      </w:pPr>
    </w:p>
    <w:p>
      <w:pPr>
        <w:ind w:left="120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42" w:lineRule="exact"/>
        <w:rPr>
          <w:sz w:val="20"/>
          <w:szCs w:val="20"/>
          <w:color w:val="auto"/>
        </w:rPr>
      </w:pPr>
    </w:p>
    <w:p>
      <w:pPr>
        <w:ind w:left="1125"/>
        <w:spacing w:after="0"/>
        <w:rPr>
          <w:sz w:val="20"/>
          <w:szCs w:val="20"/>
          <w:color w:val="auto"/>
        </w:rPr>
      </w:pPr>
      <w:r>
        <w:rPr>
          <w:rFonts w:ascii="Arial" w:cs="Arial" w:eastAsia="Arial" w:hAnsi="Arial"/>
          <w:sz w:val="16"/>
          <w:szCs w:val="16"/>
          <w:color w:val="auto"/>
        </w:rPr>
        <w:t>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ind w:left="925"/>
        <w:spacing w:after="0"/>
        <w:rPr>
          <w:sz w:val="20"/>
          <w:szCs w:val="20"/>
          <w:color w:val="auto"/>
        </w:rPr>
      </w:pPr>
      <w:r>
        <w:rPr>
          <w:rFonts w:ascii="Arial" w:cs="Arial" w:eastAsia="Arial" w:hAnsi="Arial"/>
          <w:sz w:val="16"/>
          <w:szCs w:val="16"/>
          <w:color w:val="auto"/>
        </w:rPr>
        <w:t>62,497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9"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1,299,509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26670</wp:posOffset>
            </wp:positionV>
            <wp:extent cx="9944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94410" cy="25400"/>
                    </a:xfrm>
                    <a:prstGeom prst="rect">
                      <a:avLst/>
                    </a:prstGeom>
                    <a:noFill/>
                  </pic:spPr>
                </pic:pic>
              </a:graphicData>
            </a:graphic>
          </wp:anchor>
        </w:drawing>
      </w:r>
    </w:p>
    <w:p>
      <w:pPr>
        <w:spacing w:after="0" w:line="66" w:lineRule="exact"/>
        <w:rPr>
          <w:sz w:val="20"/>
          <w:szCs w:val="20"/>
          <w:color w:val="auto"/>
        </w:rPr>
      </w:pPr>
    </w:p>
    <w:p>
      <w:pPr>
        <w:ind w:left="725"/>
        <w:spacing w:after="0"/>
        <w:rPr>
          <w:sz w:val="20"/>
          <w:szCs w:val="20"/>
          <w:color w:val="auto"/>
        </w:rPr>
      </w:pPr>
      <w:r>
        <w:rPr>
          <w:rFonts w:ascii="Arial" w:cs="Arial" w:eastAsia="Arial" w:hAnsi="Arial"/>
          <w:sz w:val="16"/>
          <w:szCs w:val="16"/>
          <w:color w:val="auto"/>
        </w:rPr>
        <w:t>1,358,990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8826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2650" cy="25400"/>
                    </a:xfrm>
                    <a:prstGeom prst="rect">
                      <a:avLst/>
                    </a:prstGeom>
                    <a:noFill/>
                  </pic:spPr>
                </pic:pic>
              </a:graphicData>
            </a:graphic>
          </wp:anchor>
        </w:drawing>
      </w:r>
    </w:p>
    <w:p>
      <w:pPr>
        <w:spacing w:after="0" w:line="62" w:lineRule="exact"/>
        <w:rPr>
          <w:sz w:val="20"/>
          <w:szCs w:val="20"/>
          <w:color w:val="auto"/>
        </w:rPr>
      </w:pPr>
    </w:p>
    <w:p>
      <w:pPr>
        <w:ind w:left="725" w:hanging="725"/>
        <w:spacing w:after="0"/>
        <w:tabs>
          <w:tab w:leader="none" w:pos="72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2,838,681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8826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46355</wp:posOffset>
            </wp:positionV>
            <wp:extent cx="882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334" w:space="720"/>
            <w:col w:w="1466" w:space="235"/>
            <w:col w:w="1445"/>
          </w:cols>
          <w:pgMar w:left="320" w:top="400" w:right="37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Pr>
          <w:p>
            <w:pPr>
              <w:spacing w:after="0"/>
              <w:rPr>
                <w:sz w:val="16"/>
                <w:szCs w:val="16"/>
                <w:color w:val="auto"/>
              </w:rPr>
            </w:pPr>
          </w:p>
        </w:tc>
        <w:tc>
          <w:tcPr>
            <w:tcW w:w="400" w:type="dxa"/>
            <w:vAlign w:val="bottom"/>
            <w:shd w:val="clear" w:color="auto" w:fill="004483"/>
          </w:tcPr>
          <w:p>
            <w:pPr>
              <w:spacing w:after="0"/>
              <w:rPr>
                <w:sz w:val="16"/>
                <w:szCs w:val="16"/>
                <w:color w:val="auto"/>
              </w:rPr>
            </w:pPr>
          </w:p>
        </w:tc>
        <w:tc>
          <w:tcPr>
            <w:tcW w:w="254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w w:val="98"/>
              </w:rPr>
              <w:t>For the Six Months Ended September 30,</w:t>
            </w:r>
          </w:p>
        </w:tc>
        <w:tc>
          <w:tcPr>
            <w:tcW w:w="64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r>
      <w:tr>
        <w:trPr>
          <w:trHeight w:val="173"/>
        </w:trPr>
        <w:tc>
          <w:tcPr>
            <w:tcW w:w="7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5"/>
        </w:trPr>
        <w:tc>
          <w:tcPr>
            <w:tcW w:w="7560" w:type="dxa"/>
            <w:vAlign w:val="bottom"/>
            <w:tcBorders>
              <w:bottom w:val="single" w:sz="8" w:color="004483"/>
            </w:tcBorders>
          </w:tcPr>
          <w:p>
            <w:pPr>
              <w:spacing w:after="0"/>
              <w:rPr>
                <w:sz w:val="19"/>
                <w:szCs w:val="19"/>
                <w:color w:val="auto"/>
              </w:rPr>
            </w:pPr>
          </w:p>
        </w:tc>
        <w:tc>
          <w:tcPr>
            <w:tcW w:w="400" w:type="dxa"/>
            <w:vAlign w:val="bottom"/>
            <w:tcBorders>
              <w:bottom w:val="single" w:sz="8" w:color="004483"/>
            </w:tcBorders>
          </w:tcPr>
          <w:p>
            <w:pPr>
              <w:spacing w:after="0"/>
              <w:rPr>
                <w:sz w:val="19"/>
                <w:szCs w:val="19"/>
                <w:color w:val="auto"/>
              </w:rPr>
            </w:pPr>
          </w:p>
        </w:tc>
        <w:tc>
          <w:tcPr>
            <w:tcW w:w="2540" w:type="dxa"/>
            <w:vAlign w:val="bottom"/>
            <w:tcBorders>
              <w:bottom w:val="single" w:sz="8" w:color="004483"/>
            </w:tcBorders>
            <w:gridSpan w:val="4"/>
          </w:tcPr>
          <w:p>
            <w:pPr>
              <w:jc w:val="right"/>
              <w:ind w:right="51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197,452</w:t>
            </w:r>
          </w:p>
        </w:tc>
        <w:tc>
          <w:tcPr>
            <w:tcW w:w="100" w:type="dxa"/>
            <w:vAlign w:val="bottom"/>
          </w:tcPr>
          <w:p>
            <w:pPr>
              <w:spacing w:after="0"/>
              <w:rPr>
                <w:sz w:val="19"/>
                <w:szCs w:val="19"/>
                <w:color w:val="auto"/>
              </w:rPr>
            </w:pPr>
          </w:p>
        </w:tc>
        <w:tc>
          <w:tcPr>
            <w:tcW w:w="1180" w:type="dxa"/>
            <w:vAlign w:val="bottom"/>
            <w:tcBorders>
              <w:bottom w:val="single" w:sz="8" w:color="A6A6A6"/>
            </w:tcBorders>
            <w:gridSpan w:val="2"/>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192,240</w:t>
            </w:r>
          </w:p>
        </w:tc>
        <w:tc>
          <w:tcPr>
            <w:tcW w:w="100" w:type="dxa"/>
            <w:vAlign w:val="bottom"/>
          </w:tcPr>
          <w:p>
            <w:pPr>
              <w:spacing w:after="0"/>
              <w:rPr>
                <w:sz w:val="19"/>
                <w:szCs w:val="19"/>
                <w:color w:val="auto"/>
              </w:rPr>
            </w:pPr>
          </w:p>
        </w:tc>
      </w:tr>
      <w:tr>
        <w:trPr>
          <w:trHeight w:val="206"/>
        </w:trPr>
        <w:tc>
          <w:tcPr>
            <w:tcW w:w="7560" w:type="dxa"/>
            <w:vAlign w:val="bottom"/>
          </w:tcPr>
          <w:p>
            <w:pPr>
              <w:ind w:left="20"/>
              <w:spacing w:after="0"/>
              <w:rPr>
                <w:sz w:val="20"/>
                <w:szCs w:val="20"/>
                <w:color w:val="auto"/>
              </w:rPr>
            </w:pPr>
            <w:r>
              <w:rPr>
                <w:rFonts w:ascii="Arial" w:cs="Arial" w:eastAsia="Arial" w:hAnsi="Arial"/>
                <w:sz w:val="16"/>
                <w:szCs w:val="16"/>
                <w:color w:val="004483"/>
              </w:rPr>
              <w:t>Adjustments to Reconcile Net Earnings to Net Cash Provided</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7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64,284</w:t>
            </w: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64,199</w:t>
            </w:r>
          </w:p>
        </w:tc>
        <w:tc>
          <w:tcPr>
            <w:tcW w:w="100" w:type="dxa"/>
            <w:vAlign w:val="bottom"/>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Write-off of Debt Issuance Costs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75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40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8,295</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41,779</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6,376</w:t>
            </w: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8,275</w:t>
            </w:r>
          </w:p>
        </w:tc>
        <w:tc>
          <w:tcPr>
            <w:tcW w:w="100" w:type="dxa"/>
            <w:vAlign w:val="bottom"/>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Gain on Sale of Subsidiaries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(61,203 )</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(16,230 )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(18,373 )</w:t>
            </w:r>
          </w:p>
        </w:tc>
      </w:tr>
      <w:tr>
        <w:trPr>
          <w:trHeight w:val="223"/>
        </w:trPr>
        <w:tc>
          <w:tcPr>
            <w:tcW w:w="75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40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Accounts and Notes Receivable</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(49,597 )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(27,746 )</w:t>
            </w:r>
          </w:p>
        </w:tc>
      </w:tr>
      <w:tr>
        <w:trPr>
          <w:trHeight w:val="223"/>
        </w:trPr>
        <w:tc>
          <w:tcPr>
            <w:tcW w:w="75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40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38,645</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40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16,776</w:t>
            </w: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00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Other Assets</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(2,883 )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(3,179 )</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560" w:type="dxa"/>
            <w:vAlign w:val="bottom"/>
          </w:tcPr>
          <w:p>
            <w:pPr>
              <w:ind w:left="200"/>
              <w:spacing w:after="0"/>
              <w:rPr>
                <w:sz w:val="20"/>
                <w:szCs w:val="20"/>
                <w:color w:val="auto"/>
              </w:rPr>
            </w:pPr>
            <w:r>
              <w:rPr>
                <w:rFonts w:ascii="Arial" w:cs="Arial" w:eastAsia="Arial" w:hAnsi="Arial"/>
                <w:sz w:val="16"/>
                <w:szCs w:val="16"/>
                <w:color w:val="004483"/>
              </w:rPr>
              <w:t>Income Taxes Payable (Receivable)</w:t>
            </w:r>
          </w:p>
        </w:tc>
        <w:tc>
          <w:tcPr>
            <w:tcW w:w="40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(15,116 )</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99,742</w:t>
            </w:r>
          </w:p>
        </w:tc>
        <w:tc>
          <w:tcPr>
            <w:tcW w:w="100" w:type="dxa"/>
            <w:vAlign w:val="bottom"/>
          </w:tcPr>
          <w:p>
            <w:pPr>
              <w:spacing w:after="0"/>
              <w:rPr>
                <w:sz w:val="22"/>
                <w:szCs w:val="22"/>
                <w:color w:val="auto"/>
              </w:rPr>
            </w:pPr>
          </w:p>
        </w:tc>
      </w:tr>
      <w:tr>
        <w:trPr>
          <w:trHeight w:val="250"/>
        </w:trPr>
        <w:tc>
          <w:tcPr>
            <w:tcW w:w="756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400" w:type="dxa"/>
            <w:vAlign w:val="bottom"/>
            <w:tcBorders>
              <w:top w:val="single" w:sz="8" w:color="004483"/>
              <w:bottom w:val="single" w:sz="8" w:color="004483"/>
            </w:tcBorders>
          </w:tcPr>
          <w:p>
            <w:pPr>
              <w:spacing w:after="0"/>
              <w:rPr>
                <w:sz w:val="21"/>
                <w:szCs w:val="21"/>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261,462</w:t>
            </w:r>
          </w:p>
        </w:tc>
        <w:tc>
          <w:tcPr>
            <w:tcW w:w="100" w:type="dxa"/>
            <w:vAlign w:val="bottom"/>
          </w:tcPr>
          <w:p>
            <w:pPr>
              <w:spacing w:after="0"/>
              <w:rPr>
                <w:sz w:val="21"/>
                <w:szCs w:val="21"/>
                <w:color w:val="auto"/>
              </w:rPr>
            </w:pPr>
          </w:p>
        </w:tc>
        <w:tc>
          <w:tcPr>
            <w:tcW w:w="180" w:type="dxa"/>
            <w:vAlign w:val="bottom"/>
            <w:tcBorders>
              <w:top w:val="single" w:sz="8" w:color="A6A6A6"/>
              <w:bottom w:val="single" w:sz="8" w:color="A6A6A6"/>
            </w:tcBorders>
          </w:tcPr>
          <w:p>
            <w:pPr>
              <w:spacing w:after="0"/>
              <w:rPr>
                <w:sz w:val="21"/>
                <w:szCs w:val="21"/>
                <w:color w:val="auto"/>
              </w:rPr>
            </w:pPr>
          </w:p>
        </w:tc>
        <w:tc>
          <w:tcPr>
            <w:tcW w:w="1000" w:type="dxa"/>
            <w:vAlign w:val="bottom"/>
            <w:tcBorders>
              <w:top w:val="single" w:sz="8" w:color="004483"/>
              <w:bottom w:val="single" w:sz="8" w:color="004483"/>
            </w:tcBorders>
          </w:tcPr>
          <w:p>
            <w:pPr>
              <w:spacing w:after="0"/>
              <w:rPr>
                <w:sz w:val="21"/>
                <w:szCs w:val="21"/>
                <w:color w:val="auto"/>
              </w:rPr>
            </w:pPr>
          </w:p>
        </w:tc>
        <w:tc>
          <w:tcPr>
            <w:tcW w:w="6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358,377</w:t>
            </w:r>
          </w:p>
        </w:tc>
        <w:tc>
          <w:tcPr>
            <w:tcW w:w="100" w:type="dxa"/>
            <w:vAlign w:val="bottom"/>
          </w:tcPr>
          <w:p>
            <w:pPr>
              <w:spacing w:after="0"/>
              <w:rPr>
                <w:sz w:val="21"/>
                <w:szCs w:val="21"/>
                <w:color w:val="auto"/>
              </w:rPr>
            </w:pPr>
          </w:p>
        </w:tc>
      </w:tr>
      <w:tr>
        <w:trPr>
          <w:trHeight w:val="217"/>
        </w:trPr>
        <w:tc>
          <w:tcPr>
            <w:tcW w:w="75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Borders>
              <w:bottom w:val="single" w:sz="8" w:color="A6A6A6"/>
            </w:tcBorders>
          </w:tcPr>
          <w:p>
            <w:pPr>
              <w:spacing w:after="0"/>
              <w:rPr>
                <w:sz w:val="18"/>
                <w:szCs w:val="18"/>
                <w:color w:val="auto"/>
              </w:rPr>
            </w:pPr>
          </w:p>
        </w:tc>
        <w:tc>
          <w:tcPr>
            <w:tcW w:w="12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64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(26,777 )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(40,676 )</w:t>
            </w:r>
          </w:p>
        </w:tc>
      </w:tr>
      <w:tr>
        <w:trPr>
          <w:trHeight w:val="257"/>
        </w:trPr>
        <w:tc>
          <w:tcPr>
            <w:tcW w:w="75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Sale of Businesses</w:t>
            </w:r>
          </w:p>
        </w:tc>
        <w:tc>
          <w:tcPr>
            <w:tcW w:w="400" w:type="dxa"/>
            <w:vAlign w:val="bottom"/>
            <w:tcBorders>
              <w:top w:val="single" w:sz="8" w:color="A6A6A6"/>
              <w:bottom w:val="single" w:sz="8" w:color="004483"/>
            </w:tcBorders>
          </w:tcPr>
          <w:p>
            <w:pPr>
              <w:spacing w:after="0"/>
              <w:rPr>
                <w:sz w:val="22"/>
                <w:szCs w:val="22"/>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Borders>
              <w:top w:val="single" w:sz="8" w:color="A6A6A6"/>
              <w:bottom w:val="single" w:sz="8" w:color="A6A6A6"/>
            </w:tcBorders>
          </w:tcPr>
          <w:p>
            <w:pPr>
              <w:spacing w:after="0"/>
              <w:rPr>
                <w:sz w:val="22"/>
                <w:szCs w:val="22"/>
                <w:color w:val="auto"/>
              </w:rPr>
            </w:pPr>
          </w:p>
        </w:tc>
        <w:tc>
          <w:tcPr>
            <w:tcW w:w="1000" w:type="dxa"/>
            <w:vAlign w:val="bottom"/>
            <w:tcBorders>
              <w:top w:val="single" w:sz="8" w:color="A6A6A6"/>
              <w:bottom w:val="single" w:sz="8" w:color="004483"/>
            </w:tcBorders>
          </w:tcPr>
          <w:p>
            <w:pPr>
              <w:spacing w:after="0"/>
              <w:rPr>
                <w:sz w:val="22"/>
                <w:szCs w:val="22"/>
                <w:color w:val="auto"/>
              </w:rPr>
            </w:pPr>
          </w:p>
        </w:tc>
        <w:tc>
          <w:tcPr>
            <w:tcW w:w="6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91,022</w:t>
            </w:r>
          </w:p>
        </w:tc>
        <w:tc>
          <w:tcPr>
            <w:tcW w:w="100" w:type="dxa"/>
            <w:vAlign w:val="bottom"/>
          </w:tcPr>
          <w:p>
            <w:pPr>
              <w:spacing w:after="0"/>
              <w:rPr>
                <w:sz w:val="22"/>
                <w:szCs w:val="22"/>
                <w:color w:val="auto"/>
              </w:rPr>
            </w:pPr>
          </w:p>
        </w:tc>
      </w:tr>
      <w:tr>
        <w:trPr>
          <w:trHeight w:val="250"/>
        </w:trPr>
        <w:tc>
          <w:tcPr>
            <w:tcW w:w="7560" w:type="dxa"/>
            <w:vAlign w:val="bottom"/>
          </w:tcPr>
          <w:p>
            <w:pPr>
              <w:ind w:left="380"/>
              <w:spacing w:after="0"/>
              <w:rPr>
                <w:sz w:val="20"/>
                <w:szCs w:val="20"/>
                <w:color w:val="auto"/>
              </w:rPr>
            </w:pPr>
            <w:r>
              <w:rPr>
                <w:rFonts w:ascii="Arial" w:cs="Arial" w:eastAsia="Arial" w:hAnsi="Arial"/>
                <w:sz w:val="16"/>
                <w:szCs w:val="16"/>
                <w:color w:val="004483"/>
              </w:rPr>
              <w:t>Net Cash Provided by (Used in) Investing Activities</w:t>
            </w:r>
          </w:p>
        </w:tc>
        <w:tc>
          <w:tcPr>
            <w:tcW w:w="40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(26,777 )</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50,346</w:t>
            </w:r>
          </w:p>
        </w:tc>
        <w:tc>
          <w:tcPr>
            <w:tcW w:w="100" w:type="dxa"/>
            <w:vAlign w:val="bottom"/>
          </w:tcPr>
          <w:p>
            <w:pPr>
              <w:spacing w:after="0"/>
              <w:rPr>
                <w:sz w:val="21"/>
                <w:szCs w:val="21"/>
                <w:color w:val="auto"/>
              </w:rPr>
            </w:pPr>
          </w:p>
        </w:tc>
      </w:tr>
      <w:tr>
        <w:trPr>
          <w:trHeight w:val="217"/>
        </w:trPr>
        <w:tc>
          <w:tcPr>
            <w:tcW w:w="75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top w:val="single" w:sz="8" w:color="004483"/>
              <w:bottom w:val="single" w:sz="8" w:color="A6A6A6"/>
            </w:tcBorders>
          </w:tcPr>
          <w:p>
            <w:pPr>
              <w:spacing w:after="0"/>
              <w:rPr>
                <w:sz w:val="18"/>
                <w:szCs w:val="18"/>
                <w:color w:val="auto"/>
              </w:rPr>
            </w:pPr>
          </w:p>
        </w:tc>
        <w:tc>
          <w:tcPr>
            <w:tcW w:w="126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004483"/>
              <w:bottom w:val="single" w:sz="8" w:color="A6A6A6"/>
            </w:tcBorders>
          </w:tcPr>
          <w:p>
            <w:pPr>
              <w:spacing w:after="0"/>
              <w:rPr>
                <w:sz w:val="18"/>
                <w:szCs w:val="18"/>
                <w:color w:val="auto"/>
              </w:rPr>
            </w:pPr>
          </w:p>
        </w:tc>
        <w:tc>
          <w:tcPr>
            <w:tcW w:w="640" w:type="dxa"/>
            <w:vAlign w:val="bottom"/>
            <w:tcBorders>
              <w:top w:val="single" w:sz="8" w:color="004483"/>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(315,000 )</w:t>
            </w:r>
          </w:p>
        </w:tc>
      </w:tr>
      <w:tr>
        <w:trPr>
          <w:trHeight w:val="223"/>
        </w:trPr>
        <w:tc>
          <w:tcPr>
            <w:tcW w:w="75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40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(350,000 )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Repayment of Term Loan</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(665,000 )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(10,547 )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(4,163 )</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(247,845 )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756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0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14,460</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00" w:type="dxa"/>
            <w:vAlign w:val="bottom"/>
            <w:tcBorders>
              <w:top w:val="single" w:sz="8" w:color="A6A6A6"/>
              <w:bottom w:val="single" w:sz="8" w:color="A6A6A6"/>
            </w:tcBorders>
          </w:tcPr>
          <w:p>
            <w:pPr>
              <w:spacing w:after="0"/>
              <w:rPr>
                <w:sz w:val="19"/>
                <w:szCs w:val="19"/>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9"/>
                <w:szCs w:val="19"/>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(8,407 )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56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(7,985 )</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(1,718 )</w:t>
            </w:r>
          </w:p>
        </w:tc>
      </w:tr>
      <w:tr>
        <w:trPr>
          <w:trHeight w:val="23"/>
        </w:trPr>
        <w:tc>
          <w:tcPr>
            <w:tcW w:w="7560" w:type="dxa"/>
            <w:vAlign w:val="bottom"/>
            <w:shd w:val="clear" w:color="auto" w:fill="A6A6A6"/>
          </w:tcPr>
          <w:p>
            <w:pPr>
              <w:spacing w:after="0"/>
              <w:rPr>
                <w:sz w:val="2"/>
                <w:szCs w:val="2"/>
                <w:color w:val="auto"/>
              </w:rPr>
            </w:pPr>
          </w:p>
        </w:tc>
        <w:tc>
          <w:tcPr>
            <w:tcW w:w="400" w:type="dxa"/>
            <w:vAlign w:val="bottom"/>
            <w:shd w:val="clear" w:color="auto" w:fill="A6A6A6"/>
          </w:tcPr>
          <w:p>
            <w:pPr>
              <w:spacing w:after="0"/>
              <w:rPr>
                <w:sz w:val="2"/>
                <w:szCs w:val="2"/>
                <w:color w:val="auto"/>
              </w:rPr>
            </w:pPr>
          </w:p>
        </w:tc>
        <w:tc>
          <w:tcPr>
            <w:tcW w:w="12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00" w:type="dxa"/>
            <w:vAlign w:val="bottom"/>
            <w:shd w:val="clear" w:color="auto" w:fill="A6A6A6"/>
          </w:tcPr>
          <w:p>
            <w:pPr>
              <w:spacing w:after="0"/>
              <w:rPr>
                <w:sz w:val="2"/>
                <w:szCs w:val="2"/>
                <w:color w:val="auto"/>
              </w:rPr>
            </w:pPr>
          </w:p>
        </w:tc>
        <w:tc>
          <w:tcPr>
            <w:tcW w:w="6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(1,359 )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(1,130 )</w:t>
            </w:r>
          </w:p>
        </w:tc>
      </w:tr>
      <w:tr>
        <w:trPr>
          <w:trHeight w:val="20"/>
        </w:trPr>
        <w:tc>
          <w:tcPr>
            <w:tcW w:w="7560" w:type="dxa"/>
            <w:vAlign w:val="bottom"/>
            <w:shd w:val="clear" w:color="auto" w:fill="A6A6A6"/>
          </w:tcPr>
          <w:p>
            <w:pPr>
              <w:spacing w:after="0" w:line="20" w:lineRule="exact"/>
              <w:rPr>
                <w:sz w:val="1"/>
                <w:szCs w:val="1"/>
                <w:color w:val="auto"/>
              </w:rPr>
            </w:pPr>
          </w:p>
        </w:tc>
        <w:tc>
          <w:tcPr>
            <w:tcW w:w="40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tcBorders>
              <w:top w:val="single" w:sz="8" w:color="004483"/>
            </w:tcBorders>
            <w:shd w:val="clear" w:color="auto" w:fill="004483"/>
          </w:tcPr>
          <w:p>
            <w:pPr>
              <w:spacing w:after="0" w:line="20" w:lineRule="exact"/>
              <w:rPr>
                <w:sz w:val="1"/>
                <w:szCs w:val="1"/>
                <w:color w:val="auto"/>
              </w:rPr>
            </w:pPr>
          </w:p>
        </w:tc>
        <w:tc>
          <w:tcPr>
            <w:tcW w:w="6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60" w:type="dxa"/>
            <w:vAlign w:val="bottom"/>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4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(457,991 )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95"/>
              </w:rPr>
              <w:t>(321,513 )</w:t>
            </w:r>
          </w:p>
        </w:tc>
      </w:tr>
      <w:tr>
        <w:trPr>
          <w:trHeight w:val="20"/>
        </w:trPr>
        <w:tc>
          <w:tcPr>
            <w:tcW w:w="7560" w:type="dxa"/>
            <w:vAlign w:val="bottom"/>
            <w:shd w:val="clear" w:color="auto" w:fill="A6A6A6"/>
          </w:tcPr>
          <w:p>
            <w:pPr>
              <w:spacing w:after="0" w:line="20" w:lineRule="exact"/>
              <w:rPr>
                <w:sz w:val="1"/>
                <w:szCs w:val="1"/>
                <w:color w:val="auto"/>
              </w:rPr>
            </w:pPr>
          </w:p>
        </w:tc>
        <w:tc>
          <w:tcPr>
            <w:tcW w:w="400" w:type="dxa"/>
            <w:vAlign w:val="bottom"/>
            <w:tcBorders>
              <w:top w:val="single" w:sz="8" w:color="004483"/>
            </w:tcBorders>
            <w:shd w:val="clear" w:color="auto" w:fill="004483"/>
          </w:tcPr>
          <w:p>
            <w:pPr>
              <w:spacing w:after="0" w:line="20" w:lineRule="exact"/>
              <w:rPr>
                <w:sz w:val="1"/>
                <w:szCs w:val="1"/>
                <w:color w:val="auto"/>
              </w:rPr>
            </w:pPr>
          </w:p>
        </w:tc>
        <w:tc>
          <w:tcPr>
            <w:tcW w:w="12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00" w:type="dxa"/>
            <w:vAlign w:val="bottom"/>
            <w:tcBorders>
              <w:top w:val="single" w:sz="8" w:color="004483"/>
            </w:tcBorders>
            <w:shd w:val="clear" w:color="auto" w:fill="004483"/>
          </w:tcPr>
          <w:p>
            <w:pPr>
              <w:spacing w:after="0" w:line="20" w:lineRule="exact"/>
              <w:rPr>
                <w:sz w:val="1"/>
                <w:szCs w:val="1"/>
                <w:color w:val="auto"/>
              </w:rPr>
            </w:pPr>
          </w:p>
        </w:tc>
        <w:tc>
          <w:tcPr>
            <w:tcW w:w="6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4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(223,306 )</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87,210</w:t>
            </w:r>
          </w:p>
        </w:tc>
        <w:tc>
          <w:tcPr>
            <w:tcW w:w="100" w:type="dxa"/>
            <w:vAlign w:val="bottom"/>
          </w:tcPr>
          <w:p>
            <w:pPr>
              <w:spacing w:after="0"/>
              <w:rPr>
                <w:sz w:val="18"/>
                <w:szCs w:val="18"/>
                <w:color w:val="auto"/>
              </w:rPr>
            </w:pPr>
          </w:p>
        </w:tc>
      </w:tr>
      <w:tr>
        <w:trPr>
          <w:trHeight w:val="257"/>
        </w:trPr>
        <w:tc>
          <w:tcPr>
            <w:tcW w:w="75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00" w:type="dxa"/>
            <w:vAlign w:val="bottom"/>
            <w:tcBorders>
              <w:top w:val="single" w:sz="8" w:color="A6A6A6"/>
              <w:bottom w:val="single" w:sz="8" w:color="004483"/>
            </w:tcBorders>
          </w:tcPr>
          <w:p>
            <w:pPr>
              <w:spacing w:after="0"/>
              <w:rPr>
                <w:sz w:val="22"/>
                <w:szCs w:val="22"/>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268,520</w:t>
            </w:r>
          </w:p>
        </w:tc>
        <w:tc>
          <w:tcPr>
            <w:tcW w:w="100" w:type="dxa"/>
            <w:vAlign w:val="bottom"/>
          </w:tcPr>
          <w:p>
            <w:pPr>
              <w:spacing w:after="0"/>
              <w:rPr>
                <w:sz w:val="22"/>
                <w:szCs w:val="22"/>
                <w:color w:val="auto"/>
              </w:rPr>
            </w:pPr>
          </w:p>
        </w:tc>
        <w:tc>
          <w:tcPr>
            <w:tcW w:w="180" w:type="dxa"/>
            <w:vAlign w:val="bottom"/>
            <w:tcBorders>
              <w:top w:val="single" w:sz="8" w:color="A6A6A6"/>
              <w:bottom w:val="single" w:sz="8" w:color="A6A6A6"/>
            </w:tcBorders>
          </w:tcPr>
          <w:p>
            <w:pPr>
              <w:spacing w:after="0"/>
              <w:rPr>
                <w:sz w:val="22"/>
                <w:szCs w:val="22"/>
                <w:color w:val="auto"/>
              </w:rPr>
            </w:pPr>
          </w:p>
        </w:tc>
        <w:tc>
          <w:tcPr>
            <w:tcW w:w="1000" w:type="dxa"/>
            <w:vAlign w:val="bottom"/>
            <w:tcBorders>
              <w:top w:val="single" w:sz="8" w:color="A6A6A6"/>
              <w:bottom w:val="single" w:sz="8" w:color="004483"/>
            </w:tcBorders>
          </w:tcPr>
          <w:p>
            <w:pPr>
              <w:spacing w:after="0"/>
              <w:rPr>
                <w:sz w:val="22"/>
                <w:szCs w:val="22"/>
                <w:color w:val="auto"/>
              </w:rPr>
            </w:pPr>
          </w:p>
        </w:tc>
        <w:tc>
          <w:tcPr>
            <w:tcW w:w="6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118,648</w:t>
            </w:r>
          </w:p>
        </w:tc>
        <w:tc>
          <w:tcPr>
            <w:tcW w:w="100" w:type="dxa"/>
            <w:vAlign w:val="bottom"/>
          </w:tcPr>
          <w:p>
            <w:pPr>
              <w:spacing w:after="0"/>
              <w:rPr>
                <w:sz w:val="22"/>
                <w:szCs w:val="22"/>
                <w:color w:val="auto"/>
              </w:rPr>
            </w:pP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45,214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004483"/>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205,858</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222"/>
        </w:trPr>
        <w:tc>
          <w:tcPr>
            <w:tcW w:w="4960" w:type="dxa"/>
            <w:vAlign w:val="bottom"/>
            <w:tcBorders>
              <w:bottom w:val="single" w:sz="8" w:color="004483"/>
            </w:tcBorders>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76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260" w:type="dxa"/>
            <w:vAlign w:val="bottom"/>
            <w:tcBorders>
              <w:bottom w:val="single" w:sz="8" w:color="004483"/>
            </w:tcBorders>
          </w:tcPr>
          <w:p>
            <w:pPr>
              <w:spacing w:after="0"/>
              <w:rPr>
                <w:sz w:val="19"/>
                <w:szCs w:val="19"/>
                <w:color w:val="auto"/>
              </w:rPr>
            </w:pPr>
          </w:p>
        </w:tc>
        <w:tc>
          <w:tcPr>
            <w:tcW w:w="80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240" w:type="dxa"/>
            <w:vAlign w:val="bottom"/>
            <w:tcBorders>
              <w:bottom w:val="single" w:sz="8" w:color="004483"/>
            </w:tcBorders>
            <w:gridSpan w:val="4"/>
          </w:tcPr>
          <w:p>
            <w:pPr>
              <w:jc w:val="right"/>
              <w:ind w:right="80"/>
              <w:spacing w:after="0"/>
              <w:rPr>
                <w:sz w:val="20"/>
                <w:szCs w:val="20"/>
                <w:color w:val="auto"/>
              </w:rPr>
            </w:pPr>
            <w:r>
              <w:rPr>
                <w:rFonts w:ascii="Arial" w:cs="Arial" w:eastAsia="Arial" w:hAnsi="Arial"/>
                <w:sz w:val="13"/>
                <w:szCs w:val="13"/>
                <w:color w:val="auto"/>
                <w:w w:val="91"/>
              </w:rPr>
              <w:t>(dollars in thousands)</w:t>
            </w: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96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240" w:type="dxa"/>
            <w:vAlign w:val="bottom"/>
            <w:tcBorders>
              <w:bottom w:val="single" w:sz="8" w:color="004483"/>
            </w:tcBorders>
          </w:tcPr>
          <w:p>
            <w:pPr>
              <w:spacing w:after="0"/>
              <w:rPr>
                <w:sz w:val="19"/>
                <w:szCs w:val="19"/>
                <w:color w:val="auto"/>
              </w:rPr>
            </w:pPr>
          </w:p>
        </w:tc>
        <w:tc>
          <w:tcPr>
            <w:tcW w:w="80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9"/>
                <w:szCs w:val="19"/>
                <w:color w:val="auto"/>
              </w:rPr>
            </w:pPr>
          </w:p>
        </w:tc>
        <w:tc>
          <w:tcPr>
            <w:tcW w:w="4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10,943</w:t>
            </w:r>
          </w:p>
        </w:tc>
        <w:tc>
          <w:tcPr>
            <w:tcW w:w="100" w:type="dxa"/>
            <w:vAlign w:val="bottom"/>
          </w:tcPr>
          <w:p>
            <w:pPr>
              <w:spacing w:after="0"/>
              <w:rPr>
                <w:sz w:val="19"/>
                <w:szCs w:val="19"/>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960,065</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(3,581 )</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967,843</w:t>
            </w:r>
          </w:p>
        </w:tc>
        <w:tc>
          <w:tcPr>
            <w:tcW w:w="80" w:type="dxa"/>
            <w:vAlign w:val="bottom"/>
          </w:tcPr>
          <w:p>
            <w:pPr>
              <w:spacing w:after="0"/>
              <w:rPr>
                <w:sz w:val="19"/>
                <w:szCs w:val="19"/>
                <w:color w:val="auto"/>
              </w:rPr>
            </w:pPr>
          </w:p>
        </w:tc>
      </w:tr>
      <w:tr>
        <w:trPr>
          <w:trHeight w:val="223"/>
        </w:trPr>
        <w:tc>
          <w:tcPr>
            <w:tcW w:w="49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0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96,206</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96,206</w:t>
            </w:r>
          </w:p>
        </w:tc>
        <w:tc>
          <w:tcPr>
            <w:tcW w:w="80" w:type="dxa"/>
            <w:vAlign w:val="bottom"/>
          </w:tcPr>
          <w:p>
            <w:pPr>
              <w:spacing w:after="0"/>
              <w:rPr>
                <w:sz w:val="19"/>
                <w:szCs w:val="19"/>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4,758</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4,760</w:t>
            </w:r>
          </w:p>
        </w:tc>
        <w:tc>
          <w:tcPr>
            <w:tcW w:w="80" w:type="dxa"/>
            <w:vAlign w:val="bottom"/>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(1,130 )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(1,130 )</w:t>
            </w:r>
          </w:p>
        </w:tc>
      </w:tr>
      <w:tr>
        <w:trPr>
          <w:trHeight w:val="223"/>
        </w:trPr>
        <w:tc>
          <w:tcPr>
            <w:tcW w:w="49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Sale of Business with Unfunded Pension Liability</w:t>
            </w:r>
          </w:p>
        </w:tc>
        <w:tc>
          <w:tcPr>
            <w:tcW w:w="30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19"/>
                <w:szCs w:val="19"/>
                <w:color w:val="auto"/>
              </w:rPr>
            </w:pPr>
          </w:p>
        </w:tc>
      </w:tr>
      <w:tr>
        <w:trPr>
          <w:trHeight w:val="257"/>
        </w:trPr>
        <w:tc>
          <w:tcPr>
            <w:tcW w:w="4960" w:type="dxa"/>
            <w:vAlign w:val="bottom"/>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3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2"/>
                <w:szCs w:val="22"/>
                <w:color w:val="auto"/>
              </w:rPr>
            </w:pPr>
          </w:p>
        </w:tc>
      </w:tr>
      <w:tr>
        <w:trPr>
          <w:trHeight w:val="216"/>
        </w:trPr>
        <w:tc>
          <w:tcPr>
            <w:tcW w:w="49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30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418</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260" w:type="dxa"/>
            <w:vAlign w:val="bottom"/>
            <w:tcBorders>
              <w:top w:val="single" w:sz="8" w:color="004483"/>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14,571</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1,056,271</w:t>
            </w:r>
          </w:p>
        </w:tc>
        <w:tc>
          <w:tcPr>
            <w:tcW w:w="8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(3,302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1,067,958</w:t>
            </w:r>
          </w:p>
        </w:tc>
        <w:tc>
          <w:tcPr>
            <w:tcW w:w="80" w:type="dxa"/>
            <w:vAlign w:val="bottom"/>
          </w:tcPr>
          <w:p>
            <w:pPr>
              <w:spacing w:after="0"/>
              <w:rPr>
                <w:sz w:val="18"/>
                <w:szCs w:val="18"/>
                <w:color w:val="auto"/>
              </w:rPr>
            </w:pPr>
          </w:p>
        </w:tc>
      </w:tr>
      <w:tr>
        <w:trPr>
          <w:trHeight w:val="20"/>
        </w:trPr>
        <w:tc>
          <w:tcPr>
            <w:tcW w:w="49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96,034</w:t>
            </w:r>
          </w:p>
        </w:tc>
        <w:tc>
          <w:tcPr>
            <w:tcW w:w="80" w:type="dxa"/>
            <w:vAlign w:val="bottom"/>
          </w:tcPr>
          <w:p>
            <w:pPr>
              <w:spacing w:after="0"/>
              <w:rPr>
                <w:sz w:val="18"/>
                <w:szCs w:val="18"/>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3,515</w:t>
            </w:r>
          </w:p>
        </w:tc>
        <w:tc>
          <w:tcPr>
            <w:tcW w:w="80" w:type="dxa"/>
            <w:vAlign w:val="bottom"/>
          </w:tcPr>
          <w:p>
            <w:pPr>
              <w:spacing w:after="0"/>
              <w:rPr>
                <w:sz w:val="19"/>
                <w:szCs w:val="19"/>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80" w:type="dxa"/>
            <w:vAlign w:val="bottom"/>
          </w:tcPr>
          <w:p>
            <w:pPr>
              <w:spacing w:after="0"/>
              <w:rPr>
                <w:sz w:val="19"/>
                <w:szCs w:val="19"/>
                <w:color w:val="auto"/>
              </w:rPr>
            </w:pPr>
          </w:p>
        </w:tc>
      </w:tr>
      <w:tr>
        <w:trPr>
          <w:trHeight w:val="256"/>
        </w:trPr>
        <w:tc>
          <w:tcPr>
            <w:tcW w:w="4960" w:type="dxa"/>
            <w:vAlign w:val="bottom"/>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3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2"/>
                <w:szCs w:val="22"/>
                <w:color w:val="auto"/>
              </w:rPr>
            </w:pPr>
          </w:p>
        </w:tc>
      </w:tr>
      <w:tr>
        <w:trPr>
          <w:trHeight w:val="217"/>
        </w:trPr>
        <w:tc>
          <w:tcPr>
            <w:tcW w:w="49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300" w:type="dxa"/>
            <w:vAlign w:val="bottom"/>
            <w:tcBorders>
              <w:top w:val="single" w:sz="8" w:color="004483"/>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418</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260" w:type="dxa"/>
            <w:vAlign w:val="bottom"/>
            <w:tcBorders>
              <w:top w:val="single" w:sz="8" w:color="004483"/>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18,584</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1,152,305</w:t>
            </w:r>
          </w:p>
        </w:tc>
        <w:tc>
          <w:tcPr>
            <w:tcW w:w="8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6A6A6"/>
            </w:tcBorders>
          </w:tcPr>
          <w:p>
            <w:pPr>
              <w:spacing w:after="0"/>
              <w:rPr>
                <w:sz w:val="18"/>
                <w:szCs w:val="18"/>
                <w:color w:val="auto"/>
              </w:rPr>
            </w:pPr>
          </w:p>
        </w:tc>
        <w:tc>
          <w:tcPr>
            <w:tcW w:w="240" w:type="dxa"/>
            <w:vAlign w:val="bottom"/>
            <w:tcBorders>
              <w:top w:val="single" w:sz="8" w:color="004483"/>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1,168,031</w:t>
            </w:r>
          </w:p>
        </w:tc>
        <w:tc>
          <w:tcPr>
            <w:tcW w:w="80" w:type="dxa"/>
            <w:vAlign w:val="bottom"/>
          </w:tcPr>
          <w:p>
            <w:pPr>
              <w:spacing w:after="0"/>
              <w:rPr>
                <w:sz w:val="18"/>
                <w:szCs w:val="18"/>
                <w:color w:val="auto"/>
              </w:rPr>
            </w:pPr>
          </w:p>
        </w:tc>
      </w:tr>
      <w:tr>
        <w:trPr>
          <w:trHeight w:val="20"/>
        </w:trPr>
        <w:tc>
          <w:tcPr>
            <w:tcW w:w="49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6"/>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r>
      <w:tr>
        <w:trPr>
          <w:trHeight w:val="222"/>
        </w:trPr>
        <w:tc>
          <w:tcPr>
            <w:tcW w:w="4960" w:type="dxa"/>
            <w:vAlign w:val="bottom"/>
            <w:tcBorders>
              <w:bottom w:val="single" w:sz="8" w:color="004483"/>
            </w:tcBorders>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76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260" w:type="dxa"/>
            <w:vAlign w:val="bottom"/>
            <w:tcBorders>
              <w:bottom w:val="single" w:sz="8" w:color="004483"/>
            </w:tcBorders>
          </w:tcPr>
          <w:p>
            <w:pPr>
              <w:spacing w:after="0"/>
              <w:rPr>
                <w:sz w:val="19"/>
                <w:szCs w:val="19"/>
                <w:color w:val="auto"/>
              </w:rPr>
            </w:pPr>
          </w:p>
        </w:tc>
        <w:tc>
          <w:tcPr>
            <w:tcW w:w="80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240" w:type="dxa"/>
            <w:vAlign w:val="bottom"/>
            <w:tcBorders>
              <w:bottom w:val="single" w:sz="8" w:color="004483"/>
            </w:tcBorders>
            <w:gridSpan w:val="4"/>
          </w:tcPr>
          <w:p>
            <w:pPr>
              <w:jc w:val="right"/>
              <w:ind w:right="80"/>
              <w:spacing w:after="0"/>
              <w:rPr>
                <w:sz w:val="20"/>
                <w:szCs w:val="20"/>
                <w:color w:val="auto"/>
              </w:rPr>
            </w:pPr>
            <w:r>
              <w:rPr>
                <w:rFonts w:ascii="Arial" w:cs="Arial" w:eastAsia="Arial" w:hAnsi="Arial"/>
                <w:sz w:val="13"/>
                <w:szCs w:val="13"/>
                <w:color w:val="auto"/>
                <w:w w:val="91"/>
              </w:rPr>
              <w:t>(dollars in thousands)</w:t>
            </w: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96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240" w:type="dxa"/>
            <w:vAlign w:val="bottom"/>
            <w:tcBorders>
              <w:bottom w:val="single" w:sz="8" w:color="004483"/>
            </w:tcBorders>
          </w:tcPr>
          <w:p>
            <w:pPr>
              <w:spacing w:after="0"/>
              <w:rPr>
                <w:sz w:val="19"/>
                <w:szCs w:val="19"/>
                <w:color w:val="auto"/>
              </w:rPr>
            </w:pPr>
          </w:p>
        </w:tc>
        <w:tc>
          <w:tcPr>
            <w:tcW w:w="80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9"/>
                <w:szCs w:val="19"/>
                <w:color w:val="auto"/>
              </w:rPr>
            </w:pPr>
          </w:p>
        </w:tc>
        <w:tc>
          <w:tcPr>
            <w:tcW w:w="4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62,497</w:t>
            </w:r>
          </w:p>
        </w:tc>
        <w:tc>
          <w:tcPr>
            <w:tcW w:w="100" w:type="dxa"/>
            <w:vAlign w:val="bottom"/>
          </w:tcPr>
          <w:p>
            <w:pPr>
              <w:spacing w:after="0"/>
              <w:rPr>
                <w:sz w:val="19"/>
                <w:szCs w:val="19"/>
                <w:color w:val="auto"/>
              </w:rPr>
            </w:pP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1,299,509</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(3,440 )</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1,358,990</w:t>
            </w:r>
          </w:p>
        </w:tc>
        <w:tc>
          <w:tcPr>
            <w:tcW w:w="80" w:type="dxa"/>
            <w:vAlign w:val="bottom"/>
          </w:tcPr>
          <w:p>
            <w:pPr>
              <w:spacing w:after="0"/>
              <w:rPr>
                <w:sz w:val="19"/>
                <w:szCs w:val="19"/>
                <w:color w:val="auto"/>
              </w:rPr>
            </w:pPr>
          </w:p>
        </w:tc>
      </w:tr>
      <w:tr>
        <w:trPr>
          <w:trHeight w:val="223"/>
        </w:trPr>
        <w:tc>
          <w:tcPr>
            <w:tcW w:w="49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0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9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80" w:type="dxa"/>
            <w:vAlign w:val="bottom"/>
          </w:tcPr>
          <w:p>
            <w:pPr>
              <w:spacing w:after="0"/>
              <w:rPr>
                <w:sz w:val="19"/>
                <w:szCs w:val="19"/>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2,456</w:t>
            </w:r>
          </w:p>
        </w:tc>
        <w:tc>
          <w:tcPr>
            <w:tcW w:w="80" w:type="dxa"/>
            <w:vAlign w:val="bottom"/>
          </w:tcPr>
          <w:p>
            <w:pPr>
              <w:spacing w:after="0"/>
              <w:rPr>
                <w:sz w:val="19"/>
                <w:szCs w:val="19"/>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80" w:type="dxa"/>
            <w:vAlign w:val="bottom"/>
          </w:tcPr>
          <w:p>
            <w:pPr>
              <w:spacing w:after="0"/>
              <w:rPr>
                <w:sz w:val="19"/>
                <w:szCs w:val="19"/>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(1,214 )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(1,214 )</w:t>
            </w:r>
          </w:p>
        </w:tc>
      </w:tr>
      <w:tr>
        <w:trPr>
          <w:trHeight w:val="23"/>
        </w:trPr>
        <w:tc>
          <w:tcPr>
            <w:tcW w:w="496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9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3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(61,925 )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(61,929 )</w:t>
            </w:r>
          </w:p>
        </w:tc>
      </w:tr>
      <w:tr>
        <w:trPr>
          <w:trHeight w:val="23"/>
        </w:trPr>
        <w:tc>
          <w:tcPr>
            <w:tcW w:w="496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9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(10,547 )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(10,547 )</w:t>
            </w:r>
          </w:p>
        </w:tc>
      </w:tr>
      <w:tr>
        <w:trPr>
          <w:trHeight w:val="257"/>
        </w:trPr>
        <w:tc>
          <w:tcPr>
            <w:tcW w:w="49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300" w:type="dxa"/>
            <w:vAlign w:val="bottom"/>
            <w:tcBorders>
              <w:top w:val="single" w:sz="8" w:color="A6A6A6"/>
              <w:bottom w:val="single" w:sz="8" w:color="004483"/>
            </w:tcBorders>
          </w:tcPr>
          <w:p>
            <w:pPr>
              <w:spacing w:after="0"/>
              <w:rPr>
                <w:sz w:val="22"/>
                <w:szCs w:val="22"/>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Borders>
              <w:top w:val="single" w:sz="8" w:color="A6A6A6"/>
              <w:bottom w:val="single" w:sz="8" w:color="A6A6A6"/>
            </w:tcBorders>
          </w:tcPr>
          <w:p>
            <w:pPr>
              <w:spacing w:after="0"/>
              <w:rPr>
                <w:sz w:val="22"/>
                <w:szCs w:val="22"/>
                <w:color w:val="auto"/>
              </w:rPr>
            </w:pPr>
          </w:p>
        </w:tc>
        <w:tc>
          <w:tcPr>
            <w:tcW w:w="26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24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120" w:type="dxa"/>
            <w:vAlign w:val="bottom"/>
            <w:tcBorders>
              <w:top w:val="single" w:sz="8" w:color="A6A6A6"/>
              <w:bottom w:val="single" w:sz="8" w:color="004483"/>
            </w:tcBorders>
          </w:tcPr>
          <w:p>
            <w:pPr>
              <w:spacing w:after="0"/>
              <w:rPr>
                <w:sz w:val="22"/>
                <w:szCs w:val="22"/>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24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2"/>
                <w:szCs w:val="22"/>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1,384,289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(3,413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1,391,332</w:t>
            </w:r>
          </w:p>
        </w:tc>
        <w:tc>
          <w:tcPr>
            <w:tcW w:w="80" w:type="dxa"/>
            <w:vAlign w:val="bottom"/>
          </w:tcPr>
          <w:p>
            <w:pPr>
              <w:spacing w:after="0"/>
              <w:rPr>
                <w:sz w:val="18"/>
                <w:szCs w:val="18"/>
                <w:color w:val="auto"/>
              </w:rPr>
            </w:pPr>
          </w:p>
        </w:tc>
      </w:tr>
      <w:tr>
        <w:trPr>
          <w:trHeight w:val="20"/>
        </w:trPr>
        <w:tc>
          <w:tcPr>
            <w:tcW w:w="496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80" w:type="dxa"/>
            <w:vAlign w:val="bottom"/>
          </w:tcPr>
          <w:p>
            <w:pPr>
              <w:spacing w:after="0"/>
              <w:rPr>
                <w:sz w:val="18"/>
                <w:szCs w:val="18"/>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80" w:type="dxa"/>
            <w:vAlign w:val="bottom"/>
          </w:tcPr>
          <w:p>
            <w:pPr>
              <w:spacing w:after="0"/>
              <w:rPr>
                <w:sz w:val="19"/>
                <w:szCs w:val="19"/>
                <w:color w:val="auto"/>
              </w:rPr>
            </w:pPr>
          </w:p>
        </w:tc>
      </w:tr>
      <w:tr>
        <w:trPr>
          <w:trHeight w:val="223"/>
        </w:trPr>
        <w:tc>
          <w:tcPr>
            <w:tcW w:w="49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30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9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80" w:type="dxa"/>
            <w:vAlign w:val="bottom"/>
          </w:tcPr>
          <w:p>
            <w:pPr>
              <w:spacing w:after="0"/>
              <w:rPr>
                <w:sz w:val="19"/>
                <w:szCs w:val="19"/>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(145 )</w:t>
            </w:r>
          </w:p>
        </w:tc>
      </w:tr>
      <w:tr>
        <w:trPr>
          <w:trHeight w:val="23"/>
        </w:trPr>
        <w:tc>
          <w:tcPr>
            <w:tcW w:w="496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9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3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(20,048 )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(165,856 )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(185,916 )</w:t>
            </w:r>
          </w:p>
        </w:tc>
      </w:tr>
      <w:tr>
        <w:trPr>
          <w:trHeight w:val="23"/>
        </w:trPr>
        <w:tc>
          <w:tcPr>
            <w:tcW w:w="496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9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(10,272 )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(10,272 )</w:t>
            </w:r>
          </w:p>
        </w:tc>
      </w:tr>
      <w:tr>
        <w:trPr>
          <w:trHeight w:val="256"/>
        </w:trPr>
        <w:tc>
          <w:tcPr>
            <w:tcW w:w="49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300" w:type="dxa"/>
            <w:vAlign w:val="bottom"/>
            <w:tcBorders>
              <w:top w:val="single" w:sz="8" w:color="A6A6A6"/>
              <w:bottom w:val="single" w:sz="8" w:color="004483"/>
            </w:tcBorders>
          </w:tcPr>
          <w:p>
            <w:pPr>
              <w:spacing w:after="0"/>
              <w:rPr>
                <w:sz w:val="22"/>
                <w:szCs w:val="22"/>
                <w:color w:val="auto"/>
              </w:rPr>
            </w:pPr>
          </w:p>
        </w:tc>
        <w:tc>
          <w:tcPr>
            <w:tcW w:w="7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0" w:type="dxa"/>
            <w:vAlign w:val="bottom"/>
            <w:tcBorders>
              <w:top w:val="single" w:sz="8" w:color="A6A6A6"/>
              <w:bottom w:val="single" w:sz="8" w:color="A6A6A6"/>
            </w:tcBorders>
          </w:tcPr>
          <w:p>
            <w:pPr>
              <w:spacing w:after="0"/>
              <w:rPr>
                <w:sz w:val="22"/>
                <w:szCs w:val="22"/>
                <w:color w:val="auto"/>
              </w:rPr>
            </w:pPr>
          </w:p>
        </w:tc>
        <w:tc>
          <w:tcPr>
            <w:tcW w:w="26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24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120" w:type="dxa"/>
            <w:vAlign w:val="bottom"/>
            <w:tcBorders>
              <w:top w:val="single" w:sz="8" w:color="A6A6A6"/>
              <w:bottom w:val="single" w:sz="8" w:color="004483"/>
            </w:tcBorders>
          </w:tcPr>
          <w:p>
            <w:pPr>
              <w:spacing w:after="0"/>
              <w:rPr>
                <w:sz w:val="22"/>
                <w:szCs w:val="22"/>
                <w:color w:val="auto"/>
              </w:rPr>
            </w:pPr>
          </w:p>
        </w:tc>
        <w:tc>
          <w:tcPr>
            <w:tcW w:w="9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24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2"/>
                <w:szCs w:val="22"/>
                <w:color w:val="auto"/>
              </w:rPr>
            </w:pPr>
          </w:p>
        </w:tc>
      </w:tr>
      <w:tr>
        <w:trPr>
          <w:trHeight w:val="217"/>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30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004483"/>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1,310,286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(3,386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1,307,309</w:t>
            </w:r>
          </w:p>
        </w:tc>
        <w:tc>
          <w:tcPr>
            <w:tcW w:w="8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9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6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accompanying unaudited consolidated financial statements as of and for the three- and six-month periods ended September 30, 2021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21, 2021.</w:t>
      </w:r>
    </w:p>
    <w:p>
      <w:pPr>
        <w:spacing w:after="0" w:line="98"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98"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61"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color w:val="auto"/>
        </w:rPr>
        <w:t>In December 2019, the FASB issued ASU 2019-12, which simplifies the accounting for income taxes, eliminates certain exceptions within existing income tax guidance, and clarifies certain aspects of the current guidance to promote consistency among reporting entities. We adopted this ASU on April 1, 2021 on a prospective basis. The adoption of this guidance did not have a material effect on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SUPPLEMENTAL CASH FLOW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320" w:type="dxa"/>
            <w:vAlign w:val="bottom"/>
          </w:tcPr>
          <w:p>
            <w:pPr>
              <w:spacing w:after="0"/>
              <w:rPr>
                <w:sz w:val="21"/>
                <w:szCs w:val="21"/>
                <w:color w:val="auto"/>
              </w:rPr>
            </w:pPr>
          </w:p>
        </w:tc>
        <w:tc>
          <w:tcPr>
            <w:tcW w:w="440" w:type="dxa"/>
            <w:vAlign w:val="bottom"/>
            <w:shd w:val="clear" w:color="auto" w:fill="004483"/>
          </w:tcPr>
          <w:p>
            <w:pPr>
              <w:spacing w:after="0"/>
              <w:rPr>
                <w:sz w:val="21"/>
                <w:szCs w:val="21"/>
                <w:color w:val="auto"/>
              </w:rPr>
            </w:pPr>
          </w:p>
        </w:tc>
        <w:tc>
          <w:tcPr>
            <w:tcW w:w="2760" w:type="dxa"/>
            <w:vAlign w:val="bottom"/>
            <w:gridSpan w:val="3"/>
            <w:shd w:val="clear" w:color="auto" w:fill="004483"/>
          </w:tcPr>
          <w:p>
            <w:pPr>
              <w:jc w:val="center"/>
              <w:ind w:left="108"/>
              <w:spacing w:after="0"/>
              <w:rPr>
                <w:sz w:val="20"/>
                <w:szCs w:val="20"/>
                <w:color w:val="auto"/>
              </w:rPr>
            </w:pPr>
            <w:r>
              <w:rPr>
                <w:rFonts w:ascii="Arial" w:cs="Arial" w:eastAsia="Arial" w:hAnsi="Arial"/>
                <w:sz w:val="13"/>
                <w:szCs w:val="13"/>
                <w:b w:val="1"/>
                <w:bCs w:val="1"/>
                <w:color w:val="FFFFFF"/>
                <w:w w:val="87"/>
              </w:rPr>
              <w:t>For the Six Months Ended September 30,</w:t>
            </w:r>
          </w:p>
        </w:tc>
        <w:tc>
          <w:tcPr>
            <w:tcW w:w="640" w:type="dxa"/>
            <w:vAlign w:val="bottom"/>
            <w:shd w:val="clear" w:color="auto" w:fill="004483"/>
          </w:tcPr>
          <w:p>
            <w:pPr>
              <w:spacing w:after="0"/>
              <w:rPr>
                <w:sz w:val="21"/>
                <w:szCs w:val="21"/>
                <w:color w:val="auto"/>
              </w:rPr>
            </w:pPr>
          </w:p>
        </w:tc>
        <w:tc>
          <w:tcPr>
            <w:tcW w:w="80" w:type="dxa"/>
            <w:vAlign w:val="bottom"/>
            <w:shd w:val="clear" w:color="auto" w:fill="004483"/>
          </w:tcPr>
          <w:p>
            <w:pPr>
              <w:spacing w:after="0"/>
              <w:rPr>
                <w:sz w:val="21"/>
                <w:szCs w:val="21"/>
                <w:color w:val="auto"/>
              </w:rPr>
            </w:pPr>
          </w:p>
        </w:tc>
      </w:tr>
      <w:tr>
        <w:trPr>
          <w:trHeight w:val="173"/>
        </w:trPr>
        <w:tc>
          <w:tcPr>
            <w:tcW w:w="7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25"/>
        </w:trPr>
        <w:tc>
          <w:tcPr>
            <w:tcW w:w="7320" w:type="dxa"/>
            <w:vAlign w:val="bottom"/>
            <w:tcBorders>
              <w:bottom w:val="single" w:sz="8" w:color="004483"/>
            </w:tcBorders>
          </w:tcPr>
          <w:p>
            <w:pPr>
              <w:spacing w:after="0"/>
              <w:rPr>
                <w:sz w:val="19"/>
                <w:szCs w:val="19"/>
                <w:color w:val="auto"/>
              </w:rPr>
            </w:pPr>
          </w:p>
        </w:tc>
        <w:tc>
          <w:tcPr>
            <w:tcW w:w="440" w:type="dxa"/>
            <w:vAlign w:val="bottom"/>
            <w:tcBorders>
              <w:bottom w:val="single" w:sz="8" w:color="004483"/>
            </w:tcBorders>
          </w:tcPr>
          <w:p>
            <w:pPr>
              <w:spacing w:after="0"/>
              <w:rPr>
                <w:sz w:val="19"/>
                <w:szCs w:val="19"/>
                <w:color w:val="auto"/>
              </w:rPr>
            </w:pPr>
          </w:p>
        </w:tc>
        <w:tc>
          <w:tcPr>
            <w:tcW w:w="2760" w:type="dxa"/>
            <w:vAlign w:val="bottom"/>
            <w:tcBorders>
              <w:bottom w:val="single" w:sz="8" w:color="004483"/>
            </w:tcBorders>
            <w:gridSpan w:val="3"/>
          </w:tcPr>
          <w:p>
            <w:pPr>
              <w:jc w:val="center"/>
              <w:ind w:left="108"/>
              <w:spacing w:after="0"/>
              <w:rPr>
                <w:sz w:val="20"/>
                <w:szCs w:val="20"/>
                <w:color w:val="auto"/>
              </w:rPr>
            </w:pPr>
            <w:r>
              <w:rPr>
                <w:rFonts w:ascii="Arial" w:cs="Arial" w:eastAsia="Arial" w:hAnsi="Arial"/>
                <w:sz w:val="13"/>
                <w:szCs w:val="13"/>
                <w:color w:val="auto"/>
                <w:w w:val="88"/>
              </w:rPr>
              <w:t>(dollars in thousands)</w:t>
            </w:r>
          </w:p>
        </w:tc>
        <w:tc>
          <w:tcPr>
            <w:tcW w:w="64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Payments: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6"/>
        </w:trPr>
        <w:tc>
          <w:tcPr>
            <w:tcW w:w="7320" w:type="dxa"/>
            <w:vAlign w:val="bottom"/>
            <w:tcBorders>
              <w:bottom w:val="single" w:sz="8" w:color="A6A6A6"/>
            </w:tcBorders>
          </w:tcPr>
          <w:p>
            <w:pPr>
              <w:spacing w:after="0"/>
              <w:rPr>
                <w:sz w:val="4"/>
                <w:szCs w:val="4"/>
                <w:color w:val="auto"/>
              </w:rPr>
            </w:pPr>
          </w:p>
        </w:tc>
        <w:tc>
          <w:tcPr>
            <w:tcW w:w="440" w:type="dxa"/>
            <w:vAlign w:val="bottom"/>
            <w:tcBorders>
              <w:bottom w:val="single" w:sz="8" w:color="A6A6A6"/>
            </w:tcBorders>
          </w:tcPr>
          <w:p>
            <w:pPr>
              <w:spacing w:after="0"/>
              <w:rPr>
                <w:sz w:val="4"/>
                <w:szCs w:val="4"/>
                <w:color w:val="auto"/>
              </w:rPr>
            </w:pPr>
          </w:p>
        </w:tc>
        <w:tc>
          <w:tcPr>
            <w:tcW w:w="1380" w:type="dxa"/>
            <w:vAlign w:val="bottom"/>
            <w:tcBorders>
              <w:bottom w:val="single" w:sz="8" w:color="A6A6A6"/>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Borders>
              <w:bottom w:val="single" w:sz="8" w:color="A6A6A6"/>
            </w:tcBorders>
          </w:tcPr>
          <w:p>
            <w:pPr>
              <w:spacing w:after="0"/>
              <w:rPr>
                <w:sz w:val="4"/>
                <w:szCs w:val="4"/>
                <w:color w:val="auto"/>
              </w:rPr>
            </w:pPr>
          </w:p>
        </w:tc>
        <w:tc>
          <w:tcPr>
            <w:tcW w:w="640" w:type="dxa"/>
            <w:vAlign w:val="bottom"/>
            <w:tcBorders>
              <w:bottom w:val="single" w:sz="8" w:color="A6A6A6"/>
            </w:tcBorders>
          </w:tcPr>
          <w:p>
            <w:pPr>
              <w:spacing w:after="0"/>
              <w:rPr>
                <w:sz w:val="4"/>
                <w:szCs w:val="4"/>
                <w:color w:val="auto"/>
              </w:rPr>
            </w:pPr>
          </w:p>
        </w:tc>
        <w:tc>
          <w:tcPr>
            <w:tcW w:w="80" w:type="dxa"/>
            <w:vAlign w:val="bottom"/>
          </w:tcPr>
          <w:p>
            <w:pPr>
              <w:spacing w:after="0"/>
              <w:rPr>
                <w:sz w:val="4"/>
                <w:szCs w:val="4"/>
                <w:color w:val="auto"/>
              </w:rPr>
            </w:pPr>
          </w:p>
        </w:tc>
      </w:tr>
      <w:tr>
        <w:trPr>
          <w:trHeight w:val="244"/>
        </w:trPr>
        <w:tc>
          <w:tcPr>
            <w:tcW w:w="732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10,634</w:t>
            </w:r>
          </w:p>
        </w:tc>
        <w:tc>
          <w:tcPr>
            <w:tcW w:w="138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24,897</w:t>
            </w:r>
          </w:p>
        </w:tc>
        <w:tc>
          <w:tcPr>
            <w:tcW w:w="80" w:type="dxa"/>
            <w:vAlign w:val="bottom"/>
          </w:tcPr>
          <w:p>
            <w:pPr>
              <w:spacing w:after="0"/>
              <w:rPr>
                <w:sz w:val="21"/>
                <w:szCs w:val="21"/>
                <w:color w:val="auto"/>
              </w:rPr>
            </w:pPr>
          </w:p>
        </w:tc>
      </w:tr>
      <w:tr>
        <w:trPr>
          <w:trHeight w:val="250"/>
        </w:trPr>
        <w:tc>
          <w:tcPr>
            <w:tcW w:w="732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440" w:type="dxa"/>
            <w:vAlign w:val="bottom"/>
            <w:tcBorders>
              <w:top w:val="single" w:sz="8" w:color="A6A6A6"/>
              <w:bottom w:val="single" w:sz="8" w:color="A6A6A6"/>
            </w:tcBorders>
          </w:tcPr>
          <w:p>
            <w:pPr>
              <w:spacing w:after="0"/>
              <w:rPr>
                <w:sz w:val="21"/>
                <w:szCs w:val="21"/>
                <w:color w:val="auto"/>
              </w:rPr>
            </w:pPr>
          </w:p>
        </w:tc>
        <w:tc>
          <w:tcPr>
            <w:tcW w:w="1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54,581</w:t>
            </w:r>
          </w:p>
        </w:tc>
        <w:tc>
          <w:tcPr>
            <w:tcW w:w="80" w:type="dxa"/>
            <w:vAlign w:val="bottom"/>
          </w:tcPr>
          <w:p>
            <w:pPr>
              <w:spacing w:after="0"/>
              <w:rPr>
                <w:sz w:val="21"/>
                <w:szCs w:val="21"/>
                <w:color w:val="auto"/>
              </w:rPr>
            </w:pPr>
          </w:p>
        </w:tc>
        <w:tc>
          <w:tcPr>
            <w:tcW w:w="1300" w:type="dxa"/>
            <w:vAlign w:val="bottom"/>
            <w:tcBorders>
              <w:top w:val="single" w:sz="8" w:color="A6A6A6"/>
              <w:bottom w:val="single" w:sz="8" w:color="A6A6A6"/>
            </w:tcBorders>
          </w:tcPr>
          <w:p>
            <w:pPr>
              <w:spacing w:after="0"/>
              <w:rPr>
                <w:sz w:val="21"/>
                <w:szCs w:val="21"/>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23,200</w:t>
            </w:r>
          </w:p>
        </w:tc>
        <w:tc>
          <w:tcPr>
            <w:tcW w:w="80" w:type="dxa"/>
            <w:vAlign w:val="bottom"/>
          </w:tcPr>
          <w:p>
            <w:pPr>
              <w:spacing w:after="0"/>
              <w:rPr>
                <w:sz w:val="21"/>
                <w:szCs w:val="21"/>
                <w:color w:val="auto"/>
              </w:rPr>
            </w:pPr>
          </w:p>
        </w:tc>
      </w:tr>
      <w:tr>
        <w:trPr>
          <w:trHeight w:val="250"/>
        </w:trPr>
        <w:tc>
          <w:tcPr>
            <w:tcW w:w="73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440" w:type="dxa"/>
            <w:vAlign w:val="bottom"/>
            <w:tcBorders>
              <w:bottom w:val="single" w:sz="8" w:color="A6A6A6"/>
            </w:tcBorders>
          </w:tcPr>
          <w:p>
            <w:pPr>
              <w:spacing w:after="0"/>
              <w:rPr>
                <w:sz w:val="21"/>
                <w:szCs w:val="21"/>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3,987</w:t>
            </w:r>
          </w:p>
        </w:tc>
        <w:tc>
          <w:tcPr>
            <w:tcW w:w="80" w:type="dxa"/>
            <w:vAlign w:val="bottom"/>
          </w:tcPr>
          <w:p>
            <w:pPr>
              <w:spacing w:after="0"/>
              <w:rPr>
                <w:sz w:val="21"/>
                <w:szCs w:val="21"/>
                <w:color w:val="auto"/>
              </w:rPr>
            </w:pPr>
          </w:p>
        </w:tc>
        <w:tc>
          <w:tcPr>
            <w:tcW w:w="1300" w:type="dxa"/>
            <w:vAlign w:val="bottom"/>
            <w:tcBorders>
              <w:bottom w:val="single" w:sz="8" w:color="A6A6A6"/>
            </w:tcBorders>
          </w:tcPr>
          <w:p>
            <w:pPr>
              <w:spacing w:after="0"/>
              <w:rPr>
                <w:sz w:val="21"/>
                <w:szCs w:val="21"/>
                <w:color w:val="auto"/>
              </w:rPr>
            </w:pPr>
          </w:p>
        </w:tc>
        <w:tc>
          <w:tcPr>
            <w:tcW w:w="6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6,127</w:t>
            </w:r>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 DISCONTINUED OPERATIONS AND OTHER DISPOSITIONS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62"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On September 18, 2020, we sold our Oil and Gas Proppants business (the Proppants Business) to Smart Sand, Inc., a Delaware corporation (the Purchaser), pursuant to an Equity Purchase and Sale Agreement (the Purchase Agreement) between the Company and the Purchaser. The sale of this business excluded certain assets, namely real property and equipment in south Texas, real property in Illinois, and certain other assets. The purchase price (the Purchase Price) paid by the Purchaser for the acquisition of the Proppants Business was $2.0 million paid in shares of common stock of the Purchaser. Shares representing $0.3 million of the Purchase Price are being held in escrow as a source of recovery for any indemnification claims by the Purchaser. The sale resulted in a gain of approximately $9.2 million.</w:t>
      </w:r>
    </w:p>
    <w:p>
      <w:pPr>
        <w:spacing w:after="0" w:line="96"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In connection with the execution of the Purchase Agreement, we also entered into a Loan and Security Agreement, dated September 18, 2020 (the Loan and Security Agreement), by and among the Company, as lender; the Purchaser, as borrower; and other parties thereto. Pursuant to the Loan and Security Agreement, the Company would loan the Purchaser up to $5.0 million for working capital and operating, maintenance, and administrative expenses of the Proppants Business during the one-year period following the closing. At closing, the Company deposited the $5.0 million into an escrow account. There were no borrowings made under the Loan and Security Agreement, which expired on September 18, 2021. Upon expiration, the $5.0 million held in escrow was returned to the Company.</w:t>
      </w:r>
    </w:p>
    <w:p>
      <w:pPr>
        <w:spacing w:after="0" w:line="96"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The sale of the Proppants Business, which was previously disclosed as a reportable segment, was determined to meet the discontinued operations accounting criteria. Certain expenses, which were previously included in the Oil and Gas Proppants operating segment, do not qualify for classification within discontinued operations and have been reclassified from the operating segment to continuing operations. These expenses primarily relate to lease agreements not included in the sale of the Proppants Business.</w:t>
      </w:r>
    </w:p>
    <w:p>
      <w:pPr>
        <w:spacing w:after="0" w:line="97" w:lineRule="exact"/>
        <w:rPr>
          <w:sz w:val="20"/>
          <w:szCs w:val="20"/>
          <w:color w:val="auto"/>
        </w:rPr>
      </w:pPr>
    </w:p>
    <w:p>
      <w:pPr>
        <w:ind w:right="540"/>
        <w:spacing w:after="0" w:line="293" w:lineRule="auto"/>
        <w:rPr>
          <w:sz w:val="20"/>
          <w:szCs w:val="20"/>
          <w:color w:val="auto"/>
        </w:rPr>
      </w:pPr>
      <w:r>
        <w:rPr>
          <w:rFonts w:ascii="Arial" w:cs="Arial" w:eastAsia="Arial" w:hAnsi="Arial"/>
          <w:sz w:val="18"/>
          <w:szCs w:val="18"/>
          <w:color w:val="auto"/>
        </w:rPr>
        <w:t>The following is a summary of operating results included in Earnings (Loss) from Discontinued Operations for the three and six months ended September 30,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shd w:val="clear" w:color="auto" w:fill="004483"/>
          </w:tcPr>
          <w:p>
            <w:pPr>
              <w:spacing w:after="0"/>
              <w:rPr>
                <w:sz w:val="14"/>
                <w:szCs w:val="14"/>
                <w:color w:val="auto"/>
              </w:rPr>
            </w:pPr>
          </w:p>
        </w:tc>
        <w:tc>
          <w:tcPr>
            <w:tcW w:w="2020" w:type="dxa"/>
            <w:vAlign w:val="bottom"/>
            <w:gridSpan w:val="2"/>
            <w:shd w:val="clear" w:color="auto" w:fill="004483"/>
          </w:tcPr>
          <w:p>
            <w:pPr>
              <w:ind w:left="160"/>
              <w:spacing w:after="0"/>
              <w:rPr>
                <w:sz w:val="20"/>
                <w:szCs w:val="20"/>
                <w:color w:val="auto"/>
              </w:rPr>
            </w:pPr>
            <w:r>
              <w:rPr>
                <w:rFonts w:ascii="Arial" w:cs="Arial" w:eastAsia="Arial" w:hAnsi="Arial"/>
                <w:sz w:val="13"/>
                <w:szCs w:val="13"/>
                <w:b w:val="1"/>
                <w:bCs w:val="1"/>
                <w:color w:val="FFFFFF"/>
              </w:rPr>
              <w:t>For the Three Months</w:t>
            </w:r>
          </w:p>
        </w:tc>
        <w:tc>
          <w:tcPr>
            <w:tcW w:w="420" w:type="dxa"/>
            <w:vAlign w:val="bottom"/>
            <w:shd w:val="clear" w:color="auto" w:fill="004483"/>
          </w:tcPr>
          <w:p>
            <w:pPr>
              <w:spacing w:after="0"/>
              <w:rPr>
                <w:sz w:val="14"/>
                <w:szCs w:val="14"/>
                <w:color w:val="auto"/>
              </w:rPr>
            </w:pPr>
          </w:p>
        </w:tc>
        <w:tc>
          <w:tcPr>
            <w:tcW w:w="1680" w:type="dxa"/>
            <w:vAlign w:val="bottom"/>
            <w:gridSpan w:val="2"/>
            <w:shd w:val="clear" w:color="auto" w:fill="004483"/>
          </w:tcPr>
          <w:p>
            <w:pPr>
              <w:jc w:val="right"/>
              <w:ind w:right="580"/>
              <w:spacing w:after="0"/>
              <w:rPr>
                <w:sz w:val="20"/>
                <w:szCs w:val="20"/>
                <w:color w:val="auto"/>
              </w:rPr>
            </w:pPr>
            <w:r>
              <w:rPr>
                <w:rFonts w:ascii="Arial" w:cs="Arial" w:eastAsia="Arial" w:hAnsi="Arial"/>
                <w:sz w:val="13"/>
                <w:szCs w:val="13"/>
                <w:b w:val="1"/>
                <w:bCs w:val="1"/>
                <w:color w:val="FFFFFF"/>
                <w:w w:val="92"/>
              </w:rPr>
              <w:t>For the Six Months</w:t>
            </w:r>
          </w:p>
        </w:tc>
      </w:tr>
      <w:tr>
        <w:trPr>
          <w:trHeight w:val="180"/>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shd w:val="clear" w:color="auto" w:fill="004483"/>
          </w:tcPr>
          <w:p>
            <w:pPr>
              <w:spacing w:after="0"/>
              <w:rPr>
                <w:sz w:val="15"/>
                <w:szCs w:val="15"/>
                <w:color w:val="auto"/>
              </w:rPr>
            </w:pPr>
          </w:p>
        </w:tc>
        <w:tc>
          <w:tcPr>
            <w:tcW w:w="2020" w:type="dxa"/>
            <w:vAlign w:val="bottom"/>
            <w:gridSpan w:val="2"/>
            <w:shd w:val="clear" w:color="auto" w:fill="004483"/>
          </w:tcPr>
          <w:p>
            <w:pPr>
              <w:ind w:left="160"/>
              <w:spacing w:after="0"/>
              <w:rPr>
                <w:sz w:val="20"/>
                <w:szCs w:val="20"/>
                <w:color w:val="auto"/>
              </w:rPr>
            </w:pPr>
            <w:r>
              <w:rPr>
                <w:rFonts w:ascii="Arial" w:cs="Arial" w:eastAsia="Arial" w:hAnsi="Arial"/>
                <w:sz w:val="13"/>
                <w:szCs w:val="13"/>
                <w:b w:val="1"/>
                <w:bCs w:val="1"/>
                <w:color w:val="FFFFFF"/>
              </w:rPr>
              <w:t>Ended September 30,</w:t>
            </w:r>
          </w:p>
        </w:tc>
        <w:tc>
          <w:tcPr>
            <w:tcW w:w="420" w:type="dxa"/>
            <w:vAlign w:val="bottom"/>
            <w:shd w:val="clear" w:color="auto" w:fill="004483"/>
          </w:tcPr>
          <w:p>
            <w:pPr>
              <w:spacing w:after="0"/>
              <w:rPr>
                <w:sz w:val="15"/>
                <w:szCs w:val="15"/>
                <w:color w:val="auto"/>
              </w:rPr>
            </w:pPr>
          </w:p>
        </w:tc>
        <w:tc>
          <w:tcPr>
            <w:tcW w:w="1680" w:type="dxa"/>
            <w:vAlign w:val="bottom"/>
            <w:gridSpan w:val="2"/>
            <w:shd w:val="clear" w:color="auto" w:fill="004483"/>
          </w:tcPr>
          <w:p>
            <w:pPr>
              <w:jc w:val="right"/>
              <w:ind w:right="540"/>
              <w:spacing w:after="0"/>
              <w:rPr>
                <w:sz w:val="20"/>
                <w:szCs w:val="20"/>
                <w:color w:val="auto"/>
              </w:rPr>
            </w:pPr>
            <w:r>
              <w:rPr>
                <w:rFonts w:ascii="Arial" w:cs="Arial" w:eastAsia="Arial" w:hAnsi="Arial"/>
                <w:sz w:val="13"/>
                <w:szCs w:val="13"/>
                <w:b w:val="1"/>
                <w:bCs w:val="1"/>
                <w:color w:val="FFFFFF"/>
                <w:w w:val="84"/>
              </w:rPr>
              <w:t>Ended September 30,</w:t>
            </w:r>
          </w:p>
        </w:tc>
      </w:tr>
      <w:tr>
        <w:trPr>
          <w:trHeight w:val="173"/>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5"/>
        </w:trPr>
        <w:tc>
          <w:tcPr>
            <w:tcW w:w="670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260" w:type="dxa"/>
            <w:vAlign w:val="bottom"/>
            <w:tcBorders>
              <w:bottom w:val="single" w:sz="8" w:color="004483"/>
            </w:tcBorders>
          </w:tcPr>
          <w:p>
            <w:pPr>
              <w:spacing w:after="0"/>
              <w:rPr>
                <w:sz w:val="19"/>
                <w:szCs w:val="19"/>
                <w:color w:val="auto"/>
              </w:rPr>
            </w:pPr>
          </w:p>
        </w:tc>
        <w:tc>
          <w:tcPr>
            <w:tcW w:w="2440" w:type="dxa"/>
            <w:vAlign w:val="bottom"/>
            <w:tcBorders>
              <w:bottom w:val="single" w:sz="8" w:color="004483"/>
            </w:tcBorders>
            <w:gridSpan w:val="3"/>
          </w:tcPr>
          <w:p>
            <w:pPr>
              <w:ind w:left="1340"/>
              <w:spacing w:after="0"/>
              <w:rPr>
                <w:sz w:val="20"/>
                <w:szCs w:val="20"/>
                <w:color w:val="auto"/>
              </w:rPr>
            </w:pPr>
            <w:r>
              <w:rPr>
                <w:rFonts w:ascii="Arial" w:cs="Arial" w:eastAsia="Arial" w:hAnsi="Arial"/>
                <w:sz w:val="13"/>
                <w:szCs w:val="13"/>
                <w:color w:val="auto"/>
                <w:w w:val="86"/>
              </w:rPr>
              <w:t>(dollars in thousands)</w:t>
            </w:r>
          </w:p>
        </w:tc>
        <w:tc>
          <w:tcPr>
            <w:tcW w:w="15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Revenue</w:t>
            </w:r>
          </w:p>
        </w:tc>
        <w:tc>
          <w:tcPr>
            <w:tcW w:w="160" w:type="dxa"/>
            <w:vAlign w:val="bottom"/>
          </w:tcPr>
          <w:p>
            <w:pPr>
              <w:spacing w:after="0"/>
              <w:rPr>
                <w:sz w:val="19"/>
                <w:szCs w:val="19"/>
                <w:color w:val="auto"/>
              </w:rPr>
            </w:pP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420" w:type="dxa"/>
            <w:vAlign w:val="bottom"/>
            <w:tcBorders>
              <w:bottom w:val="single" w:sz="8" w:color="A6A6A6"/>
            </w:tcBorders>
          </w:tcPr>
          <w:p>
            <w:pPr>
              <w:jc w:val="right"/>
              <w:ind w:right="2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9"/>
                <w:szCs w:val="19"/>
                <w:color w:val="auto"/>
              </w:rPr>
            </w:pPr>
          </w:p>
        </w:tc>
      </w:tr>
      <w:tr>
        <w:trPr>
          <w:trHeight w:val="256"/>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160" w:type="dxa"/>
            <w:vAlign w:val="bottom"/>
          </w:tcPr>
          <w:p>
            <w:pPr>
              <w:spacing w:after="0"/>
              <w:rPr>
                <w:sz w:val="22"/>
                <w:szCs w:val="22"/>
                <w:color w:val="auto"/>
              </w:rPr>
            </w:pPr>
          </w:p>
        </w:tc>
        <w:tc>
          <w:tcPr>
            <w:tcW w:w="260" w:type="dxa"/>
            <w:vAlign w:val="bottom"/>
            <w:tcBorders>
              <w:bottom w:val="single" w:sz="8" w:color="004483"/>
            </w:tcBorders>
          </w:tcPr>
          <w:p>
            <w:pPr>
              <w:spacing w:after="0"/>
              <w:rPr>
                <w:sz w:val="22"/>
                <w:szCs w:val="22"/>
                <w:color w:val="auto"/>
              </w:rPr>
            </w:pPr>
          </w:p>
        </w:tc>
        <w:tc>
          <w:tcPr>
            <w:tcW w:w="1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1,065</w:t>
            </w:r>
          </w:p>
        </w:tc>
        <w:tc>
          <w:tcPr>
            <w:tcW w:w="240" w:type="dxa"/>
            <w:vAlign w:val="bottom"/>
          </w:tcPr>
          <w:p>
            <w:pPr>
              <w:spacing w:after="0"/>
              <w:rPr>
                <w:sz w:val="22"/>
                <w:szCs w:val="22"/>
                <w:color w:val="auto"/>
              </w:rPr>
            </w:pPr>
          </w:p>
        </w:tc>
        <w:tc>
          <w:tcPr>
            <w:tcW w:w="420" w:type="dxa"/>
            <w:vAlign w:val="bottom"/>
            <w:tcBorders>
              <w:bottom w:val="single" w:sz="8" w:color="004483"/>
            </w:tcBorders>
          </w:tcPr>
          <w:p>
            <w:pPr>
              <w:spacing w:after="0"/>
              <w:rPr>
                <w:sz w:val="22"/>
                <w:szCs w:val="22"/>
                <w:color w:val="auto"/>
              </w:rPr>
            </w:pP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22"/>
                <w:szCs w:val="22"/>
                <w:color w:val="auto"/>
              </w:rPr>
            </w:pPr>
          </w:p>
        </w:tc>
      </w:tr>
      <w:tr>
        <w:trPr>
          <w:trHeight w:val="217"/>
        </w:trPr>
        <w:tc>
          <w:tcPr>
            <w:tcW w:w="6700" w:type="dxa"/>
            <w:vAlign w:val="bottom"/>
          </w:tcPr>
          <w:p>
            <w:pPr>
              <w:ind w:left="380"/>
              <w:spacing w:after="0"/>
              <w:rPr>
                <w:sz w:val="20"/>
                <w:szCs w:val="20"/>
                <w:color w:val="auto"/>
              </w:rPr>
            </w:pPr>
            <w:r>
              <w:rPr>
                <w:rFonts w:ascii="Arial" w:cs="Arial" w:eastAsia="Arial" w:hAnsi="Arial"/>
                <w:sz w:val="16"/>
                <w:szCs w:val="16"/>
                <w:color w:val="004483"/>
              </w:rPr>
              <w:t>Gross Profit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(1,051 )</w:t>
            </w:r>
          </w:p>
        </w:tc>
        <w:tc>
          <w:tcPr>
            <w:tcW w:w="4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(2,370 )</w:t>
            </w:r>
          </w:p>
        </w:tc>
      </w:tr>
      <w:tr>
        <w:trPr>
          <w:trHeight w:val="223"/>
        </w:trPr>
        <w:tc>
          <w:tcPr>
            <w:tcW w:w="67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Other Non-Operating Income</w:t>
            </w:r>
          </w:p>
        </w:tc>
        <w:tc>
          <w:tcPr>
            <w:tcW w:w="160" w:type="dxa"/>
            <w:vAlign w:val="bottom"/>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1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9"/>
                <w:szCs w:val="19"/>
                <w:color w:val="auto"/>
              </w:rPr>
            </w:pPr>
          </w:p>
        </w:tc>
        <w:tc>
          <w:tcPr>
            <w:tcW w:w="420" w:type="dxa"/>
            <w:vAlign w:val="bottom"/>
            <w:tcBorders>
              <w:top w:val="single" w:sz="8" w:color="A6A6A6"/>
              <w:bottom w:val="single" w:sz="8" w:color="A6A6A6"/>
            </w:tcBorders>
          </w:tcPr>
          <w:p>
            <w:pPr>
              <w:spacing w:after="0"/>
              <w:rPr>
                <w:sz w:val="19"/>
                <w:szCs w:val="19"/>
                <w:color w:val="auto"/>
              </w:rPr>
            </w:pPr>
          </w:p>
        </w:tc>
        <w:tc>
          <w:tcPr>
            <w:tcW w:w="15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r>
      <w:tr>
        <w:trPr>
          <w:trHeight w:val="256"/>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Gain on Sale of Discontinued Operations</w:t>
            </w:r>
          </w:p>
        </w:tc>
        <w:tc>
          <w:tcPr>
            <w:tcW w:w="160" w:type="dxa"/>
            <w:vAlign w:val="bottom"/>
          </w:tcPr>
          <w:p>
            <w:pPr>
              <w:spacing w:after="0"/>
              <w:rPr>
                <w:sz w:val="22"/>
                <w:szCs w:val="22"/>
                <w:color w:val="auto"/>
              </w:rPr>
            </w:pPr>
          </w:p>
        </w:tc>
        <w:tc>
          <w:tcPr>
            <w:tcW w:w="260" w:type="dxa"/>
            <w:vAlign w:val="bottom"/>
            <w:tcBorders>
              <w:bottom w:val="single" w:sz="8" w:color="004483"/>
            </w:tcBorders>
          </w:tcPr>
          <w:p>
            <w:pPr>
              <w:spacing w:after="0"/>
              <w:rPr>
                <w:sz w:val="22"/>
                <w:szCs w:val="22"/>
                <w:color w:val="auto"/>
              </w:rPr>
            </w:pPr>
          </w:p>
        </w:tc>
        <w:tc>
          <w:tcPr>
            <w:tcW w:w="1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9,230</w:t>
            </w:r>
          </w:p>
        </w:tc>
        <w:tc>
          <w:tcPr>
            <w:tcW w:w="240" w:type="dxa"/>
            <w:vAlign w:val="bottom"/>
          </w:tcPr>
          <w:p>
            <w:pPr>
              <w:spacing w:after="0"/>
              <w:rPr>
                <w:sz w:val="22"/>
                <w:szCs w:val="22"/>
                <w:color w:val="auto"/>
              </w:rPr>
            </w:pPr>
          </w:p>
        </w:tc>
        <w:tc>
          <w:tcPr>
            <w:tcW w:w="420" w:type="dxa"/>
            <w:vAlign w:val="bottom"/>
            <w:tcBorders>
              <w:bottom w:val="single" w:sz="8" w:color="004483"/>
            </w:tcBorders>
          </w:tcPr>
          <w:p>
            <w:pPr>
              <w:spacing w:after="0"/>
              <w:rPr>
                <w:sz w:val="22"/>
                <w:szCs w:val="22"/>
                <w:color w:val="auto"/>
              </w:rPr>
            </w:pP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9,230</w:t>
            </w:r>
          </w:p>
        </w:tc>
        <w:tc>
          <w:tcPr>
            <w:tcW w:w="100" w:type="dxa"/>
            <w:vAlign w:val="bottom"/>
          </w:tcPr>
          <w:p>
            <w:pPr>
              <w:spacing w:after="0"/>
              <w:rPr>
                <w:sz w:val="22"/>
                <w:szCs w:val="22"/>
                <w:color w:val="auto"/>
              </w:rPr>
            </w:pPr>
          </w:p>
        </w:tc>
      </w:tr>
      <w:tr>
        <w:trPr>
          <w:trHeight w:val="217"/>
        </w:trPr>
        <w:tc>
          <w:tcPr>
            <w:tcW w:w="67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Earnings (Loss) from Discontinued Operations</w:t>
            </w:r>
          </w:p>
        </w:tc>
        <w:tc>
          <w:tcPr>
            <w:tcW w:w="160" w:type="dxa"/>
            <w:vAlign w:val="bottom"/>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8,223</w:t>
            </w:r>
          </w:p>
        </w:tc>
        <w:tc>
          <w:tcPr>
            <w:tcW w:w="240" w:type="dxa"/>
            <w:vAlign w:val="bottom"/>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7,086</w:t>
            </w:r>
          </w:p>
        </w:tc>
        <w:tc>
          <w:tcPr>
            <w:tcW w:w="100" w:type="dxa"/>
            <w:vAlign w:val="bottom"/>
          </w:tcPr>
          <w:p>
            <w:pPr>
              <w:spacing w:after="0"/>
              <w:rPr>
                <w:sz w:val="18"/>
                <w:szCs w:val="18"/>
                <w:color w:val="auto"/>
              </w:rPr>
            </w:pPr>
          </w:p>
        </w:tc>
      </w:tr>
      <w:tr>
        <w:trPr>
          <w:trHeight w:val="257"/>
        </w:trPr>
        <w:tc>
          <w:tcPr>
            <w:tcW w:w="6700" w:type="dxa"/>
            <w:vAlign w:val="bottom"/>
          </w:tcPr>
          <w:p>
            <w:pPr>
              <w:ind w:left="200"/>
              <w:spacing w:after="0"/>
              <w:rPr>
                <w:sz w:val="20"/>
                <w:szCs w:val="20"/>
                <w:color w:val="auto"/>
              </w:rPr>
            </w:pPr>
            <w:r>
              <w:rPr>
                <w:rFonts w:ascii="Arial" w:cs="Arial" w:eastAsia="Arial" w:hAnsi="Arial"/>
                <w:sz w:val="16"/>
                <w:szCs w:val="16"/>
                <w:color w:val="004483"/>
              </w:rPr>
              <w:t>Income Tax (Expense) Benefit</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6"/>
                <w:szCs w:val="16"/>
                <w:color w:val="auto"/>
              </w:rPr>
              <w:t>(2,060 )</w:t>
            </w:r>
          </w:p>
        </w:tc>
        <w:tc>
          <w:tcPr>
            <w:tcW w:w="42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6"/>
                <w:szCs w:val="16"/>
                <w:color w:val="auto"/>
              </w:rPr>
              <w:t>(1,808 )</w:t>
            </w:r>
          </w:p>
        </w:tc>
      </w:tr>
      <w:tr>
        <w:trPr>
          <w:trHeight w:val="223"/>
        </w:trPr>
        <w:tc>
          <w:tcPr>
            <w:tcW w:w="670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 (Loss) from Discontinued Operations</w:t>
            </w:r>
          </w:p>
        </w:tc>
        <w:tc>
          <w:tcPr>
            <w:tcW w:w="160" w:type="dxa"/>
            <w:vAlign w:val="bottom"/>
          </w:tcPr>
          <w:p>
            <w:pPr>
              <w:spacing w:after="0"/>
              <w:rPr>
                <w:sz w:val="19"/>
                <w:szCs w:val="19"/>
                <w:color w:val="auto"/>
              </w:rPr>
            </w:pPr>
          </w:p>
        </w:tc>
        <w:tc>
          <w:tcPr>
            <w:tcW w:w="260" w:type="dxa"/>
            <w:vAlign w:val="bottom"/>
            <w:tcBorders>
              <w:top w:val="single" w:sz="8" w:color="17385E"/>
              <w:bottom w:val="single" w:sz="8" w:color="17385E"/>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6,163</w:t>
            </w:r>
          </w:p>
        </w:tc>
        <w:tc>
          <w:tcPr>
            <w:tcW w:w="240" w:type="dxa"/>
            <w:vAlign w:val="bottom"/>
          </w:tcPr>
          <w:p>
            <w:pPr>
              <w:spacing w:after="0"/>
              <w:rPr>
                <w:sz w:val="19"/>
                <w:szCs w:val="19"/>
                <w:color w:val="auto"/>
              </w:rPr>
            </w:pPr>
          </w:p>
        </w:tc>
        <w:tc>
          <w:tcPr>
            <w:tcW w:w="420" w:type="dxa"/>
            <w:vAlign w:val="bottom"/>
            <w:tcBorders>
              <w:top w:val="single" w:sz="8" w:color="17385E"/>
              <w:bottom w:val="single" w:sz="8" w:color="17385E"/>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top w:val="single" w:sz="8" w:color="17385E"/>
              <w:bottom w:val="single" w:sz="8" w:color="17385E"/>
            </w:tcBorders>
          </w:tcPr>
          <w:p>
            <w:pPr>
              <w:jc w:val="right"/>
              <w:spacing w:after="0"/>
              <w:rPr>
                <w:sz w:val="20"/>
                <w:szCs w:val="20"/>
                <w:color w:val="auto"/>
              </w:rPr>
            </w:pPr>
            <w:r>
              <w:rPr>
                <w:rFonts w:ascii="Arial" w:cs="Arial" w:eastAsia="Arial" w:hAnsi="Arial"/>
                <w:sz w:val="16"/>
                <w:szCs w:val="16"/>
                <w:b w:val="1"/>
                <w:bCs w:val="1"/>
                <w:color w:val="auto"/>
              </w:rPr>
              <w:t>5,278</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17385E"/>
            </w:tcBorders>
          </w:tcPr>
          <w:p>
            <w:pPr>
              <w:spacing w:after="0" w:line="20" w:lineRule="exact"/>
              <w:rPr>
                <w:sz w:val="1"/>
                <w:szCs w:val="1"/>
                <w:color w:val="auto"/>
              </w:rPr>
            </w:pPr>
          </w:p>
        </w:tc>
        <w:tc>
          <w:tcPr>
            <w:tcW w:w="1780" w:type="dxa"/>
            <w:vAlign w:val="bottom"/>
            <w:tcBorders>
              <w:bottom w:val="single" w:sz="8" w:color="17385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17385E"/>
            </w:tcBorders>
          </w:tcPr>
          <w:p>
            <w:pPr>
              <w:spacing w:after="0" w:line="20" w:lineRule="exact"/>
              <w:rPr>
                <w:sz w:val="1"/>
                <w:szCs w:val="1"/>
                <w:color w:val="auto"/>
              </w:rPr>
            </w:pPr>
          </w:p>
        </w:tc>
        <w:tc>
          <w:tcPr>
            <w:tcW w:w="1580" w:type="dxa"/>
            <w:vAlign w:val="bottom"/>
            <w:tcBorders>
              <w:bottom w:val="single" w:sz="8" w:color="17385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significant components of our Consolidated Statements of Cash Flows for discontinued operations for the six months ended September 30, 2020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360" w:type="dxa"/>
            <w:vAlign w:val="bottom"/>
            <w:shd w:val="clear" w:color="auto" w:fill="004483"/>
          </w:tcPr>
          <w:p>
            <w:pPr>
              <w:spacing w:after="0"/>
              <w:rPr>
                <w:sz w:val="14"/>
                <w:szCs w:val="14"/>
                <w:color w:val="auto"/>
              </w:rPr>
            </w:pPr>
          </w:p>
        </w:tc>
        <w:tc>
          <w:tcPr>
            <w:tcW w:w="2440" w:type="dxa"/>
            <w:vAlign w:val="bottom"/>
            <w:gridSpan w:val="2"/>
            <w:shd w:val="clear" w:color="auto" w:fill="004483"/>
          </w:tcPr>
          <w:p>
            <w:pPr>
              <w:jc w:val="center"/>
              <w:ind w:right="500"/>
              <w:spacing w:after="0"/>
              <w:rPr>
                <w:sz w:val="20"/>
                <w:szCs w:val="20"/>
                <w:color w:val="auto"/>
              </w:rPr>
            </w:pPr>
            <w:r>
              <w:rPr>
                <w:rFonts w:ascii="Arial" w:cs="Arial" w:eastAsia="Arial" w:hAnsi="Arial"/>
                <w:sz w:val="13"/>
                <w:szCs w:val="13"/>
                <w:b w:val="1"/>
                <w:bCs w:val="1"/>
                <w:color w:val="FFFFFF"/>
                <w:w w:val="88"/>
              </w:rPr>
              <w:t>For the Six Months Ended</w:t>
            </w:r>
          </w:p>
        </w:tc>
      </w:tr>
      <w:tr>
        <w:trPr>
          <w:trHeight w:val="180"/>
        </w:trPr>
        <w:tc>
          <w:tcPr>
            <w:tcW w:w="8440" w:type="dxa"/>
            <w:vAlign w:val="bottom"/>
          </w:tcPr>
          <w:p>
            <w:pPr>
              <w:spacing w:after="0"/>
              <w:rPr>
                <w:sz w:val="15"/>
                <w:szCs w:val="15"/>
                <w:color w:val="auto"/>
              </w:rPr>
            </w:pPr>
          </w:p>
        </w:tc>
        <w:tc>
          <w:tcPr>
            <w:tcW w:w="360" w:type="dxa"/>
            <w:vAlign w:val="bottom"/>
            <w:shd w:val="clear" w:color="auto" w:fill="004483"/>
          </w:tcPr>
          <w:p>
            <w:pPr>
              <w:spacing w:after="0"/>
              <w:rPr>
                <w:sz w:val="15"/>
                <w:szCs w:val="15"/>
                <w:color w:val="auto"/>
              </w:rPr>
            </w:pPr>
          </w:p>
        </w:tc>
        <w:tc>
          <w:tcPr>
            <w:tcW w:w="2440" w:type="dxa"/>
            <w:vAlign w:val="bottom"/>
            <w:gridSpan w:val="2"/>
            <w:shd w:val="clear" w:color="auto" w:fill="004483"/>
          </w:tcPr>
          <w:p>
            <w:pPr>
              <w:jc w:val="center"/>
              <w:ind w:right="460"/>
              <w:spacing w:after="0"/>
              <w:rPr>
                <w:sz w:val="20"/>
                <w:szCs w:val="20"/>
                <w:color w:val="auto"/>
              </w:rPr>
            </w:pPr>
            <w:r>
              <w:rPr>
                <w:rFonts w:ascii="Arial" w:cs="Arial" w:eastAsia="Arial" w:hAnsi="Arial"/>
                <w:sz w:val="13"/>
                <w:szCs w:val="13"/>
                <w:b w:val="1"/>
                <w:bCs w:val="1"/>
                <w:color w:val="FFFFFF"/>
                <w:w w:val="87"/>
              </w:rPr>
              <w:t>September 30, 2020</w:t>
            </w:r>
          </w:p>
        </w:tc>
      </w:tr>
      <w:tr>
        <w:trPr>
          <w:trHeight w:val="210"/>
        </w:trPr>
        <w:tc>
          <w:tcPr>
            <w:tcW w:w="8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3"/>
                <w:szCs w:val="13"/>
                <w:color w:val="auto"/>
                <w:w w:val="88"/>
              </w:rPr>
              <w:t>(dollars in thousands)</w:t>
            </w:r>
          </w:p>
        </w:tc>
      </w:tr>
      <w:tr>
        <w:trPr>
          <w:trHeight w:val="223"/>
        </w:trPr>
        <w:tc>
          <w:tcPr>
            <w:tcW w:w="8440" w:type="dxa"/>
            <w:vAlign w:val="bottom"/>
            <w:tcBorders>
              <w:top w:val="single" w:sz="8" w:color="004483"/>
              <w:bottom w:val="single" w:sz="8" w:color="A6A6A6"/>
            </w:tcBorders>
          </w:tcPr>
          <w:p>
            <w:pPr>
              <w:ind w:left="200"/>
              <w:spacing w:after="0"/>
              <w:rPr>
                <w:sz w:val="20"/>
                <w:szCs w:val="20"/>
                <w:color w:val="auto"/>
              </w:rPr>
            </w:pPr>
            <w:r>
              <w:rPr>
                <w:rFonts w:ascii="Arial" w:cs="Arial" w:eastAsia="Arial" w:hAnsi="Arial"/>
                <w:sz w:val="16"/>
                <w:szCs w:val="16"/>
                <w:color w:val="004483"/>
              </w:rPr>
              <w:t>Depreciation and Amortization</w:t>
            </w:r>
          </w:p>
        </w:tc>
        <w:tc>
          <w:tcPr>
            <w:tcW w:w="360" w:type="dxa"/>
            <w:vAlign w:val="bottom"/>
            <w:tcBorders>
              <w:top w:val="single" w:sz="8" w:color="004483"/>
              <w:bottom w:val="single" w:sz="8" w:color="A6A6A6"/>
            </w:tcBorders>
          </w:tcPr>
          <w:p>
            <w:pPr>
              <w:jc w:val="right"/>
              <w:ind w:right="204"/>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9"/>
                <w:szCs w:val="19"/>
                <w:color w:val="auto"/>
              </w:rPr>
            </w:pPr>
          </w:p>
        </w:tc>
      </w:tr>
      <w:tr>
        <w:trPr>
          <w:trHeight w:val="223"/>
        </w:trPr>
        <w:tc>
          <w:tcPr>
            <w:tcW w:w="8440" w:type="dxa"/>
            <w:vAlign w:val="bottom"/>
          </w:tcPr>
          <w:p>
            <w:pPr>
              <w:ind w:left="200"/>
              <w:spacing w:after="0"/>
              <w:rPr>
                <w:sz w:val="20"/>
                <w:szCs w:val="20"/>
                <w:color w:val="auto"/>
              </w:rPr>
            </w:pPr>
            <w:r>
              <w:rPr>
                <w:rFonts w:ascii="Arial" w:cs="Arial" w:eastAsia="Arial" w:hAnsi="Arial"/>
                <w:sz w:val="16"/>
                <w:szCs w:val="16"/>
                <w:color w:val="004483"/>
              </w:rPr>
              <w:t>Gain on Sale</w:t>
            </w:r>
          </w:p>
        </w:tc>
        <w:tc>
          <w:tcPr>
            <w:tcW w:w="360" w:type="dxa"/>
            <w:vAlign w:val="bottom"/>
          </w:tcPr>
          <w:p>
            <w:pPr>
              <w:spacing w:after="0"/>
              <w:rPr>
                <w:sz w:val="19"/>
                <w:szCs w:val="19"/>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6"/>
                <w:szCs w:val="16"/>
                <w:color w:val="auto"/>
              </w:rPr>
              <w:t>(9,230 )</w:t>
            </w:r>
          </w:p>
        </w:tc>
      </w:tr>
      <w:tr>
        <w:trPr>
          <w:trHeight w:val="223"/>
        </w:trPr>
        <w:tc>
          <w:tcPr>
            <w:tcW w:w="84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Net Change in Inventory</w:t>
            </w:r>
          </w:p>
        </w:tc>
        <w:tc>
          <w:tcPr>
            <w:tcW w:w="360" w:type="dxa"/>
            <w:vAlign w:val="bottom"/>
            <w:tcBorders>
              <w:top w:val="single" w:sz="8" w:color="A6A6A6"/>
              <w:bottom w:val="single" w:sz="8" w:color="A6A6A6"/>
            </w:tcBorders>
          </w:tcPr>
          <w:p>
            <w:pPr>
              <w:spacing w:after="0"/>
              <w:rPr>
                <w:sz w:val="19"/>
                <w:szCs w:val="19"/>
                <w:color w:val="auto"/>
              </w:rPr>
            </w:pPr>
          </w:p>
        </w:tc>
        <w:tc>
          <w:tcPr>
            <w:tcW w:w="2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3"/>
        </w:trPr>
        <w:tc>
          <w:tcPr>
            <w:tcW w:w="84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Capital Expenditures</w:t>
            </w:r>
          </w:p>
        </w:tc>
        <w:tc>
          <w:tcPr>
            <w:tcW w:w="360" w:type="dxa"/>
            <w:vAlign w:val="bottom"/>
            <w:tcBorders>
              <w:bottom w:val="single" w:sz="8" w:color="A6A6A6"/>
            </w:tcBorders>
          </w:tcPr>
          <w:p>
            <w:pPr>
              <w:spacing w:after="0"/>
              <w:rPr>
                <w:sz w:val="19"/>
                <w:szCs w:val="19"/>
                <w:color w:val="auto"/>
              </w:rPr>
            </w:pPr>
          </w:p>
        </w:tc>
        <w:tc>
          <w:tcPr>
            <w:tcW w:w="23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Dispositions</w:t>
      </w:r>
    </w:p>
    <w:p>
      <w:pPr>
        <w:spacing w:after="0" w:line="162"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On April 17, 2020, we sold our Western Aggregates LLC (Western) and Mathews Readymix LLC (Mathews) businesses to Teichert, Inc. for an aggregate purchase price of approximately $93.5 million, subject to certain post-closing adjustments. This sale resulted in a gain of approximately $52.0 million. Western and Mathews were part of our Concrete and Aggregates operating segment, and their results of operations were included in our financial statements for the period from April 1, 2020 through April 17, 2020.</w:t>
      </w:r>
    </w:p>
    <w:p>
      <w:pPr>
        <w:spacing w:after="0" w:line="97"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Revenue and Operating Earnings from Western and Mathews, collectively, were approximately $1.7 million and $0.1 million, respectively, for the six months ended September 30, 2020.</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48"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are originated by purchase orders from our customers, who are primarily third-party contractors and suppliers. Revenue from our Recycled Paperboard segment is generated primarily through long-term supply agreements that mature between 2023 and 2025. We invoice customers upon shipment, and our collection terms range from 30-75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101"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7"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4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Accounts Receivable have been shown net of the allowance for doubtful accounts of $7.0 million and $8.1 million at September 30, 2021 and March 31, 2021,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9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had Notes Receivable totaling approximately $8.5 million at September 30, 2021, none of which was classified as current. We lend funds to certain companies in the ordinary course of business, and the notes bear interest, on average, at 3.1%.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61"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converted to tonnage using standard inventory density factors. Inventories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260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September 30,</w:t>
            </w:r>
          </w:p>
        </w:tc>
        <w:tc>
          <w:tcPr>
            <w:tcW w:w="100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640" w:type="dxa"/>
            <w:vAlign w:val="bottom"/>
          </w:tcPr>
          <w:p>
            <w:pPr>
              <w:spacing w:after="0"/>
              <w:rPr>
                <w:sz w:val="15"/>
                <w:szCs w:val="15"/>
                <w:color w:val="auto"/>
              </w:rPr>
            </w:pPr>
          </w:p>
        </w:tc>
        <w:tc>
          <w:tcPr>
            <w:tcW w:w="2600" w:type="dxa"/>
            <w:vAlign w:val="bottom"/>
          </w:tcPr>
          <w:p>
            <w:pPr>
              <w:jc w:val="right"/>
              <w:ind w:right="957"/>
              <w:spacing w:after="0"/>
              <w:rPr>
                <w:sz w:val="20"/>
                <w:szCs w:val="20"/>
                <w:color w:val="auto"/>
              </w:rPr>
            </w:pPr>
            <w:r>
              <w:rPr>
                <w:rFonts w:ascii="Arial" w:cs="Arial" w:eastAsia="Arial" w:hAnsi="Arial"/>
                <w:sz w:val="13"/>
                <w:szCs w:val="13"/>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25"/>
        </w:trPr>
        <w:tc>
          <w:tcPr>
            <w:tcW w:w="7640" w:type="dxa"/>
            <w:vAlign w:val="bottom"/>
            <w:tcBorders>
              <w:bottom w:val="single" w:sz="8" w:color="004483"/>
            </w:tcBorders>
          </w:tcPr>
          <w:p>
            <w:pPr>
              <w:spacing w:after="0"/>
              <w:rPr>
                <w:sz w:val="19"/>
                <w:szCs w:val="19"/>
                <w:color w:val="auto"/>
              </w:rPr>
            </w:pPr>
          </w:p>
        </w:tc>
        <w:tc>
          <w:tcPr>
            <w:tcW w:w="2600" w:type="dxa"/>
            <w:vAlign w:val="bottom"/>
            <w:tcBorders>
              <w:bottom w:val="single" w:sz="8" w:color="004483"/>
            </w:tcBorders>
          </w:tcPr>
          <w:p>
            <w:pPr>
              <w:jc w:val="right"/>
              <w:ind w:right="257"/>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4" w:lineRule="exact"/>
        <w:rPr>
          <w:sz w:val="20"/>
          <w:szCs w:val="20"/>
          <w:color w:val="auto"/>
        </w:rPr>
      </w:pPr>
    </w:p>
    <w:p>
      <w:pPr>
        <w:sectPr>
          <w:pgSz w:w="11900" w:h="16838" w:orient="portrait"/>
          <w:cols w:equalWidth="0" w:num="1">
            <w:col w:w="11240"/>
          </w:cols>
          <w:pgMar w:left="320" w:top="638" w:right="339" w:bottom="1440" w:gutter="0" w:footer="0" w:header="0"/>
        </w:sectPr>
      </w:pPr>
    </w:p>
    <w:tbl>
      <w:tblPr>
        <w:tblLayout w:type="fixed"/>
        <w:tblInd w:w="0" w:type="dxa"/>
        <w:tblCellMar>
          <w:top w:w="0" w:type="dxa"/>
          <w:left w:w="0" w:type="dxa"/>
          <w:bottom w:w="0" w:type="dxa"/>
          <w:right w:w="0" w:type="dxa"/>
        </w:tblCellMar>
      </w:tblPr>
      <w:tr>
        <w:trPr>
          <w:trHeight w:val="219"/>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69,143</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58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25,628</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58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2,996</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8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5,136</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58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4,468</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580" w:type="dxa"/>
            <w:vAlign w:val="bottom"/>
            <w:tcBorders>
              <w:bottom w:val="single" w:sz="8" w:color="A6A6A6"/>
            </w:tcBorders>
          </w:tcPr>
          <w:p>
            <w:pPr>
              <w:spacing w:after="0"/>
              <w:rPr>
                <w:sz w:val="19"/>
                <w:szCs w:val="19"/>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87,385</w:t>
            </w:r>
          </w:p>
        </w:tc>
      </w:tr>
      <w:tr>
        <w:trPr>
          <w:trHeight w:val="256"/>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Fuel and Coal</w:t>
            </w:r>
          </w:p>
        </w:tc>
        <w:tc>
          <w:tcPr>
            <w:tcW w:w="580" w:type="dxa"/>
            <w:vAlign w:val="bottom"/>
            <w:tcBorders>
              <w:bottom w:val="single" w:sz="8" w:color="004483"/>
            </w:tcBorders>
          </w:tcPr>
          <w:p>
            <w:pPr>
              <w:spacing w:after="0"/>
              <w:rPr>
                <w:sz w:val="22"/>
                <w:szCs w:val="22"/>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8,989</w:t>
            </w:r>
          </w:p>
        </w:tc>
      </w:tr>
      <w:tr>
        <w:trPr>
          <w:trHeight w:val="217"/>
        </w:trPr>
        <w:tc>
          <w:tcPr>
            <w:tcW w:w="7640" w:type="dxa"/>
            <w:vAlign w:val="bottom"/>
          </w:tcPr>
          <w:p>
            <w:pPr>
              <w:spacing w:after="0"/>
              <w:rPr>
                <w:sz w:val="18"/>
                <w:szCs w:val="18"/>
                <w:color w:val="auto"/>
              </w:rPr>
            </w:pP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203,745</w:t>
            </w:r>
          </w:p>
        </w:tc>
      </w:tr>
      <w:tr>
        <w:trPr>
          <w:trHeight w:val="20"/>
        </w:trPr>
        <w:tc>
          <w:tcPr>
            <w:tcW w:w="764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1128" w:hanging="1128"/>
        <w:spacing w:after="0"/>
        <w:tabs>
          <w:tab w:leader="none" w:pos="1128" w:val="left"/>
        </w:tabs>
        <w:numPr>
          <w:ilvl w:val="0"/>
          <w:numId w:val="9"/>
        </w:numPr>
        <w:rPr>
          <w:rFonts w:ascii="Arial" w:cs="Arial" w:eastAsia="Arial" w:hAnsi="Arial"/>
          <w:sz w:val="14"/>
          <w:szCs w:val="14"/>
          <w:color w:val="auto"/>
        </w:rPr>
      </w:pPr>
      <w:r>
        <w:rPr>
          <w:rFonts w:ascii="Arial" w:cs="Arial" w:eastAsia="Arial" w:hAnsi="Arial"/>
          <w:sz w:val="14"/>
          <w:szCs w:val="14"/>
          <w:color w:val="auto"/>
        </w:rPr>
        <w:t>92,696</w:t>
      </w:r>
    </w:p>
    <w:p>
      <w:pPr>
        <w:spacing w:after="0" w:line="82" w:lineRule="exact"/>
        <w:rPr>
          <w:rFonts w:ascii="Arial" w:cs="Arial" w:eastAsia="Arial" w:hAnsi="Arial"/>
          <w:sz w:val="14"/>
          <w:szCs w:val="14"/>
          <w:color w:val="auto"/>
        </w:rPr>
      </w:pPr>
    </w:p>
    <w:p>
      <w:pPr>
        <w:ind w:left="1128"/>
        <w:spacing w:after="0"/>
        <w:rPr>
          <w:rFonts w:ascii="Arial" w:cs="Arial" w:eastAsia="Arial" w:hAnsi="Arial"/>
          <w:sz w:val="14"/>
          <w:szCs w:val="14"/>
          <w:color w:val="auto"/>
        </w:rPr>
      </w:pPr>
      <w:r>
        <w:rPr>
          <w:rFonts w:ascii="Arial" w:cs="Arial" w:eastAsia="Arial" w:hAnsi="Arial"/>
          <w:sz w:val="14"/>
          <w:szCs w:val="14"/>
          <w:color w:val="auto"/>
        </w:rPr>
        <w:t>34,362</w:t>
      </w:r>
    </w:p>
    <w:p>
      <w:pPr>
        <w:spacing w:after="0" w:line="82"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2,933</w:t>
      </w:r>
    </w:p>
    <w:p>
      <w:pPr>
        <w:spacing w:after="0" w:line="82"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4,177</w:t>
      </w:r>
    </w:p>
    <w:p>
      <w:pPr>
        <w:spacing w:after="0" w:line="82"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5,031</w:t>
      </w:r>
    </w:p>
    <w:p>
      <w:pPr>
        <w:spacing w:after="0" w:line="82" w:lineRule="exact"/>
        <w:rPr>
          <w:rFonts w:ascii="Arial" w:cs="Arial" w:eastAsia="Arial" w:hAnsi="Arial"/>
          <w:sz w:val="14"/>
          <w:szCs w:val="14"/>
          <w:color w:val="auto"/>
        </w:rPr>
      </w:pPr>
    </w:p>
    <w:p>
      <w:pPr>
        <w:ind w:left="1128"/>
        <w:spacing w:after="0"/>
        <w:rPr>
          <w:rFonts w:ascii="Arial" w:cs="Arial" w:eastAsia="Arial" w:hAnsi="Arial"/>
          <w:sz w:val="14"/>
          <w:szCs w:val="14"/>
          <w:color w:val="auto"/>
        </w:rPr>
      </w:pPr>
      <w:r>
        <w:rPr>
          <w:rFonts w:ascii="Arial" w:cs="Arial" w:eastAsia="Arial" w:hAnsi="Arial"/>
          <w:sz w:val="14"/>
          <w:szCs w:val="14"/>
          <w:color w:val="auto"/>
        </w:rPr>
        <w:t>86,750</w:t>
      </w:r>
    </w:p>
    <w:p>
      <w:pPr>
        <w:spacing w:after="0" w:line="82" w:lineRule="exact"/>
        <w:rPr>
          <w:rFonts w:ascii="Arial" w:cs="Arial" w:eastAsia="Arial" w:hAnsi="Arial"/>
          <w:sz w:val="14"/>
          <w:szCs w:val="14"/>
          <w:color w:val="auto"/>
        </w:rPr>
      </w:pPr>
    </w:p>
    <w:p>
      <w:pPr>
        <w:ind w:left="1208"/>
        <w:spacing w:after="0"/>
        <w:rPr>
          <w:rFonts w:ascii="Arial" w:cs="Arial" w:eastAsia="Arial" w:hAnsi="Arial"/>
          <w:sz w:val="14"/>
          <w:szCs w:val="14"/>
          <w:color w:val="auto"/>
        </w:rPr>
      </w:pPr>
      <w:r>
        <w:rPr>
          <w:rFonts w:ascii="Arial" w:cs="Arial" w:eastAsia="Arial" w:hAnsi="Arial"/>
          <w:sz w:val="14"/>
          <w:szCs w:val="14"/>
          <w:color w:val="auto"/>
        </w:rPr>
        <w:t>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-883920</wp:posOffset>
            </wp:positionV>
            <wp:extent cx="11315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-729615</wp:posOffset>
            </wp:positionV>
            <wp:extent cx="11315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-575310</wp:posOffset>
            </wp:positionV>
            <wp:extent cx="11315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-421005</wp:posOffset>
            </wp:positionV>
            <wp:extent cx="11315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-266700</wp:posOffset>
            </wp:positionV>
            <wp:extent cx="11315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-112395</wp:posOffset>
            </wp:positionV>
            <wp:extent cx="11315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41275</wp:posOffset>
            </wp:positionV>
            <wp:extent cx="11315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85" w:lineRule="exact"/>
        <w:rPr>
          <w:sz w:val="20"/>
          <w:szCs w:val="20"/>
          <w:color w:val="auto"/>
        </w:rPr>
      </w:pPr>
    </w:p>
    <w:p>
      <w:pPr>
        <w:ind w:left="1048" w:hanging="1048"/>
        <w:spacing w:after="0"/>
        <w:tabs>
          <w:tab w:leader="none" w:pos="1048"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235,749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10115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60960</wp:posOffset>
            </wp:positionV>
            <wp:extent cx="10115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309" w:lineRule="exact"/>
        <w:rPr>
          <w:sz w:val="20"/>
          <w:szCs w:val="20"/>
          <w:color w:val="auto"/>
        </w:rPr>
      </w:pPr>
    </w:p>
    <w:p>
      <w:pPr>
        <w:sectPr>
          <w:pgSz w:w="11900" w:h="16838" w:orient="portrait"/>
          <w:cols w:equalWidth="0" w:num="2">
            <w:col w:w="9240" w:space="312"/>
            <w:col w:w="1688"/>
          </w:cols>
          <w:pgMar w:left="320" w:top="63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460" w:type="dxa"/>
            <w:vAlign w:val="bottom"/>
            <w:shd w:val="clear" w:color="auto" w:fill="004483"/>
          </w:tcPr>
          <w:p>
            <w:pPr>
              <w:spacing w:after="0"/>
              <w:rPr>
                <w:sz w:val="16"/>
                <w:szCs w:val="16"/>
                <w:color w:val="auto"/>
              </w:rPr>
            </w:pPr>
          </w:p>
        </w:tc>
        <w:tc>
          <w:tcPr>
            <w:tcW w:w="11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6"/>
                <w:szCs w:val="16"/>
                <w:color w:val="auto"/>
              </w:rPr>
            </w:pPr>
          </w:p>
        </w:tc>
        <w:tc>
          <w:tcPr>
            <w:tcW w:w="200" w:type="dxa"/>
            <w:vAlign w:val="bottom"/>
            <w:shd w:val="clear" w:color="auto" w:fill="004483"/>
          </w:tcPr>
          <w:p>
            <w:pPr>
              <w:spacing w:after="0"/>
              <w:rPr>
                <w:sz w:val="16"/>
                <w:szCs w:val="16"/>
                <w:color w:val="auto"/>
              </w:rPr>
            </w:pPr>
          </w:p>
        </w:tc>
        <w:tc>
          <w:tcPr>
            <w:tcW w:w="700" w:type="dxa"/>
            <w:vAlign w:val="bottom"/>
            <w:shd w:val="clear" w:color="auto" w:fill="004483"/>
          </w:tcPr>
          <w:p>
            <w:pPr>
              <w:spacing w:after="0"/>
              <w:rPr>
                <w:sz w:val="16"/>
                <w:szCs w:val="16"/>
                <w:color w:val="auto"/>
              </w:rPr>
            </w:pPr>
          </w:p>
        </w:tc>
        <w:tc>
          <w:tcPr>
            <w:tcW w:w="100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26"/>
        </w:trPr>
        <w:tc>
          <w:tcPr>
            <w:tcW w:w="7640" w:type="dxa"/>
            <w:vAlign w:val="bottom"/>
            <w:tcBorders>
              <w:bottom w:val="single" w:sz="8" w:color="004483"/>
            </w:tcBorders>
          </w:tcPr>
          <w:p>
            <w:pPr>
              <w:spacing w:after="0"/>
              <w:rPr>
                <w:sz w:val="19"/>
                <w:szCs w:val="19"/>
                <w:color w:val="auto"/>
              </w:rPr>
            </w:pPr>
          </w:p>
        </w:tc>
        <w:tc>
          <w:tcPr>
            <w:tcW w:w="460" w:type="dxa"/>
            <w:vAlign w:val="bottom"/>
            <w:tcBorders>
              <w:bottom w:val="single" w:sz="8" w:color="004483"/>
            </w:tcBorders>
          </w:tcPr>
          <w:p>
            <w:pPr>
              <w:spacing w:after="0"/>
              <w:rPr>
                <w:sz w:val="19"/>
                <w:szCs w:val="19"/>
                <w:color w:val="auto"/>
              </w:rPr>
            </w:pPr>
          </w:p>
        </w:tc>
        <w:tc>
          <w:tcPr>
            <w:tcW w:w="214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004483"/>
              </w:rPr>
              <w:t>Payroll and Incentive Compensation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26,571</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32,336</w:t>
            </w:r>
          </w:p>
        </w:tc>
        <w:tc>
          <w:tcPr>
            <w:tcW w:w="100" w:type="dxa"/>
            <w:vAlign w:val="bottom"/>
          </w:tcPr>
          <w:p>
            <w:pPr>
              <w:spacing w:after="0"/>
              <w:rPr>
                <w:sz w:val="19"/>
                <w:szCs w:val="19"/>
                <w:color w:val="auto"/>
              </w:rPr>
            </w:pPr>
          </w:p>
        </w:tc>
      </w:tr>
      <w:tr>
        <w:trPr>
          <w:trHeight w:val="223"/>
        </w:trPr>
        <w:tc>
          <w:tcPr>
            <w:tcW w:w="76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460" w:type="dxa"/>
            <w:vAlign w:val="bottom"/>
            <w:tcBorders>
              <w:top w:val="single" w:sz="8" w:color="A6A6A6"/>
              <w:bottom w:val="single" w:sz="8" w:color="A6A6A6"/>
            </w:tcBorders>
          </w:tcPr>
          <w:p>
            <w:pPr>
              <w:spacing w:after="0"/>
              <w:rPr>
                <w:sz w:val="19"/>
                <w:szCs w:val="19"/>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18,321</w:t>
            </w:r>
          </w:p>
        </w:tc>
        <w:tc>
          <w:tcPr>
            <w:tcW w:w="100" w:type="dxa"/>
            <w:vAlign w:val="bottom"/>
          </w:tcPr>
          <w:p>
            <w:pPr>
              <w:spacing w:after="0"/>
              <w:rPr>
                <w:sz w:val="19"/>
                <w:szCs w:val="19"/>
                <w:color w:val="auto"/>
              </w:rPr>
            </w:pPr>
          </w:p>
        </w:tc>
        <w:tc>
          <w:tcPr>
            <w:tcW w:w="20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14,979</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10,539</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6,683</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5,520</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9,511</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9"/>
                <w:szCs w:val="19"/>
                <w:color w:val="auto"/>
              </w:rPr>
            </w:pPr>
          </w:p>
        </w:tc>
      </w:tr>
      <w:tr>
        <w:trPr>
          <w:trHeight w:val="256"/>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w:t>
            </w:r>
          </w:p>
        </w:tc>
        <w:tc>
          <w:tcPr>
            <w:tcW w:w="460" w:type="dxa"/>
            <w:vAlign w:val="bottom"/>
            <w:tcBorders>
              <w:bottom w:val="single" w:sz="8" w:color="004483"/>
            </w:tcBorders>
          </w:tcPr>
          <w:p>
            <w:pPr>
              <w:spacing w:after="0"/>
              <w:rPr>
                <w:sz w:val="22"/>
                <w:szCs w:val="22"/>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8,373</w:t>
            </w:r>
          </w:p>
        </w:tc>
        <w:tc>
          <w:tcPr>
            <w:tcW w:w="100" w:type="dxa"/>
            <w:vAlign w:val="bottom"/>
          </w:tcPr>
          <w:p>
            <w:pPr>
              <w:spacing w:after="0"/>
              <w:rPr>
                <w:sz w:val="22"/>
                <w:szCs w:val="22"/>
                <w:color w:val="auto"/>
              </w:rPr>
            </w:pPr>
          </w:p>
        </w:tc>
        <w:tc>
          <w:tcPr>
            <w:tcW w:w="200" w:type="dxa"/>
            <w:vAlign w:val="bottom"/>
            <w:tcBorders>
              <w:bottom w:val="single" w:sz="8" w:color="A6A6A6"/>
            </w:tcBorders>
          </w:tcPr>
          <w:p>
            <w:pPr>
              <w:spacing w:after="0"/>
              <w:rPr>
                <w:sz w:val="22"/>
                <w:szCs w:val="22"/>
                <w:color w:val="auto"/>
              </w:rPr>
            </w:pPr>
          </w:p>
        </w:tc>
        <w:tc>
          <w:tcPr>
            <w:tcW w:w="700" w:type="dxa"/>
            <w:vAlign w:val="bottom"/>
            <w:tcBorders>
              <w:bottom w:val="single" w:sz="8" w:color="004483"/>
            </w:tcBorders>
          </w:tcPr>
          <w:p>
            <w:pPr>
              <w:spacing w:after="0"/>
              <w:rPr>
                <w:sz w:val="22"/>
                <w:szCs w:val="22"/>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7,052</w:t>
            </w:r>
          </w:p>
        </w:tc>
        <w:tc>
          <w:tcPr>
            <w:tcW w:w="100" w:type="dxa"/>
            <w:vAlign w:val="bottom"/>
          </w:tcPr>
          <w:p>
            <w:pPr>
              <w:spacing w:after="0"/>
              <w:rPr>
                <w:sz w:val="22"/>
                <w:szCs w:val="22"/>
                <w:color w:val="auto"/>
              </w:rPr>
            </w:pPr>
          </w:p>
        </w:tc>
      </w:tr>
      <w:tr>
        <w:trPr>
          <w:trHeight w:val="216"/>
        </w:trPr>
        <w:tc>
          <w:tcPr>
            <w:tcW w:w="764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80,324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78,840</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(H) LEASES</w:t>
      </w:r>
    </w:p>
    <w:p>
      <w:pPr>
        <w:spacing w:after="0" w:line="161"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twelve months, which are not recorded on the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20" w:type="dxa"/>
            <w:vAlign w:val="bottom"/>
          </w:tcPr>
          <w:p>
            <w:pPr>
              <w:spacing w:after="0"/>
              <w:rPr>
                <w:sz w:val="20"/>
                <w:szCs w:val="20"/>
                <w:color w:val="auto"/>
              </w:rPr>
            </w:pPr>
          </w:p>
        </w:tc>
        <w:tc>
          <w:tcPr>
            <w:tcW w:w="160" w:type="dxa"/>
            <w:vAlign w:val="bottom"/>
            <w:tcBorders>
              <w:bottom w:val="single" w:sz="8" w:color="004483"/>
            </w:tcBorders>
            <w:shd w:val="clear" w:color="auto" w:fill="004483"/>
          </w:tcPr>
          <w:p>
            <w:pPr>
              <w:spacing w:after="0"/>
              <w:rPr>
                <w:sz w:val="20"/>
                <w:szCs w:val="20"/>
                <w:color w:val="auto"/>
              </w:rPr>
            </w:pPr>
          </w:p>
        </w:tc>
        <w:tc>
          <w:tcPr>
            <w:tcW w:w="2800" w:type="dxa"/>
            <w:vAlign w:val="bottom"/>
            <w:tcBorders>
              <w:bottom w:val="single" w:sz="8" w:color="004483"/>
            </w:tcBorders>
            <w:gridSpan w:val="6"/>
            <w:shd w:val="clear" w:color="auto" w:fill="004483"/>
          </w:tcPr>
          <w:p>
            <w:pPr>
              <w:ind w:left="80"/>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20"/>
                <w:szCs w:val="20"/>
                <w:color w:val="auto"/>
              </w:rPr>
            </w:pPr>
          </w:p>
        </w:tc>
        <w:tc>
          <w:tcPr>
            <w:tcW w:w="180" w:type="dxa"/>
            <w:vAlign w:val="bottom"/>
            <w:tcBorders>
              <w:bottom w:val="single" w:sz="8" w:color="004483"/>
            </w:tcBorders>
            <w:shd w:val="clear" w:color="auto" w:fill="004483"/>
          </w:tcPr>
          <w:p>
            <w:pPr>
              <w:spacing w:after="0"/>
              <w:rPr>
                <w:sz w:val="20"/>
                <w:szCs w:val="20"/>
                <w:color w:val="auto"/>
              </w:rPr>
            </w:pPr>
          </w:p>
        </w:tc>
        <w:tc>
          <w:tcPr>
            <w:tcW w:w="2740" w:type="dxa"/>
            <w:vAlign w:val="bottom"/>
            <w:tcBorders>
              <w:bottom w:val="single" w:sz="8" w:color="004483"/>
            </w:tcBorders>
            <w:gridSpan w:val="6"/>
            <w:shd w:val="clear" w:color="auto" w:fill="004483"/>
          </w:tcPr>
          <w:p>
            <w:pPr>
              <w:ind w:left="12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87"/>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r>
      <w:tr>
        <w:trPr>
          <w:trHeight w:val="225"/>
        </w:trPr>
        <w:tc>
          <w:tcPr>
            <w:tcW w:w="522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6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480" w:type="dxa"/>
            <w:vAlign w:val="bottom"/>
            <w:tcBorders>
              <w:bottom w:val="single" w:sz="8" w:color="004483"/>
            </w:tcBorders>
          </w:tcPr>
          <w:p>
            <w:pPr>
              <w:spacing w:after="0"/>
              <w:rPr>
                <w:sz w:val="19"/>
                <w:szCs w:val="19"/>
                <w:color w:val="auto"/>
              </w:rPr>
            </w:pPr>
          </w:p>
        </w:tc>
        <w:tc>
          <w:tcPr>
            <w:tcW w:w="2340" w:type="dxa"/>
            <w:vAlign w:val="bottom"/>
            <w:tcBorders>
              <w:bottom w:val="single" w:sz="8" w:color="004483"/>
            </w:tcBorders>
            <w:gridSpan w:val="5"/>
          </w:tcPr>
          <w:p>
            <w:pPr>
              <w:jc w:val="right"/>
              <w:ind w:right="806"/>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500" w:type="dxa"/>
            <w:vAlign w:val="bottom"/>
            <w:tcBorders>
              <w:bottom w:val="single" w:sz="8" w:color="004483"/>
            </w:tcBorders>
          </w:tcPr>
          <w:p>
            <w:pPr>
              <w:spacing w:after="0"/>
              <w:rPr>
                <w:sz w:val="19"/>
                <w:szCs w:val="19"/>
                <w:color w:val="auto"/>
              </w:rPr>
            </w:pPr>
          </w:p>
        </w:tc>
        <w:tc>
          <w:tcPr>
            <w:tcW w:w="80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22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1,566</w:t>
            </w:r>
          </w:p>
        </w:tc>
        <w:tc>
          <w:tcPr>
            <w:tcW w:w="7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3,080</w:t>
            </w:r>
          </w:p>
        </w:tc>
        <w:tc>
          <w:tcPr>
            <w:tcW w:w="7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3,563</w:t>
            </w:r>
          </w:p>
        </w:tc>
        <w:tc>
          <w:tcPr>
            <w:tcW w:w="100" w:type="dxa"/>
            <w:vAlign w:val="bottom"/>
          </w:tcPr>
          <w:p>
            <w:pPr>
              <w:spacing w:after="0"/>
              <w:rPr>
                <w:sz w:val="21"/>
                <w:szCs w:val="21"/>
                <w:color w:val="auto"/>
              </w:rPr>
            </w:pPr>
          </w:p>
        </w:tc>
      </w:tr>
      <w:tr>
        <w:trPr>
          <w:trHeight w:val="257"/>
        </w:trPr>
        <w:tc>
          <w:tcPr>
            <w:tcW w:w="5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160" w:type="dxa"/>
            <w:vAlign w:val="bottom"/>
            <w:tcBorders>
              <w:top w:val="single" w:sz="8" w:color="A6A6A6"/>
              <w:bottom w:val="single" w:sz="8" w:color="004483"/>
            </w:tcBorders>
          </w:tcPr>
          <w:p>
            <w:pPr>
              <w:spacing w:after="0"/>
              <w:rPr>
                <w:sz w:val="22"/>
                <w:szCs w:val="22"/>
                <w:color w:val="auto"/>
              </w:rPr>
            </w:pPr>
          </w:p>
        </w:tc>
        <w:tc>
          <w:tcPr>
            <w:tcW w:w="11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480" w:type="dxa"/>
            <w:vAlign w:val="bottom"/>
            <w:tcBorders>
              <w:top w:val="single" w:sz="8" w:color="A6A6A6"/>
              <w:bottom w:val="single" w:sz="8" w:color="004483"/>
            </w:tcBorders>
          </w:tcPr>
          <w:p>
            <w:pPr>
              <w:spacing w:after="0"/>
              <w:rPr>
                <w:sz w:val="22"/>
                <w:szCs w:val="22"/>
                <w:color w:val="auto"/>
              </w:rPr>
            </w:pPr>
          </w:p>
        </w:tc>
        <w:tc>
          <w:tcPr>
            <w:tcW w:w="8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2"/>
                <w:szCs w:val="22"/>
                <w:color w:val="auto"/>
              </w:rPr>
            </w:pPr>
          </w:p>
        </w:tc>
        <w:tc>
          <w:tcPr>
            <w:tcW w:w="140" w:type="dxa"/>
            <w:vAlign w:val="bottom"/>
            <w:tcBorders>
              <w:top w:val="single" w:sz="8" w:color="A6A6A6"/>
              <w:bottom w:val="single" w:sz="8" w:color="A6A6A6"/>
            </w:tcBorders>
          </w:tcPr>
          <w:p>
            <w:pPr>
              <w:spacing w:after="0"/>
              <w:rPr>
                <w:sz w:val="22"/>
                <w:szCs w:val="22"/>
                <w:color w:val="auto"/>
              </w:rPr>
            </w:pPr>
          </w:p>
        </w:tc>
        <w:tc>
          <w:tcPr>
            <w:tcW w:w="180" w:type="dxa"/>
            <w:vAlign w:val="bottom"/>
            <w:tcBorders>
              <w:top w:val="single" w:sz="8" w:color="A6A6A6"/>
              <w:bottom w:val="single" w:sz="8" w:color="004483"/>
            </w:tcBorders>
          </w:tcPr>
          <w:p>
            <w:pPr>
              <w:spacing w:after="0"/>
              <w:rPr>
                <w:sz w:val="22"/>
                <w:szCs w:val="22"/>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500" w:type="dxa"/>
            <w:vAlign w:val="bottom"/>
            <w:tcBorders>
              <w:top w:val="single" w:sz="8" w:color="A6A6A6"/>
              <w:bottom w:val="single" w:sz="8" w:color="004483"/>
            </w:tcBorders>
          </w:tcPr>
          <w:p>
            <w:pPr>
              <w:spacing w:after="0"/>
              <w:rPr>
                <w:sz w:val="22"/>
                <w:szCs w:val="22"/>
                <w:color w:val="auto"/>
              </w:rPr>
            </w:pPr>
          </w:p>
        </w:tc>
        <w:tc>
          <w:tcPr>
            <w:tcW w:w="8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22"/>
                <w:szCs w:val="22"/>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1,875</w:t>
            </w:r>
          </w:p>
        </w:tc>
        <w:tc>
          <w:tcPr>
            <w:tcW w:w="7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2,624</w:t>
            </w:r>
          </w:p>
        </w:tc>
        <w:tc>
          <w:tcPr>
            <w:tcW w:w="10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3,891</w:t>
            </w:r>
          </w:p>
        </w:tc>
        <w:tc>
          <w:tcPr>
            <w:tcW w:w="74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5,170</w:t>
            </w:r>
          </w:p>
        </w:tc>
        <w:tc>
          <w:tcPr>
            <w:tcW w:w="100" w:type="dxa"/>
            <w:vAlign w:val="bottom"/>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4483"/>
              <w:bottom w:val="single" w:sz="8" w:color="004483"/>
            </w:tcBorders>
          </w:tcPr>
          <w:p>
            <w:pPr>
              <w:spacing w:after="0" w:line="20" w:lineRule="exact"/>
              <w:rPr>
                <w:sz w:val="1"/>
                <w:szCs w:val="1"/>
                <w:color w:val="auto"/>
              </w:rPr>
            </w:pPr>
          </w:p>
        </w:tc>
        <w:tc>
          <w:tcPr>
            <w:tcW w:w="82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4483"/>
              <w:bottom w:val="single" w:sz="8" w:color="004483"/>
            </w:tcBorders>
          </w:tcPr>
          <w:p>
            <w:pPr>
              <w:spacing w:after="0" w:line="20" w:lineRule="exact"/>
              <w:rPr>
                <w:sz w:val="1"/>
                <w:szCs w:val="1"/>
                <w:color w:val="auto"/>
              </w:rPr>
            </w:pPr>
          </w:p>
        </w:tc>
        <w:tc>
          <w:tcPr>
            <w:tcW w:w="110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40" w:type="dxa"/>
            <w:vAlign w:val="bottom"/>
          </w:tcPr>
          <w:p>
            <w:pPr>
              <w:spacing w:after="0"/>
              <w:rPr>
                <w:sz w:val="22"/>
                <w:szCs w:val="22"/>
                <w:color w:val="auto"/>
              </w:rPr>
            </w:pPr>
          </w:p>
        </w:tc>
        <w:tc>
          <w:tcPr>
            <w:tcW w:w="2600" w:type="dxa"/>
            <w:vAlign w:val="bottom"/>
            <w:shd w:val="clear" w:color="auto" w:fill="004483"/>
          </w:tcPr>
          <w:p>
            <w:pPr>
              <w:jc w:val="right"/>
              <w:ind w:right="957"/>
              <w:spacing w:after="0"/>
              <w:rPr>
                <w:sz w:val="20"/>
                <w:szCs w:val="20"/>
                <w:color w:val="auto"/>
              </w:rPr>
            </w:pPr>
            <w:r>
              <w:rPr>
                <w:rFonts w:ascii="Arial" w:cs="Arial" w:eastAsia="Arial" w:hAnsi="Arial"/>
                <w:sz w:val="13"/>
                <w:szCs w:val="13"/>
                <w:b w:val="1"/>
                <w:bCs w:val="1"/>
                <w:color w:val="FFFFFF"/>
              </w:rPr>
              <w:t>September 30,</w:t>
            </w:r>
          </w:p>
        </w:tc>
        <w:tc>
          <w:tcPr>
            <w:tcW w:w="100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640" w:type="dxa"/>
            <w:vAlign w:val="bottom"/>
          </w:tcPr>
          <w:p>
            <w:pPr>
              <w:spacing w:after="0"/>
              <w:rPr>
                <w:sz w:val="15"/>
                <w:szCs w:val="15"/>
                <w:color w:val="auto"/>
              </w:rPr>
            </w:pPr>
          </w:p>
        </w:tc>
        <w:tc>
          <w:tcPr>
            <w:tcW w:w="2600" w:type="dxa"/>
            <w:vAlign w:val="bottom"/>
          </w:tcPr>
          <w:p>
            <w:pPr>
              <w:jc w:val="right"/>
              <w:ind w:right="957"/>
              <w:spacing w:after="0"/>
              <w:rPr>
                <w:sz w:val="20"/>
                <w:szCs w:val="20"/>
                <w:color w:val="auto"/>
              </w:rPr>
            </w:pPr>
            <w:r>
              <w:rPr>
                <w:rFonts w:ascii="Arial" w:cs="Arial" w:eastAsia="Arial" w:hAnsi="Arial"/>
                <w:sz w:val="13"/>
                <w:szCs w:val="13"/>
                <w:b w:val="1"/>
                <w:bCs w:val="1"/>
                <w:color w:val="auto"/>
              </w:rPr>
              <w:t>2021</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26"/>
        </w:trPr>
        <w:tc>
          <w:tcPr>
            <w:tcW w:w="7640" w:type="dxa"/>
            <w:vAlign w:val="bottom"/>
            <w:tcBorders>
              <w:bottom w:val="single" w:sz="8" w:color="004483"/>
            </w:tcBorders>
          </w:tcPr>
          <w:p>
            <w:pPr>
              <w:spacing w:after="0"/>
              <w:rPr>
                <w:sz w:val="19"/>
                <w:szCs w:val="19"/>
                <w:color w:val="auto"/>
              </w:rPr>
            </w:pPr>
          </w:p>
        </w:tc>
        <w:tc>
          <w:tcPr>
            <w:tcW w:w="2600" w:type="dxa"/>
            <w:vAlign w:val="bottom"/>
            <w:tcBorders>
              <w:bottom w:val="single" w:sz="8" w:color="004483"/>
            </w:tcBorders>
          </w:tcPr>
          <w:p>
            <w:pPr>
              <w:jc w:val="right"/>
              <w:ind w:right="257"/>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503"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4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620" w:type="dxa"/>
            <w:vAlign w:val="bottom"/>
            <w:tcBorders>
              <w:top w:val="single" w:sz="8" w:color="A6A6A6"/>
              <w:bottom w:val="single" w:sz="8" w:color="004483"/>
            </w:tcBorders>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25,127</w:t>
            </w: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216"/>
        </w:trPr>
        <w:tc>
          <w:tcPr>
            <w:tcW w:w="7640" w:type="dxa"/>
            <w:vAlign w:val="bottom"/>
            <w:tcBorders>
              <w:bottom w:val="single" w:sz="8" w:color="A6A6A6"/>
            </w:tcBorders>
          </w:tcPr>
          <w:p>
            <w:pPr>
              <w:spacing w:after="0"/>
              <w:rPr>
                <w:sz w:val="18"/>
                <w:szCs w:val="18"/>
                <w:color w:val="auto"/>
              </w:rPr>
            </w:pPr>
          </w:p>
        </w:tc>
        <w:tc>
          <w:tcPr>
            <w:tcW w:w="62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r>
      <w:tr>
        <w:trPr>
          <w:trHeight w:val="217"/>
        </w:trPr>
        <w:tc>
          <w:tcPr>
            <w:tcW w:w="764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62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7,028</w:t>
            </w:r>
          </w:p>
        </w:tc>
      </w:tr>
      <w:tr>
        <w:trPr>
          <w:trHeight w:val="256"/>
        </w:trPr>
        <w:tc>
          <w:tcPr>
            <w:tcW w:w="764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620" w:type="dxa"/>
            <w:vAlign w:val="bottom"/>
            <w:tcBorders>
              <w:bottom w:val="single" w:sz="8" w:color="004483"/>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31,683</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38,711</w:t>
            </w:r>
          </w:p>
        </w:tc>
      </w:tr>
      <w:tr>
        <w:trPr>
          <w:trHeight w:val="20"/>
        </w:trPr>
        <w:tc>
          <w:tcPr>
            <w:tcW w:w="764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1128" w:hanging="1128"/>
        <w:spacing w:after="0"/>
        <w:tabs>
          <w:tab w:leader="none" w:pos="1128" w:val="left"/>
        </w:tabs>
        <w:numPr>
          <w:ilvl w:val="0"/>
          <w:numId w:val="11"/>
        </w:numPr>
        <w:rPr>
          <w:rFonts w:ascii="Arial" w:cs="Arial" w:eastAsia="Arial" w:hAnsi="Arial"/>
          <w:sz w:val="14"/>
          <w:szCs w:val="14"/>
          <w:color w:val="auto"/>
        </w:rPr>
      </w:pPr>
      <w:r>
        <w:rPr>
          <w:rFonts w:ascii="Arial" w:cs="Arial" w:eastAsia="Arial" w:hAnsi="Arial"/>
          <w:sz w:val="14"/>
          <w:szCs w:val="14"/>
          <w:color w:val="auto"/>
        </w:rPr>
        <w:t>25,811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-112395</wp:posOffset>
            </wp:positionV>
            <wp:extent cx="11315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41275</wp:posOffset>
            </wp:positionV>
            <wp:extent cx="113157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1570" cy="2540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212725</wp:posOffset>
            </wp:positionV>
            <wp:extent cx="11315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32" w:lineRule="exact"/>
        <w:rPr>
          <w:sz w:val="20"/>
          <w:szCs w:val="20"/>
          <w:color w:val="auto"/>
        </w:rPr>
      </w:pPr>
    </w:p>
    <w:p>
      <w:pPr>
        <w:ind w:left="1208" w:hanging="1208"/>
        <w:spacing w:after="0"/>
        <w:tabs>
          <w:tab w:leader="none" w:pos="12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6,343</w:t>
      </w:r>
    </w:p>
    <w:p>
      <w:pPr>
        <w:spacing w:after="0" w:line="82" w:lineRule="exact"/>
        <w:rPr>
          <w:rFonts w:ascii="Arial" w:cs="Arial" w:eastAsia="Arial" w:hAnsi="Arial"/>
          <w:sz w:val="14"/>
          <w:szCs w:val="14"/>
          <w:color w:val="auto"/>
        </w:rPr>
      </w:pPr>
    </w:p>
    <w:p>
      <w:pPr>
        <w:ind w:left="1128"/>
        <w:spacing w:after="0"/>
        <w:rPr>
          <w:rFonts w:ascii="Arial" w:cs="Arial" w:eastAsia="Arial" w:hAnsi="Arial"/>
          <w:sz w:val="14"/>
          <w:szCs w:val="14"/>
          <w:color w:val="auto"/>
        </w:rPr>
      </w:pPr>
      <w:r>
        <w:rPr>
          <w:rFonts w:ascii="Arial" w:cs="Arial" w:eastAsia="Arial" w:hAnsi="Arial"/>
          <w:sz w:val="14"/>
          <w:szCs w:val="14"/>
          <w:color w:val="auto"/>
        </w:rPr>
        <w:t>34,444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-112395</wp:posOffset>
            </wp:positionV>
            <wp:extent cx="11315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3157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41275</wp:posOffset>
            </wp:positionV>
            <wp:extent cx="11315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31570" cy="26035"/>
                    </a:xfrm>
                    <a:prstGeom prst="rect">
                      <a:avLst/>
                    </a:prstGeom>
                    <a:noFill/>
                  </pic:spPr>
                </pic:pic>
              </a:graphicData>
            </a:graphic>
          </wp:anchor>
        </w:drawing>
      </w:r>
    </w:p>
    <w:p>
      <w:pPr>
        <w:spacing w:after="0" w:line="85" w:lineRule="exact"/>
        <w:rPr>
          <w:sz w:val="20"/>
          <w:szCs w:val="20"/>
          <w:color w:val="auto"/>
        </w:rPr>
      </w:pPr>
    </w:p>
    <w:p>
      <w:pPr>
        <w:ind w:left="1128" w:hanging="1128"/>
        <w:spacing w:after="0"/>
        <w:tabs>
          <w:tab w:leader="none" w:pos="1128"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40,787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43815</wp:posOffset>
            </wp:positionV>
            <wp:extent cx="10115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15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60960</wp:posOffset>
            </wp:positionV>
            <wp:extent cx="10115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8"/>
        <w:spacing w:after="0"/>
        <w:rPr>
          <w:sz w:val="20"/>
          <w:szCs w:val="20"/>
          <w:color w:val="auto"/>
        </w:rPr>
      </w:pPr>
      <w:r>
        <w:rPr>
          <w:rFonts w:ascii="Arial" w:cs="Arial" w:eastAsia="Arial" w:hAnsi="Arial"/>
          <w:sz w:val="13"/>
          <w:szCs w:val="13"/>
          <w:b w:val="1"/>
          <w:bCs w:val="1"/>
          <w:color w:val="auto"/>
        </w:rPr>
        <w:t>Amount</w:t>
      </w:r>
    </w:p>
    <w:p>
      <w:pPr>
        <w:spacing w:after="0" w:line="15" w:lineRule="exact"/>
        <w:rPr>
          <w:sz w:val="20"/>
          <w:szCs w:val="20"/>
          <w:color w:val="auto"/>
        </w:rPr>
      </w:pPr>
    </w:p>
    <w:p>
      <w:pPr>
        <w:sectPr>
          <w:pgSz w:w="11900" w:h="16838" w:orient="portrait"/>
          <w:cols w:equalWidth="0" w:num="2">
            <w:col w:w="9240" w:space="312"/>
            <w:col w:w="1688"/>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910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2022 (remaining six months)</w:t>
            </w:r>
          </w:p>
        </w:tc>
        <w:tc>
          <w:tcPr>
            <w:tcW w:w="760" w:type="dxa"/>
            <w:vAlign w:val="bottom"/>
            <w:tcBorders>
              <w:top w:val="single" w:sz="8" w:color="004483"/>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4,103</w:t>
            </w:r>
          </w:p>
        </w:tc>
        <w:tc>
          <w:tcPr>
            <w:tcW w:w="180" w:type="dxa"/>
            <w:vAlign w:val="bottom"/>
          </w:tcPr>
          <w:p>
            <w:pPr>
              <w:spacing w:after="0"/>
              <w:rPr>
                <w:sz w:val="20"/>
                <w:szCs w:val="20"/>
                <w:color w:val="auto"/>
              </w:rPr>
            </w:pPr>
          </w:p>
        </w:tc>
      </w:tr>
      <w:tr>
        <w:trPr>
          <w:trHeight w:val="223"/>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2023</w:t>
            </w:r>
          </w:p>
        </w:tc>
        <w:tc>
          <w:tcPr>
            <w:tcW w:w="7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7,829</w:t>
            </w:r>
          </w:p>
        </w:tc>
        <w:tc>
          <w:tcPr>
            <w:tcW w:w="180" w:type="dxa"/>
            <w:vAlign w:val="bottom"/>
          </w:tcPr>
          <w:p>
            <w:pPr>
              <w:spacing w:after="0"/>
              <w:rPr>
                <w:sz w:val="19"/>
                <w:szCs w:val="19"/>
                <w:color w:val="auto"/>
              </w:rPr>
            </w:pPr>
          </w:p>
        </w:tc>
      </w:tr>
      <w:tr>
        <w:trPr>
          <w:trHeight w:val="223"/>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2024</w:t>
            </w:r>
          </w:p>
        </w:tc>
        <w:tc>
          <w:tcPr>
            <w:tcW w:w="7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5,949</w:t>
            </w:r>
          </w:p>
        </w:tc>
        <w:tc>
          <w:tcPr>
            <w:tcW w:w="180" w:type="dxa"/>
            <w:vAlign w:val="bottom"/>
          </w:tcPr>
          <w:p>
            <w:pPr>
              <w:spacing w:after="0"/>
              <w:rPr>
                <w:sz w:val="19"/>
                <w:szCs w:val="19"/>
                <w:color w:val="auto"/>
              </w:rPr>
            </w:pPr>
          </w:p>
        </w:tc>
      </w:tr>
      <w:tr>
        <w:trPr>
          <w:trHeight w:val="223"/>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7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5,589</w:t>
            </w:r>
          </w:p>
        </w:tc>
        <w:tc>
          <w:tcPr>
            <w:tcW w:w="180" w:type="dxa"/>
            <w:vAlign w:val="bottom"/>
          </w:tcPr>
          <w:p>
            <w:pPr>
              <w:spacing w:after="0"/>
              <w:rPr>
                <w:sz w:val="19"/>
                <w:szCs w:val="19"/>
                <w:color w:val="auto"/>
              </w:rPr>
            </w:pPr>
          </w:p>
        </w:tc>
      </w:tr>
      <w:tr>
        <w:trPr>
          <w:trHeight w:val="223"/>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4,118</w:t>
            </w:r>
          </w:p>
        </w:tc>
        <w:tc>
          <w:tcPr>
            <w:tcW w:w="180" w:type="dxa"/>
            <w:vAlign w:val="bottom"/>
          </w:tcPr>
          <w:p>
            <w:pPr>
              <w:spacing w:after="0"/>
              <w:rPr>
                <w:sz w:val="19"/>
                <w:szCs w:val="19"/>
                <w:color w:val="auto"/>
              </w:rPr>
            </w:pPr>
          </w:p>
        </w:tc>
      </w:tr>
      <w:tr>
        <w:trPr>
          <w:trHeight w:val="257"/>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60" w:type="dxa"/>
            <w:vAlign w:val="bottom"/>
            <w:tcBorders>
              <w:bottom w:val="single" w:sz="8" w:color="004483"/>
            </w:tcBorders>
          </w:tcPr>
          <w:p>
            <w:pPr>
              <w:spacing w:after="0"/>
              <w:rPr>
                <w:sz w:val="22"/>
                <w:szCs w:val="22"/>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20,377</w:t>
            </w:r>
          </w:p>
        </w:tc>
        <w:tc>
          <w:tcPr>
            <w:tcW w:w="180" w:type="dxa"/>
            <w:vAlign w:val="bottom"/>
          </w:tcPr>
          <w:p>
            <w:pPr>
              <w:spacing w:after="0"/>
              <w:rPr>
                <w:sz w:val="22"/>
                <w:szCs w:val="22"/>
                <w:color w:val="auto"/>
              </w:rPr>
            </w:pPr>
          </w:p>
        </w:tc>
      </w:tr>
      <w:tr>
        <w:trPr>
          <w:trHeight w:val="216"/>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60" w:type="dxa"/>
            <w:vAlign w:val="bottom"/>
            <w:tcBorders>
              <w:bottom w:val="single" w:sz="8" w:color="A6A6A6"/>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47,965</w:t>
            </w:r>
          </w:p>
        </w:tc>
        <w:tc>
          <w:tcPr>
            <w:tcW w:w="180" w:type="dxa"/>
            <w:vAlign w:val="bottom"/>
          </w:tcPr>
          <w:p>
            <w:pPr>
              <w:spacing w:after="0"/>
              <w:rPr>
                <w:sz w:val="18"/>
                <w:szCs w:val="18"/>
                <w:color w:val="auto"/>
              </w:rPr>
            </w:pPr>
          </w:p>
        </w:tc>
      </w:tr>
      <w:tr>
        <w:trPr>
          <w:trHeight w:val="257"/>
        </w:trPr>
        <w:tc>
          <w:tcPr>
            <w:tcW w:w="910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760" w:type="dxa"/>
            <w:vAlign w:val="bottom"/>
          </w:tcPr>
          <w:p>
            <w:pPr>
              <w:spacing w:after="0"/>
              <w:rPr>
                <w:sz w:val="22"/>
                <w:szCs w:val="22"/>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6"/>
                <w:szCs w:val="16"/>
                <w:color w:val="auto"/>
              </w:rPr>
              <w:t>(9,254 )</w:t>
            </w:r>
          </w:p>
        </w:tc>
      </w:tr>
      <w:tr>
        <w:trPr>
          <w:trHeight w:val="223"/>
        </w:trPr>
        <w:tc>
          <w:tcPr>
            <w:tcW w:w="910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60" w:type="dxa"/>
            <w:vAlign w:val="bottom"/>
            <w:tcBorders>
              <w:top w:val="single" w:sz="8" w:color="004483"/>
              <w:bottom w:val="single" w:sz="8" w:color="004483"/>
            </w:tcBorders>
          </w:tcPr>
          <w:p>
            <w:pPr>
              <w:jc w:val="right"/>
              <w:ind w:right="60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38,711</w:t>
            </w:r>
          </w:p>
        </w:tc>
        <w:tc>
          <w:tcPr>
            <w:tcW w:w="18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910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6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10.2</w:t>
            </w:r>
          </w:p>
        </w:tc>
        <w:tc>
          <w:tcPr>
            <w:tcW w:w="180" w:type="dxa"/>
            <w:vAlign w:val="bottom"/>
          </w:tcPr>
          <w:p>
            <w:pPr>
              <w:spacing w:after="0"/>
              <w:rPr>
                <w:sz w:val="18"/>
                <w:szCs w:val="18"/>
                <w:color w:val="auto"/>
              </w:rPr>
            </w:pPr>
          </w:p>
        </w:tc>
      </w:tr>
      <w:tr>
        <w:trPr>
          <w:trHeight w:val="223"/>
        </w:trPr>
        <w:tc>
          <w:tcPr>
            <w:tcW w:w="91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3.79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61"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(RSUs), restricted stock, and stock appreciation rights, to employees of the Company and members of the Board of Directors. The Compensation Committee of our Board of Directors specifies the terms for grants of equity awards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In May 2021, the Compensation Committee of the Board of Directors approved the granting to certain officers and key employees an aggregate of 4,293 performance-vesting stock options that will be earned only if certain performance conditions are satisfied (the Fiscal 2022 Employee Performance Stock Option Grant). The performance criteria for the Fiscal 2022 Employee Performance Stock Option Grant are based upon the achievement of certain levels of return on equity (as defined in the option agreements), ranging from 10.0% to 20.0%, for the fiscal year ending March 31, 2022.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determination date, and the remaining options vesting on March 31, 2023 through 2025. The stock options have a term of ten years from the grant date. The Compensation Committee also approved the granting of 3,578 time-vesting stock options to the same officers and key employees, which vest ratably over four years (the Fiscal 2022 Employee Time-Vesting Stock Option Grant).</w:t>
      </w:r>
    </w:p>
    <w:p>
      <w:pPr>
        <w:spacing w:after="0" w:line="106"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In August 2021, we granted 3,445 options to members of the Board of Directors (the Fiscal 2022 Board of Directors Stock Option Grant). Options granted under the Fiscal 2022 Board of Directors Stock Option Grant vest immediately and can be exercised from the date of the grant until their expiration on the tenth anniversary of the date of the grant.</w:t>
      </w:r>
    </w:p>
    <w:p>
      <w:pPr>
        <w:spacing w:after="0" w:line="94"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The Fiscal 2022 Employee Performance Stock Option Grant, the Fiscal 2022 Employee Time-Vesting Stock Option Grant, and the Fiscal 2022 Board of Directors Stock Option Grant were valued at their grant date using the Black-Scholes option pricing model. The weighted-average assumptions used in the Black-Scholes model to value the option awards in fiscal 2022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40" w:type="dxa"/>
            <w:vAlign w:val="bottom"/>
            <w:tcBorders>
              <w:bottom w:val="single" w:sz="8" w:color="004483"/>
            </w:tcBorders>
          </w:tcPr>
          <w:p>
            <w:pPr>
              <w:spacing w:after="0"/>
              <w:rPr>
                <w:sz w:val="17"/>
                <w:szCs w:val="17"/>
                <w:color w:val="auto"/>
              </w:rPr>
            </w:pPr>
          </w:p>
        </w:tc>
        <w:tc>
          <w:tcPr>
            <w:tcW w:w="50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Fiscal 2022</w:t>
            </w:r>
          </w:p>
        </w:tc>
        <w:tc>
          <w:tcPr>
            <w:tcW w:w="140" w:type="dxa"/>
            <w:vAlign w:val="bottom"/>
          </w:tcPr>
          <w:p>
            <w:pPr>
              <w:spacing w:after="0"/>
              <w:rPr>
                <w:sz w:val="17"/>
                <w:szCs w:val="17"/>
                <w:color w:val="auto"/>
              </w:rPr>
            </w:pPr>
          </w:p>
        </w:tc>
      </w:tr>
      <w:tr>
        <w:trPr>
          <w:trHeight w:val="220"/>
        </w:trPr>
        <w:tc>
          <w:tcPr>
            <w:tcW w:w="594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3"/>
        </w:trPr>
        <w:tc>
          <w:tcPr>
            <w:tcW w:w="5940" w:type="dxa"/>
            <w:vAlign w:val="bottom"/>
            <w:shd w:val="clear" w:color="auto" w:fill="A6A6A6"/>
          </w:tcPr>
          <w:p>
            <w:pPr>
              <w:spacing w:after="0"/>
              <w:rPr>
                <w:sz w:val="2"/>
                <w:szCs w:val="2"/>
                <w:color w:val="auto"/>
              </w:rPr>
            </w:pPr>
          </w:p>
        </w:tc>
        <w:tc>
          <w:tcPr>
            <w:tcW w:w="506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5940" w:type="dxa"/>
            <w:vAlign w:val="bottom"/>
          </w:tcPr>
          <w:p>
            <w:pPr>
              <w:ind w:left="20"/>
              <w:spacing w:after="0"/>
              <w:rPr>
                <w:sz w:val="20"/>
                <w:szCs w:val="20"/>
                <w:color w:val="auto"/>
              </w:rPr>
            </w:pPr>
            <w:r>
              <w:rPr>
                <w:rFonts w:ascii="Arial" w:cs="Arial" w:eastAsia="Arial" w:hAnsi="Arial"/>
                <w:sz w:val="16"/>
                <w:szCs w:val="16"/>
                <w:color w:val="004483"/>
              </w:rPr>
              <w:t>Expected Volatility</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38.4 %</w:t>
            </w:r>
          </w:p>
        </w:tc>
      </w:tr>
      <w:tr>
        <w:trPr>
          <w:trHeight w:val="23"/>
        </w:trPr>
        <w:tc>
          <w:tcPr>
            <w:tcW w:w="5940" w:type="dxa"/>
            <w:vAlign w:val="bottom"/>
            <w:shd w:val="clear" w:color="auto" w:fill="A6A6A6"/>
          </w:tcPr>
          <w:p>
            <w:pPr>
              <w:spacing w:after="0"/>
              <w:rPr>
                <w:sz w:val="2"/>
                <w:szCs w:val="2"/>
                <w:color w:val="auto"/>
              </w:rPr>
            </w:pPr>
          </w:p>
        </w:tc>
        <w:tc>
          <w:tcPr>
            <w:tcW w:w="506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6"/>
                <w:szCs w:val="16"/>
                <w:color w:val="004483"/>
              </w:rPr>
              <w:t>Risk Free Interest Rate</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23"/>
        </w:trPr>
        <w:tc>
          <w:tcPr>
            <w:tcW w:w="59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9"/>
                <w:szCs w:val="19"/>
                <w:color w:val="auto"/>
              </w:rPr>
            </w:pPr>
          </w:p>
        </w:tc>
      </w:tr>
    </w:tbl>
    <w:p>
      <w:pPr>
        <w:spacing w:after="0" w:line="36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color w:val="auto"/>
        </w:rPr>
        <w:t>Stock option expense for all outstanding stock option awards totaled approximately $1.0 million and $1.7 million for the three and six months ended September 30, 2021 and 2020, respectively, and $1.1 million and $2.8 million for the three and six months ended September 30, 2020, respectively. At September 30, 2021, there was approximately $5.4 million of unrecognized compensation cost related to outstanding stock options, which is expected to be recognized over a weighted-average period of 2.1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stock option activity for the six months ended September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r>
      <w:tr>
        <w:trPr>
          <w:trHeight w:val="162"/>
        </w:trPr>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Average</w:t>
            </w:r>
          </w:p>
        </w:tc>
      </w:tr>
      <w:tr>
        <w:trPr>
          <w:trHeight w:val="162"/>
        </w:trPr>
        <w:tc>
          <w:tcPr>
            <w:tcW w:w="7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Number</w:t>
            </w:r>
          </w:p>
        </w:tc>
        <w:tc>
          <w:tcPr>
            <w:tcW w:w="7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1"/>
        </w:trPr>
        <w:tc>
          <w:tcPr>
            <w:tcW w:w="7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7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r>
      <w:tr>
        <w:trPr>
          <w:trHeight w:val="223"/>
        </w:trPr>
        <w:tc>
          <w:tcPr>
            <w:tcW w:w="76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2021</w:t>
            </w:r>
          </w:p>
        </w:tc>
        <w:tc>
          <w:tcPr>
            <w:tcW w:w="540" w:type="dxa"/>
            <w:vAlign w:val="bottom"/>
            <w:tcBorders>
              <w:top w:val="single" w:sz="8" w:color="004483"/>
              <w:bottom w:val="single" w:sz="8" w:color="A6A6A6"/>
            </w:tcBorders>
          </w:tcPr>
          <w:p>
            <w:pPr>
              <w:spacing w:after="0"/>
              <w:rPr>
                <w:sz w:val="19"/>
                <w:szCs w:val="19"/>
                <w:color w:val="auto"/>
              </w:rPr>
            </w:pPr>
          </w:p>
        </w:tc>
        <w:tc>
          <w:tcPr>
            <w:tcW w:w="10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708,501</w:t>
            </w:r>
          </w:p>
        </w:tc>
        <w:tc>
          <w:tcPr>
            <w:tcW w:w="100" w:type="dxa"/>
            <w:vAlign w:val="bottom"/>
          </w:tcPr>
          <w:p>
            <w:pPr>
              <w:spacing w:after="0"/>
              <w:rPr>
                <w:sz w:val="19"/>
                <w:szCs w:val="19"/>
                <w:color w:val="auto"/>
              </w:rPr>
            </w:pPr>
          </w:p>
        </w:tc>
        <w:tc>
          <w:tcPr>
            <w:tcW w:w="760" w:type="dxa"/>
            <w:vAlign w:val="bottom"/>
            <w:tcBorders>
              <w:top w:val="single" w:sz="8" w:color="004483"/>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83.85</w:t>
            </w: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9"/>
                <w:szCs w:val="19"/>
                <w:color w:val="auto"/>
              </w:rPr>
            </w:pP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11,316</w:t>
            </w:r>
          </w:p>
        </w:tc>
        <w:tc>
          <w:tcPr>
            <w:tcW w:w="100" w:type="dxa"/>
            <w:vAlign w:val="bottom"/>
          </w:tcPr>
          <w:p>
            <w:pPr>
              <w:spacing w:after="0"/>
              <w:rPr>
                <w:sz w:val="19"/>
                <w:szCs w:val="19"/>
                <w:color w:val="auto"/>
              </w:rPr>
            </w:pPr>
          </w:p>
        </w:tc>
        <w:tc>
          <w:tcPr>
            <w:tcW w:w="760" w:type="dxa"/>
            <w:vAlign w:val="bottom"/>
            <w:tcBorders>
              <w:bottom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140.42</w:t>
            </w: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004483"/>
              </w:rPr>
              <w:t>Exercised</w:t>
            </w:r>
          </w:p>
        </w:tc>
        <w:tc>
          <w:tcPr>
            <w:tcW w:w="5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(172,057 )</w:t>
            </w:r>
          </w:p>
        </w:tc>
        <w:tc>
          <w:tcPr>
            <w:tcW w:w="7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85.01</w:t>
            </w:r>
          </w:p>
        </w:tc>
      </w:tr>
      <w:tr>
        <w:trPr>
          <w:trHeight w:val="23"/>
        </w:trPr>
        <w:tc>
          <w:tcPr>
            <w:tcW w:w="7640" w:type="dxa"/>
            <w:vAlign w:val="bottom"/>
            <w:shd w:val="clear" w:color="auto" w:fill="A6A6A6"/>
          </w:tcPr>
          <w:p>
            <w:pPr>
              <w:spacing w:after="0"/>
              <w:rPr>
                <w:sz w:val="2"/>
                <w:szCs w:val="2"/>
                <w:color w:val="auto"/>
              </w:rPr>
            </w:pPr>
          </w:p>
        </w:tc>
        <w:tc>
          <w:tcPr>
            <w:tcW w:w="540" w:type="dxa"/>
            <w:vAlign w:val="bottom"/>
            <w:shd w:val="clear" w:color="auto" w:fill="A6A6A6"/>
          </w:tcPr>
          <w:p>
            <w:pPr>
              <w:spacing w:after="0"/>
              <w:rPr>
                <w:sz w:val="2"/>
                <w:szCs w:val="2"/>
                <w:color w:val="auto"/>
              </w:rPr>
            </w:pPr>
          </w:p>
        </w:tc>
        <w:tc>
          <w:tcPr>
            <w:tcW w:w="10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40" w:type="dxa"/>
            <w:vAlign w:val="bottom"/>
            <w:shd w:val="clear" w:color="auto" w:fill="A6A6A6"/>
          </w:tcPr>
          <w:p>
            <w:pPr>
              <w:spacing w:after="0"/>
              <w:rPr>
                <w:sz w:val="2"/>
                <w:szCs w:val="2"/>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6"/>
                <w:szCs w:val="16"/>
                <w:color w:val="004483"/>
              </w:rPr>
              <w:t>Cancelled</w:t>
            </w:r>
          </w:p>
        </w:tc>
        <w:tc>
          <w:tcPr>
            <w:tcW w:w="54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(15,390 )</w:t>
            </w:r>
          </w:p>
        </w:tc>
        <w:tc>
          <w:tcPr>
            <w:tcW w:w="7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76.63</w:t>
            </w:r>
          </w:p>
        </w:tc>
      </w:tr>
      <w:tr>
        <w:trPr>
          <w:trHeight w:val="223"/>
        </w:trPr>
        <w:tc>
          <w:tcPr>
            <w:tcW w:w="764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September 30, 2021</w:t>
            </w:r>
          </w:p>
        </w:tc>
        <w:tc>
          <w:tcPr>
            <w:tcW w:w="540" w:type="dxa"/>
            <w:vAlign w:val="bottom"/>
            <w:tcBorders>
              <w:top w:val="single" w:sz="8" w:color="004483"/>
              <w:bottom w:val="single" w:sz="8" w:color="004483"/>
            </w:tcBorders>
          </w:tcPr>
          <w:p>
            <w:pPr>
              <w:spacing w:after="0"/>
              <w:rPr>
                <w:sz w:val="19"/>
                <w:szCs w:val="19"/>
                <w:color w:val="auto"/>
              </w:rPr>
            </w:pPr>
          </w:p>
        </w:tc>
        <w:tc>
          <w:tcPr>
            <w:tcW w:w="10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532,370</w:t>
            </w:r>
          </w:p>
        </w:tc>
        <w:tc>
          <w:tcPr>
            <w:tcW w:w="100" w:type="dxa"/>
            <w:vAlign w:val="bottom"/>
          </w:tcPr>
          <w:p>
            <w:pPr>
              <w:spacing w:after="0"/>
              <w:rPr>
                <w:sz w:val="19"/>
                <w:szCs w:val="19"/>
                <w:color w:val="auto"/>
              </w:rPr>
            </w:pPr>
          </w:p>
        </w:tc>
        <w:tc>
          <w:tcPr>
            <w:tcW w:w="760" w:type="dxa"/>
            <w:vAlign w:val="bottom"/>
            <w:tcBorders>
              <w:top w:val="single" w:sz="8" w:color="A6A6A6"/>
            </w:tcBorders>
          </w:tcPr>
          <w:p>
            <w:pPr>
              <w:jc w:val="right"/>
              <w:ind w:right="3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84.89</w:t>
            </w: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r>
      <w:tr>
        <w:trPr>
          <w:trHeight w:val="20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September 30, 2021</w:t>
            </w:r>
          </w:p>
        </w:tc>
        <w:tc>
          <w:tcPr>
            <w:tcW w:w="540" w:type="dxa"/>
            <w:vAlign w:val="bottom"/>
            <w:tcBorders>
              <w:bottom w:val="single" w:sz="8" w:color="004483"/>
            </w:tcBorders>
          </w:tcPr>
          <w:p>
            <w:pPr>
              <w:spacing w:after="0"/>
              <w:rPr>
                <w:sz w:val="17"/>
                <w:szCs w:val="17"/>
                <w:color w:val="auto"/>
              </w:rPr>
            </w:pPr>
          </w:p>
        </w:tc>
        <w:tc>
          <w:tcPr>
            <w:tcW w:w="10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273,827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764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r>
      <w:tr>
        <w:trPr>
          <w:trHeight w:val="18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Weighted-Average Fair Value of Options Granted</w:t>
            </w: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19"/>
                <w:szCs w:val="19"/>
                <w:color w:val="auto"/>
              </w:rPr>
            </w:pPr>
          </w:p>
        </w:tc>
        <w:tc>
          <w:tcPr>
            <w:tcW w:w="760" w:type="dxa"/>
            <w:vAlign w:val="bottom"/>
            <w:tcBorders>
              <w:bottom w:val="single" w:sz="8" w:color="A6A6A6"/>
            </w:tcBorders>
          </w:tcPr>
          <w:p>
            <w:pPr>
              <w:spacing w:after="0"/>
              <w:rPr>
                <w:sz w:val="19"/>
                <w:szCs w:val="19"/>
                <w:color w:val="auto"/>
              </w:rPr>
            </w:pPr>
          </w:p>
        </w:tc>
        <w:tc>
          <w:tcPr>
            <w:tcW w:w="1040" w:type="dxa"/>
            <w:vAlign w:val="bottom"/>
            <w:tcBorders>
              <w:bottom w:val="single" w:sz="8" w:color="A6A6A6"/>
            </w:tcBorders>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20" w:type="dxa"/>
            <w:vAlign w:val="bottom"/>
            <w:shd w:val="clear" w:color="auto" w:fill="004483"/>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1260" w:type="dxa"/>
            <w:vAlign w:val="bottom"/>
            <w:gridSpan w:val="3"/>
            <w:shd w:val="clear" w:color="auto" w:fill="004483"/>
          </w:tcPr>
          <w:p>
            <w:pPr>
              <w:ind w:left="80"/>
              <w:spacing w:after="0"/>
              <w:rPr>
                <w:sz w:val="20"/>
                <w:szCs w:val="20"/>
                <w:color w:val="auto"/>
              </w:rPr>
            </w:pPr>
            <w:r>
              <w:rPr>
                <w:rFonts w:ascii="Arial" w:cs="Arial" w:eastAsia="Arial" w:hAnsi="Arial"/>
                <w:sz w:val="13"/>
                <w:szCs w:val="13"/>
                <w:b w:val="1"/>
                <w:bCs w:val="1"/>
                <w:color w:val="FFFFFF"/>
                <w:w w:val="89"/>
              </w:rPr>
              <w:t>Options Outstanding</w:t>
            </w:r>
          </w:p>
        </w:tc>
        <w:tc>
          <w:tcPr>
            <w:tcW w:w="400" w:type="dxa"/>
            <w:vAlign w:val="bottom"/>
            <w:shd w:val="clear" w:color="auto" w:fill="004483"/>
          </w:tcPr>
          <w:p>
            <w:pPr>
              <w:spacing w:after="0"/>
              <w:rPr>
                <w:sz w:val="16"/>
                <w:szCs w:val="16"/>
                <w:color w:val="auto"/>
              </w:rPr>
            </w:pPr>
          </w:p>
        </w:tc>
        <w:tc>
          <w:tcPr>
            <w:tcW w:w="760" w:type="dxa"/>
            <w:vAlign w:val="bottom"/>
            <w:shd w:val="clear" w:color="auto" w:fill="004483"/>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shd w:val="clear" w:color="auto" w:fill="004483"/>
          </w:tcPr>
          <w:p>
            <w:pPr>
              <w:jc w:val="right"/>
              <w:spacing w:after="0"/>
              <w:rPr>
                <w:sz w:val="20"/>
                <w:szCs w:val="20"/>
                <w:color w:val="auto"/>
              </w:rPr>
            </w:pPr>
            <w:r>
              <w:rPr>
                <w:rFonts w:ascii="Arial" w:cs="Arial" w:eastAsia="Arial" w:hAnsi="Arial"/>
                <w:sz w:val="13"/>
                <w:szCs w:val="13"/>
                <w:b w:val="1"/>
                <w:bCs w:val="1"/>
                <w:color w:val="FFFFFF"/>
              </w:rPr>
              <w:t>Options Exercisable</w:t>
            </w:r>
          </w:p>
        </w:tc>
        <w:tc>
          <w:tcPr>
            <w:tcW w:w="58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r>
      <w:tr>
        <w:trPr>
          <w:trHeight w:val="171"/>
        </w:trPr>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w:t>
            </w:r>
          </w:p>
        </w:tc>
        <w:tc>
          <w:tcPr>
            <w:tcW w:w="4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5"/>
              </w:rPr>
              <w:t>Weighted-</w:t>
            </w:r>
          </w:p>
        </w:tc>
      </w:tr>
      <w:tr>
        <w:trPr>
          <w:trHeight w:val="162"/>
        </w:trPr>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Remaining</w:t>
            </w:r>
          </w:p>
        </w:tc>
        <w:tc>
          <w:tcPr>
            <w:tcW w:w="4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Average</w:t>
            </w:r>
          </w:p>
        </w:tc>
      </w:tr>
      <w:tr>
        <w:trPr>
          <w:trHeight w:val="162"/>
        </w:trPr>
        <w:tc>
          <w:tcPr>
            <w:tcW w:w="4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Contractual</w:t>
            </w:r>
          </w:p>
        </w:tc>
        <w:tc>
          <w:tcPr>
            <w:tcW w:w="4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Exercise</w:t>
            </w:r>
          </w:p>
        </w:tc>
      </w:tr>
      <w:tr>
        <w:trPr>
          <w:trHeight w:val="201"/>
        </w:trPr>
        <w:tc>
          <w:tcPr>
            <w:tcW w:w="5080" w:type="dxa"/>
            <w:vAlign w:val="bottom"/>
            <w:tcBorders>
              <w:bottom w:val="single" w:sz="8" w:color="004483"/>
            </w:tcBorders>
            <w:gridSpan w:val="2"/>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Life (in years)</w:t>
            </w:r>
          </w:p>
        </w:tc>
        <w:tc>
          <w:tcPr>
            <w:tcW w:w="120" w:type="dxa"/>
            <w:vAlign w:val="bottom"/>
          </w:tcPr>
          <w:p>
            <w:pPr>
              <w:spacing w:after="0"/>
              <w:rPr>
                <w:sz w:val="17"/>
                <w:szCs w:val="17"/>
                <w:color w:val="auto"/>
              </w:rPr>
            </w:pPr>
          </w:p>
        </w:tc>
        <w:tc>
          <w:tcPr>
            <w:tcW w:w="400" w:type="dxa"/>
            <w:vAlign w:val="bottom"/>
            <w:tcBorders>
              <w:bottom w:val="single" w:sz="8" w:color="004483"/>
            </w:tcBorders>
          </w:tcPr>
          <w:p>
            <w:pPr>
              <w:spacing w:after="0"/>
              <w:rPr>
                <w:sz w:val="17"/>
                <w:szCs w:val="17"/>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7"/>
                <w:szCs w:val="17"/>
                <w:color w:val="auto"/>
              </w:rPr>
            </w:pPr>
          </w:p>
        </w:tc>
        <w:tc>
          <w:tcPr>
            <w:tcW w:w="460" w:type="dxa"/>
            <w:vAlign w:val="bottom"/>
            <w:tcBorders>
              <w:bottom w:val="single" w:sz="8" w:color="004483"/>
            </w:tcBorders>
          </w:tcPr>
          <w:p>
            <w:pPr>
              <w:spacing w:after="0"/>
              <w:rPr>
                <w:sz w:val="17"/>
                <w:szCs w:val="17"/>
                <w:color w:val="auto"/>
              </w:rPr>
            </w:pPr>
          </w:p>
        </w:tc>
        <w:tc>
          <w:tcPr>
            <w:tcW w:w="5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r>
      <w:tr>
        <w:trPr>
          <w:trHeight w:val="223"/>
        </w:trPr>
        <w:tc>
          <w:tcPr>
            <w:tcW w:w="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w w:val="89"/>
              </w:rPr>
              <w:t>$33.69</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$37.34</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12,373</w:t>
            </w:r>
          </w:p>
        </w:tc>
        <w:tc>
          <w:tcPr>
            <w:tcW w:w="120" w:type="dxa"/>
            <w:vAlign w:val="bottom"/>
          </w:tcPr>
          <w:p>
            <w:pPr>
              <w:spacing w:after="0"/>
              <w:rPr>
                <w:sz w:val="19"/>
                <w:szCs w:val="19"/>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19"/>
                <w:szCs w:val="19"/>
                <w:color w:val="auto"/>
              </w:rPr>
            </w:pPr>
          </w:p>
        </w:tc>
        <w:tc>
          <w:tcPr>
            <w:tcW w:w="4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34.52</w:t>
            </w:r>
          </w:p>
        </w:tc>
        <w:tc>
          <w:tcPr>
            <w:tcW w:w="120" w:type="dxa"/>
            <w:vAlign w:val="bottom"/>
          </w:tcPr>
          <w:p>
            <w:pPr>
              <w:spacing w:after="0"/>
              <w:rPr>
                <w:sz w:val="19"/>
                <w:szCs w:val="19"/>
                <w:color w:val="auto"/>
              </w:rPr>
            </w:pPr>
          </w:p>
        </w:tc>
        <w:tc>
          <w:tcPr>
            <w:tcW w:w="11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12,373</w:t>
            </w:r>
          </w:p>
        </w:tc>
        <w:tc>
          <w:tcPr>
            <w:tcW w:w="240" w:type="dxa"/>
            <w:vAlign w:val="bottom"/>
          </w:tcPr>
          <w:p>
            <w:pPr>
              <w:spacing w:after="0"/>
              <w:rPr>
                <w:sz w:val="19"/>
                <w:szCs w:val="19"/>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34.52</w:t>
            </w:r>
          </w:p>
        </w:tc>
        <w:tc>
          <w:tcPr>
            <w:tcW w:w="100" w:type="dxa"/>
            <w:vAlign w:val="bottom"/>
          </w:tcPr>
          <w:p>
            <w:pPr>
              <w:spacing w:after="0"/>
              <w:rPr>
                <w:sz w:val="19"/>
                <w:szCs w:val="19"/>
                <w:color w:val="auto"/>
              </w:rPr>
            </w:pPr>
          </w:p>
        </w:tc>
      </w:tr>
      <w:tr>
        <w:trPr>
          <w:trHeight w:val="223"/>
        </w:trPr>
        <w:tc>
          <w:tcPr>
            <w:tcW w:w="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w w:val="89"/>
              </w:rPr>
              <w:t>$59.32</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$81.56</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191,982</w:t>
            </w:r>
          </w:p>
        </w:tc>
        <w:tc>
          <w:tcPr>
            <w:tcW w:w="120" w:type="dxa"/>
            <w:vAlign w:val="bottom"/>
          </w:tcPr>
          <w:p>
            <w:pPr>
              <w:spacing w:after="0"/>
              <w:rPr>
                <w:sz w:val="19"/>
                <w:szCs w:val="19"/>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9"/>
                <w:szCs w:val="19"/>
                <w:color w:val="auto"/>
              </w:rPr>
            </w:pPr>
          </w:p>
        </w:tc>
        <w:tc>
          <w:tcPr>
            <w:tcW w:w="4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64.48</w:t>
            </w:r>
          </w:p>
        </w:tc>
        <w:tc>
          <w:tcPr>
            <w:tcW w:w="120" w:type="dxa"/>
            <w:vAlign w:val="bottom"/>
          </w:tcPr>
          <w:p>
            <w:pPr>
              <w:spacing w:after="0"/>
              <w:rPr>
                <w:sz w:val="19"/>
                <w:szCs w:val="19"/>
                <w:color w:val="auto"/>
              </w:rPr>
            </w:pPr>
          </w:p>
        </w:tc>
        <w:tc>
          <w:tcPr>
            <w:tcW w:w="11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61,760</w:t>
            </w:r>
          </w:p>
        </w:tc>
        <w:tc>
          <w:tcPr>
            <w:tcW w:w="240" w:type="dxa"/>
            <w:vAlign w:val="bottom"/>
          </w:tcPr>
          <w:p>
            <w:pPr>
              <w:spacing w:after="0"/>
              <w:rPr>
                <w:sz w:val="19"/>
                <w:szCs w:val="19"/>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72.20</w:t>
            </w:r>
          </w:p>
        </w:tc>
        <w:tc>
          <w:tcPr>
            <w:tcW w:w="100" w:type="dxa"/>
            <w:vAlign w:val="bottom"/>
          </w:tcPr>
          <w:p>
            <w:pPr>
              <w:spacing w:after="0"/>
              <w:rPr>
                <w:sz w:val="19"/>
                <w:szCs w:val="19"/>
                <w:color w:val="auto"/>
              </w:rPr>
            </w:pPr>
          </w:p>
        </w:tc>
      </w:tr>
      <w:tr>
        <w:trPr>
          <w:trHeight w:val="223"/>
        </w:trPr>
        <w:tc>
          <w:tcPr>
            <w:tcW w:w="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w w:val="89"/>
              </w:rPr>
              <w:t>$87.34</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$93.03</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164,458</w:t>
            </w:r>
          </w:p>
        </w:tc>
        <w:tc>
          <w:tcPr>
            <w:tcW w:w="120" w:type="dxa"/>
            <w:vAlign w:val="bottom"/>
          </w:tcPr>
          <w:p>
            <w:pPr>
              <w:spacing w:after="0"/>
              <w:rPr>
                <w:sz w:val="19"/>
                <w:szCs w:val="19"/>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9"/>
                <w:szCs w:val="19"/>
                <w:color w:val="auto"/>
              </w:rPr>
            </w:pPr>
          </w:p>
        </w:tc>
        <w:tc>
          <w:tcPr>
            <w:tcW w:w="4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91.36</w:t>
            </w:r>
          </w:p>
        </w:tc>
        <w:tc>
          <w:tcPr>
            <w:tcW w:w="120" w:type="dxa"/>
            <w:vAlign w:val="bottom"/>
          </w:tcPr>
          <w:p>
            <w:pPr>
              <w:spacing w:after="0"/>
              <w:rPr>
                <w:sz w:val="19"/>
                <w:szCs w:val="19"/>
                <w:color w:val="auto"/>
              </w:rPr>
            </w:pPr>
          </w:p>
        </w:tc>
        <w:tc>
          <w:tcPr>
            <w:tcW w:w="11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80,785</w:t>
            </w:r>
          </w:p>
        </w:tc>
        <w:tc>
          <w:tcPr>
            <w:tcW w:w="240" w:type="dxa"/>
            <w:vAlign w:val="bottom"/>
          </w:tcPr>
          <w:p>
            <w:pPr>
              <w:spacing w:after="0"/>
              <w:rPr>
                <w:sz w:val="19"/>
                <w:szCs w:val="19"/>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91.14</w:t>
            </w:r>
          </w:p>
        </w:tc>
        <w:tc>
          <w:tcPr>
            <w:tcW w:w="100" w:type="dxa"/>
            <w:vAlign w:val="bottom"/>
          </w:tcPr>
          <w:p>
            <w:pPr>
              <w:spacing w:after="0"/>
              <w:rPr>
                <w:sz w:val="19"/>
                <w:szCs w:val="19"/>
                <w:color w:val="auto"/>
              </w:rPr>
            </w:pPr>
          </w:p>
        </w:tc>
      </w:tr>
      <w:tr>
        <w:trPr>
          <w:trHeight w:val="257"/>
        </w:trPr>
        <w:tc>
          <w:tcPr>
            <w:tcW w:w="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w w:val="89"/>
              </w:rPr>
              <w:t>$99.37</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$139.25</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163,557</w:t>
            </w:r>
          </w:p>
        </w:tc>
        <w:tc>
          <w:tcPr>
            <w:tcW w:w="120" w:type="dxa"/>
            <w:vAlign w:val="bottom"/>
          </w:tcPr>
          <w:p>
            <w:pPr>
              <w:spacing w:after="0"/>
              <w:rPr>
                <w:sz w:val="22"/>
                <w:szCs w:val="22"/>
                <w:color w:val="auto"/>
              </w:rPr>
            </w:pPr>
          </w:p>
        </w:tc>
        <w:tc>
          <w:tcPr>
            <w:tcW w:w="114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2"/>
                <w:szCs w:val="22"/>
                <w:color w:val="auto"/>
              </w:rPr>
            </w:pPr>
          </w:p>
        </w:tc>
        <w:tc>
          <w:tcPr>
            <w:tcW w:w="400" w:type="dxa"/>
            <w:vAlign w:val="bottom"/>
            <w:tcBorders>
              <w:bottom w:val="single" w:sz="8" w:color="A6A6A6"/>
            </w:tcBorders>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106.16</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118,909</w:t>
            </w:r>
          </w:p>
        </w:tc>
        <w:tc>
          <w:tcPr>
            <w:tcW w:w="240" w:type="dxa"/>
            <w:vAlign w:val="bottom"/>
          </w:tcPr>
          <w:p>
            <w:pPr>
              <w:spacing w:after="0"/>
              <w:rPr>
                <w:sz w:val="22"/>
                <w:szCs w:val="22"/>
                <w:color w:val="auto"/>
              </w:rPr>
            </w:pP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tcPr>
          <w:p>
            <w:pPr>
              <w:spacing w:after="0"/>
              <w:rPr>
                <w:sz w:val="22"/>
                <w:szCs w:val="22"/>
                <w:color w:val="auto"/>
              </w:rPr>
            </w:pPr>
          </w:p>
        </w:tc>
      </w:tr>
      <w:tr>
        <w:trPr>
          <w:trHeight w:val="223"/>
        </w:trPr>
        <w:tc>
          <w:tcPr>
            <w:tcW w:w="4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532,370</w:t>
            </w:r>
          </w:p>
        </w:tc>
        <w:tc>
          <w:tcPr>
            <w:tcW w:w="1260" w:type="dxa"/>
            <w:vAlign w:val="bottom"/>
            <w:gridSpan w:val="3"/>
          </w:tcPr>
          <w:p>
            <w:pPr>
              <w:jc w:val="right"/>
              <w:spacing w:after="0"/>
              <w:rPr>
                <w:sz w:val="20"/>
                <w:szCs w:val="20"/>
                <w:color w:val="auto"/>
              </w:rPr>
            </w:pPr>
            <w:r>
              <w:rPr>
                <w:rFonts w:ascii="Arial" w:cs="Arial" w:eastAsia="Arial" w:hAnsi="Arial"/>
                <w:sz w:val="16"/>
                <w:szCs w:val="16"/>
                <w:b w:val="1"/>
                <w:bCs w:val="1"/>
                <w:color w:val="auto"/>
              </w:rPr>
              <w:t>6.88</w:t>
            </w:r>
          </w:p>
        </w:tc>
        <w:tc>
          <w:tcPr>
            <w:tcW w:w="120" w:type="dxa"/>
            <w:vAlign w:val="bottom"/>
          </w:tcPr>
          <w:p>
            <w:pPr>
              <w:spacing w:after="0"/>
              <w:rPr>
                <w:sz w:val="19"/>
                <w:szCs w:val="19"/>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84.89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273,827</w:t>
            </w:r>
          </w:p>
        </w:tc>
        <w:tc>
          <w:tcPr>
            <w:tcW w:w="700" w:type="dxa"/>
            <w:vAlign w:val="bottom"/>
            <w:gridSpan w:val="2"/>
          </w:tcPr>
          <w:p>
            <w:pPr>
              <w:jc w:val="right"/>
              <w:ind w:right="304"/>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90.07</w:t>
            </w:r>
          </w:p>
        </w:tc>
        <w:tc>
          <w:tcPr>
            <w:tcW w:w="100" w:type="dxa"/>
            <w:vAlign w:val="bottom"/>
          </w:tcPr>
          <w:p>
            <w:pPr>
              <w:spacing w:after="0"/>
              <w:rPr>
                <w:sz w:val="19"/>
                <w:szCs w:val="19"/>
                <w:color w:val="auto"/>
              </w:rPr>
            </w:pPr>
          </w:p>
        </w:tc>
      </w:tr>
      <w:tr>
        <w:trPr>
          <w:trHeight w:val="20"/>
        </w:trPr>
        <w:tc>
          <w:tcPr>
            <w:tcW w:w="480" w:type="dxa"/>
            <w:vAlign w:val="bottom"/>
            <w:tcBorders>
              <w:bottom w:val="single" w:sz="8" w:color="A6A6A6"/>
            </w:tcBorders>
          </w:tcPr>
          <w:p>
            <w:pPr>
              <w:spacing w:after="0" w:line="20" w:lineRule="exact"/>
              <w:rPr>
                <w:sz w:val="1"/>
                <w:szCs w:val="1"/>
                <w:color w:val="auto"/>
              </w:rPr>
            </w:pPr>
          </w:p>
        </w:tc>
        <w:tc>
          <w:tcPr>
            <w:tcW w:w="4600" w:type="dxa"/>
            <w:vAlign w:val="bottom"/>
            <w:tcBorders>
              <w:bottom w:val="single" w:sz="8" w:color="A6A6A6"/>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6A6A6"/>
            </w:tcBorders>
          </w:tcPr>
          <w:p>
            <w:pPr>
              <w:spacing w:after="0" w:line="20" w:lineRule="exact"/>
              <w:rPr>
                <w:sz w:val="1"/>
                <w:szCs w:val="1"/>
                <w:color w:val="auto"/>
              </w:rPr>
            </w:pPr>
          </w:p>
        </w:tc>
        <w:tc>
          <w:tcPr>
            <w:tcW w:w="5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At September 30, 2021, the aggregate intrinsic value for both of the outstanding and exercisable options was approximately $24.7 million and $11.3 million, respectively. The total intrinsic value of options exercised during the six months ended September 30, 2021 was approximately $10.7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In May 2021, the Compensation Committee approved the granting to certain officers and key employees an aggregate of 52,577 shares of performance-vesting restricted stock that will be earned if certain performance conditions are satisfied (the Fiscal 2022 Employee Restricted Stock Performance Award). The performance criteria for the Fiscal 2022 Employee Restricted Stock Performance Award are based upon the achievement of certain levels of return on equity (as defined in the award agreement), ranging from 10.0% to 20.0%, for the fiscal year ending March 31, 2022.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determination date, and the remaining restrictions lapsing on March 31, 2023 through 2025. The Compensation Committee also approved the granting of 43,816 shares of time-vesting restricted stock to the same officers and key employees, which vest ratably over four years (the Fiscal 2022 Employee Restricted Stock Time-Vesting Award). The Fiscal 2022 Employee Restricted Stock Performance Award and the Fiscal 2022 Employee Restricted Stock Time-Vesting Award were valued at the closing price of the stock on the grant date and are being expensed over a four-year period.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ind w:right="560"/>
        <w:spacing w:after="0" w:line="311" w:lineRule="auto"/>
        <w:rPr>
          <w:sz w:val="20"/>
          <w:szCs w:val="20"/>
          <w:color w:val="auto"/>
        </w:rPr>
      </w:pPr>
      <w:r>
        <w:rPr>
          <w:rFonts w:ascii="Arial" w:cs="Arial" w:eastAsia="Arial" w:hAnsi="Arial"/>
          <w:sz w:val="17"/>
          <w:szCs w:val="17"/>
          <w:color w:val="auto"/>
        </w:rPr>
        <w:t>In August 2021, we granted 15,720 shares of restricted stock to members of the Board of Directors (the Fiscal 2022 Board of Directors Restricted Stock Award). Restrictions on these shares will lapse six months after the grant date. The Fiscal 2022 Board of Directors Restricted Stock Award was valued at the closing price of the stock on the grant date and is being expensed over a six-month period.</w:t>
      </w:r>
    </w:p>
    <w:p>
      <w:pPr>
        <w:spacing w:after="0" w:line="77"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six months ended September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Arial" w:cs="Arial" w:eastAsia="Arial" w:hAnsi="Arial"/>
                <w:sz w:val="13"/>
                <w:szCs w:val="13"/>
                <w:b w:val="1"/>
                <w:bCs w:val="1"/>
                <w:color w:val="auto"/>
                <w:w w:val="87"/>
              </w:rPr>
              <w:t>Weighted-Average Grant</w:t>
            </w:r>
          </w:p>
        </w:tc>
      </w:tr>
      <w:tr>
        <w:trPr>
          <w:trHeight w:val="201"/>
        </w:trPr>
        <w:tc>
          <w:tcPr>
            <w:tcW w:w="76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300" w:type="dxa"/>
            <w:vAlign w:val="bottom"/>
          </w:tcPr>
          <w:p>
            <w:pPr>
              <w:spacing w:after="0"/>
              <w:rPr>
                <w:sz w:val="17"/>
                <w:szCs w:val="17"/>
                <w:color w:val="auto"/>
              </w:rPr>
            </w:pPr>
          </w:p>
        </w:tc>
        <w:tc>
          <w:tcPr>
            <w:tcW w:w="1500" w:type="dxa"/>
            <w:vAlign w:val="bottom"/>
          </w:tcPr>
          <w:p>
            <w:pPr>
              <w:jc w:val="right"/>
              <w:ind w:right="304"/>
              <w:spacing w:after="0"/>
              <w:rPr>
                <w:sz w:val="20"/>
                <w:szCs w:val="20"/>
                <w:color w:val="auto"/>
              </w:rPr>
            </w:pPr>
            <w:r>
              <w:rPr>
                <w:rFonts w:ascii="Arial" w:cs="Arial" w:eastAsia="Arial" w:hAnsi="Arial"/>
                <w:sz w:val="13"/>
                <w:szCs w:val="13"/>
                <w:b w:val="1"/>
                <w:bCs w:val="1"/>
                <w:color w:val="auto"/>
              </w:rPr>
              <w:t>Date Fair Value</w:t>
            </w:r>
          </w:p>
        </w:tc>
      </w:tr>
      <w:tr>
        <w:trPr>
          <w:trHeight w:val="250"/>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March 31, 2021</w:t>
            </w:r>
          </w:p>
        </w:tc>
        <w:tc>
          <w:tcPr>
            <w:tcW w:w="15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267,090</w:t>
            </w:r>
          </w:p>
        </w:tc>
        <w:tc>
          <w:tcPr>
            <w:tcW w:w="100" w:type="dxa"/>
            <w:vAlign w:val="bottom"/>
          </w:tcPr>
          <w:p>
            <w:pPr>
              <w:spacing w:after="0"/>
              <w:rPr>
                <w:sz w:val="21"/>
                <w:szCs w:val="21"/>
                <w:color w:val="auto"/>
              </w:rPr>
            </w:pPr>
          </w:p>
        </w:tc>
        <w:tc>
          <w:tcPr>
            <w:tcW w:w="3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62.56</w:t>
            </w:r>
          </w:p>
        </w:tc>
      </w:tr>
      <w:tr>
        <w:trPr>
          <w:trHeight w:val="250"/>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5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112,113</w:t>
            </w:r>
          </w:p>
        </w:tc>
        <w:tc>
          <w:tcPr>
            <w:tcW w:w="100" w:type="dxa"/>
            <w:vAlign w:val="bottom"/>
          </w:tcPr>
          <w:p>
            <w:pPr>
              <w:spacing w:after="0"/>
              <w:rPr>
                <w:sz w:val="21"/>
                <w:szCs w:val="21"/>
                <w:color w:val="auto"/>
              </w:rPr>
            </w:pPr>
          </w:p>
        </w:tc>
        <w:tc>
          <w:tcPr>
            <w:tcW w:w="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139.79</w:t>
            </w:r>
          </w:p>
        </w:tc>
      </w:tr>
      <w:tr>
        <w:trPr>
          <w:trHeight w:val="247"/>
        </w:trPr>
        <w:tc>
          <w:tcPr>
            <w:tcW w:w="7680" w:type="dxa"/>
            <w:vAlign w:val="bottom"/>
          </w:tcPr>
          <w:p>
            <w:pPr>
              <w:ind w:left="20"/>
              <w:spacing w:after="0"/>
              <w:rPr>
                <w:sz w:val="20"/>
                <w:szCs w:val="20"/>
                <w:color w:val="auto"/>
              </w:rPr>
            </w:pPr>
            <w:r>
              <w:rPr>
                <w:rFonts w:ascii="Arial" w:cs="Arial" w:eastAsia="Arial" w:hAnsi="Arial"/>
                <w:sz w:val="16"/>
                <w:szCs w:val="16"/>
                <w:color w:val="004483"/>
              </w:rPr>
              <w:t>Vested</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(23,685 )</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56.43</w:t>
            </w:r>
          </w:p>
        </w:tc>
      </w:tr>
      <w:tr>
        <w:trPr>
          <w:trHeight w:val="23"/>
        </w:trPr>
        <w:tc>
          <w:tcPr>
            <w:tcW w:w="7680" w:type="dxa"/>
            <w:vAlign w:val="bottom"/>
            <w:shd w:val="clear" w:color="auto" w:fill="A6A6A6"/>
          </w:tcPr>
          <w:p>
            <w:pPr>
              <w:spacing w:after="0"/>
              <w:rPr>
                <w:sz w:val="2"/>
                <w:szCs w:val="2"/>
                <w:color w:val="auto"/>
              </w:rPr>
            </w:pPr>
          </w:p>
        </w:tc>
        <w:tc>
          <w:tcPr>
            <w:tcW w:w="15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500" w:type="dxa"/>
            <w:vAlign w:val="bottom"/>
            <w:shd w:val="clear" w:color="auto" w:fill="A6A6A6"/>
          </w:tcPr>
          <w:p>
            <w:pPr>
              <w:spacing w:after="0"/>
              <w:rPr>
                <w:sz w:val="2"/>
                <w:szCs w:val="2"/>
                <w:color w:val="auto"/>
              </w:rPr>
            </w:pPr>
          </w:p>
        </w:tc>
      </w:tr>
      <w:tr>
        <w:trPr>
          <w:trHeight w:val="257"/>
        </w:trPr>
        <w:tc>
          <w:tcPr>
            <w:tcW w:w="7680" w:type="dxa"/>
            <w:vAlign w:val="bottom"/>
          </w:tcPr>
          <w:p>
            <w:pPr>
              <w:ind w:left="20"/>
              <w:spacing w:after="0"/>
              <w:rPr>
                <w:sz w:val="20"/>
                <w:szCs w:val="20"/>
                <w:color w:val="auto"/>
              </w:rPr>
            </w:pPr>
            <w:r>
              <w:rPr>
                <w:rFonts w:ascii="Arial" w:cs="Arial" w:eastAsia="Arial" w:hAnsi="Arial"/>
                <w:sz w:val="16"/>
                <w:szCs w:val="16"/>
                <w:color w:val="004483"/>
              </w:rPr>
              <w:t>Forfeited</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(5,218 )</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75.10</w:t>
            </w:r>
          </w:p>
        </w:tc>
      </w:tr>
      <w:tr>
        <w:trPr>
          <w:trHeight w:val="250"/>
        </w:trPr>
        <w:tc>
          <w:tcPr>
            <w:tcW w:w="768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September 30, 2021</w:t>
            </w:r>
          </w:p>
        </w:tc>
        <w:tc>
          <w:tcPr>
            <w:tcW w:w="15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350,300</w:t>
            </w:r>
          </w:p>
        </w:tc>
        <w:tc>
          <w:tcPr>
            <w:tcW w:w="100" w:type="dxa"/>
            <w:vAlign w:val="bottom"/>
          </w:tcPr>
          <w:p>
            <w:pPr>
              <w:spacing w:after="0"/>
              <w:rPr>
                <w:sz w:val="21"/>
                <w:szCs w:val="21"/>
                <w:color w:val="auto"/>
              </w:rPr>
            </w:pPr>
          </w:p>
        </w:tc>
        <w:tc>
          <w:tcPr>
            <w:tcW w:w="30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84.71</w:t>
            </w:r>
          </w:p>
        </w:tc>
      </w:tr>
      <w:tr>
        <w:trPr>
          <w:trHeight w:val="20"/>
        </w:trPr>
        <w:tc>
          <w:tcPr>
            <w:tcW w:w="7680" w:type="dxa"/>
            <w:vAlign w:val="bottom"/>
          </w:tcPr>
          <w:p>
            <w:pPr>
              <w:spacing w:after="0" w:line="20" w:lineRule="exact"/>
              <w:rPr>
                <w:sz w:val="1"/>
                <w:szCs w:val="1"/>
                <w:color w:val="auto"/>
              </w:rPr>
            </w:pPr>
          </w:p>
        </w:tc>
        <w:tc>
          <w:tcPr>
            <w:tcW w:w="15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6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Expense related to restricted shares was approximately $2.9 million and $4.7 million for the three and six months ended September 30, 2021, respectively, and $2.4 million and $5.4 million for the three and six months ended September 30, 2020, respectively. At September 30, 2021, there was approximately $23.8 million of unearned compensation from restricted stock, which will be recognized over a weighted-average period of 2.5 years.</w:t>
      </w:r>
    </w:p>
    <w:p>
      <w:pPr>
        <w:spacing w:after="0" w:line="9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3,378,618 at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2940" w:type="dxa"/>
            <w:vAlign w:val="bottom"/>
            <w:gridSpan w:val="5"/>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40" w:type="dxa"/>
            <w:vAlign w:val="bottom"/>
          </w:tcPr>
          <w:p>
            <w:pPr>
              <w:spacing w:after="0"/>
              <w:rPr>
                <w:sz w:val="16"/>
                <w:szCs w:val="16"/>
                <w:color w:val="auto"/>
              </w:rPr>
            </w:pPr>
          </w:p>
        </w:tc>
        <w:tc>
          <w:tcPr>
            <w:tcW w:w="2840" w:type="dxa"/>
            <w:vAlign w:val="bottom"/>
            <w:gridSpan w:val="5"/>
            <w:shd w:val="clear" w:color="auto" w:fill="004483"/>
          </w:tcPr>
          <w:p>
            <w:pPr>
              <w:jc w:val="right"/>
              <w:ind w:right="360"/>
              <w:spacing w:after="0"/>
              <w:rPr>
                <w:sz w:val="20"/>
                <w:szCs w:val="20"/>
                <w:color w:val="auto"/>
              </w:rPr>
            </w:pPr>
            <w:r>
              <w:rPr>
                <w:rFonts w:ascii="Arial" w:cs="Arial" w:eastAsia="Arial" w:hAnsi="Arial"/>
                <w:sz w:val="13"/>
                <w:szCs w:val="13"/>
                <w:b w:val="1"/>
                <w:bCs w:val="1"/>
                <w:color w:val="FFFFFF"/>
                <w:w w:val="97"/>
              </w:rPr>
              <w:t>For the Six Months Ended September 30,</w:t>
            </w:r>
          </w:p>
        </w:tc>
      </w:tr>
      <w:tr>
        <w:trPr>
          <w:trHeight w:val="210"/>
        </w:trPr>
        <w:tc>
          <w:tcPr>
            <w:tcW w:w="5320" w:type="dxa"/>
            <w:vAlign w:val="bottom"/>
            <w:tcBorders>
              <w:bottom w:val="single" w:sz="8" w:color="004483"/>
            </w:tcBorders>
          </w:tcPr>
          <w:p>
            <w:pPr>
              <w:spacing w:after="0"/>
              <w:rPr>
                <w:sz w:val="18"/>
                <w:szCs w:val="18"/>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8"/>
                <w:szCs w:val="18"/>
                <w:color w:val="auto"/>
              </w:rPr>
            </w:pPr>
          </w:p>
        </w:tc>
        <w:tc>
          <w:tcPr>
            <w:tcW w:w="140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8"/>
                <w:szCs w:val="18"/>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8"/>
                <w:szCs w:val="18"/>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8"/>
                <w:szCs w:val="18"/>
                <w:color w:val="auto"/>
              </w:rPr>
            </w:pPr>
          </w:p>
        </w:tc>
      </w:tr>
      <w:tr>
        <w:trPr>
          <w:trHeight w:val="223"/>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41,222,161</w:t>
            </w:r>
          </w:p>
        </w:tc>
        <w:tc>
          <w:tcPr>
            <w:tcW w:w="140" w:type="dxa"/>
            <w:vAlign w:val="bottom"/>
          </w:tcPr>
          <w:p>
            <w:pPr>
              <w:spacing w:after="0"/>
              <w:rPr>
                <w:sz w:val="19"/>
                <w:szCs w:val="19"/>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41,450,013</w:t>
            </w:r>
          </w:p>
        </w:tc>
        <w:tc>
          <w:tcPr>
            <w:tcW w:w="120" w:type="dxa"/>
            <w:vAlign w:val="bottom"/>
          </w:tcPr>
          <w:p>
            <w:pPr>
              <w:spacing w:after="0"/>
              <w:rPr>
                <w:sz w:val="19"/>
                <w:szCs w:val="19"/>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41,623,187</w:t>
            </w:r>
          </w:p>
        </w:tc>
        <w:tc>
          <w:tcPr>
            <w:tcW w:w="120" w:type="dxa"/>
            <w:vAlign w:val="bottom"/>
          </w:tcPr>
          <w:p>
            <w:pPr>
              <w:spacing w:after="0"/>
              <w:rPr>
                <w:sz w:val="19"/>
                <w:szCs w:val="19"/>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41,430,511</w:t>
            </w:r>
          </w:p>
        </w:tc>
        <w:tc>
          <w:tcPr>
            <w:tcW w:w="100" w:type="dxa"/>
            <w:vAlign w:val="bottom"/>
          </w:tcPr>
          <w:p>
            <w:pPr>
              <w:spacing w:after="0"/>
              <w:rPr>
                <w:sz w:val="19"/>
                <w:szCs w:val="19"/>
                <w:color w:val="auto"/>
              </w:rPr>
            </w:pPr>
          </w:p>
        </w:tc>
      </w:tr>
      <w:tr>
        <w:trPr>
          <w:trHeight w:val="223"/>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280" w:type="dxa"/>
            <w:vAlign w:val="bottom"/>
            <w:tcBorders>
              <w:bottom w:val="single" w:sz="8" w:color="A6A6A6"/>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4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Assumed Exercise of Outstanding Dilutive Options</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560,876</w:t>
            </w:r>
          </w:p>
        </w:tc>
        <w:tc>
          <w:tcPr>
            <w:tcW w:w="140" w:type="dxa"/>
            <w:vAlign w:val="bottom"/>
          </w:tcPr>
          <w:p>
            <w:pPr>
              <w:spacing w:after="0"/>
              <w:rPr>
                <w:sz w:val="19"/>
                <w:szCs w:val="19"/>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414,338</w:t>
            </w:r>
          </w:p>
        </w:tc>
        <w:tc>
          <w:tcPr>
            <w:tcW w:w="120" w:type="dxa"/>
            <w:vAlign w:val="bottom"/>
          </w:tcPr>
          <w:p>
            <w:pPr>
              <w:spacing w:after="0"/>
              <w:rPr>
                <w:sz w:val="19"/>
                <w:szCs w:val="19"/>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606,876</w:t>
            </w:r>
          </w:p>
        </w:tc>
        <w:tc>
          <w:tcPr>
            <w:tcW w:w="120" w:type="dxa"/>
            <w:vAlign w:val="bottom"/>
          </w:tcPr>
          <w:p>
            <w:pPr>
              <w:spacing w:after="0"/>
              <w:rPr>
                <w:sz w:val="19"/>
                <w:szCs w:val="19"/>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272,513</w:t>
            </w:r>
          </w:p>
        </w:tc>
        <w:tc>
          <w:tcPr>
            <w:tcW w:w="100" w:type="dxa"/>
            <w:vAlign w:val="bottom"/>
          </w:tcPr>
          <w:p>
            <w:pPr>
              <w:spacing w:after="0"/>
              <w:rPr>
                <w:sz w:val="19"/>
                <w:szCs w:val="19"/>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6"/>
                <w:szCs w:val="16"/>
                <w:color w:val="004483"/>
              </w:rPr>
              <w:t>Less Shares Repurchased from Proceeds of Assumed Exercised Options</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(365,887 )</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color w:val="auto"/>
              </w:rPr>
              <w:t>(320,410 )</w:t>
            </w:r>
          </w:p>
        </w:tc>
        <w:tc>
          <w:tcPr>
            <w:tcW w:w="1500" w:type="dxa"/>
            <w:vAlign w:val="bottom"/>
            <w:gridSpan w:val="3"/>
          </w:tcPr>
          <w:p>
            <w:pPr>
              <w:jc w:val="right"/>
              <w:ind w:right="40"/>
              <w:spacing w:after="0"/>
              <w:rPr>
                <w:sz w:val="20"/>
                <w:szCs w:val="20"/>
                <w:color w:val="auto"/>
              </w:rPr>
            </w:pPr>
            <w:r>
              <w:rPr>
                <w:rFonts w:ascii="Arial" w:cs="Arial" w:eastAsia="Arial" w:hAnsi="Arial"/>
                <w:sz w:val="16"/>
                <w:szCs w:val="16"/>
                <w:color w:val="auto"/>
              </w:rPr>
              <w:t>(395,516 )</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color w:val="auto"/>
              </w:rPr>
              <w:t>(191,050 )</w:t>
            </w:r>
          </w:p>
        </w:tc>
      </w:tr>
      <w:tr>
        <w:trPr>
          <w:trHeight w:val="257"/>
        </w:trPr>
        <w:tc>
          <w:tcPr>
            <w:tcW w:w="532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Restricted Stock Units</w:t>
            </w:r>
          </w:p>
        </w:tc>
        <w:tc>
          <w:tcPr>
            <w:tcW w:w="12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177,583</w:t>
            </w:r>
          </w:p>
        </w:tc>
        <w:tc>
          <w:tcPr>
            <w:tcW w:w="140" w:type="dxa"/>
            <w:vAlign w:val="bottom"/>
          </w:tcPr>
          <w:p>
            <w:pPr>
              <w:spacing w:after="0"/>
              <w:rPr>
                <w:sz w:val="22"/>
                <w:szCs w:val="22"/>
                <w:color w:val="auto"/>
              </w:rPr>
            </w:pPr>
          </w:p>
        </w:tc>
        <w:tc>
          <w:tcPr>
            <w:tcW w:w="140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color w:val="auto"/>
              </w:rPr>
              <w:t>105,378</w:t>
            </w:r>
          </w:p>
        </w:tc>
        <w:tc>
          <w:tcPr>
            <w:tcW w:w="120" w:type="dxa"/>
            <w:vAlign w:val="bottom"/>
          </w:tcPr>
          <w:p>
            <w:pPr>
              <w:spacing w:after="0"/>
              <w:rPr>
                <w:sz w:val="22"/>
                <w:szCs w:val="22"/>
                <w:color w:val="auto"/>
              </w:rPr>
            </w:pPr>
          </w:p>
        </w:tc>
        <w:tc>
          <w:tcPr>
            <w:tcW w:w="138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color w:val="auto"/>
              </w:rPr>
              <w:t>179,300</w:t>
            </w:r>
          </w:p>
        </w:tc>
        <w:tc>
          <w:tcPr>
            <w:tcW w:w="120" w:type="dxa"/>
            <w:vAlign w:val="bottom"/>
          </w:tcPr>
          <w:p>
            <w:pPr>
              <w:spacing w:after="0"/>
              <w:rPr>
                <w:sz w:val="22"/>
                <w:szCs w:val="22"/>
                <w:color w:val="auto"/>
              </w:rPr>
            </w:pPr>
          </w:p>
        </w:tc>
        <w:tc>
          <w:tcPr>
            <w:tcW w:w="138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color w:val="auto"/>
              </w:rPr>
              <w:t>94,427</w:t>
            </w:r>
          </w:p>
        </w:tc>
        <w:tc>
          <w:tcPr>
            <w:tcW w:w="100" w:type="dxa"/>
            <w:vAlign w:val="bottom"/>
          </w:tcPr>
          <w:p>
            <w:pPr>
              <w:spacing w:after="0"/>
              <w:rPr>
                <w:sz w:val="22"/>
                <w:szCs w:val="22"/>
                <w:color w:val="auto"/>
              </w:rPr>
            </w:pPr>
          </w:p>
        </w:tc>
      </w:tr>
      <w:tr>
        <w:trPr>
          <w:trHeight w:val="217"/>
        </w:trPr>
        <w:tc>
          <w:tcPr>
            <w:tcW w:w="53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w w:val="98"/>
              </w:rPr>
              <w:t>Weighted-Average Common Stock and Dilutive Securities Outstanding</w:t>
            </w: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41,594,733</w:t>
            </w:r>
          </w:p>
        </w:tc>
        <w:tc>
          <w:tcPr>
            <w:tcW w:w="14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41,649,319</w:t>
            </w:r>
          </w:p>
        </w:tc>
        <w:tc>
          <w:tcPr>
            <w:tcW w:w="12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42,013,847</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41,606,401</w:t>
            </w:r>
          </w:p>
        </w:tc>
        <w:tc>
          <w:tcPr>
            <w:tcW w:w="100" w:type="dxa"/>
            <w:vAlign w:val="bottom"/>
          </w:tcPr>
          <w:p>
            <w:pPr>
              <w:spacing w:after="0"/>
              <w:rPr>
                <w:sz w:val="18"/>
                <w:szCs w:val="18"/>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3,578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795,382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929,990</w:t>
            </w:r>
          </w:p>
        </w:tc>
        <w:tc>
          <w:tcPr>
            <w:tcW w:w="100" w:type="dxa"/>
            <w:vAlign w:val="bottom"/>
          </w:tcPr>
          <w:p>
            <w:pPr>
              <w:spacing w:after="0"/>
              <w:rPr>
                <w:sz w:val="18"/>
                <w:szCs w:val="18"/>
                <w:color w:val="auto"/>
              </w:rPr>
            </w:pPr>
          </w:p>
        </w:tc>
      </w:tr>
      <w:tr>
        <w:trPr>
          <w:trHeight w:val="20"/>
        </w:trPr>
        <w:tc>
          <w:tcPr>
            <w:tcW w:w="53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61" w:lineRule="exact"/>
        <w:rPr>
          <w:sz w:val="20"/>
          <w:szCs w:val="20"/>
          <w:color w:val="auto"/>
        </w:rPr>
      </w:pPr>
    </w:p>
    <w:p>
      <w:pPr>
        <w:ind w:right="360"/>
        <w:spacing w:after="0" w:line="284" w:lineRule="auto"/>
        <w:rPr>
          <w:sz w:val="20"/>
          <w:szCs w:val="20"/>
          <w:color w:val="auto"/>
        </w:rPr>
      </w:pPr>
      <w:r>
        <w:rPr>
          <w:rFonts w:ascii="Arial" w:cs="Arial" w:eastAsia="Arial" w:hAnsi="Arial"/>
          <w:sz w:val="18"/>
          <w:szCs w:val="18"/>
          <w:color w:val="auto"/>
        </w:rPr>
        <w:t>We sponsor several defined benefit pension plans and defined contribution plans, which together cover substantially all our employees. Benefits paid under the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pension plans are all fully funded, with plan assets exceeding the benefit obligation at March 31, 2021. Due to the frozen status, and the current funding, of the plans, our expected pension expense for fiscal 2022 is less than $0.1 million for the fiscal year.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 INCOME TAXES</w:t>
      </w:r>
    </w:p>
    <w:p>
      <w:pPr>
        <w:spacing w:after="0" w:line="14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six months ended September 30, 2021 was approximately 22%, which was consistent with the effective tax rate of 22% for the six months ended September 30, 2020. The effective tax rate was higher than the U.S. Statutory rate of 21% mainly due to state income taxes, partially offset by a benefit recognized related to percentage depletion.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2021 was as follows:</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440" w:type="dxa"/>
            <w:vAlign w:val="bottom"/>
            <w:shd w:val="clear" w:color="auto" w:fill="004483"/>
          </w:tcPr>
          <w:p>
            <w:pPr>
              <w:spacing w:after="0"/>
              <w:rPr>
                <w:sz w:val="15"/>
                <w:szCs w:val="15"/>
                <w:color w:val="auto"/>
              </w:rPr>
            </w:pPr>
          </w:p>
        </w:tc>
        <w:tc>
          <w:tcPr>
            <w:tcW w:w="12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September 30,</w:t>
            </w:r>
          </w:p>
        </w:tc>
        <w:tc>
          <w:tcPr>
            <w:tcW w:w="180" w:type="dxa"/>
            <w:vAlign w:val="bottom"/>
            <w:shd w:val="clear" w:color="auto" w:fill="004483"/>
          </w:tcPr>
          <w:p>
            <w:pPr>
              <w:spacing w:after="0"/>
              <w:rPr>
                <w:sz w:val="15"/>
                <w:szCs w:val="15"/>
                <w:color w:val="auto"/>
              </w:rPr>
            </w:pPr>
          </w:p>
        </w:tc>
        <w:tc>
          <w:tcPr>
            <w:tcW w:w="640" w:type="dxa"/>
            <w:vAlign w:val="bottom"/>
            <w:shd w:val="clear" w:color="auto" w:fill="004483"/>
          </w:tcPr>
          <w:p>
            <w:pPr>
              <w:spacing w:after="0"/>
              <w:rPr>
                <w:sz w:val="15"/>
                <w:szCs w:val="15"/>
                <w:color w:val="auto"/>
              </w:rPr>
            </w:pPr>
          </w:p>
        </w:tc>
        <w:tc>
          <w:tcPr>
            <w:tcW w:w="1040" w:type="dxa"/>
            <w:vAlign w:val="bottom"/>
            <w:gridSpan w:val="2"/>
            <w:shd w:val="clear" w:color="auto" w:fill="004483"/>
          </w:tcPr>
          <w:p>
            <w:pPr>
              <w:jc w:val="right"/>
              <w:ind w:right="14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r>
      <w:tr>
        <w:trPr>
          <w:trHeight w:val="225"/>
        </w:trPr>
        <w:tc>
          <w:tcPr>
            <w:tcW w:w="7460" w:type="dxa"/>
            <w:vAlign w:val="bottom"/>
            <w:tcBorders>
              <w:bottom w:val="single" w:sz="8" w:color="004483"/>
            </w:tcBorders>
          </w:tcPr>
          <w:p>
            <w:pPr>
              <w:spacing w:after="0"/>
              <w:rPr>
                <w:sz w:val="19"/>
                <w:szCs w:val="19"/>
                <w:color w:val="auto"/>
              </w:rPr>
            </w:pPr>
          </w:p>
        </w:tc>
        <w:tc>
          <w:tcPr>
            <w:tcW w:w="440" w:type="dxa"/>
            <w:vAlign w:val="bottom"/>
            <w:tcBorders>
              <w:bottom w:val="single" w:sz="8" w:color="004483"/>
            </w:tcBorders>
          </w:tcPr>
          <w:p>
            <w:pPr>
              <w:spacing w:after="0"/>
              <w:rPr>
                <w:sz w:val="19"/>
                <w:szCs w:val="19"/>
                <w:color w:val="auto"/>
              </w:rPr>
            </w:pPr>
          </w:p>
        </w:tc>
        <w:tc>
          <w:tcPr>
            <w:tcW w:w="2080" w:type="dxa"/>
            <w:vAlign w:val="bottom"/>
            <w:tcBorders>
              <w:bottom w:val="single" w:sz="8" w:color="004483"/>
            </w:tcBorders>
            <w:gridSpan w:val="4"/>
          </w:tcPr>
          <w:p>
            <w:pPr>
              <w:jc w:val="right"/>
              <w:ind w:right="184"/>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004483"/>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46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40" w:type="dxa"/>
            <w:vAlign w:val="bottom"/>
            <w:tcBorders>
              <w:bottom w:val="single" w:sz="8" w:color="A3A3A3"/>
            </w:tcBorders>
          </w:tcPr>
          <w:p>
            <w:pPr>
              <w:jc w:val="right"/>
              <w:ind w:right="28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9"/>
                <w:szCs w:val="19"/>
                <w:color w:val="auto"/>
              </w:rPr>
            </w:pPr>
          </w:p>
        </w:tc>
        <w:tc>
          <w:tcPr>
            <w:tcW w:w="820" w:type="dxa"/>
            <w:vAlign w:val="bottom"/>
            <w:tcBorders>
              <w:bottom w:val="single" w:sz="8" w:color="A3A3A3"/>
            </w:tcBorders>
            <w:gridSpan w:val="2"/>
          </w:tcPr>
          <w:p>
            <w:pPr>
              <w:jc w:val="right"/>
              <w:ind w:right="484"/>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23"/>
        </w:trPr>
        <w:tc>
          <w:tcPr>
            <w:tcW w:w="74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4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640" w:type="dxa"/>
            <w:vAlign w:val="bottom"/>
            <w:tcBorders>
              <w:bottom w:val="single" w:sz="8" w:color="A6A6A6"/>
            </w:tcBorders>
          </w:tcPr>
          <w:p>
            <w:pPr>
              <w:spacing w:after="0"/>
              <w:rPr>
                <w:sz w:val="19"/>
                <w:szCs w:val="19"/>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23"/>
        </w:trPr>
        <w:tc>
          <w:tcPr>
            <w:tcW w:w="7460" w:type="dxa"/>
            <w:vAlign w:val="bottom"/>
            <w:tcBorders>
              <w:bottom w:val="single" w:sz="8" w:color="A3A3A3"/>
            </w:tcBorders>
          </w:tcPr>
          <w:p>
            <w:pPr>
              <w:ind w:left="20"/>
              <w:spacing w:after="0"/>
              <w:rPr>
                <w:sz w:val="20"/>
                <w:szCs w:val="20"/>
                <w:color w:val="auto"/>
              </w:rPr>
            </w:pPr>
            <w:r>
              <w:rPr>
                <w:rFonts w:ascii="Arial" w:cs="Arial" w:eastAsia="Arial" w:hAnsi="Arial"/>
                <w:sz w:val="16"/>
                <w:szCs w:val="16"/>
                <w:color w:val="004483"/>
              </w:rPr>
              <w:t>4.500% Senior Unsecured Notes Due 2026</w:t>
            </w:r>
          </w:p>
        </w:tc>
        <w:tc>
          <w:tcPr>
            <w:tcW w:w="440" w:type="dxa"/>
            <w:vAlign w:val="bottom"/>
            <w:tcBorders>
              <w:bottom w:val="single" w:sz="8" w:color="A3A3A3"/>
            </w:tcBorders>
          </w:tcPr>
          <w:p>
            <w:pPr>
              <w:spacing w:after="0"/>
              <w:rPr>
                <w:sz w:val="19"/>
                <w:szCs w:val="19"/>
                <w:color w:val="auto"/>
              </w:rPr>
            </w:pPr>
          </w:p>
        </w:tc>
        <w:tc>
          <w:tcPr>
            <w:tcW w:w="11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Borders>
              <w:bottom w:val="single" w:sz="8" w:color="A3A3A3"/>
            </w:tcBorders>
          </w:tcPr>
          <w:p>
            <w:pPr>
              <w:spacing w:after="0"/>
              <w:rPr>
                <w:sz w:val="19"/>
                <w:szCs w:val="19"/>
                <w:color w:val="auto"/>
              </w:rPr>
            </w:pPr>
          </w:p>
        </w:tc>
        <w:tc>
          <w:tcPr>
            <w:tcW w:w="640" w:type="dxa"/>
            <w:vAlign w:val="bottom"/>
            <w:tcBorders>
              <w:bottom w:val="single" w:sz="8" w:color="A3A3A3"/>
            </w:tcBorders>
          </w:tcPr>
          <w:p>
            <w:pPr>
              <w:spacing w:after="0"/>
              <w:rPr>
                <w:sz w:val="19"/>
                <w:szCs w:val="19"/>
                <w:color w:val="auto"/>
              </w:rPr>
            </w:pPr>
          </w:p>
        </w:tc>
        <w:tc>
          <w:tcPr>
            <w:tcW w:w="92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19"/>
                <w:szCs w:val="19"/>
                <w:color w:val="auto"/>
              </w:rPr>
            </w:pPr>
          </w:p>
        </w:tc>
      </w:tr>
      <w:tr>
        <w:trPr>
          <w:trHeight w:val="257"/>
        </w:trPr>
        <w:tc>
          <w:tcPr>
            <w:tcW w:w="7460" w:type="dxa"/>
            <w:vAlign w:val="bottom"/>
          </w:tcPr>
          <w:p>
            <w:pPr>
              <w:ind w:left="20"/>
              <w:spacing w:after="0"/>
              <w:rPr>
                <w:sz w:val="20"/>
                <w:szCs w:val="20"/>
                <w:color w:val="auto"/>
              </w:rPr>
            </w:pPr>
            <w:r>
              <w:rPr>
                <w:rFonts w:ascii="Arial" w:cs="Arial" w:eastAsia="Arial" w:hAnsi="Arial"/>
                <w:sz w:val="16"/>
                <w:szCs w:val="16"/>
                <w:color w:val="004483"/>
              </w:rPr>
              <w:t>Term Loan</w:t>
            </w:r>
          </w:p>
        </w:tc>
        <w:tc>
          <w:tcPr>
            <w:tcW w:w="44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665,000</w:t>
            </w:r>
          </w:p>
        </w:tc>
        <w:tc>
          <w:tcPr>
            <w:tcW w:w="120" w:type="dxa"/>
            <w:vAlign w:val="bottom"/>
          </w:tcPr>
          <w:p>
            <w:pPr>
              <w:spacing w:after="0"/>
              <w:rPr>
                <w:sz w:val="22"/>
                <w:szCs w:val="22"/>
                <w:color w:val="auto"/>
              </w:rPr>
            </w:pPr>
          </w:p>
        </w:tc>
      </w:tr>
      <w:tr>
        <w:trPr>
          <w:trHeight w:val="216"/>
        </w:trPr>
        <w:tc>
          <w:tcPr>
            <w:tcW w:w="74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40" w:type="dxa"/>
            <w:vAlign w:val="bottom"/>
            <w:tcBorders>
              <w:top w:val="single" w:sz="8" w:color="004483"/>
              <w:bottom w:val="single" w:sz="8" w:color="A6A6A6"/>
            </w:tcBorders>
          </w:tcPr>
          <w:p>
            <w:pPr>
              <w:spacing w:after="0"/>
              <w:rPr>
                <w:sz w:val="18"/>
                <w:szCs w:val="18"/>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825,000</w:t>
            </w:r>
          </w:p>
        </w:tc>
        <w:tc>
          <w:tcPr>
            <w:tcW w:w="100" w:type="dxa"/>
            <w:vAlign w:val="bottom"/>
          </w:tcPr>
          <w:p>
            <w:pPr>
              <w:spacing w:after="0"/>
              <w:rPr>
                <w:sz w:val="18"/>
                <w:szCs w:val="18"/>
                <w:color w:val="auto"/>
              </w:rPr>
            </w:pPr>
          </w:p>
        </w:tc>
        <w:tc>
          <w:tcPr>
            <w:tcW w:w="180" w:type="dxa"/>
            <w:vAlign w:val="bottom"/>
            <w:tcBorders>
              <w:top w:val="single" w:sz="8" w:color="A6A6A6"/>
              <w:bottom w:val="single" w:sz="8" w:color="A6A6A6"/>
            </w:tcBorders>
          </w:tcPr>
          <w:p>
            <w:pPr>
              <w:spacing w:after="0"/>
              <w:rPr>
                <w:sz w:val="18"/>
                <w:szCs w:val="18"/>
                <w:color w:val="auto"/>
              </w:rPr>
            </w:pPr>
          </w:p>
        </w:tc>
        <w:tc>
          <w:tcPr>
            <w:tcW w:w="640" w:type="dxa"/>
            <w:vAlign w:val="bottom"/>
            <w:tcBorders>
              <w:top w:val="single" w:sz="8" w:color="004483"/>
              <w:bottom w:val="single" w:sz="8" w:color="A6A6A6"/>
            </w:tcBorders>
          </w:tcPr>
          <w:p>
            <w:pPr>
              <w:spacing w:after="0"/>
              <w:rPr>
                <w:sz w:val="18"/>
                <w:szCs w:val="18"/>
                <w:color w:val="auto"/>
              </w:rPr>
            </w:pPr>
          </w:p>
        </w:tc>
        <w:tc>
          <w:tcPr>
            <w:tcW w:w="9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1,015,000</w:t>
            </w:r>
          </w:p>
        </w:tc>
        <w:tc>
          <w:tcPr>
            <w:tcW w:w="120" w:type="dxa"/>
            <w:vAlign w:val="bottom"/>
          </w:tcPr>
          <w:p>
            <w:pPr>
              <w:spacing w:after="0"/>
              <w:rPr>
                <w:sz w:val="18"/>
                <w:szCs w:val="18"/>
                <w:color w:val="auto"/>
              </w:rPr>
            </w:pPr>
          </w:p>
        </w:tc>
      </w:tr>
      <w:tr>
        <w:trPr>
          <w:trHeight w:val="257"/>
        </w:trPr>
        <w:tc>
          <w:tcPr>
            <w:tcW w:w="7460" w:type="dxa"/>
            <w:vAlign w:val="bottom"/>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4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(12,368 )</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(6,384 )</w:t>
            </w:r>
          </w:p>
        </w:tc>
      </w:tr>
      <w:tr>
        <w:trPr>
          <w:trHeight w:val="217"/>
        </w:trPr>
        <w:tc>
          <w:tcPr>
            <w:tcW w:w="746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Long-term Debt</w:t>
            </w:r>
          </w:p>
        </w:tc>
        <w:tc>
          <w:tcPr>
            <w:tcW w:w="440" w:type="dxa"/>
            <w:vAlign w:val="bottom"/>
            <w:tcBorders>
              <w:top w:val="single" w:sz="8" w:color="004483"/>
              <w:bottom w:val="single" w:sz="8" w:color="004483"/>
            </w:tcBorders>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812,632</w:t>
            </w:r>
          </w:p>
        </w:tc>
        <w:tc>
          <w:tcPr>
            <w:tcW w:w="100" w:type="dxa"/>
            <w:vAlign w:val="bottom"/>
          </w:tcPr>
          <w:p>
            <w:pPr>
              <w:spacing w:after="0"/>
              <w:rPr>
                <w:sz w:val="18"/>
                <w:szCs w:val="18"/>
                <w:color w:val="auto"/>
              </w:rPr>
            </w:pPr>
          </w:p>
        </w:tc>
        <w:tc>
          <w:tcPr>
            <w:tcW w:w="180" w:type="dxa"/>
            <w:vAlign w:val="bottom"/>
            <w:tcBorders>
              <w:top w:val="single" w:sz="8" w:color="A6A6A6"/>
            </w:tcBorders>
          </w:tcPr>
          <w:p>
            <w:pPr>
              <w:spacing w:after="0"/>
              <w:rPr>
                <w:sz w:val="18"/>
                <w:szCs w:val="18"/>
                <w:color w:val="auto"/>
              </w:rPr>
            </w:pPr>
          </w:p>
        </w:tc>
        <w:tc>
          <w:tcPr>
            <w:tcW w:w="640" w:type="dxa"/>
            <w:vAlign w:val="bottom"/>
            <w:tcBorders>
              <w:top w:val="single" w:sz="8" w:color="004483"/>
              <w:bottom w:val="single" w:sz="8" w:color="004483"/>
            </w:tcBorders>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1,008,616</w:t>
            </w:r>
          </w:p>
        </w:tc>
        <w:tc>
          <w:tcPr>
            <w:tcW w:w="12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9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On July 1, 2021, we terminated our previous revolving credit facility and entered into an unsecured $750.0 million revolving credit facility (the Revolving Credit Facility), which terminates on July 1, 2026. The Revolving Credit Facility also provides the Company the option to increase the borrowing capacity by up to $375.0 million (for a total borrowing capacity of $1,125 million), provided that the existing lenders, or new lenders, agree to such increase. The Revolving Credit Facility includes a $40.0 million letter of credit facility and a swingline loan sub-facility of $25.0 million.</w:t>
      </w:r>
    </w:p>
    <w:p>
      <w:pPr>
        <w:spacing w:after="0" w:line="98"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9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At the Company’s option, principal amounts outstanding under the Revolving Credit Facility bear interest at a variable rate equal to either (i) the Adjusted LIBO Rate (as defined in the Revolving Credit Facility) plus an agreed spread (ranging from 100 to 162.5 basis points, which is established based on the Company's credit rating); or (ii)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LIBO Rate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6" w:name="page17"/>
    <w:bookmarkEnd w:id="16"/>
    <w:p>
      <w:pPr>
        <w:spacing w:after="0" w:line="284"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9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There was $75.0 million of outstanding borrowings under the Revolving Credit Facility, plus $5.0 million outstanding letters of credit as of September 30, 2021, leaving us with $670.0 million of available borrowings under the Revolving Credit Facility, net of the outstanding letters of credit. We were in compliance with all Financial Covenants on September 30, 2021; therefore, all $670.0 million is available for future borrowings.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of Debt</w:t>
      </w:r>
    </w:p>
    <w:p>
      <w:pPr>
        <w:spacing w:after="0" w:line="166"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Facility). The Term Loan Facility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 SEGMENT INFORMATION</w:t>
      </w:r>
    </w:p>
    <w:p>
      <w:pPr>
        <w:spacing w:after="0" w:line="161"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 On September 18, 2020, we sold our Oil and Gas Proppants business, which had been reported as an operating segment. The Oil and Gas Proppants business was determined to meet the discontinued operations accounting criteria; therefore, this segment is no longer separately reported in our reportable segment footnote for any of the periods presented. Certain expenses of the Oil and Gas Proppants business that related to assets not included in the sale, namely real property and equipment in south Texas, real property in Illinois, and certain other assets, are included in Other when reconciling segment operating earnings to consolidated operating earnings. See Footnote (C) for more information about the sale of the Oil and Gas Proppants business.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across many United States markets,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9"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29 cement distribution terminals. Our cement companies focus on the U.S. heartland and operate as an integrated network selling product primarily in California, Colorado, Illinois, Indiana, Iowa, Kentucky, Missouri, Nebraska, Nevada, Ohio, Oklahoma, and Texas. We operate 26 readymix concrete batch plants and three aggregates processing plants in markets that are complementary to our cement network. On April 17, 2020, we sold our Concrete and Aggregates companies in northern California. See Footnote (C) for more information about the sale.</w:t>
      </w:r>
    </w:p>
    <w:p>
      <w:pPr>
        <w:spacing w:after="0" w:line="96"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8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ind w:right="260"/>
        <w:spacing w:after="0" w:line="293"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Borders>
              <w:right w:val="single" w:sz="8" w:color="004483"/>
            </w:tcBorders>
          </w:tcPr>
          <w:p>
            <w:pPr>
              <w:spacing w:after="0"/>
              <w:rPr>
                <w:sz w:val="16"/>
                <w:szCs w:val="16"/>
                <w:color w:val="auto"/>
              </w:rPr>
            </w:pPr>
          </w:p>
        </w:tc>
        <w:tc>
          <w:tcPr>
            <w:tcW w:w="160" w:type="dxa"/>
            <w:vAlign w:val="bottom"/>
            <w:shd w:val="clear" w:color="auto" w:fill="004483"/>
          </w:tcPr>
          <w:p>
            <w:pPr>
              <w:spacing w:after="0"/>
              <w:rPr>
                <w:sz w:val="16"/>
                <w:szCs w:val="16"/>
                <w:color w:val="auto"/>
              </w:rPr>
            </w:pPr>
          </w:p>
        </w:tc>
        <w:tc>
          <w:tcPr>
            <w:tcW w:w="2800" w:type="dxa"/>
            <w:vAlign w:val="bottom"/>
            <w:gridSpan w:val="7"/>
            <w:shd w:val="clear" w:color="auto" w:fill="004483"/>
          </w:tcPr>
          <w:p>
            <w:pPr>
              <w:jc w:val="right"/>
              <w:ind w:right="36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40" w:type="dxa"/>
            <w:vAlign w:val="bottom"/>
          </w:tcPr>
          <w:p>
            <w:pPr>
              <w:spacing w:after="0"/>
              <w:rPr>
                <w:sz w:val="16"/>
                <w:szCs w:val="16"/>
                <w:color w:val="auto"/>
              </w:rPr>
            </w:pPr>
          </w:p>
        </w:tc>
        <w:tc>
          <w:tcPr>
            <w:tcW w:w="180" w:type="dxa"/>
            <w:vAlign w:val="bottom"/>
            <w:shd w:val="clear" w:color="auto" w:fill="004483"/>
          </w:tcPr>
          <w:p>
            <w:pPr>
              <w:spacing w:after="0"/>
              <w:rPr>
                <w:sz w:val="16"/>
                <w:szCs w:val="16"/>
                <w:color w:val="auto"/>
              </w:rPr>
            </w:pPr>
          </w:p>
        </w:tc>
        <w:tc>
          <w:tcPr>
            <w:tcW w:w="274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1"/>
              </w:rPr>
              <w:t>For the Six Months Ended September 30,</w:t>
            </w:r>
          </w:p>
        </w:tc>
      </w:t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5"/>
        </w:trPr>
        <w:tc>
          <w:tcPr>
            <w:tcW w:w="522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40" w:type="dxa"/>
            <w:vAlign w:val="bottom"/>
            <w:tcBorders>
              <w:bottom w:val="single" w:sz="8" w:color="004483"/>
            </w:tcBorders>
          </w:tcPr>
          <w:p>
            <w:pPr>
              <w:spacing w:after="0"/>
              <w:rPr>
                <w:sz w:val="19"/>
                <w:szCs w:val="19"/>
                <w:color w:val="auto"/>
              </w:rPr>
            </w:pPr>
          </w:p>
        </w:tc>
        <w:tc>
          <w:tcPr>
            <w:tcW w:w="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440" w:type="dxa"/>
            <w:vAlign w:val="bottom"/>
            <w:tcBorders>
              <w:bottom w:val="single" w:sz="8" w:color="004483"/>
            </w:tcBorders>
          </w:tcPr>
          <w:p>
            <w:pPr>
              <w:spacing w:after="0"/>
              <w:rPr>
                <w:sz w:val="19"/>
                <w:szCs w:val="19"/>
                <w:color w:val="auto"/>
              </w:rPr>
            </w:pPr>
          </w:p>
        </w:tc>
        <w:tc>
          <w:tcPr>
            <w:tcW w:w="2500" w:type="dxa"/>
            <w:vAlign w:val="bottom"/>
            <w:tcBorders>
              <w:bottom w:val="single" w:sz="8" w:color="004483"/>
            </w:tcBorders>
            <w:gridSpan w:val="6"/>
          </w:tcPr>
          <w:p>
            <w:pPr>
              <w:jc w:val="right"/>
              <w:ind w:right="10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9"/>
                <w:szCs w:val="19"/>
                <w:color w:val="auto"/>
              </w:rPr>
            </w:pPr>
          </w:p>
        </w:tc>
        <w:tc>
          <w:tcPr>
            <w:tcW w:w="42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4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Borders>
              <w:bottom w:val="single" w:sz="8" w:color="A6A6A6"/>
            </w:tcBorders>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288,324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6A6A6"/>
            </w:tcBorders>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278,062</w:t>
            </w:r>
          </w:p>
        </w:tc>
        <w:tc>
          <w:tcPr>
            <w:tcW w:w="10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558,579</w:t>
            </w:r>
          </w:p>
        </w:tc>
        <w:tc>
          <w:tcPr>
            <w:tcW w:w="120" w:type="dxa"/>
            <w:vAlign w:val="bottom"/>
          </w:tcPr>
          <w:p>
            <w:pPr>
              <w:spacing w:after="0"/>
              <w:rPr>
                <w:sz w:val="19"/>
                <w:szCs w:val="19"/>
                <w:color w:val="auto"/>
              </w:rPr>
            </w:pPr>
          </w:p>
        </w:tc>
        <w:tc>
          <w:tcPr>
            <w:tcW w:w="54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539,473</w:t>
            </w: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52,750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4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97,504</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90,490</w:t>
            </w: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172,985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4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131,210</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339,252</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261,360</w:t>
            </w:r>
          </w:p>
        </w:tc>
        <w:tc>
          <w:tcPr>
            <w:tcW w:w="100" w:type="dxa"/>
            <w:vAlign w:val="bottom"/>
          </w:tcPr>
          <w:p>
            <w:pPr>
              <w:spacing w:after="0"/>
              <w:rPr>
                <w:sz w:val="19"/>
                <w:szCs w:val="19"/>
                <w:color w:val="auto"/>
              </w:rPr>
            </w:pPr>
          </w:p>
        </w:tc>
      </w:tr>
      <w:tr>
        <w:trPr>
          <w:trHeight w:val="257"/>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bottom w:val="single" w:sz="8" w:color="004483"/>
            </w:tcBorders>
          </w:tcPr>
          <w:p>
            <w:pPr>
              <w:spacing w:after="0"/>
              <w:rPr>
                <w:sz w:val="22"/>
                <w:szCs w:val="22"/>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47,798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440" w:type="dxa"/>
            <w:vAlign w:val="bottom"/>
            <w:tcBorders>
              <w:bottom w:val="single" w:sz="8" w:color="004483"/>
            </w:tcBorders>
          </w:tcPr>
          <w:p>
            <w:pPr>
              <w:spacing w:after="0"/>
              <w:rPr>
                <w:sz w:val="22"/>
                <w:szCs w:val="22"/>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46,071</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18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91,065</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420" w:type="dxa"/>
            <w:vAlign w:val="bottom"/>
            <w:tcBorders>
              <w:bottom w:val="single" w:sz="8" w:color="004483"/>
            </w:tcBorders>
          </w:tcPr>
          <w:p>
            <w:pPr>
              <w:spacing w:after="0"/>
              <w:rPr>
                <w:sz w:val="22"/>
                <w:szCs w:val="22"/>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82,815</w:t>
            </w:r>
          </w:p>
        </w:tc>
        <w:tc>
          <w:tcPr>
            <w:tcW w:w="100" w:type="dxa"/>
            <w:vAlign w:val="bottom"/>
          </w:tcPr>
          <w:p>
            <w:pPr>
              <w:spacing w:after="0"/>
              <w:rPr>
                <w:sz w:val="22"/>
                <w:szCs w:val="22"/>
                <w:color w:val="auto"/>
              </w:rPr>
            </w:pPr>
          </w:p>
        </w:tc>
      </w:tr>
      <w:tr>
        <w:trPr>
          <w:trHeight w:val="217"/>
        </w:trPr>
        <w:tc>
          <w:tcPr>
            <w:tcW w:w="5220" w:type="dxa"/>
            <w:vAlign w:val="bottom"/>
            <w:tcBorders>
              <w:bottom w:val="single" w:sz="8" w:color="A6A6A6"/>
            </w:tcBorders>
          </w:tcPr>
          <w:p>
            <w:pPr>
              <w:spacing w:after="0"/>
              <w:rPr>
                <w:sz w:val="18"/>
                <w:szCs w:val="18"/>
                <w:color w:val="auto"/>
              </w:rPr>
            </w:pP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561,857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501,643</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1,086,400</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974,138</w:t>
            </w:r>
          </w:p>
        </w:tc>
        <w:tc>
          <w:tcPr>
            <w:tcW w:w="100" w:type="dxa"/>
            <w:vAlign w:val="bottom"/>
          </w:tcPr>
          <w:p>
            <w:pPr>
              <w:spacing w:after="0"/>
              <w:rPr>
                <w:sz w:val="18"/>
                <w:szCs w:val="18"/>
                <w:color w:val="auto"/>
              </w:rPr>
            </w:pPr>
          </w:p>
        </w:tc>
      </w:tr>
      <w:tr>
        <w:trPr>
          <w:trHeight w:val="220"/>
        </w:trPr>
        <w:tc>
          <w:tcPr>
            <w:tcW w:w="5220" w:type="dxa"/>
            <w:vAlign w:val="bottom"/>
          </w:tcPr>
          <w:p>
            <w:pPr>
              <w:ind w:left="200"/>
              <w:spacing w:after="0"/>
              <w:rPr>
                <w:sz w:val="20"/>
                <w:szCs w:val="20"/>
                <w:color w:val="auto"/>
              </w:rPr>
            </w:pPr>
            <w:r>
              <w:rPr>
                <w:rFonts w:ascii="Arial" w:cs="Arial" w:eastAsia="Arial" w:hAnsi="Arial"/>
                <w:sz w:val="16"/>
                <w:szCs w:val="16"/>
                <w:color w:val="004483"/>
              </w:rPr>
              <w:t>Less: Intersegment Revenue</w:t>
            </w:r>
          </w:p>
        </w:tc>
        <w:tc>
          <w:tcPr>
            <w:tcW w:w="16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(25,237 )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(26,766 )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(51,319 )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(46,972 )</w:t>
            </w:r>
          </w:p>
        </w:tc>
      </w:tr>
      <w:tr>
        <w:trPr>
          <w:trHeight w:val="23"/>
        </w:trPr>
        <w:tc>
          <w:tcPr>
            <w:tcW w:w="5220" w:type="dxa"/>
            <w:vAlign w:val="bottom"/>
            <w:tcBorders>
              <w:right w:val="single" w:sz="8" w:color="A6A6A6"/>
            </w:tcBorders>
            <w:shd w:val="clear" w:color="auto" w:fill="A6A6A6"/>
          </w:tcPr>
          <w:p>
            <w:pPr>
              <w:spacing w:after="0"/>
              <w:rPr>
                <w:sz w:val="2"/>
                <w:szCs w:val="2"/>
                <w:color w:val="auto"/>
              </w:rPr>
            </w:pPr>
          </w:p>
        </w:tc>
        <w:tc>
          <w:tcPr>
            <w:tcW w:w="160" w:type="dxa"/>
            <w:vAlign w:val="bottom"/>
            <w:shd w:val="clear" w:color="auto" w:fill="A6A6A6"/>
          </w:tcPr>
          <w:p>
            <w:pPr>
              <w:spacing w:after="0"/>
              <w:rPr>
                <w:sz w:val="2"/>
                <w:szCs w:val="2"/>
                <w:color w:val="auto"/>
              </w:rPr>
            </w:pPr>
          </w:p>
        </w:tc>
        <w:tc>
          <w:tcPr>
            <w:tcW w:w="1140" w:type="dxa"/>
            <w:vAlign w:val="bottom"/>
            <w:shd w:val="clear" w:color="auto" w:fill="A6A6A6"/>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6A6A6"/>
            </w:tcBorders>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440" w:type="dxa"/>
            <w:vAlign w:val="bottom"/>
            <w:shd w:val="clear" w:color="auto" w:fill="A6A6A6"/>
          </w:tcPr>
          <w:p>
            <w:pPr>
              <w:spacing w:after="0"/>
              <w:rPr>
                <w:sz w:val="2"/>
                <w:szCs w:val="2"/>
                <w:color w:val="auto"/>
              </w:rPr>
            </w:pPr>
          </w:p>
        </w:tc>
        <w:tc>
          <w:tcPr>
            <w:tcW w:w="8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10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420" w:type="dxa"/>
            <w:vAlign w:val="bottom"/>
            <w:shd w:val="clear" w:color="auto" w:fill="A6A6A6"/>
          </w:tcPr>
          <w:p>
            <w:pPr>
              <w:spacing w:after="0"/>
              <w:rPr>
                <w:sz w:val="2"/>
                <w:szCs w:val="2"/>
                <w:color w:val="auto"/>
              </w:rPr>
            </w:pPr>
          </w:p>
        </w:tc>
        <w:tc>
          <w:tcPr>
            <w:tcW w:w="8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5220" w:type="dxa"/>
            <w:vAlign w:val="bottom"/>
          </w:tcPr>
          <w:p>
            <w:pPr>
              <w:ind w:left="200"/>
              <w:spacing w:after="0"/>
              <w:rPr>
                <w:sz w:val="20"/>
                <w:szCs w:val="20"/>
                <w:color w:val="auto"/>
              </w:rPr>
            </w:pPr>
            <w:r>
              <w:rPr>
                <w:rFonts w:ascii="Arial" w:cs="Arial" w:eastAsia="Arial" w:hAnsi="Arial"/>
                <w:sz w:val="16"/>
                <w:szCs w:val="16"/>
                <w:color w:val="004483"/>
              </w:rPr>
              <w:t>Less: Joint Venture Revenue</w:t>
            </w:r>
          </w:p>
        </w:tc>
        <w:tc>
          <w:tcPr>
            <w:tcW w:w="160" w:type="dxa"/>
            <w:vAlign w:val="bottom"/>
          </w:tcPr>
          <w:p>
            <w:pPr>
              <w:spacing w:after="0"/>
              <w:rPr>
                <w:sz w:val="22"/>
                <w:szCs w:val="22"/>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6"/>
                <w:szCs w:val="16"/>
                <w:color w:val="auto"/>
              </w:rPr>
              <w:t>(26,926 )</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(27,193 )</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(49,617 )</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(52,493 )</w:t>
            </w:r>
          </w:p>
        </w:tc>
      </w:tr>
      <w:tr>
        <w:trPr>
          <w:trHeight w:val="217"/>
        </w:trPr>
        <w:tc>
          <w:tcPr>
            <w:tcW w:w="5220" w:type="dxa"/>
            <w:vAlign w:val="bottom"/>
            <w:tcBorders>
              <w:top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509,694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40" w:type="dxa"/>
            <w:vAlign w:val="bottom"/>
            <w:tcBorders>
              <w:top w:val="single" w:sz="8" w:color="004483"/>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447,684</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80" w:type="dxa"/>
            <w:vAlign w:val="bottom"/>
            <w:tcBorders>
              <w:top w:val="single" w:sz="8" w:color="004483"/>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985,464</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420" w:type="dxa"/>
            <w:vAlign w:val="bottom"/>
            <w:tcBorders>
              <w:top w:val="single" w:sz="8" w:color="004483"/>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874,673</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gridSpan w:val="4"/>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40" w:type="dxa"/>
            <w:vAlign w:val="bottom"/>
            <w:gridSpan w:val="6"/>
          </w:tcPr>
          <w:p>
            <w:pPr>
              <w:spacing w:after="0"/>
              <w:rPr>
                <w:sz w:val="22"/>
                <w:szCs w:val="22"/>
                <w:color w:val="auto"/>
              </w:rPr>
            </w:pPr>
          </w:p>
        </w:tc>
      </w:tr>
      <w:tr>
        <w:trPr>
          <w:trHeight w:val="189"/>
        </w:trPr>
        <w:tc>
          <w:tcPr>
            <w:tcW w:w="5220" w:type="dxa"/>
            <w:vAlign w:val="bottom"/>
          </w:tcPr>
          <w:p>
            <w:pPr>
              <w:spacing w:after="0"/>
              <w:rPr>
                <w:sz w:val="16"/>
                <w:szCs w:val="16"/>
                <w:color w:val="auto"/>
              </w:rPr>
            </w:pPr>
          </w:p>
        </w:tc>
        <w:tc>
          <w:tcPr>
            <w:tcW w:w="160" w:type="dxa"/>
            <w:vAlign w:val="bottom"/>
            <w:shd w:val="clear" w:color="auto" w:fill="004483"/>
          </w:tcPr>
          <w:p>
            <w:pPr>
              <w:spacing w:after="0"/>
              <w:rPr>
                <w:sz w:val="16"/>
                <w:szCs w:val="16"/>
                <w:color w:val="auto"/>
              </w:rPr>
            </w:pPr>
          </w:p>
        </w:tc>
        <w:tc>
          <w:tcPr>
            <w:tcW w:w="2800" w:type="dxa"/>
            <w:vAlign w:val="bottom"/>
            <w:gridSpan w:val="7"/>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40" w:type="dxa"/>
            <w:vAlign w:val="bottom"/>
          </w:tcPr>
          <w:p>
            <w:pPr>
              <w:spacing w:after="0"/>
              <w:rPr>
                <w:sz w:val="16"/>
                <w:szCs w:val="16"/>
                <w:color w:val="auto"/>
              </w:rPr>
            </w:pPr>
          </w:p>
        </w:tc>
        <w:tc>
          <w:tcPr>
            <w:tcW w:w="180" w:type="dxa"/>
            <w:vAlign w:val="bottom"/>
            <w:shd w:val="clear" w:color="auto" w:fill="004483"/>
          </w:tcPr>
          <w:p>
            <w:pPr>
              <w:spacing w:after="0"/>
              <w:rPr>
                <w:sz w:val="16"/>
                <w:szCs w:val="16"/>
                <w:color w:val="auto"/>
              </w:rPr>
            </w:pPr>
          </w:p>
        </w:tc>
        <w:tc>
          <w:tcPr>
            <w:tcW w:w="274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1"/>
              </w:rPr>
              <w:t>For the Six Months Ended September 30,</w:t>
            </w:r>
          </w:p>
        </w:tc>
      </w:t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5"/>
        </w:trPr>
        <w:tc>
          <w:tcPr>
            <w:tcW w:w="522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40" w:type="dxa"/>
            <w:vAlign w:val="bottom"/>
            <w:tcBorders>
              <w:bottom w:val="single" w:sz="8" w:color="004483"/>
            </w:tcBorders>
          </w:tcPr>
          <w:p>
            <w:pPr>
              <w:spacing w:after="0"/>
              <w:rPr>
                <w:sz w:val="19"/>
                <w:szCs w:val="19"/>
                <w:color w:val="auto"/>
              </w:rPr>
            </w:pPr>
          </w:p>
        </w:tc>
        <w:tc>
          <w:tcPr>
            <w:tcW w:w="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440" w:type="dxa"/>
            <w:vAlign w:val="bottom"/>
            <w:tcBorders>
              <w:bottom w:val="single" w:sz="8" w:color="004483"/>
            </w:tcBorders>
          </w:tcPr>
          <w:p>
            <w:pPr>
              <w:spacing w:after="0"/>
              <w:rPr>
                <w:sz w:val="19"/>
                <w:szCs w:val="19"/>
                <w:color w:val="auto"/>
              </w:rPr>
            </w:pPr>
          </w:p>
        </w:tc>
        <w:tc>
          <w:tcPr>
            <w:tcW w:w="2500" w:type="dxa"/>
            <w:vAlign w:val="bottom"/>
            <w:tcBorders>
              <w:bottom w:val="single" w:sz="8" w:color="004483"/>
            </w:tcBorders>
            <w:gridSpan w:val="6"/>
          </w:tcPr>
          <w:p>
            <w:pPr>
              <w:jc w:val="right"/>
              <w:ind w:right="10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9"/>
                <w:szCs w:val="19"/>
                <w:color w:val="auto"/>
              </w:rPr>
            </w:pPr>
          </w:p>
        </w:tc>
        <w:tc>
          <w:tcPr>
            <w:tcW w:w="42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1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spacing w:after="0"/>
              <w:rPr>
                <w:sz w:val="19"/>
                <w:szCs w:val="19"/>
                <w:color w:val="auto"/>
              </w:rPr>
            </w:pPr>
          </w:p>
        </w:tc>
        <w:tc>
          <w:tcPr>
            <w:tcW w:w="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4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5,223</w:t>
            </w:r>
          </w:p>
        </w:tc>
        <w:tc>
          <w:tcPr>
            <w:tcW w:w="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6A6A6"/>
            </w:tcBorders>
            <w:gridSpan w:val="2"/>
          </w:tcPr>
          <w:p>
            <w:pPr>
              <w:jc w:val="right"/>
              <w:ind w:right="2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6,267</w:t>
            </w:r>
          </w:p>
        </w:tc>
        <w:tc>
          <w:tcPr>
            <w:tcW w:w="10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24"/>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13,056</w:t>
            </w:r>
          </w:p>
        </w:tc>
        <w:tc>
          <w:tcPr>
            <w:tcW w:w="120" w:type="dxa"/>
            <w:vAlign w:val="bottom"/>
          </w:tcPr>
          <w:p>
            <w:pPr>
              <w:spacing w:after="0"/>
              <w:rPr>
                <w:sz w:val="19"/>
                <w:szCs w:val="19"/>
                <w:color w:val="auto"/>
              </w:rPr>
            </w:pPr>
          </w:p>
        </w:tc>
        <w:tc>
          <w:tcPr>
            <w:tcW w:w="540" w:type="dxa"/>
            <w:vAlign w:val="bottom"/>
            <w:tcBorders>
              <w:bottom w:val="single" w:sz="8" w:color="A6A6A6"/>
            </w:tcBorders>
            <w:gridSpan w:val="2"/>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12,298</w:t>
            </w:r>
          </w:p>
        </w:tc>
        <w:tc>
          <w:tcPr>
            <w:tcW w:w="100" w:type="dxa"/>
            <w:vAlign w:val="bottom"/>
          </w:tcPr>
          <w:p>
            <w:pPr>
              <w:spacing w:after="0"/>
              <w:rPr>
                <w:sz w:val="19"/>
                <w:szCs w:val="19"/>
                <w:color w:val="auto"/>
              </w:rPr>
            </w:pPr>
          </w:p>
        </w:tc>
      </w:tr>
      <w:tr>
        <w:trPr>
          <w:trHeight w:val="223"/>
        </w:trPr>
        <w:tc>
          <w:tcPr>
            <w:tcW w:w="5220" w:type="dxa"/>
            <w:vAlign w:val="bottom"/>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r>
      <w:tr>
        <w:trPr>
          <w:trHeight w:val="257"/>
        </w:trPr>
        <w:tc>
          <w:tcPr>
            <w:tcW w:w="522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top w:val="single" w:sz="8" w:color="A6A6A6"/>
              <w:bottom w:val="single" w:sz="8" w:color="004483"/>
            </w:tcBorders>
          </w:tcPr>
          <w:p>
            <w:pPr>
              <w:spacing w:after="0"/>
              <w:rPr>
                <w:sz w:val="22"/>
                <w:szCs w:val="22"/>
                <w:color w:val="auto"/>
              </w:rPr>
            </w:pPr>
          </w:p>
        </w:tc>
        <w:tc>
          <w:tcPr>
            <w:tcW w:w="114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20,014</w:t>
            </w:r>
          </w:p>
        </w:tc>
        <w:tc>
          <w:tcPr>
            <w:tcW w:w="20" w:type="dxa"/>
            <w:vAlign w:val="bottom"/>
            <w:tcBorders>
              <w:top w:val="single" w:sz="8" w:color="A6A6A6"/>
              <w:bottom w:val="single" w:sz="8" w:color="004483"/>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440" w:type="dxa"/>
            <w:vAlign w:val="bottom"/>
            <w:tcBorders>
              <w:top w:val="single" w:sz="8" w:color="A6A6A6"/>
              <w:bottom w:val="single" w:sz="8" w:color="004483"/>
            </w:tcBorders>
          </w:tcPr>
          <w:p>
            <w:pPr>
              <w:spacing w:after="0"/>
              <w:rPr>
                <w:sz w:val="22"/>
                <w:szCs w:val="22"/>
                <w:color w:val="auto"/>
              </w:rPr>
            </w:pPr>
          </w:p>
        </w:tc>
        <w:tc>
          <w:tcPr>
            <w:tcW w:w="8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20,499</w:t>
            </w:r>
          </w:p>
        </w:tc>
        <w:tc>
          <w:tcPr>
            <w:tcW w:w="100" w:type="dxa"/>
            <w:vAlign w:val="bottom"/>
          </w:tcPr>
          <w:p>
            <w:pPr>
              <w:spacing w:after="0"/>
              <w:rPr>
                <w:sz w:val="22"/>
                <w:szCs w:val="22"/>
                <w:color w:val="auto"/>
              </w:rPr>
            </w:pPr>
          </w:p>
        </w:tc>
        <w:tc>
          <w:tcPr>
            <w:tcW w:w="140" w:type="dxa"/>
            <w:vAlign w:val="bottom"/>
            <w:tcBorders>
              <w:top w:val="single" w:sz="8" w:color="A6A6A6"/>
              <w:bottom w:val="single" w:sz="8" w:color="A6A6A6"/>
            </w:tcBorders>
          </w:tcPr>
          <w:p>
            <w:pPr>
              <w:spacing w:after="0"/>
              <w:rPr>
                <w:sz w:val="22"/>
                <w:szCs w:val="22"/>
                <w:color w:val="auto"/>
              </w:rPr>
            </w:pPr>
          </w:p>
        </w:tc>
        <w:tc>
          <w:tcPr>
            <w:tcW w:w="180" w:type="dxa"/>
            <w:vAlign w:val="bottom"/>
            <w:tcBorders>
              <w:top w:val="single" w:sz="8" w:color="A6A6A6"/>
              <w:bottom w:val="single" w:sz="8" w:color="004483"/>
            </w:tcBorders>
          </w:tcPr>
          <w:p>
            <w:pPr>
              <w:spacing w:after="0"/>
              <w:rPr>
                <w:sz w:val="22"/>
                <w:szCs w:val="22"/>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38,263</w:t>
            </w:r>
          </w:p>
        </w:tc>
        <w:tc>
          <w:tcPr>
            <w:tcW w:w="120" w:type="dxa"/>
            <w:vAlign w:val="bottom"/>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420" w:type="dxa"/>
            <w:vAlign w:val="bottom"/>
            <w:tcBorders>
              <w:top w:val="single" w:sz="8" w:color="A6A6A6"/>
              <w:bottom w:val="single" w:sz="8" w:color="004483"/>
            </w:tcBorders>
          </w:tcPr>
          <w:p>
            <w:pPr>
              <w:spacing w:after="0"/>
              <w:rPr>
                <w:sz w:val="22"/>
                <w:szCs w:val="22"/>
                <w:color w:val="auto"/>
              </w:rPr>
            </w:pPr>
          </w:p>
        </w:tc>
        <w:tc>
          <w:tcPr>
            <w:tcW w:w="8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34,568</w:t>
            </w:r>
          </w:p>
        </w:tc>
        <w:tc>
          <w:tcPr>
            <w:tcW w:w="100" w:type="dxa"/>
            <w:vAlign w:val="bottom"/>
          </w:tcPr>
          <w:p>
            <w:pPr>
              <w:spacing w:after="0"/>
              <w:rPr>
                <w:sz w:val="22"/>
                <w:szCs w:val="22"/>
                <w:color w:val="auto"/>
              </w:rPr>
            </w:pPr>
          </w:p>
        </w:tc>
      </w:tr>
      <w:tr>
        <w:trPr>
          <w:trHeight w:val="216"/>
        </w:trPr>
        <w:tc>
          <w:tcPr>
            <w:tcW w:w="5220" w:type="dxa"/>
            <w:vAlign w:val="bottom"/>
          </w:tcPr>
          <w:p>
            <w:pPr>
              <w:spacing w:after="0"/>
              <w:rPr>
                <w:sz w:val="18"/>
                <w:szCs w:val="18"/>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25,237</w:t>
            </w:r>
          </w:p>
        </w:tc>
        <w:tc>
          <w:tcPr>
            <w:tcW w:w="20" w:type="dxa"/>
            <w:vAlign w:val="bottom"/>
            <w:tcBorders>
              <w:bottom w:val="single" w:sz="8" w:color="004483"/>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51,319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004483"/>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46,972</w:t>
            </w:r>
          </w:p>
        </w:tc>
        <w:tc>
          <w:tcPr>
            <w:tcW w:w="100" w:type="dxa"/>
            <w:vAlign w:val="bottom"/>
          </w:tcPr>
          <w:p>
            <w:pPr>
              <w:spacing w:after="0"/>
              <w:rPr>
                <w:sz w:val="18"/>
                <w:szCs w:val="18"/>
                <w:color w:val="auto"/>
              </w:rPr>
            </w:pPr>
          </w:p>
        </w:tc>
      </w:tr>
      <w:tr>
        <w:trPr>
          <w:trHeight w:val="20"/>
        </w:trPr>
        <w:tc>
          <w:tcPr>
            <w:tcW w:w="522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160" w:type="dxa"/>
            <w:vAlign w:val="bottom"/>
            <w:tcBorders>
              <w:bottom w:val="single" w:sz="8" w:color="A6A6A6"/>
            </w:tcBorders>
          </w:tcPr>
          <w:p>
            <w:pPr>
              <w:spacing w:after="0"/>
              <w:rPr>
                <w:sz w:val="18"/>
                <w:szCs w:val="18"/>
                <w:color w:val="auto"/>
              </w:rPr>
            </w:pPr>
          </w:p>
        </w:tc>
        <w:tc>
          <w:tcPr>
            <w:tcW w:w="1140" w:type="dxa"/>
            <w:vAlign w:val="bottom"/>
            <w:tcBorders>
              <w:bottom w:val="single" w:sz="8" w:color="A6A6A6"/>
            </w:tcBorders>
          </w:tcPr>
          <w:p>
            <w:pPr>
              <w:spacing w:after="0"/>
              <w:rPr>
                <w:sz w:val="18"/>
                <w:szCs w:val="18"/>
                <w:color w:val="auto"/>
              </w:rPr>
            </w:pPr>
          </w:p>
        </w:tc>
        <w:tc>
          <w:tcPr>
            <w:tcW w:w="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40" w:type="dxa"/>
            <w:vAlign w:val="bottom"/>
            <w:tcBorders>
              <w:bottom w:val="single" w:sz="8" w:color="A6A6A6"/>
            </w:tcBorders>
          </w:tcPr>
          <w:p>
            <w:pPr>
              <w:spacing w:after="0"/>
              <w:rPr>
                <w:sz w:val="18"/>
                <w:szCs w:val="18"/>
                <w:color w:val="auto"/>
              </w:rPr>
            </w:pPr>
          </w:p>
        </w:tc>
        <w:tc>
          <w:tcPr>
            <w:tcW w:w="8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4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1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1,983</w:t>
            </w:r>
          </w:p>
        </w:tc>
        <w:tc>
          <w:tcPr>
            <w:tcW w:w="20" w:type="dxa"/>
            <w:vAlign w:val="bottom"/>
            <w:tcBorders>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4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3,835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420" w:type="dxa"/>
            <w:vAlign w:val="bottom"/>
            <w:tcBorders>
              <w:bottom w:val="single" w:sz="8" w:color="A6A6A6"/>
            </w:tcBorders>
          </w:tcPr>
          <w:p>
            <w:pPr>
              <w:spacing w:after="0"/>
              <w:rPr>
                <w:sz w:val="19"/>
                <w:szCs w:val="19"/>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3,813</w:t>
            </w:r>
          </w:p>
        </w:tc>
        <w:tc>
          <w:tcPr>
            <w:tcW w:w="100" w:type="dxa"/>
            <w:vAlign w:val="bottom"/>
          </w:tcPr>
          <w:p>
            <w:pPr>
              <w:spacing w:after="0"/>
              <w:rPr>
                <w:sz w:val="19"/>
                <w:szCs w:val="19"/>
                <w:color w:val="auto"/>
              </w:rPr>
            </w:pPr>
          </w:p>
        </w:tc>
      </w:tr>
      <w:tr>
        <w:trPr>
          <w:trHeight w:val="257"/>
        </w:trPr>
        <w:tc>
          <w:tcPr>
            <w:tcW w:w="52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160" w:type="dxa"/>
            <w:vAlign w:val="bottom"/>
            <w:tcBorders>
              <w:bottom w:val="single" w:sz="8" w:color="004483"/>
            </w:tcBorders>
          </w:tcPr>
          <w:p>
            <w:pPr>
              <w:spacing w:after="0"/>
              <w:rPr>
                <w:sz w:val="22"/>
                <w:szCs w:val="22"/>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215</w:t>
            </w:r>
          </w:p>
        </w:tc>
        <w:tc>
          <w:tcPr>
            <w:tcW w:w="20" w:type="dxa"/>
            <w:vAlign w:val="bottom"/>
            <w:tcBorders>
              <w:bottom w:val="single" w:sz="8" w:color="004483"/>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440" w:type="dxa"/>
            <w:vAlign w:val="bottom"/>
            <w:tcBorders>
              <w:bottom w:val="single" w:sz="8" w:color="004483"/>
            </w:tcBorders>
          </w:tcPr>
          <w:p>
            <w:pPr>
              <w:spacing w:after="0"/>
              <w:rPr>
                <w:sz w:val="22"/>
                <w:szCs w:val="22"/>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18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420" w:type="dxa"/>
            <w:vAlign w:val="bottom"/>
            <w:tcBorders>
              <w:bottom w:val="single" w:sz="8" w:color="004483"/>
            </w:tcBorders>
          </w:tcPr>
          <w:p>
            <w:pPr>
              <w:spacing w:after="0"/>
              <w:rPr>
                <w:sz w:val="22"/>
                <w:szCs w:val="22"/>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2"/>
                <w:szCs w:val="22"/>
                <w:color w:val="auto"/>
              </w:rPr>
            </w:pPr>
          </w:p>
        </w:tc>
      </w:tr>
      <w:tr>
        <w:trPr>
          <w:trHeight w:val="216"/>
        </w:trPr>
        <w:tc>
          <w:tcPr>
            <w:tcW w:w="5220" w:type="dxa"/>
            <w:vAlign w:val="bottom"/>
          </w:tcPr>
          <w:p>
            <w:pPr>
              <w:spacing w:after="0"/>
              <w:rPr>
                <w:sz w:val="18"/>
                <w:szCs w:val="18"/>
                <w:color w:val="auto"/>
              </w:rPr>
            </w:pPr>
          </w:p>
        </w:tc>
        <w:tc>
          <w:tcPr>
            <w:tcW w:w="160" w:type="dxa"/>
            <w:vAlign w:val="bottom"/>
            <w:tcBorders>
              <w:bottom w:val="single" w:sz="8" w:color="004483"/>
            </w:tcBorders>
          </w:tcPr>
          <w:p>
            <w:pPr>
              <w:spacing w:after="0"/>
              <w:rPr>
                <w:sz w:val="18"/>
                <w:szCs w:val="18"/>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2,198</w:t>
            </w:r>
          </w:p>
        </w:tc>
        <w:tc>
          <w:tcPr>
            <w:tcW w:w="20" w:type="dxa"/>
            <w:vAlign w:val="bottom"/>
            <w:tcBorders>
              <w:bottom w:val="single" w:sz="8" w:color="004483"/>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004483"/>
            </w:tcBorders>
          </w:tcPr>
          <w:p>
            <w:pPr>
              <w:spacing w:after="0"/>
              <w:rPr>
                <w:sz w:val="18"/>
                <w:szCs w:val="18"/>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004483"/>
            </w:tcBorders>
          </w:tcPr>
          <w:p>
            <w:pPr>
              <w:spacing w:after="0"/>
              <w:rPr>
                <w:sz w:val="18"/>
                <w:szCs w:val="18"/>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004483"/>
            </w:tcBorders>
          </w:tcPr>
          <w:p>
            <w:pPr>
              <w:spacing w:after="0"/>
              <w:rPr>
                <w:sz w:val="18"/>
                <w:szCs w:val="18"/>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4,265</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shd w:val="clear" w:color="auto" w:fill="004483"/>
          </w:tcPr>
          <w:p>
            <w:pPr>
              <w:spacing w:after="0"/>
              <w:rPr>
                <w:sz w:val="16"/>
                <w:szCs w:val="16"/>
                <w:color w:val="auto"/>
              </w:rPr>
            </w:pPr>
          </w:p>
        </w:tc>
        <w:tc>
          <w:tcPr>
            <w:tcW w:w="2820" w:type="dxa"/>
            <w:vAlign w:val="bottom"/>
            <w:gridSpan w:val="7"/>
            <w:shd w:val="clear" w:color="auto" w:fill="004483"/>
          </w:tcPr>
          <w:p>
            <w:pPr>
              <w:jc w:val="right"/>
              <w:ind w:right="36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20" w:type="dxa"/>
            <w:vAlign w:val="bottom"/>
          </w:tcPr>
          <w:p>
            <w:pPr>
              <w:spacing w:after="0"/>
              <w:rPr>
                <w:sz w:val="16"/>
                <w:szCs w:val="16"/>
                <w:color w:val="auto"/>
              </w:rPr>
            </w:pPr>
          </w:p>
        </w:tc>
        <w:tc>
          <w:tcPr>
            <w:tcW w:w="100" w:type="dxa"/>
            <w:vAlign w:val="bottom"/>
            <w:shd w:val="clear" w:color="auto" w:fill="004483"/>
          </w:tcPr>
          <w:p>
            <w:pPr>
              <w:spacing w:after="0"/>
              <w:rPr>
                <w:sz w:val="16"/>
                <w:szCs w:val="16"/>
                <w:color w:val="auto"/>
              </w:rPr>
            </w:pPr>
          </w:p>
        </w:tc>
        <w:tc>
          <w:tcPr>
            <w:tcW w:w="2800" w:type="dxa"/>
            <w:vAlign w:val="bottom"/>
            <w:gridSpan w:val="9"/>
            <w:shd w:val="clear" w:color="auto" w:fill="004483"/>
          </w:tcPr>
          <w:p>
            <w:pPr>
              <w:jc w:val="right"/>
              <w:ind w:right="380"/>
              <w:spacing w:after="0"/>
              <w:rPr>
                <w:sz w:val="20"/>
                <w:szCs w:val="20"/>
                <w:color w:val="auto"/>
              </w:rPr>
            </w:pPr>
            <w:r>
              <w:rPr>
                <w:rFonts w:ascii="Arial" w:cs="Arial" w:eastAsia="Arial" w:hAnsi="Arial"/>
                <w:sz w:val="13"/>
                <w:szCs w:val="13"/>
                <w:b w:val="1"/>
                <w:bCs w:val="1"/>
                <w:color w:val="FFFFFF"/>
                <w:w w:val="94"/>
              </w:rPr>
              <w:t>For the Six Months Ended September 30,</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0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2000" w:type="dxa"/>
            <w:vAlign w:val="bottom"/>
            <w:tcBorders>
              <w:bottom w:val="single" w:sz="8" w:color="004483"/>
            </w:tcBorders>
            <w:gridSpan w:val="4"/>
          </w:tcPr>
          <w:p>
            <w:pPr>
              <w:jc w:val="right"/>
              <w:ind w:right="99"/>
              <w:spacing w:after="0"/>
              <w:rPr>
                <w:sz w:val="20"/>
                <w:szCs w:val="20"/>
                <w:color w:val="auto"/>
              </w:rPr>
            </w:pPr>
            <w:r>
              <w:rPr>
                <w:rFonts w:ascii="Arial" w:cs="Arial" w:eastAsia="Arial" w:hAnsi="Arial"/>
                <w:sz w:val="13"/>
                <w:szCs w:val="13"/>
                <w:color w:val="auto"/>
              </w:rPr>
              <w:t>(dollars in thousands)</w:t>
            </w:r>
          </w:p>
        </w:tc>
        <w:tc>
          <w:tcPr>
            <w:tcW w:w="240" w:type="dxa"/>
            <w:vAlign w:val="bottom"/>
            <w:tcBorders>
              <w:bottom w:val="single" w:sz="8" w:color="004483"/>
            </w:tcBorders>
          </w:tcPr>
          <w:p>
            <w:pPr>
              <w:spacing w:after="0"/>
              <w:rPr>
                <w:sz w:val="19"/>
                <w:szCs w:val="19"/>
                <w:color w:val="auto"/>
              </w:rPr>
            </w:pPr>
          </w:p>
        </w:tc>
        <w:tc>
          <w:tcPr>
            <w:tcW w:w="4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940" w:type="dxa"/>
            <w:vAlign w:val="bottom"/>
            <w:tcBorders>
              <w:bottom w:val="single" w:sz="8" w:color="004483"/>
            </w:tcBorders>
            <w:gridSpan w:val="7"/>
          </w:tcPr>
          <w:p>
            <w:pPr>
              <w:jc w:val="right"/>
              <w:ind w:right="1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Borders>
              <w:bottom w:val="single" w:sz="8" w:color="A6A6A6"/>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88,750</w:t>
            </w:r>
          </w:p>
        </w:tc>
        <w:tc>
          <w:tcPr>
            <w:tcW w:w="100" w:type="dxa"/>
            <w:vAlign w:val="bottom"/>
          </w:tcPr>
          <w:p>
            <w:pPr>
              <w:spacing w:after="0"/>
              <w:rPr>
                <w:sz w:val="19"/>
                <w:szCs w:val="19"/>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79,913</w:t>
            </w:r>
          </w:p>
        </w:tc>
        <w:tc>
          <w:tcPr>
            <w:tcW w:w="100" w:type="dxa"/>
            <w:vAlign w:val="bottom"/>
          </w:tcPr>
          <w:p>
            <w:pPr>
              <w:spacing w:after="0"/>
              <w:rPr>
                <w:sz w:val="19"/>
                <w:szCs w:val="19"/>
                <w:color w:val="auto"/>
              </w:rPr>
            </w:pPr>
          </w:p>
        </w:tc>
        <w:tc>
          <w:tcPr>
            <w:tcW w:w="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151,297</w:t>
            </w:r>
          </w:p>
        </w:tc>
        <w:tc>
          <w:tcPr>
            <w:tcW w:w="80" w:type="dxa"/>
            <w:vAlign w:val="bottom"/>
          </w:tcPr>
          <w:p>
            <w:pPr>
              <w:spacing w:after="0"/>
              <w:rPr>
                <w:sz w:val="19"/>
                <w:szCs w:val="19"/>
                <w:color w:val="auto"/>
              </w:rPr>
            </w:pPr>
          </w:p>
        </w:tc>
        <w:tc>
          <w:tcPr>
            <w:tcW w:w="66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140,368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12,883</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66,331</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37,606</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129,584</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78,931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600" w:type="dxa"/>
            <w:vAlign w:val="bottom"/>
            <w:tcBorders>
              <w:bottom w:val="single" w:sz="8" w:color="004483"/>
            </w:tcBorders>
          </w:tcPr>
          <w:p>
            <w:pPr>
              <w:spacing w:after="0"/>
              <w:rPr>
                <w:sz w:val="22"/>
                <w:szCs w:val="22"/>
                <w:color w:val="auto"/>
              </w:rPr>
            </w:pP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800" w:type="dxa"/>
            <w:vAlign w:val="bottom"/>
            <w:tcBorders>
              <w:bottom w:val="single" w:sz="8" w:color="004483"/>
            </w:tcBorders>
          </w:tcPr>
          <w:p>
            <w:pPr>
              <w:spacing w:after="0"/>
              <w:rPr>
                <w:sz w:val="22"/>
                <w:szCs w:val="22"/>
                <w:color w:val="auto"/>
              </w:rPr>
            </w:pPr>
          </w:p>
        </w:tc>
        <w:tc>
          <w:tcPr>
            <w:tcW w:w="4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w w:val="89"/>
              </w:rPr>
              <w:t>4,318</w:t>
            </w:r>
          </w:p>
        </w:tc>
        <w:tc>
          <w:tcPr>
            <w:tcW w:w="8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540" w:type="dxa"/>
            <w:vAlign w:val="bottom"/>
            <w:tcBorders>
              <w:bottom w:val="single" w:sz="8" w:color="004483"/>
            </w:tcBorders>
          </w:tcPr>
          <w:p>
            <w:pPr>
              <w:spacing w:after="0"/>
              <w:rPr>
                <w:sz w:val="22"/>
                <w:szCs w:val="2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13,547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Sub-Total</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163,601</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133,426</w:t>
            </w: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298,082</w:t>
            </w: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(10,667 )</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(11,109 )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6"/>
                <w:szCs w:val="16"/>
                <w:color w:val="auto"/>
              </w:rPr>
              <w:t>(20,135 )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(28,898 )</w:t>
            </w:r>
          </w:p>
        </w:tc>
        <w:tc>
          <w:tcPr>
            <w:tcW w:w="0" w:type="dxa"/>
            <w:vAlign w:val="bottom"/>
          </w:tcPr>
          <w:p>
            <w:pPr>
              <w:spacing w:after="0"/>
              <w:rPr>
                <w:sz w:val="1"/>
                <w:szCs w:val="1"/>
                <w:color w:val="auto"/>
              </w:rPr>
            </w:pPr>
          </w:p>
        </w:tc>
      </w:tr>
      <w:tr>
        <w:trPr>
          <w:trHeight w:val="23"/>
        </w:trPr>
        <w:tc>
          <w:tcPr>
            <w:tcW w:w="5100" w:type="dxa"/>
            <w:vAlign w:val="bottom"/>
            <w:shd w:val="clear" w:color="auto" w:fill="A6A6A6"/>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160" w:type="dxa"/>
            <w:vAlign w:val="bottom"/>
            <w:shd w:val="clear" w:color="auto" w:fill="A6A6A6"/>
          </w:tcPr>
          <w:p>
            <w:pPr>
              <w:spacing w:after="0"/>
              <w:rPr>
                <w:sz w:val="2"/>
                <w:szCs w:val="2"/>
                <w:color w:val="auto"/>
              </w:rPr>
            </w:pPr>
          </w:p>
        </w:tc>
        <w:tc>
          <w:tcPr>
            <w:tcW w:w="11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600" w:type="dxa"/>
            <w:vAlign w:val="bottom"/>
            <w:shd w:val="clear" w:color="auto" w:fill="A6A6A6"/>
          </w:tcPr>
          <w:p>
            <w:pPr>
              <w:spacing w:after="0"/>
              <w:rPr>
                <w:sz w:val="2"/>
                <w:szCs w:val="2"/>
                <w:color w:val="auto"/>
              </w:rPr>
            </w:pPr>
          </w:p>
        </w:tc>
        <w:tc>
          <w:tcPr>
            <w:tcW w:w="240" w:type="dxa"/>
            <w:vAlign w:val="bottom"/>
            <w:shd w:val="clear" w:color="auto" w:fill="A6A6A6"/>
          </w:tcPr>
          <w:p>
            <w:pPr>
              <w:spacing w:after="0"/>
              <w:rPr>
                <w:sz w:val="2"/>
                <w:szCs w:val="2"/>
                <w:color w:val="auto"/>
              </w:rPr>
            </w:pPr>
          </w:p>
        </w:tc>
        <w:tc>
          <w:tcPr>
            <w:tcW w:w="4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900" w:type="dxa"/>
            <w:vAlign w:val="bottom"/>
            <w:gridSpan w:val="2"/>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54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Early Retirement of Senior Notes</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6"/>
                <w:szCs w:val="16"/>
                <w:color w:val="auto"/>
              </w:rPr>
              <w:t>(8,407 )</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Gain on Sale of Businesses</w:t>
            </w:r>
          </w:p>
        </w:tc>
        <w:tc>
          <w:tcPr>
            <w:tcW w:w="16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60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4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54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Other Non-Operating Income (Loss)</w:t>
            </w:r>
          </w:p>
        </w:tc>
        <w:tc>
          <w:tcPr>
            <w:tcW w:w="16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(944 )</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89"/>
              </w:rPr>
              <w:t>2,734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(399 )</w:t>
            </w:r>
          </w:p>
        </w:tc>
        <w:tc>
          <w:tcPr>
            <w:tcW w:w="0" w:type="dxa"/>
            <w:vAlign w:val="bottom"/>
          </w:tcPr>
          <w:p>
            <w:pPr>
              <w:spacing w:after="0"/>
              <w:rPr>
                <w:sz w:val="1"/>
                <w:szCs w:val="1"/>
                <w:color w:val="auto"/>
              </w:rPr>
            </w:pPr>
          </w:p>
        </w:tc>
      </w:tr>
      <w:tr>
        <w:trPr>
          <w:trHeight w:val="217"/>
        </w:trPr>
        <w:tc>
          <w:tcPr>
            <w:tcW w:w="524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160" w:type="dxa"/>
            <w:vAlign w:val="bottom"/>
            <w:tcBorders>
              <w:top w:val="single" w:sz="8" w:color="004483"/>
              <w:bottom w:val="single" w:sz="8" w:color="A6A6A6"/>
            </w:tcBorders>
          </w:tcPr>
          <w:p>
            <w:pPr>
              <w:spacing w:after="0"/>
              <w:rPr>
                <w:sz w:val="18"/>
                <w:szCs w:val="18"/>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143,583</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600" w:type="dxa"/>
            <w:vAlign w:val="bottom"/>
            <w:tcBorders>
              <w:top w:val="single" w:sz="8" w:color="004483"/>
              <w:bottom w:val="single" w:sz="8" w:color="A6A6A6"/>
            </w:tcBorders>
          </w:tcPr>
          <w:p>
            <w:pPr>
              <w:spacing w:after="0"/>
              <w:rPr>
                <w:sz w:val="18"/>
                <w:szCs w:val="18"/>
                <w:color w:val="auto"/>
              </w:rPr>
            </w:pPr>
          </w:p>
        </w:tc>
        <w:tc>
          <w:tcPr>
            <w:tcW w:w="72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122,227</w:t>
            </w:r>
          </w:p>
        </w:tc>
        <w:tc>
          <w:tcPr>
            <w:tcW w:w="10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00" w:type="dxa"/>
            <w:vAlign w:val="bottom"/>
            <w:tcBorders>
              <w:top w:val="single" w:sz="8" w:color="004483"/>
              <w:bottom w:val="single" w:sz="8" w:color="A6A6A6"/>
            </w:tcBorders>
          </w:tcPr>
          <w:p>
            <w:pPr>
              <w:spacing w:after="0"/>
              <w:rPr>
                <w:sz w:val="18"/>
                <w:szCs w:val="18"/>
                <w:color w:val="auto"/>
              </w:rPr>
            </w:pPr>
          </w:p>
        </w:tc>
        <w:tc>
          <w:tcPr>
            <w:tcW w:w="1200" w:type="dxa"/>
            <w:vAlign w:val="bottom"/>
            <w:tcBorders>
              <w:top w:val="single" w:sz="8" w:color="004483"/>
              <w:bottom w:val="single" w:sz="8" w:color="A6A6A6"/>
            </w:tcBorders>
            <w:gridSpan w:val="4"/>
          </w:tcPr>
          <w:p>
            <w:pPr>
              <w:jc w:val="right"/>
              <w:spacing w:after="0"/>
              <w:rPr>
                <w:sz w:val="20"/>
                <w:szCs w:val="20"/>
                <w:color w:val="auto"/>
              </w:rPr>
            </w:pPr>
            <w:r>
              <w:rPr>
                <w:rFonts w:ascii="Arial" w:cs="Arial" w:eastAsia="Arial" w:hAnsi="Arial"/>
                <w:sz w:val="16"/>
                <w:szCs w:val="16"/>
                <w:color w:val="auto"/>
              </w:rPr>
              <w:t>272,274</w:t>
            </w:r>
          </w:p>
        </w:tc>
        <w:tc>
          <w:tcPr>
            <w:tcW w:w="8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540" w:type="dxa"/>
            <w:vAlign w:val="bottom"/>
            <w:tcBorders>
              <w:top w:val="single" w:sz="8" w:color="004483"/>
              <w:bottom w:val="single" w:sz="8" w:color="A6A6A6"/>
            </w:tcBorders>
          </w:tcPr>
          <w:p>
            <w:pPr>
              <w:spacing w:after="0"/>
              <w:rPr>
                <w:sz w:val="18"/>
                <w:szCs w:val="18"/>
                <w:color w:val="auto"/>
              </w:rPr>
            </w:pP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266,195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Interest Expense, net</w:t>
            </w:r>
          </w:p>
        </w:tc>
        <w:tc>
          <w:tcPr>
            <w:tcW w:w="16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(12,268 )</w:t>
            </w: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(12,556 )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6"/>
                <w:szCs w:val="16"/>
                <w:color w:val="auto"/>
              </w:rPr>
              <w:t>(19,240 )</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(26,597 )</w:t>
            </w:r>
          </w:p>
        </w:tc>
        <w:tc>
          <w:tcPr>
            <w:tcW w:w="0" w:type="dxa"/>
            <w:vAlign w:val="bottom"/>
          </w:tcPr>
          <w:p>
            <w:pPr>
              <w:spacing w:after="0"/>
              <w:rPr>
                <w:sz w:val="1"/>
                <w:szCs w:val="1"/>
                <w:color w:val="auto"/>
              </w:rPr>
            </w:pPr>
          </w:p>
        </w:tc>
      </w:tr>
      <w:tr>
        <w:trPr>
          <w:trHeight w:val="217"/>
        </w:trPr>
        <w:tc>
          <w:tcPr>
            <w:tcW w:w="524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b w:val="1"/>
                <w:bCs w:val="1"/>
                <w:color w:val="auto"/>
              </w:rPr>
              <w:t>Earnings from Continuing Operations Before Income Taxes</w:t>
            </w: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131,315</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600" w:type="dxa"/>
            <w:vAlign w:val="bottom"/>
            <w:tcBorders>
              <w:top w:val="single" w:sz="8" w:color="004483"/>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109,671</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004483"/>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253,034</w:t>
            </w:r>
          </w:p>
        </w:tc>
        <w:tc>
          <w:tcPr>
            <w:tcW w:w="8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540" w:type="dxa"/>
            <w:vAlign w:val="bottom"/>
            <w:tcBorders>
              <w:top w:val="single" w:sz="8" w:color="004483"/>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239,598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Cement Operating Earnings -</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Wholly Owned</w:t>
            </w:r>
          </w:p>
        </w:tc>
        <w:tc>
          <w:tcPr>
            <w:tcW w:w="160" w:type="dxa"/>
            <w:vAlign w:val="bottom"/>
            <w:tcBorders>
              <w:bottom w:val="single" w:sz="8" w:color="A6A6A6"/>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80,490</w:t>
            </w:r>
          </w:p>
        </w:tc>
        <w:tc>
          <w:tcPr>
            <w:tcW w:w="100" w:type="dxa"/>
            <w:vAlign w:val="bottom"/>
          </w:tcPr>
          <w:p>
            <w:pPr>
              <w:spacing w:after="0"/>
              <w:rPr>
                <w:sz w:val="19"/>
                <w:szCs w:val="19"/>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69,336</w:t>
            </w:r>
          </w:p>
        </w:tc>
        <w:tc>
          <w:tcPr>
            <w:tcW w:w="100" w:type="dxa"/>
            <w:vAlign w:val="bottom"/>
          </w:tcPr>
          <w:p>
            <w:pPr>
              <w:spacing w:after="0"/>
              <w:rPr>
                <w:sz w:val="19"/>
                <w:szCs w:val="19"/>
                <w:color w:val="auto"/>
              </w:rPr>
            </w:pPr>
          </w:p>
        </w:tc>
        <w:tc>
          <w:tcPr>
            <w:tcW w:w="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135,067</w:t>
            </w:r>
          </w:p>
        </w:tc>
        <w:tc>
          <w:tcPr>
            <w:tcW w:w="80" w:type="dxa"/>
            <w:vAlign w:val="bottom"/>
          </w:tcPr>
          <w:p>
            <w:pPr>
              <w:spacing w:after="0"/>
              <w:rPr>
                <w:sz w:val="19"/>
                <w:szCs w:val="19"/>
                <w:color w:val="auto"/>
              </w:rPr>
            </w:pPr>
          </w:p>
        </w:tc>
        <w:tc>
          <w:tcPr>
            <w:tcW w:w="66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Joint Venture</w:t>
            </w:r>
          </w:p>
        </w:tc>
        <w:tc>
          <w:tcPr>
            <w:tcW w:w="16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600" w:type="dxa"/>
            <w:vAlign w:val="bottom"/>
            <w:tcBorders>
              <w:bottom w:val="single" w:sz="8" w:color="004483"/>
            </w:tcBorders>
          </w:tcPr>
          <w:p>
            <w:pPr>
              <w:spacing w:after="0"/>
              <w:rPr>
                <w:sz w:val="22"/>
                <w:szCs w:val="22"/>
                <w:color w:val="auto"/>
              </w:rPr>
            </w:pP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120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color w:val="auto"/>
              </w:rPr>
              <w:t>16,230</w:t>
            </w:r>
          </w:p>
        </w:tc>
        <w:tc>
          <w:tcPr>
            <w:tcW w:w="8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540" w:type="dxa"/>
            <w:vAlign w:val="bottom"/>
            <w:tcBorders>
              <w:bottom w:val="single" w:sz="8" w:color="004483"/>
            </w:tcBorders>
          </w:tcPr>
          <w:p>
            <w:pPr>
              <w:spacing w:after="0"/>
              <w:rPr>
                <w:sz w:val="22"/>
                <w:szCs w:val="2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79,913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151,297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140,368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Borders>
              <w:bottom w:val="single" w:sz="8" w:color="A6A6A6"/>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9"/>
                <w:szCs w:val="19"/>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7,909</w:t>
            </w:r>
          </w:p>
        </w:tc>
        <w:tc>
          <w:tcPr>
            <w:tcW w:w="100" w:type="dxa"/>
            <w:vAlign w:val="bottom"/>
          </w:tcPr>
          <w:p>
            <w:pPr>
              <w:spacing w:after="0"/>
              <w:rPr>
                <w:sz w:val="19"/>
                <w:szCs w:val="19"/>
                <w:color w:val="auto"/>
              </w:rPr>
            </w:pPr>
          </w:p>
        </w:tc>
        <w:tc>
          <w:tcPr>
            <w:tcW w:w="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14,943</w:t>
            </w:r>
          </w:p>
        </w:tc>
        <w:tc>
          <w:tcPr>
            <w:tcW w:w="80" w:type="dxa"/>
            <w:vAlign w:val="bottom"/>
          </w:tcPr>
          <w:p>
            <w:pPr>
              <w:spacing w:after="0"/>
              <w:rPr>
                <w:sz w:val="19"/>
                <w:szCs w:val="19"/>
                <w:color w:val="auto"/>
              </w:rPr>
            </w:pPr>
          </w:p>
        </w:tc>
        <w:tc>
          <w:tcPr>
            <w:tcW w:w="66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w w:val="89"/>
              </w:rPr>
              <w:t>1,073</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4,070</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w w:val="89"/>
              </w:rPr>
              <w:t>8,039</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w w:val="89"/>
              </w:rPr>
              <w:t>1,492</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color w:val="auto"/>
                <w:w w:val="89"/>
              </w:rPr>
              <w:t>1,230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00" w:type="dxa"/>
            <w:vAlign w:val="bottom"/>
            <w:tcBorders>
              <w:top w:val="single" w:sz="8" w:color="A6A6A6"/>
            </w:tcBorders>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60" w:type="dxa"/>
            <w:vAlign w:val="bottom"/>
            <w:tcBorders>
              <w:top w:val="single" w:sz="8" w:color="004483"/>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14,842</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600" w:type="dxa"/>
            <w:vAlign w:val="bottom"/>
            <w:tcBorders>
              <w:top w:val="single" w:sz="8" w:color="004483"/>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004483"/>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14,685</w:t>
            </w:r>
          </w:p>
        </w:tc>
        <w:tc>
          <w:tcPr>
            <w:tcW w:w="10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004483"/>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26,777</w:t>
            </w:r>
          </w:p>
        </w:tc>
        <w:tc>
          <w:tcPr>
            <w:tcW w:w="8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540" w:type="dxa"/>
            <w:vAlign w:val="bottom"/>
            <w:tcBorders>
              <w:top w:val="single" w:sz="8" w:color="004483"/>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160" w:type="dxa"/>
            <w:vAlign w:val="bottom"/>
            <w:tcBorders>
              <w:bottom w:val="single" w:sz="8" w:color="A6A6A6"/>
            </w:tcBorders>
          </w:tcPr>
          <w:p>
            <w:pPr>
              <w:spacing w:after="0"/>
              <w:rPr>
                <w:sz w:val="18"/>
                <w:szCs w:val="18"/>
                <w:color w:val="auto"/>
              </w:rPr>
            </w:pPr>
          </w:p>
        </w:tc>
        <w:tc>
          <w:tcPr>
            <w:tcW w:w="11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600" w:type="dxa"/>
            <w:vAlign w:val="bottom"/>
            <w:tcBorders>
              <w:bottom w:val="single" w:sz="8" w:color="A6A6A6"/>
            </w:tcBorders>
          </w:tcPr>
          <w:p>
            <w:pPr>
              <w:spacing w:after="0"/>
              <w:rPr>
                <w:sz w:val="18"/>
                <w:szCs w:val="18"/>
                <w:color w:val="auto"/>
              </w:rPr>
            </w:pPr>
          </w:p>
        </w:tc>
        <w:tc>
          <w:tcPr>
            <w:tcW w:w="240" w:type="dxa"/>
            <w:vAlign w:val="bottom"/>
            <w:tcBorders>
              <w:bottom w:val="single" w:sz="8" w:color="A6A6A6"/>
            </w:tcBorders>
          </w:tcPr>
          <w:p>
            <w:pPr>
              <w:spacing w:after="0"/>
              <w:rPr>
                <w:sz w:val="18"/>
                <w:szCs w:val="18"/>
                <w:color w:val="auto"/>
              </w:rPr>
            </w:pPr>
          </w:p>
        </w:tc>
        <w:tc>
          <w:tcPr>
            <w:tcW w:w="4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200" w:type="dxa"/>
            <w:vAlign w:val="bottom"/>
            <w:tcBorders>
              <w:bottom w:val="single" w:sz="8" w:color="A6A6A6"/>
            </w:tcBorders>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540" w:type="dxa"/>
            <w:vAlign w:val="bottom"/>
            <w:tcBorders>
              <w:bottom w:val="single" w:sz="8" w:color="A6A6A6"/>
            </w:tcBorders>
          </w:tcPr>
          <w:p>
            <w:pPr>
              <w:spacing w:after="0"/>
              <w:rPr>
                <w:sz w:val="18"/>
                <w:szCs w:val="18"/>
                <w:color w:val="auto"/>
              </w:rPr>
            </w:pPr>
          </w:p>
        </w:tc>
        <w:tc>
          <w:tcPr>
            <w:tcW w:w="7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Borders>
              <w:bottom w:val="single" w:sz="8" w:color="A6A6A6"/>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20,019</w:t>
            </w:r>
          </w:p>
        </w:tc>
        <w:tc>
          <w:tcPr>
            <w:tcW w:w="100" w:type="dxa"/>
            <w:vAlign w:val="bottom"/>
          </w:tcPr>
          <w:p>
            <w:pPr>
              <w:spacing w:after="0"/>
              <w:rPr>
                <w:sz w:val="19"/>
                <w:szCs w:val="19"/>
                <w:color w:val="auto"/>
              </w:rPr>
            </w:pPr>
          </w:p>
        </w:tc>
        <w:tc>
          <w:tcPr>
            <w:tcW w:w="740" w:type="dxa"/>
            <w:vAlign w:val="bottom"/>
            <w:tcBorders>
              <w:bottom w:val="single" w:sz="8" w:color="A6A6A6"/>
            </w:tcBorders>
            <w:gridSpan w:val="2"/>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19,258</w:t>
            </w:r>
          </w:p>
        </w:tc>
        <w:tc>
          <w:tcPr>
            <w:tcW w:w="100" w:type="dxa"/>
            <w:vAlign w:val="bottom"/>
          </w:tcPr>
          <w:p>
            <w:pPr>
              <w:spacing w:after="0"/>
              <w:rPr>
                <w:sz w:val="19"/>
                <w:szCs w:val="19"/>
                <w:color w:val="auto"/>
              </w:rPr>
            </w:pPr>
          </w:p>
        </w:tc>
        <w:tc>
          <w:tcPr>
            <w:tcW w:w="2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39,550</w:t>
            </w:r>
          </w:p>
        </w:tc>
        <w:tc>
          <w:tcPr>
            <w:tcW w:w="80" w:type="dxa"/>
            <w:vAlign w:val="bottom"/>
          </w:tcPr>
          <w:p>
            <w:pPr>
              <w:spacing w:after="0"/>
              <w:rPr>
                <w:sz w:val="19"/>
                <w:szCs w:val="19"/>
                <w:color w:val="auto"/>
              </w:rPr>
            </w:pPr>
          </w:p>
        </w:tc>
        <w:tc>
          <w:tcPr>
            <w:tcW w:w="660" w:type="dxa"/>
            <w:vAlign w:val="bottom"/>
            <w:tcBorders>
              <w:bottom w:val="single" w:sz="8" w:color="A6A6A6"/>
            </w:tcBorders>
            <w:gridSpan w:val="2"/>
          </w:tcPr>
          <w:p>
            <w:pPr>
              <w:jc w:val="right"/>
              <w:ind w:right="3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w w:val="89"/>
              </w:rPr>
              <w:t>5,048</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0" w:type="dxa"/>
            <w:vAlign w:val="bottom"/>
            <w:tcBorders>
              <w:bottom w:val="single" w:sz="8" w:color="A6A6A6"/>
            </w:tcBorders>
            <w:gridSpan w:val="4"/>
          </w:tcPr>
          <w:p>
            <w:pPr>
              <w:jc w:val="right"/>
              <w:spacing w:after="0"/>
              <w:rPr>
                <w:sz w:val="20"/>
                <w:szCs w:val="20"/>
                <w:color w:val="auto"/>
              </w:rPr>
            </w:pPr>
            <w:r>
              <w:rPr>
                <w:rFonts w:ascii="Arial" w:cs="Arial" w:eastAsia="Arial" w:hAnsi="Arial"/>
                <w:sz w:val="16"/>
                <w:szCs w:val="16"/>
                <w:color w:val="auto"/>
              </w:rPr>
              <w:t>10,880</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3,663</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7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4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w w:val="89"/>
              </w:rPr>
              <w:t>7,331</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Corporate and Other</w:t>
            </w:r>
          </w:p>
        </w:tc>
        <w:tc>
          <w:tcPr>
            <w:tcW w:w="16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600" w:type="dxa"/>
            <w:vAlign w:val="bottom"/>
            <w:tcBorders>
              <w:bottom w:val="single" w:sz="8" w:color="004483"/>
            </w:tcBorders>
          </w:tcPr>
          <w:p>
            <w:pPr>
              <w:spacing w:after="0"/>
              <w:rPr>
                <w:sz w:val="22"/>
                <w:szCs w:val="22"/>
                <w:color w:val="auto"/>
              </w:rPr>
            </w:pP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800" w:type="dxa"/>
            <w:vAlign w:val="bottom"/>
            <w:tcBorders>
              <w:bottom w:val="single" w:sz="8" w:color="004483"/>
            </w:tcBorders>
          </w:tcPr>
          <w:p>
            <w:pPr>
              <w:spacing w:after="0"/>
              <w:rPr>
                <w:sz w:val="22"/>
                <w:szCs w:val="22"/>
                <w:color w:val="auto"/>
              </w:rPr>
            </w:pPr>
          </w:p>
        </w:tc>
        <w:tc>
          <w:tcPr>
            <w:tcW w:w="4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w w:val="89"/>
              </w:rPr>
              <w:t>1,475</w:t>
            </w:r>
          </w:p>
        </w:tc>
        <w:tc>
          <w:tcPr>
            <w:tcW w:w="8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540" w:type="dxa"/>
            <w:vAlign w:val="bottom"/>
            <w:tcBorders>
              <w:bottom w:val="single" w:sz="8" w:color="004483"/>
            </w:tcBorders>
          </w:tcPr>
          <w:p>
            <w:pPr>
              <w:spacing w:after="0"/>
              <w:rPr>
                <w:sz w:val="22"/>
                <w:szCs w:val="2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32,162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gridSpan w:val="4"/>
          </w:tcPr>
          <w:p>
            <w:pPr>
              <w:jc w:val="right"/>
              <w:spacing w:after="0"/>
              <w:rPr>
                <w:sz w:val="20"/>
                <w:szCs w:val="20"/>
                <w:color w:val="auto"/>
              </w:rPr>
            </w:pPr>
            <w:r>
              <w:rPr>
                <w:rFonts w:ascii="Arial" w:cs="Arial" w:eastAsia="Arial" w:hAnsi="Arial"/>
                <w:sz w:val="16"/>
                <w:szCs w:val="16"/>
                <w:b w:val="1"/>
                <w:bCs w:val="1"/>
                <w:color w:val="auto"/>
              </w:rPr>
              <w:t>64,284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63,978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tcBorders>
              <w:bottom w:val="single" w:sz="8" w:color="A6A6A6"/>
            </w:tcBorders>
            <w:gridSpan w:val="2"/>
          </w:tcPr>
          <w:p>
            <w:pPr>
              <w:spacing w:after="0"/>
              <w:rPr>
                <w:sz w:val="21"/>
                <w:szCs w:val="21"/>
                <w:color w:val="auto"/>
              </w:rPr>
            </w:pPr>
          </w:p>
        </w:tc>
        <w:tc>
          <w:tcPr>
            <w:tcW w:w="160" w:type="dxa"/>
            <w:vAlign w:val="bottom"/>
            <w:tcBorders>
              <w:bottom w:val="single" w:sz="8" w:color="A6A6A6"/>
            </w:tcBorders>
          </w:tcPr>
          <w:p>
            <w:pPr>
              <w:spacing w:after="0"/>
              <w:rPr>
                <w:sz w:val="21"/>
                <w:szCs w:val="21"/>
                <w:color w:val="auto"/>
              </w:rPr>
            </w:pPr>
          </w:p>
        </w:tc>
        <w:tc>
          <w:tcPr>
            <w:tcW w:w="116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6A6A6"/>
            </w:tcBorders>
          </w:tcPr>
          <w:p>
            <w:pPr>
              <w:spacing w:after="0"/>
              <w:rPr>
                <w:sz w:val="21"/>
                <w:szCs w:val="21"/>
                <w:color w:val="auto"/>
              </w:rPr>
            </w:pPr>
          </w:p>
        </w:tc>
        <w:tc>
          <w:tcPr>
            <w:tcW w:w="600" w:type="dxa"/>
            <w:vAlign w:val="bottom"/>
            <w:tcBorders>
              <w:bottom w:val="single" w:sz="8" w:color="A6A6A6"/>
            </w:tcBorders>
          </w:tcPr>
          <w:p>
            <w:pPr>
              <w:spacing w:after="0"/>
              <w:rPr>
                <w:sz w:val="21"/>
                <w:szCs w:val="21"/>
                <w:color w:val="auto"/>
              </w:rPr>
            </w:pPr>
          </w:p>
        </w:tc>
        <w:tc>
          <w:tcPr>
            <w:tcW w:w="240" w:type="dxa"/>
            <w:vAlign w:val="bottom"/>
            <w:tcBorders>
              <w:bottom w:val="single" w:sz="8" w:color="A6A6A6"/>
            </w:tcBorders>
          </w:tcPr>
          <w:p>
            <w:pPr>
              <w:spacing w:after="0"/>
              <w:rPr>
                <w:sz w:val="21"/>
                <w:szCs w:val="21"/>
                <w:color w:val="auto"/>
              </w:rPr>
            </w:pPr>
          </w:p>
        </w:tc>
        <w:tc>
          <w:tcPr>
            <w:tcW w:w="48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100" w:type="dxa"/>
            <w:vAlign w:val="bottom"/>
            <w:tcBorders>
              <w:bottom w:val="single" w:sz="8" w:color="A6A6A6"/>
            </w:tcBorders>
          </w:tcPr>
          <w:p>
            <w:pPr>
              <w:spacing w:after="0"/>
              <w:rPr>
                <w:sz w:val="21"/>
                <w:szCs w:val="21"/>
                <w:color w:val="auto"/>
              </w:rPr>
            </w:pPr>
          </w:p>
        </w:tc>
        <w:tc>
          <w:tcPr>
            <w:tcW w:w="800" w:type="dxa"/>
            <w:vAlign w:val="bottom"/>
            <w:tcBorders>
              <w:bottom w:val="single" w:sz="8" w:color="A6A6A6"/>
            </w:tcBorders>
          </w:tcPr>
          <w:p>
            <w:pPr>
              <w:spacing w:after="0"/>
              <w:rPr>
                <w:sz w:val="21"/>
                <w:szCs w:val="21"/>
                <w:color w:val="auto"/>
              </w:rPr>
            </w:pPr>
          </w:p>
        </w:tc>
        <w:tc>
          <w:tcPr>
            <w:tcW w:w="100" w:type="dxa"/>
            <w:vAlign w:val="bottom"/>
            <w:tcBorders>
              <w:bottom w:val="single" w:sz="8" w:color="A6A6A6"/>
            </w:tcBorders>
          </w:tcPr>
          <w:p>
            <w:pPr>
              <w:spacing w:after="0"/>
              <w:rPr>
                <w:sz w:val="21"/>
                <w:szCs w:val="21"/>
                <w:color w:val="auto"/>
              </w:rPr>
            </w:pPr>
          </w:p>
        </w:tc>
        <w:tc>
          <w:tcPr>
            <w:tcW w:w="200" w:type="dxa"/>
            <w:vAlign w:val="bottom"/>
            <w:tcBorders>
              <w:bottom w:val="single" w:sz="8" w:color="A6A6A6"/>
            </w:tcBorders>
          </w:tcPr>
          <w:p>
            <w:pPr>
              <w:spacing w:after="0"/>
              <w:rPr>
                <w:sz w:val="21"/>
                <w:szCs w:val="21"/>
                <w:color w:val="auto"/>
              </w:rPr>
            </w:pPr>
          </w:p>
        </w:tc>
        <w:tc>
          <w:tcPr>
            <w:tcW w:w="100" w:type="dxa"/>
            <w:vAlign w:val="bottom"/>
            <w:tcBorders>
              <w:bottom w:val="single" w:sz="8" w:color="A6A6A6"/>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6A6A6"/>
            </w:tcBorders>
          </w:tcPr>
          <w:p>
            <w:pPr>
              <w:spacing w:after="0"/>
              <w:rPr>
                <w:sz w:val="21"/>
                <w:szCs w:val="21"/>
                <w:color w:val="auto"/>
              </w:rPr>
            </w:pPr>
          </w:p>
        </w:tc>
        <w:tc>
          <w:tcPr>
            <w:tcW w:w="540" w:type="dxa"/>
            <w:vAlign w:val="bottom"/>
            <w:tcBorders>
              <w:bottom w:val="single" w:sz="8" w:color="A6A6A6"/>
            </w:tcBorders>
          </w:tcPr>
          <w:p>
            <w:pPr>
              <w:spacing w:after="0"/>
              <w:rPr>
                <w:sz w:val="21"/>
                <w:szCs w:val="21"/>
                <w:color w:val="auto"/>
              </w:rPr>
            </w:pPr>
          </w:p>
        </w:tc>
        <w:tc>
          <w:tcPr>
            <w:tcW w:w="76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40" w:type="dxa"/>
            <w:vAlign w:val="bottom"/>
            <w:gridSpan w:val="2"/>
          </w:tcPr>
          <w:p>
            <w:pPr>
              <w:ind w:left="20"/>
              <w:spacing w:after="0"/>
              <w:rPr>
                <w:sz w:val="20"/>
                <w:szCs w:val="20"/>
                <w:color w:val="auto"/>
              </w:rPr>
            </w:pPr>
            <w:r>
              <w:rPr>
                <w:rFonts w:ascii="Arial" w:cs="Arial" w:eastAsia="Arial" w:hAnsi="Arial"/>
                <w:sz w:val="16"/>
                <w:szCs w:val="16"/>
                <w:b w:val="1"/>
                <w:bCs w:val="1"/>
                <w:color w:val="auto"/>
              </w:rPr>
              <w:t>Discontinued Operations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2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22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66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6A6A6"/>
            </w:tcBorders>
            <w:gridSpan w:val="2"/>
          </w:tcPr>
          <w:p>
            <w:pPr>
              <w:ind w:left="200"/>
              <w:spacing w:after="0"/>
              <w:rPr>
                <w:sz w:val="20"/>
                <w:szCs w:val="20"/>
                <w:color w:val="auto"/>
              </w:rPr>
            </w:pPr>
            <w:r>
              <w:rPr>
                <w:rFonts w:ascii="Arial" w:cs="Arial" w:eastAsia="Arial" w:hAnsi="Arial"/>
                <w:sz w:val="16"/>
                <w:szCs w:val="16"/>
                <w:color w:val="004483"/>
              </w:rPr>
              <w:t>Capital Expenditures</w:t>
            </w:r>
          </w:p>
        </w:tc>
        <w:tc>
          <w:tcPr>
            <w:tcW w:w="160" w:type="dxa"/>
            <w:vAlign w:val="bottom"/>
            <w:tcBorders>
              <w:top w:val="single" w:sz="8" w:color="A6A6A6"/>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740" w:type="dxa"/>
            <w:vAlign w:val="bottom"/>
            <w:tcBorders>
              <w:top w:val="single" w:sz="8" w:color="A6A6A6"/>
            </w:tcBorders>
            <w:gridSpan w:val="2"/>
          </w:tcPr>
          <w:p>
            <w:pPr>
              <w:jc w:val="right"/>
              <w:ind w:right="419"/>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6A6A6"/>
            </w:tcBorders>
          </w:tcPr>
          <w:p>
            <w:pPr>
              <w:spacing w:after="0"/>
              <w:rPr>
                <w:sz w:val="19"/>
                <w:szCs w:val="19"/>
                <w:color w:val="auto"/>
              </w:rPr>
            </w:pPr>
          </w:p>
        </w:tc>
        <w:tc>
          <w:tcPr>
            <w:tcW w:w="48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6A6A6"/>
            </w:tcBorders>
          </w:tcPr>
          <w:p>
            <w:pPr>
              <w:spacing w:after="0"/>
              <w:rPr>
                <w:sz w:val="19"/>
                <w:szCs w:val="19"/>
                <w:color w:val="auto"/>
              </w:rPr>
            </w:pPr>
          </w:p>
        </w:tc>
        <w:tc>
          <w:tcPr>
            <w:tcW w:w="100" w:type="dxa"/>
            <w:vAlign w:val="bottom"/>
            <w:tcBorders>
              <w:top w:val="single" w:sz="8" w:color="A6A6A6"/>
            </w:tcBorders>
          </w:tcPr>
          <w:p>
            <w:pPr>
              <w:spacing w:after="0"/>
              <w:rPr>
                <w:sz w:val="19"/>
                <w:szCs w:val="19"/>
                <w:color w:val="auto"/>
              </w:rPr>
            </w:pPr>
          </w:p>
        </w:tc>
        <w:tc>
          <w:tcPr>
            <w:tcW w:w="30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660" w:type="dxa"/>
            <w:vAlign w:val="bottom"/>
            <w:tcBorders>
              <w:top w:val="single" w:sz="8" w:color="A6A6A6"/>
            </w:tcBorders>
            <w:gridSpan w:val="2"/>
          </w:tcPr>
          <w:p>
            <w:pPr>
              <w:jc w:val="right"/>
              <w:ind w:right="359"/>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6A6A6"/>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top w:val="single" w:sz="8" w:color="004483"/>
              <w:bottom w:val="single" w:sz="8" w:color="004483"/>
            </w:tcBorders>
          </w:tcPr>
          <w:p>
            <w:pPr>
              <w:spacing w:after="0" w:line="20" w:lineRule="exact"/>
              <w:rPr>
                <w:sz w:val="1"/>
                <w:szCs w:val="1"/>
                <w:color w:val="auto"/>
              </w:rPr>
            </w:pPr>
          </w:p>
        </w:tc>
        <w:tc>
          <w:tcPr>
            <w:tcW w:w="11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600" w:type="dxa"/>
            <w:vAlign w:val="bottom"/>
            <w:tcBorders>
              <w:top w:val="single" w:sz="8" w:color="004483"/>
              <w:bottom w:val="single" w:sz="8" w:color="004483"/>
            </w:tcBorders>
          </w:tcPr>
          <w:p>
            <w:pPr>
              <w:spacing w:after="0" w:line="20" w:lineRule="exact"/>
              <w:rPr>
                <w:sz w:val="1"/>
                <w:szCs w:val="1"/>
                <w:color w:val="auto"/>
              </w:rPr>
            </w:pPr>
          </w:p>
        </w:tc>
        <w:tc>
          <w:tcPr>
            <w:tcW w:w="240" w:type="dxa"/>
            <w:vAlign w:val="bottom"/>
            <w:tcBorders>
              <w:top w:val="single" w:sz="8" w:color="004483"/>
              <w:bottom w:val="single" w:sz="8" w:color="004483"/>
            </w:tcBorders>
          </w:tcPr>
          <w:p>
            <w:pPr>
              <w:spacing w:after="0" w:line="20" w:lineRule="exact"/>
              <w:rPr>
                <w:sz w:val="1"/>
                <w:szCs w:val="1"/>
                <w:color w:val="auto"/>
              </w:rPr>
            </w:pPr>
          </w:p>
        </w:tc>
        <w:tc>
          <w:tcPr>
            <w:tcW w:w="48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8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2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Borders>
              <w:top w:val="single" w:sz="8" w:color="004483"/>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40" w:type="dxa"/>
            <w:vAlign w:val="bottom"/>
            <w:tcBorders>
              <w:top w:val="single" w:sz="8" w:color="004483"/>
              <w:bottom w:val="single" w:sz="8" w:color="004483"/>
            </w:tcBorders>
          </w:tcPr>
          <w:p>
            <w:pPr>
              <w:spacing w:after="0" w:line="20" w:lineRule="exact"/>
              <w:rPr>
                <w:sz w:val="1"/>
                <w:szCs w:val="1"/>
                <w:color w:val="auto"/>
              </w:rPr>
            </w:pPr>
          </w:p>
        </w:tc>
        <w:tc>
          <w:tcPr>
            <w:tcW w:w="7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160" w:type="dxa"/>
            <w:vAlign w:val="bottom"/>
            <w:tcBorders>
              <w:bottom w:val="single" w:sz="8" w:color="004483"/>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3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A6A6A6"/>
            </w:tcBorders>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c>
          <w:tcPr>
            <w:tcW w:w="80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w w:val="85"/>
              </w:rPr>
              <w:t>September 30,</w:t>
            </w:r>
          </w:p>
        </w:tc>
        <w:tc>
          <w:tcPr>
            <w:tcW w:w="100" w:type="dxa"/>
            <w:vAlign w:val="bottom"/>
            <w:shd w:val="clear" w:color="auto" w:fill="004483"/>
          </w:tcPr>
          <w:p>
            <w:pPr>
              <w:spacing w:after="0"/>
              <w:rPr>
                <w:sz w:val="16"/>
                <w:szCs w:val="16"/>
                <w:color w:val="auto"/>
              </w:rPr>
            </w:pPr>
          </w:p>
        </w:tc>
        <w:tc>
          <w:tcPr>
            <w:tcW w:w="20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c>
          <w:tcPr>
            <w:tcW w:w="80" w:type="dxa"/>
            <w:vAlign w:val="bottom"/>
            <w:shd w:val="clear" w:color="auto" w:fill="004483"/>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540" w:type="dxa"/>
            <w:vAlign w:val="bottom"/>
            <w:shd w:val="clear" w:color="auto" w:fill="004483"/>
          </w:tcPr>
          <w:p>
            <w:pPr>
              <w:spacing w:after="0"/>
              <w:rPr>
                <w:sz w:val="16"/>
                <w:szCs w:val="16"/>
                <w:color w:val="auto"/>
              </w:rPr>
            </w:pP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0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116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600" w:type="dxa"/>
            <w:vAlign w:val="bottom"/>
            <w:tcBorders>
              <w:bottom w:val="single" w:sz="8" w:color="004483"/>
            </w:tcBorders>
          </w:tcPr>
          <w:p>
            <w:pPr>
              <w:spacing w:after="0"/>
              <w:rPr>
                <w:sz w:val="19"/>
                <w:szCs w:val="19"/>
                <w:color w:val="auto"/>
              </w:rPr>
            </w:pPr>
          </w:p>
        </w:tc>
        <w:tc>
          <w:tcPr>
            <w:tcW w:w="240" w:type="dxa"/>
            <w:vAlign w:val="bottom"/>
            <w:tcBorders>
              <w:bottom w:val="single" w:sz="8" w:color="004483"/>
            </w:tcBorders>
          </w:tcPr>
          <w:p>
            <w:pPr>
              <w:spacing w:after="0"/>
              <w:rPr>
                <w:sz w:val="19"/>
                <w:szCs w:val="19"/>
                <w:color w:val="auto"/>
              </w:rPr>
            </w:pPr>
          </w:p>
        </w:tc>
        <w:tc>
          <w:tcPr>
            <w:tcW w:w="48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940" w:type="dxa"/>
            <w:vAlign w:val="bottom"/>
            <w:tcBorders>
              <w:bottom w:val="single" w:sz="8" w:color="004483"/>
            </w:tcBorders>
            <w:gridSpan w:val="7"/>
          </w:tcPr>
          <w:p>
            <w:pPr>
              <w:jc w:val="right"/>
              <w:ind w:right="37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200"/>
              <w:spacing w:after="0"/>
              <w:rPr>
                <w:sz w:val="20"/>
                <w:szCs w:val="20"/>
                <w:color w:val="auto"/>
              </w:rPr>
            </w:pPr>
            <w:r>
              <w:rPr>
                <w:rFonts w:ascii="Arial" w:cs="Arial" w:eastAsia="Arial" w:hAnsi="Arial"/>
                <w:sz w:val="16"/>
                <w:szCs w:val="16"/>
                <w:color w:val="004483"/>
              </w:rPr>
              <w:t>Cement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1,889,037</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1,898,930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16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600" w:type="dxa"/>
            <w:vAlign w:val="bottom"/>
            <w:tcBorders>
              <w:top w:val="single" w:sz="8" w:color="A6A6A6"/>
              <w:bottom w:val="single" w:sz="8" w:color="A6A6A6"/>
            </w:tcBorders>
          </w:tcPr>
          <w:p>
            <w:pPr>
              <w:spacing w:after="0"/>
              <w:rPr>
                <w:sz w:val="19"/>
                <w:szCs w:val="19"/>
                <w:color w:val="auto"/>
              </w:rPr>
            </w:pPr>
          </w:p>
        </w:tc>
        <w:tc>
          <w:tcPr>
            <w:tcW w:w="240" w:type="dxa"/>
            <w:vAlign w:val="bottom"/>
            <w:tcBorders>
              <w:top w:val="single" w:sz="8" w:color="A6A6A6"/>
              <w:bottom w:val="single" w:sz="8" w:color="A6A6A6"/>
            </w:tcBorders>
          </w:tcPr>
          <w:p>
            <w:pPr>
              <w:spacing w:after="0"/>
              <w:rPr>
                <w:sz w:val="19"/>
                <w:szCs w:val="19"/>
                <w:color w:val="auto"/>
              </w:rPr>
            </w:pPr>
          </w:p>
        </w:tc>
        <w:tc>
          <w:tcPr>
            <w:tcW w:w="48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93,550</w:t>
            </w:r>
          </w:p>
        </w:tc>
        <w:tc>
          <w:tcPr>
            <w:tcW w:w="100" w:type="dxa"/>
            <w:vAlign w:val="bottom"/>
          </w:tcPr>
          <w:p>
            <w:pPr>
              <w:spacing w:after="0"/>
              <w:rPr>
                <w:sz w:val="19"/>
                <w:szCs w:val="19"/>
                <w:color w:val="auto"/>
              </w:rPr>
            </w:pPr>
          </w:p>
        </w:tc>
        <w:tc>
          <w:tcPr>
            <w:tcW w:w="200" w:type="dxa"/>
            <w:vAlign w:val="bottom"/>
            <w:tcBorders>
              <w:top w:val="single" w:sz="8" w:color="A6A6A6"/>
              <w:bottom w:val="single" w:sz="8" w:color="A6A6A6"/>
            </w:tcBorders>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8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54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88,410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366,276</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366,352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160" w:type="dxa"/>
            <w:vAlign w:val="bottom"/>
            <w:tcBorders>
              <w:bottom w:val="single" w:sz="8" w:color="A6A6A6"/>
            </w:tcBorders>
          </w:tcPr>
          <w:p>
            <w:pPr>
              <w:spacing w:after="0"/>
              <w:rPr>
                <w:sz w:val="19"/>
                <w:szCs w:val="19"/>
                <w:color w:val="auto"/>
              </w:rPr>
            </w:pPr>
          </w:p>
        </w:tc>
        <w:tc>
          <w:tcPr>
            <w:tcW w:w="116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600" w:type="dxa"/>
            <w:vAlign w:val="bottom"/>
            <w:tcBorders>
              <w:bottom w:val="single" w:sz="8" w:color="A6A6A6"/>
            </w:tcBorders>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48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185,641</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100" w:type="dxa"/>
            <w:vAlign w:val="bottom"/>
            <w:tcBorders>
              <w:bottom w:val="single" w:sz="8" w:color="A6A6A6"/>
            </w:tcBorders>
          </w:tcPr>
          <w:p>
            <w:pPr>
              <w:spacing w:after="0"/>
              <w:rPr>
                <w:sz w:val="19"/>
                <w:szCs w:val="19"/>
                <w:color w:val="auto"/>
              </w:rPr>
            </w:pPr>
          </w:p>
        </w:tc>
        <w:tc>
          <w:tcPr>
            <w:tcW w:w="8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40" w:type="dxa"/>
            <w:vAlign w:val="bottom"/>
            <w:tcBorders>
              <w:bottom w:val="single" w:sz="8" w:color="A6A6A6"/>
            </w:tcBorders>
          </w:tcPr>
          <w:p>
            <w:pPr>
              <w:spacing w:after="0"/>
              <w:rPr>
                <w:sz w:val="19"/>
                <w:szCs w:val="19"/>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186,156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net</w:t>
            </w:r>
          </w:p>
        </w:tc>
        <w:tc>
          <w:tcPr>
            <w:tcW w:w="160" w:type="dxa"/>
            <w:vAlign w:val="bottom"/>
            <w:tcBorders>
              <w:bottom w:val="single" w:sz="8" w:color="A6A6A6"/>
            </w:tcBorders>
          </w:tcPr>
          <w:p>
            <w:pPr>
              <w:spacing w:after="0"/>
              <w:rPr>
                <w:sz w:val="22"/>
                <w:szCs w:val="22"/>
                <w:color w:val="auto"/>
              </w:rPr>
            </w:pPr>
          </w:p>
        </w:tc>
        <w:tc>
          <w:tcPr>
            <w:tcW w:w="1160" w:type="dxa"/>
            <w:vAlign w:val="bottom"/>
            <w:tcBorders>
              <w:bottom w:val="single" w:sz="8" w:color="A6A6A6"/>
            </w:tcBorders>
          </w:tcPr>
          <w:p>
            <w:pPr>
              <w:spacing w:after="0"/>
              <w:rPr>
                <w:sz w:val="22"/>
                <w:szCs w:val="22"/>
                <w:color w:val="auto"/>
              </w:rPr>
            </w:pPr>
          </w:p>
        </w:tc>
        <w:tc>
          <w:tcPr>
            <w:tcW w:w="100" w:type="dxa"/>
            <w:vAlign w:val="bottom"/>
            <w:tcBorders>
              <w:bottom w:val="single" w:sz="8" w:color="A6A6A6"/>
            </w:tcBorders>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600" w:type="dxa"/>
            <w:vAlign w:val="bottom"/>
            <w:tcBorders>
              <w:bottom w:val="single" w:sz="8" w:color="A6A6A6"/>
            </w:tcBorders>
          </w:tcPr>
          <w:p>
            <w:pPr>
              <w:spacing w:after="0"/>
              <w:rPr>
                <w:sz w:val="22"/>
                <w:szCs w:val="22"/>
                <w:color w:val="auto"/>
              </w:rPr>
            </w:pPr>
          </w:p>
        </w:tc>
        <w:tc>
          <w:tcPr>
            <w:tcW w:w="240" w:type="dxa"/>
            <w:vAlign w:val="bottom"/>
            <w:tcBorders>
              <w:bottom w:val="single" w:sz="8" w:color="A6A6A6"/>
            </w:tcBorders>
          </w:tcPr>
          <w:p>
            <w:pPr>
              <w:spacing w:after="0"/>
              <w:rPr>
                <w:sz w:val="22"/>
                <w:szCs w:val="22"/>
                <w:color w:val="auto"/>
              </w:rPr>
            </w:pPr>
          </w:p>
        </w:tc>
        <w:tc>
          <w:tcPr>
            <w:tcW w:w="480" w:type="dxa"/>
            <w:vAlign w:val="bottom"/>
            <w:tcBorders>
              <w:bottom w:val="single" w:sz="8" w:color="004483"/>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120" w:type="dxa"/>
            <w:vAlign w:val="bottom"/>
            <w:tcBorders>
              <w:bottom w:val="single" w:sz="8" w:color="004483"/>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85,324</w:t>
            </w:r>
          </w:p>
        </w:tc>
        <w:tc>
          <w:tcPr>
            <w:tcW w:w="100" w:type="dxa"/>
            <w:vAlign w:val="bottom"/>
          </w:tcPr>
          <w:p>
            <w:pPr>
              <w:spacing w:after="0"/>
              <w:rPr>
                <w:sz w:val="22"/>
                <w:szCs w:val="22"/>
                <w:color w:val="auto"/>
              </w:rPr>
            </w:pPr>
          </w:p>
        </w:tc>
        <w:tc>
          <w:tcPr>
            <w:tcW w:w="200" w:type="dxa"/>
            <w:vAlign w:val="bottom"/>
            <w:tcBorders>
              <w:bottom w:val="single" w:sz="8" w:color="A6A6A6"/>
            </w:tcBorders>
          </w:tcPr>
          <w:p>
            <w:pPr>
              <w:spacing w:after="0"/>
              <w:rPr>
                <w:sz w:val="22"/>
                <w:szCs w:val="22"/>
                <w:color w:val="auto"/>
              </w:rPr>
            </w:pPr>
          </w:p>
        </w:tc>
        <w:tc>
          <w:tcPr>
            <w:tcW w:w="100" w:type="dxa"/>
            <w:vAlign w:val="bottom"/>
            <w:tcBorders>
              <w:bottom w:val="single" w:sz="8" w:color="004483"/>
            </w:tcBorders>
          </w:tcPr>
          <w:p>
            <w:pPr>
              <w:spacing w:after="0"/>
              <w:rPr>
                <w:sz w:val="22"/>
                <w:szCs w:val="22"/>
                <w:color w:val="auto"/>
              </w:rPr>
            </w:pPr>
          </w:p>
        </w:tc>
        <w:tc>
          <w:tcPr>
            <w:tcW w:w="80" w:type="dxa"/>
            <w:vAlign w:val="bottom"/>
            <w:tcBorders>
              <w:bottom w:val="single" w:sz="8" w:color="004483"/>
            </w:tcBorders>
          </w:tcPr>
          <w:p>
            <w:pPr>
              <w:spacing w:after="0"/>
              <w:rPr>
                <w:sz w:val="22"/>
                <w:szCs w:val="22"/>
                <w:color w:val="auto"/>
              </w:rPr>
            </w:pPr>
          </w:p>
        </w:tc>
        <w:tc>
          <w:tcPr>
            <w:tcW w:w="120" w:type="dxa"/>
            <w:vAlign w:val="bottom"/>
            <w:tcBorders>
              <w:bottom w:val="single" w:sz="8" w:color="004483"/>
            </w:tcBorders>
          </w:tcPr>
          <w:p>
            <w:pPr>
              <w:spacing w:after="0"/>
              <w:rPr>
                <w:sz w:val="22"/>
                <w:szCs w:val="22"/>
                <w:color w:val="auto"/>
              </w:rPr>
            </w:pPr>
          </w:p>
        </w:tc>
        <w:tc>
          <w:tcPr>
            <w:tcW w:w="540" w:type="dxa"/>
            <w:vAlign w:val="bottom"/>
            <w:tcBorders>
              <w:bottom w:val="single" w:sz="8" w:color="004483"/>
            </w:tcBorders>
          </w:tcPr>
          <w:p>
            <w:pPr>
              <w:spacing w:after="0"/>
              <w:rPr>
                <w:sz w:val="22"/>
                <w:szCs w:val="22"/>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298,833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100" w:type="dxa"/>
            <w:vAlign w:val="bottom"/>
            <w:tcBorders>
              <w:bottom w:val="single" w:sz="8" w:color="004483"/>
            </w:tcBorders>
          </w:tcPr>
          <w:p>
            <w:pPr>
              <w:spacing w:after="0"/>
              <w:rPr>
                <w:sz w:val="18"/>
                <w:szCs w:val="18"/>
                <w:color w:val="auto"/>
              </w:rPr>
            </w:pP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2,619,828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bottom w:val="single" w:sz="8" w:color="004483"/>
            </w:tcBorders>
          </w:tcPr>
          <w:p>
            <w:pPr>
              <w:spacing w:after="0"/>
              <w:rPr>
                <w:sz w:val="18"/>
                <w:szCs w:val="18"/>
                <w:color w:val="auto"/>
              </w:rPr>
            </w:pPr>
          </w:p>
        </w:tc>
        <w:tc>
          <w:tcPr>
            <w:tcW w:w="120" w:type="dxa"/>
            <w:vAlign w:val="bottom"/>
            <w:tcBorders>
              <w:bottom w:val="single" w:sz="8" w:color="004483"/>
            </w:tcBorders>
          </w:tcPr>
          <w:p>
            <w:pPr>
              <w:spacing w:after="0"/>
              <w:rPr>
                <w:sz w:val="18"/>
                <w:szCs w:val="18"/>
                <w:color w:val="auto"/>
              </w:rPr>
            </w:pPr>
          </w:p>
        </w:tc>
        <w:tc>
          <w:tcPr>
            <w:tcW w:w="540" w:type="dxa"/>
            <w:vAlign w:val="bottom"/>
            <w:tcBorders>
              <w:bottom w:val="single" w:sz="8" w:color="004483"/>
            </w:tcBorders>
          </w:tcPr>
          <w:p>
            <w:pPr>
              <w:spacing w:after="0"/>
              <w:rPr>
                <w:sz w:val="18"/>
                <w:szCs w:val="18"/>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2,838,681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8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20" w:name="page21"/>
    <w:bookmarkEnd w:id="20"/>
    <w:p>
      <w:pPr>
        <w:ind w:right="80"/>
        <w:spacing w:after="0" w:line="285"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primarily of cash and cash equivalents, general office assets, and miscellaneous other assets.</w:t>
      </w:r>
    </w:p>
    <w:p>
      <w:pPr>
        <w:spacing w:after="0" w:line="9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segment breakdown of Goodwill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460" w:type="dxa"/>
            <w:vAlign w:val="bottom"/>
            <w:shd w:val="clear" w:color="auto" w:fill="004483"/>
          </w:tcPr>
          <w:p>
            <w:pPr>
              <w:spacing w:after="0"/>
              <w:rPr>
                <w:sz w:val="16"/>
                <w:szCs w:val="16"/>
                <w:color w:val="auto"/>
              </w:rPr>
            </w:pPr>
          </w:p>
        </w:tc>
        <w:tc>
          <w:tcPr>
            <w:tcW w:w="11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6"/>
                <w:szCs w:val="16"/>
                <w:color w:val="auto"/>
              </w:rPr>
            </w:pPr>
          </w:p>
        </w:tc>
        <w:tc>
          <w:tcPr>
            <w:tcW w:w="200" w:type="dxa"/>
            <w:vAlign w:val="bottom"/>
            <w:shd w:val="clear" w:color="auto" w:fill="004483"/>
          </w:tcPr>
          <w:p>
            <w:pPr>
              <w:spacing w:after="0"/>
              <w:rPr>
                <w:sz w:val="16"/>
                <w:szCs w:val="16"/>
                <w:color w:val="auto"/>
              </w:rPr>
            </w:pPr>
          </w:p>
        </w:tc>
        <w:tc>
          <w:tcPr>
            <w:tcW w:w="700" w:type="dxa"/>
            <w:vAlign w:val="bottom"/>
            <w:shd w:val="clear" w:color="auto" w:fill="004483"/>
          </w:tcPr>
          <w:p>
            <w:pPr>
              <w:spacing w:after="0"/>
              <w:rPr>
                <w:sz w:val="16"/>
                <w:szCs w:val="16"/>
                <w:color w:val="auto"/>
              </w:rPr>
            </w:pPr>
          </w:p>
        </w:tc>
        <w:tc>
          <w:tcPr>
            <w:tcW w:w="100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225"/>
        </w:trPr>
        <w:tc>
          <w:tcPr>
            <w:tcW w:w="7640" w:type="dxa"/>
            <w:vAlign w:val="bottom"/>
            <w:tcBorders>
              <w:bottom w:val="single" w:sz="8" w:color="004483"/>
            </w:tcBorders>
          </w:tcPr>
          <w:p>
            <w:pPr>
              <w:spacing w:after="0"/>
              <w:rPr>
                <w:sz w:val="19"/>
                <w:szCs w:val="19"/>
                <w:color w:val="auto"/>
              </w:rPr>
            </w:pPr>
          </w:p>
        </w:tc>
        <w:tc>
          <w:tcPr>
            <w:tcW w:w="460" w:type="dxa"/>
            <w:vAlign w:val="bottom"/>
            <w:tcBorders>
              <w:bottom w:val="single" w:sz="8" w:color="004483"/>
            </w:tcBorders>
          </w:tcPr>
          <w:p>
            <w:pPr>
              <w:spacing w:after="0"/>
              <w:rPr>
                <w:sz w:val="19"/>
                <w:szCs w:val="19"/>
                <w:color w:val="auto"/>
              </w:rPr>
            </w:pPr>
          </w:p>
        </w:tc>
        <w:tc>
          <w:tcPr>
            <w:tcW w:w="2140" w:type="dxa"/>
            <w:vAlign w:val="bottom"/>
            <w:tcBorders>
              <w:bottom w:val="single" w:sz="8" w:color="004483"/>
            </w:tcBorders>
            <w:gridSpan w:val="4"/>
          </w:tcPr>
          <w:p>
            <w:pPr>
              <w:jc w:val="right"/>
              <w:ind w:right="239"/>
              <w:spacing w:after="0"/>
              <w:rPr>
                <w:sz w:val="20"/>
                <w:szCs w:val="20"/>
                <w:color w:val="auto"/>
              </w:rPr>
            </w:pPr>
            <w:r>
              <w:rPr>
                <w:rFonts w:ascii="Arial" w:cs="Arial" w:eastAsia="Arial" w:hAnsi="Arial"/>
                <w:sz w:val="13"/>
                <w:szCs w:val="13"/>
                <w:color w:val="auto"/>
              </w:rPr>
              <w:t>(dollars in thousands)</w:t>
            </w:r>
          </w:p>
        </w:tc>
        <w:tc>
          <w:tcPr>
            <w:tcW w:w="90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004483"/>
              </w:rPr>
              <w:t>Cement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0" w:type="dxa"/>
            <w:vAlign w:val="bottom"/>
            <w:gridSpan w:val="3"/>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 w:type="dxa"/>
            <w:vAlign w:val="bottom"/>
          </w:tcPr>
          <w:p>
            <w:pPr>
              <w:spacing w:after="0"/>
              <w:rPr>
                <w:sz w:val="19"/>
                <w:szCs w:val="19"/>
                <w:color w:val="auto"/>
              </w:rPr>
            </w:pPr>
          </w:p>
        </w:tc>
      </w:tr>
      <w:tr>
        <w:trPr>
          <w:trHeight w:val="223"/>
        </w:trPr>
        <w:tc>
          <w:tcPr>
            <w:tcW w:w="76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460" w:type="dxa"/>
            <w:vAlign w:val="bottom"/>
            <w:tcBorders>
              <w:top w:val="single" w:sz="8" w:color="A6A6A6"/>
              <w:bottom w:val="single" w:sz="8" w:color="A6A6A6"/>
            </w:tcBorders>
          </w:tcPr>
          <w:p>
            <w:pPr>
              <w:spacing w:after="0"/>
              <w:rPr>
                <w:sz w:val="19"/>
                <w:szCs w:val="19"/>
                <w:color w:val="auto"/>
              </w:rPr>
            </w:pPr>
          </w:p>
        </w:tc>
        <w:tc>
          <w:tcPr>
            <w:tcW w:w="11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9"/>
                <w:szCs w:val="19"/>
                <w:color w:val="auto"/>
              </w:rPr>
            </w:pPr>
          </w:p>
        </w:tc>
        <w:tc>
          <w:tcPr>
            <w:tcW w:w="20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60" w:type="dxa"/>
            <w:vAlign w:val="bottom"/>
            <w:tcBorders>
              <w:bottom w:val="single" w:sz="8" w:color="A6A6A6"/>
            </w:tcBorders>
          </w:tcPr>
          <w:p>
            <w:pPr>
              <w:spacing w:after="0"/>
              <w:rPr>
                <w:sz w:val="19"/>
                <w:szCs w:val="19"/>
                <w:color w:val="auto"/>
              </w:rPr>
            </w:pP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9"/>
                <w:szCs w:val="19"/>
                <w:color w:val="auto"/>
              </w:rPr>
            </w:pPr>
          </w:p>
        </w:tc>
        <w:tc>
          <w:tcPr>
            <w:tcW w:w="200" w:type="dxa"/>
            <w:vAlign w:val="bottom"/>
            <w:tcBorders>
              <w:bottom w:val="single" w:sz="8" w:color="A6A6A6"/>
            </w:tcBorders>
          </w:tcPr>
          <w:p>
            <w:pPr>
              <w:spacing w:after="0"/>
              <w:rPr>
                <w:sz w:val="19"/>
                <w:szCs w:val="19"/>
                <w:color w:val="auto"/>
              </w:rPr>
            </w:pPr>
          </w:p>
        </w:tc>
        <w:tc>
          <w:tcPr>
            <w:tcW w:w="700" w:type="dxa"/>
            <w:vAlign w:val="bottom"/>
            <w:tcBorders>
              <w:bottom w:val="single" w:sz="8" w:color="A6A6A6"/>
            </w:tcBorders>
          </w:tcPr>
          <w:p>
            <w:pPr>
              <w:spacing w:after="0"/>
              <w:rPr>
                <w:sz w:val="19"/>
                <w:szCs w:val="19"/>
                <w:color w:val="auto"/>
              </w:rPr>
            </w:pPr>
          </w:p>
        </w:tc>
        <w:tc>
          <w:tcPr>
            <w:tcW w:w="9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9"/>
                <w:szCs w:val="19"/>
                <w:color w:val="auto"/>
              </w:rPr>
            </w:pPr>
          </w:p>
        </w:tc>
      </w:tr>
      <w:tr>
        <w:trPr>
          <w:trHeight w:val="257"/>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460" w:type="dxa"/>
            <w:vAlign w:val="bottom"/>
            <w:tcBorders>
              <w:bottom w:val="single" w:sz="8" w:color="004483"/>
            </w:tcBorders>
          </w:tcPr>
          <w:p>
            <w:pPr>
              <w:spacing w:after="0"/>
              <w:rPr>
                <w:sz w:val="22"/>
                <w:szCs w:val="22"/>
                <w:color w:val="auto"/>
              </w:rPr>
            </w:pP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2"/>
                <w:szCs w:val="22"/>
                <w:color w:val="auto"/>
              </w:rPr>
            </w:pPr>
          </w:p>
        </w:tc>
        <w:tc>
          <w:tcPr>
            <w:tcW w:w="200" w:type="dxa"/>
            <w:vAlign w:val="bottom"/>
            <w:tcBorders>
              <w:bottom w:val="single" w:sz="8" w:color="A6A6A6"/>
            </w:tcBorders>
          </w:tcPr>
          <w:p>
            <w:pPr>
              <w:spacing w:after="0"/>
              <w:rPr>
                <w:sz w:val="22"/>
                <w:szCs w:val="22"/>
                <w:color w:val="auto"/>
              </w:rPr>
            </w:pPr>
          </w:p>
        </w:tc>
        <w:tc>
          <w:tcPr>
            <w:tcW w:w="700" w:type="dxa"/>
            <w:vAlign w:val="bottom"/>
            <w:tcBorders>
              <w:bottom w:val="single" w:sz="8" w:color="004483"/>
            </w:tcBorders>
          </w:tcPr>
          <w:p>
            <w:pPr>
              <w:spacing w:after="0"/>
              <w:rPr>
                <w:sz w:val="22"/>
                <w:szCs w:val="22"/>
                <w:color w:val="auto"/>
              </w:rPr>
            </w:pP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22"/>
                <w:szCs w:val="22"/>
                <w:color w:val="auto"/>
              </w:rPr>
            </w:pPr>
          </w:p>
        </w:tc>
      </w:tr>
      <w:tr>
        <w:trPr>
          <w:trHeight w:val="216"/>
        </w:trPr>
        <w:tc>
          <w:tcPr>
            <w:tcW w:w="7640" w:type="dxa"/>
            <w:vAlign w:val="bottom"/>
          </w:tcPr>
          <w:p>
            <w:pPr>
              <w:spacing w:after="0"/>
              <w:rPr>
                <w:sz w:val="18"/>
                <w:szCs w:val="18"/>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004483"/>
            </w:tcBorders>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1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004483"/>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180" w:type="dxa"/>
            <w:vAlign w:val="bottom"/>
            <w:shd w:val="clear" w:color="auto" w:fill="004483"/>
          </w:tcPr>
          <w:p>
            <w:pPr>
              <w:spacing w:after="0"/>
              <w:rPr>
                <w:sz w:val="16"/>
                <w:szCs w:val="16"/>
                <w:color w:val="auto"/>
              </w:rPr>
            </w:pPr>
          </w:p>
        </w:tc>
        <w:tc>
          <w:tcPr>
            <w:tcW w:w="2800" w:type="dxa"/>
            <w:vAlign w:val="bottom"/>
            <w:gridSpan w:val="5"/>
            <w:shd w:val="clear" w:color="auto" w:fill="004483"/>
          </w:tcPr>
          <w:p>
            <w:pPr>
              <w:ind w:left="80"/>
              <w:spacing w:after="0"/>
              <w:rPr>
                <w:sz w:val="20"/>
                <w:szCs w:val="20"/>
                <w:color w:val="auto"/>
              </w:rPr>
            </w:pPr>
            <w:r>
              <w:rPr>
                <w:rFonts w:ascii="Arial" w:cs="Arial" w:eastAsia="Arial" w:hAnsi="Arial"/>
                <w:sz w:val="13"/>
                <w:szCs w:val="13"/>
                <w:b w:val="1"/>
                <w:bCs w:val="1"/>
                <w:color w:val="FFFFFF"/>
              </w:rPr>
              <w:t>For the Three Months Ended September 30,</w:t>
            </w:r>
          </w:p>
        </w:tc>
        <w:tc>
          <w:tcPr>
            <w:tcW w:w="120" w:type="dxa"/>
            <w:vAlign w:val="bottom"/>
          </w:tcPr>
          <w:p>
            <w:pPr>
              <w:spacing w:after="0"/>
              <w:rPr>
                <w:sz w:val="16"/>
                <w:szCs w:val="16"/>
                <w:color w:val="auto"/>
              </w:rPr>
            </w:pPr>
          </w:p>
        </w:tc>
        <w:tc>
          <w:tcPr>
            <w:tcW w:w="200" w:type="dxa"/>
            <w:vAlign w:val="bottom"/>
            <w:shd w:val="clear" w:color="auto" w:fill="004483"/>
          </w:tcPr>
          <w:p>
            <w:pPr>
              <w:spacing w:after="0"/>
              <w:rPr>
                <w:sz w:val="16"/>
                <w:szCs w:val="16"/>
                <w:color w:val="auto"/>
              </w:rPr>
            </w:pPr>
          </w:p>
        </w:tc>
        <w:tc>
          <w:tcPr>
            <w:tcW w:w="2700" w:type="dxa"/>
            <w:vAlign w:val="bottom"/>
            <w:gridSpan w:val="5"/>
            <w:shd w:val="clear" w:color="auto" w:fill="004483"/>
          </w:tcPr>
          <w:p>
            <w:pPr>
              <w:ind w:left="10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73"/>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25"/>
        </w:trPr>
        <w:tc>
          <w:tcPr>
            <w:tcW w:w="5240" w:type="dxa"/>
            <w:vAlign w:val="bottom"/>
            <w:tcBorders>
              <w:bottom w:val="single" w:sz="8" w:color="004483"/>
            </w:tcBorders>
          </w:tcPr>
          <w:p>
            <w:pPr>
              <w:spacing w:after="0"/>
              <w:rPr>
                <w:sz w:val="19"/>
                <w:szCs w:val="19"/>
                <w:color w:val="auto"/>
              </w:rPr>
            </w:pPr>
          </w:p>
        </w:tc>
        <w:tc>
          <w:tcPr>
            <w:tcW w:w="180" w:type="dxa"/>
            <w:vAlign w:val="bottom"/>
            <w:tcBorders>
              <w:bottom w:val="single" w:sz="8" w:color="004483"/>
            </w:tcBorders>
          </w:tcPr>
          <w:p>
            <w:pPr>
              <w:spacing w:after="0"/>
              <w:rPr>
                <w:sz w:val="19"/>
                <w:szCs w:val="19"/>
                <w:color w:val="auto"/>
              </w:rPr>
            </w:pPr>
          </w:p>
        </w:tc>
        <w:tc>
          <w:tcPr>
            <w:tcW w:w="2040" w:type="dxa"/>
            <w:vAlign w:val="bottom"/>
            <w:tcBorders>
              <w:bottom w:val="single" w:sz="8" w:color="004483"/>
            </w:tcBorders>
            <w:gridSpan w:val="3"/>
          </w:tcPr>
          <w:p>
            <w:pPr>
              <w:jc w:val="right"/>
              <w:ind w:right="15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200" w:type="dxa"/>
            <w:vAlign w:val="bottom"/>
            <w:tcBorders>
              <w:bottom w:val="single" w:sz="8" w:color="004483"/>
            </w:tcBorders>
          </w:tcPr>
          <w:p>
            <w:pPr>
              <w:spacing w:after="0"/>
              <w:rPr>
                <w:sz w:val="19"/>
                <w:szCs w:val="19"/>
                <w:color w:val="auto"/>
              </w:rPr>
            </w:pPr>
          </w:p>
        </w:tc>
        <w:tc>
          <w:tcPr>
            <w:tcW w:w="1920" w:type="dxa"/>
            <w:vAlign w:val="bottom"/>
            <w:tcBorders>
              <w:bottom w:val="single" w:sz="8" w:color="004483"/>
            </w:tcBorders>
            <w:gridSpan w:val="3"/>
          </w:tcPr>
          <w:p>
            <w:pPr>
              <w:jc w:val="right"/>
              <w:ind w:right="79"/>
              <w:spacing w:after="0"/>
              <w:rPr>
                <w:sz w:val="20"/>
                <w:szCs w:val="20"/>
                <w:color w:val="auto"/>
              </w:rPr>
            </w:pPr>
            <w:r>
              <w:rPr>
                <w:rFonts w:ascii="Arial" w:cs="Arial" w:eastAsia="Arial" w:hAnsi="Arial"/>
                <w:sz w:val="13"/>
                <w:szCs w:val="13"/>
                <w:color w:val="auto"/>
              </w:rPr>
              <w:t>(dollars in thousands)</w:t>
            </w:r>
          </w:p>
        </w:tc>
        <w:tc>
          <w:tcPr>
            <w:tcW w:w="70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53,852</w:t>
            </w:r>
          </w:p>
        </w:tc>
        <w:tc>
          <w:tcPr>
            <w:tcW w:w="100" w:type="dxa"/>
            <w:vAlign w:val="bottom"/>
          </w:tcPr>
          <w:p>
            <w:pPr>
              <w:spacing w:after="0"/>
              <w:rPr>
                <w:sz w:val="19"/>
                <w:szCs w:val="19"/>
                <w:color w:val="auto"/>
              </w:rPr>
            </w:pPr>
          </w:p>
        </w:tc>
        <w:tc>
          <w:tcPr>
            <w:tcW w:w="80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54,387</w:t>
            </w:r>
          </w:p>
        </w:tc>
        <w:tc>
          <w:tcPr>
            <w:tcW w:w="8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99,234</w:t>
            </w:r>
          </w:p>
        </w:tc>
        <w:tc>
          <w:tcPr>
            <w:tcW w:w="80" w:type="dxa"/>
            <w:vAlign w:val="bottom"/>
          </w:tcPr>
          <w:p>
            <w:pPr>
              <w:spacing w:after="0"/>
              <w:rPr>
                <w:sz w:val="19"/>
                <w:szCs w:val="19"/>
                <w:color w:val="auto"/>
              </w:rPr>
            </w:pPr>
          </w:p>
        </w:tc>
        <w:tc>
          <w:tcPr>
            <w:tcW w:w="74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104,987</w:t>
            </w:r>
          </w:p>
        </w:tc>
        <w:tc>
          <w:tcPr>
            <w:tcW w:w="80" w:type="dxa"/>
            <w:vAlign w:val="bottom"/>
          </w:tcPr>
          <w:p>
            <w:pPr>
              <w:spacing w:after="0"/>
              <w:rPr>
                <w:sz w:val="19"/>
                <w:szCs w:val="19"/>
                <w:color w:val="auto"/>
              </w:rPr>
            </w:pPr>
          </w:p>
        </w:tc>
      </w:tr>
      <w:tr>
        <w:trPr>
          <w:trHeight w:val="223"/>
        </w:trPr>
        <w:tc>
          <w:tcPr>
            <w:tcW w:w="5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17,776</w:t>
            </w:r>
          </w:p>
        </w:tc>
        <w:tc>
          <w:tcPr>
            <w:tcW w:w="100" w:type="dxa"/>
            <w:vAlign w:val="bottom"/>
          </w:tcPr>
          <w:p>
            <w:pPr>
              <w:spacing w:after="0"/>
              <w:rPr>
                <w:sz w:val="19"/>
                <w:szCs w:val="19"/>
                <w:color w:val="auto"/>
              </w:rPr>
            </w:pPr>
          </w:p>
        </w:tc>
        <w:tc>
          <w:tcPr>
            <w:tcW w:w="80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23,004</w:t>
            </w:r>
          </w:p>
        </w:tc>
        <w:tc>
          <w:tcPr>
            <w:tcW w:w="8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34,609</w:t>
            </w:r>
          </w:p>
        </w:tc>
        <w:tc>
          <w:tcPr>
            <w:tcW w:w="80" w:type="dxa"/>
            <w:vAlign w:val="bottom"/>
          </w:tcPr>
          <w:p>
            <w:pPr>
              <w:spacing w:after="0"/>
              <w:rPr>
                <w:sz w:val="19"/>
                <w:szCs w:val="19"/>
                <w:color w:val="auto"/>
              </w:rPr>
            </w:pPr>
          </w:p>
        </w:tc>
        <w:tc>
          <w:tcPr>
            <w:tcW w:w="74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39,769</w:t>
            </w:r>
          </w:p>
        </w:tc>
        <w:tc>
          <w:tcPr>
            <w:tcW w:w="80" w:type="dxa"/>
            <w:vAlign w:val="bottom"/>
          </w:tcPr>
          <w:p>
            <w:pPr>
              <w:spacing w:after="0"/>
              <w:rPr>
                <w:sz w:val="19"/>
                <w:szCs w:val="19"/>
                <w:color w:val="auto"/>
              </w:rPr>
            </w:pPr>
          </w:p>
        </w:tc>
      </w:tr>
      <w:tr>
        <w:trPr>
          <w:trHeight w:val="223"/>
        </w:trPr>
        <w:tc>
          <w:tcPr>
            <w:tcW w:w="5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180" w:type="dxa"/>
            <w:vAlign w:val="bottom"/>
            <w:tcBorders>
              <w:bottom w:val="single" w:sz="8" w:color="A6A6A6"/>
            </w:tcBorders>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16,519</w:t>
            </w:r>
          </w:p>
        </w:tc>
        <w:tc>
          <w:tcPr>
            <w:tcW w:w="100" w:type="dxa"/>
            <w:vAlign w:val="bottom"/>
          </w:tcPr>
          <w:p>
            <w:pPr>
              <w:spacing w:after="0"/>
              <w:rPr>
                <w:sz w:val="19"/>
                <w:szCs w:val="19"/>
                <w:color w:val="auto"/>
              </w:rPr>
            </w:pPr>
          </w:p>
        </w:tc>
        <w:tc>
          <w:tcPr>
            <w:tcW w:w="800" w:type="dxa"/>
            <w:vAlign w:val="bottom"/>
            <w:tcBorders>
              <w:bottom w:val="single" w:sz="8" w:color="A6A6A6"/>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21,154</w:t>
            </w:r>
          </w:p>
        </w:tc>
        <w:tc>
          <w:tcPr>
            <w:tcW w:w="80" w:type="dxa"/>
            <w:vAlign w:val="bottom"/>
          </w:tcPr>
          <w:p>
            <w:pPr>
              <w:spacing w:after="0"/>
              <w:rPr>
                <w:sz w:val="19"/>
                <w:szCs w:val="19"/>
                <w:color w:val="auto"/>
              </w:rPr>
            </w:pPr>
          </w:p>
        </w:tc>
        <w:tc>
          <w:tcPr>
            <w:tcW w:w="320" w:type="dxa"/>
            <w:vAlign w:val="bottom"/>
            <w:tcBorders>
              <w:bottom w:val="single" w:sz="8" w:color="A6A6A6"/>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32,459</w:t>
            </w:r>
          </w:p>
        </w:tc>
        <w:tc>
          <w:tcPr>
            <w:tcW w:w="80" w:type="dxa"/>
            <w:vAlign w:val="bottom"/>
          </w:tcPr>
          <w:p>
            <w:pPr>
              <w:spacing w:after="0"/>
              <w:rPr>
                <w:sz w:val="19"/>
                <w:szCs w:val="19"/>
                <w:color w:val="auto"/>
              </w:rPr>
            </w:pPr>
          </w:p>
        </w:tc>
        <w:tc>
          <w:tcPr>
            <w:tcW w:w="74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36,745</w:t>
            </w:r>
          </w:p>
        </w:tc>
        <w:tc>
          <w:tcPr>
            <w:tcW w:w="80" w:type="dxa"/>
            <w:vAlign w:val="bottom"/>
          </w:tcPr>
          <w:p>
            <w:pPr>
              <w:spacing w:after="0"/>
              <w:rPr>
                <w:sz w:val="19"/>
                <w:szCs w:val="19"/>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480" w:type="dxa"/>
            <w:vAlign w:val="bottom"/>
            <w:shd w:val="clear" w:color="auto" w:fill="004483"/>
          </w:tcPr>
          <w:p>
            <w:pPr>
              <w:spacing w:after="0"/>
              <w:rPr>
                <w:sz w:val="16"/>
                <w:szCs w:val="16"/>
                <w:color w:val="auto"/>
              </w:rPr>
            </w:pPr>
          </w:p>
        </w:tc>
        <w:tc>
          <w:tcPr>
            <w:tcW w:w="114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80" w:type="dxa"/>
            <w:vAlign w:val="bottom"/>
            <w:shd w:val="clear" w:color="auto" w:fill="004483"/>
          </w:tcPr>
          <w:p>
            <w:pPr>
              <w:spacing w:after="0"/>
              <w:rPr>
                <w:sz w:val="16"/>
                <w:szCs w:val="16"/>
                <w:color w:val="auto"/>
              </w:rPr>
            </w:pPr>
          </w:p>
        </w:tc>
        <w:tc>
          <w:tcPr>
            <w:tcW w:w="940" w:type="dxa"/>
            <w:vAlign w:val="bottom"/>
            <w:shd w:val="clear" w:color="auto" w:fill="004483"/>
          </w:tcPr>
          <w:p>
            <w:pPr>
              <w:spacing w:after="0"/>
              <w:rPr>
                <w:sz w:val="16"/>
                <w:szCs w:val="16"/>
                <w:color w:val="auto"/>
              </w:rPr>
            </w:pPr>
          </w:p>
        </w:tc>
        <w:tc>
          <w:tcPr>
            <w:tcW w:w="960" w:type="dxa"/>
            <w:vAlign w:val="bottom"/>
            <w:gridSpan w:val="2"/>
            <w:shd w:val="clear" w:color="auto" w:fill="004483"/>
          </w:tcPr>
          <w:p>
            <w:pPr>
              <w:ind w:left="320"/>
              <w:spacing w:after="0"/>
              <w:rPr>
                <w:sz w:val="20"/>
                <w:szCs w:val="20"/>
                <w:color w:val="auto"/>
              </w:rPr>
            </w:pPr>
            <w:r>
              <w:rPr>
                <w:rFonts w:ascii="Arial" w:cs="Arial" w:eastAsia="Arial" w:hAnsi="Arial"/>
                <w:sz w:val="13"/>
                <w:szCs w:val="13"/>
                <w:b w:val="1"/>
                <w:bCs w:val="1"/>
                <w:color w:val="FFFFFF"/>
              </w:rPr>
              <w:t>March 31,</w:t>
            </w:r>
          </w:p>
        </w:tc>
      </w:tr>
      <w:tr>
        <w:trPr>
          <w:trHeight w:val="173"/>
        </w:trPr>
        <w:tc>
          <w:tcPr>
            <w:tcW w:w="7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r>
      <w:tr>
        <w:trPr>
          <w:trHeight w:val="225"/>
        </w:trPr>
        <w:tc>
          <w:tcPr>
            <w:tcW w:w="7640" w:type="dxa"/>
            <w:vAlign w:val="bottom"/>
            <w:tcBorders>
              <w:bottom w:val="single" w:sz="8" w:color="004483"/>
            </w:tcBorders>
          </w:tcPr>
          <w:p>
            <w:pPr>
              <w:spacing w:after="0"/>
              <w:rPr>
                <w:sz w:val="19"/>
                <w:szCs w:val="19"/>
                <w:color w:val="auto"/>
              </w:rPr>
            </w:pPr>
          </w:p>
        </w:tc>
        <w:tc>
          <w:tcPr>
            <w:tcW w:w="480" w:type="dxa"/>
            <w:vAlign w:val="bottom"/>
            <w:tcBorders>
              <w:bottom w:val="single" w:sz="8" w:color="004483"/>
            </w:tcBorders>
          </w:tcPr>
          <w:p>
            <w:pPr>
              <w:spacing w:after="0"/>
              <w:rPr>
                <w:sz w:val="19"/>
                <w:szCs w:val="19"/>
                <w:color w:val="auto"/>
              </w:rPr>
            </w:pPr>
          </w:p>
        </w:tc>
        <w:tc>
          <w:tcPr>
            <w:tcW w:w="2160" w:type="dxa"/>
            <w:vAlign w:val="bottom"/>
            <w:tcBorders>
              <w:bottom w:val="single" w:sz="8" w:color="004483"/>
            </w:tcBorders>
            <w:gridSpan w:val="3"/>
          </w:tcPr>
          <w:p>
            <w:pPr>
              <w:jc w:val="right"/>
              <w:ind w:right="259"/>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004483"/>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68,028</w:t>
            </w:r>
          </w:p>
        </w:tc>
        <w:tc>
          <w:tcPr>
            <w:tcW w:w="80" w:type="dxa"/>
            <w:vAlign w:val="bottom"/>
          </w:tcPr>
          <w:p>
            <w:pPr>
              <w:spacing w:after="0"/>
              <w:rPr>
                <w:sz w:val="19"/>
                <w:szCs w:val="19"/>
                <w:color w:val="auto"/>
              </w:rPr>
            </w:pPr>
          </w:p>
        </w:tc>
        <w:tc>
          <w:tcPr>
            <w:tcW w:w="9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66,871</w:t>
            </w:r>
          </w:p>
        </w:tc>
        <w:tc>
          <w:tcPr>
            <w:tcW w:w="8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110,571</w:t>
            </w:r>
          </w:p>
        </w:tc>
        <w:tc>
          <w:tcPr>
            <w:tcW w:w="80" w:type="dxa"/>
            <w:vAlign w:val="bottom"/>
          </w:tcPr>
          <w:p>
            <w:pPr>
              <w:spacing w:after="0"/>
              <w:rPr>
                <w:sz w:val="19"/>
                <w:szCs w:val="19"/>
                <w:color w:val="auto"/>
              </w:rPr>
            </w:pPr>
          </w:p>
        </w:tc>
        <w:tc>
          <w:tcPr>
            <w:tcW w:w="9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107,617</w:t>
            </w:r>
          </w:p>
        </w:tc>
        <w:tc>
          <w:tcPr>
            <w:tcW w:w="80" w:type="dxa"/>
            <w:vAlign w:val="bottom"/>
          </w:tcPr>
          <w:p>
            <w:pPr>
              <w:spacing w:after="0"/>
              <w:rPr>
                <w:sz w:val="19"/>
                <w:szCs w:val="19"/>
                <w:color w:val="auto"/>
              </w:rPr>
            </w:pPr>
          </w:p>
        </w:tc>
      </w:tr>
      <w:tr>
        <w:trPr>
          <w:trHeight w:val="223"/>
        </w:trPr>
        <w:tc>
          <w:tcPr>
            <w:tcW w:w="76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80" w:type="dxa"/>
            <w:vAlign w:val="bottom"/>
            <w:tcBorders>
              <w:bottom w:val="single" w:sz="8" w:color="A6A6A6"/>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17,586</w:t>
            </w:r>
          </w:p>
        </w:tc>
        <w:tc>
          <w:tcPr>
            <w:tcW w:w="80" w:type="dxa"/>
            <w:vAlign w:val="bottom"/>
          </w:tcPr>
          <w:p>
            <w:pPr>
              <w:spacing w:after="0"/>
              <w:rPr>
                <w:sz w:val="19"/>
                <w:szCs w:val="19"/>
                <w:color w:val="auto"/>
              </w:rPr>
            </w:pPr>
          </w:p>
        </w:tc>
        <w:tc>
          <w:tcPr>
            <w:tcW w:w="9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16,390</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160" w:type="dxa"/>
            <w:vAlign w:val="bottom"/>
            <w:shd w:val="clear" w:color="auto" w:fill="004483"/>
          </w:tcPr>
          <w:p>
            <w:pPr>
              <w:spacing w:after="0"/>
              <w:rPr>
                <w:sz w:val="16"/>
                <w:szCs w:val="16"/>
                <w:color w:val="auto"/>
              </w:rPr>
            </w:pPr>
          </w:p>
        </w:tc>
        <w:tc>
          <w:tcPr>
            <w:tcW w:w="2800" w:type="dxa"/>
            <w:vAlign w:val="bottom"/>
            <w:gridSpan w:val="6"/>
            <w:shd w:val="clear" w:color="auto" w:fill="004483"/>
          </w:tcPr>
          <w:p>
            <w:pPr>
              <w:jc w:val="right"/>
              <w:ind w:right="340"/>
              <w:spacing w:after="0"/>
              <w:rPr>
                <w:sz w:val="20"/>
                <w:szCs w:val="20"/>
                <w:color w:val="auto"/>
              </w:rPr>
            </w:pPr>
            <w:r>
              <w:rPr>
                <w:rFonts w:ascii="Arial" w:cs="Arial" w:eastAsia="Arial" w:hAnsi="Arial"/>
                <w:sz w:val="13"/>
                <w:szCs w:val="13"/>
                <w:b w:val="1"/>
                <w:bCs w:val="1"/>
                <w:color w:val="FFFFFF"/>
                <w:w w:val="90"/>
              </w:rPr>
              <w:t>For the Three Months Ended September 30,</w:t>
            </w:r>
          </w:p>
        </w:tc>
        <w:tc>
          <w:tcPr>
            <w:tcW w:w="140" w:type="dxa"/>
            <w:vAlign w:val="bottom"/>
          </w:tcPr>
          <w:p>
            <w:pPr>
              <w:spacing w:after="0"/>
              <w:rPr>
                <w:sz w:val="16"/>
                <w:szCs w:val="16"/>
                <w:color w:val="auto"/>
              </w:rPr>
            </w:pPr>
          </w:p>
        </w:tc>
        <w:tc>
          <w:tcPr>
            <w:tcW w:w="180" w:type="dxa"/>
            <w:vAlign w:val="bottom"/>
            <w:shd w:val="clear" w:color="auto" w:fill="004483"/>
          </w:tcPr>
          <w:p>
            <w:pPr>
              <w:spacing w:after="0"/>
              <w:rPr>
                <w:sz w:val="16"/>
                <w:szCs w:val="16"/>
                <w:color w:val="auto"/>
              </w:rPr>
            </w:pPr>
          </w:p>
        </w:tc>
        <w:tc>
          <w:tcPr>
            <w:tcW w:w="2740" w:type="dxa"/>
            <w:vAlign w:val="bottom"/>
            <w:gridSpan w:val="6"/>
            <w:shd w:val="clear" w:color="auto" w:fill="004483"/>
          </w:tcPr>
          <w:p>
            <w:pPr>
              <w:jc w:val="right"/>
              <w:ind w:right="400"/>
              <w:spacing w:after="0"/>
              <w:rPr>
                <w:sz w:val="20"/>
                <w:szCs w:val="20"/>
                <w:color w:val="auto"/>
              </w:rPr>
            </w:pPr>
            <w:r>
              <w:rPr>
                <w:rFonts w:ascii="Arial" w:cs="Arial" w:eastAsia="Arial" w:hAnsi="Arial"/>
                <w:sz w:val="13"/>
                <w:szCs w:val="13"/>
                <w:b w:val="1"/>
                <w:bCs w:val="1"/>
                <w:color w:val="FFFFFF"/>
                <w:w w:val="91"/>
              </w:rPr>
              <w:t>For the Six Months Ended September 30,</w:t>
            </w:r>
          </w:p>
        </w:tc>
      </w:tr>
      <w:tr>
        <w:trPr>
          <w:trHeight w:val="173"/>
        </w:trPr>
        <w:tc>
          <w:tcPr>
            <w:tcW w:w="5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6"/>
        </w:trPr>
        <w:tc>
          <w:tcPr>
            <w:tcW w:w="5220" w:type="dxa"/>
            <w:vAlign w:val="bottom"/>
            <w:tcBorders>
              <w:bottom w:val="single" w:sz="8" w:color="004483"/>
            </w:tcBorders>
          </w:tcPr>
          <w:p>
            <w:pPr>
              <w:spacing w:after="0"/>
              <w:rPr>
                <w:sz w:val="19"/>
                <w:szCs w:val="19"/>
                <w:color w:val="auto"/>
              </w:rPr>
            </w:pPr>
          </w:p>
        </w:tc>
        <w:tc>
          <w:tcPr>
            <w:tcW w:w="160" w:type="dxa"/>
            <w:vAlign w:val="bottom"/>
            <w:tcBorders>
              <w:bottom w:val="single" w:sz="8" w:color="004483"/>
            </w:tcBorders>
          </w:tcPr>
          <w:p>
            <w:pPr>
              <w:spacing w:after="0"/>
              <w:rPr>
                <w:sz w:val="19"/>
                <w:szCs w:val="19"/>
                <w:color w:val="auto"/>
              </w:rPr>
            </w:pPr>
          </w:p>
        </w:tc>
        <w:tc>
          <w:tcPr>
            <w:tcW w:w="202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180" w:type="dxa"/>
            <w:vAlign w:val="bottom"/>
            <w:tcBorders>
              <w:bottom w:val="single" w:sz="8" w:color="004483"/>
            </w:tcBorders>
          </w:tcPr>
          <w:p>
            <w:pPr>
              <w:spacing w:after="0"/>
              <w:rPr>
                <w:sz w:val="19"/>
                <w:szCs w:val="19"/>
                <w:color w:val="auto"/>
              </w:rPr>
            </w:pPr>
          </w:p>
        </w:tc>
        <w:tc>
          <w:tcPr>
            <w:tcW w:w="1960" w:type="dxa"/>
            <w:vAlign w:val="bottom"/>
            <w:tcBorders>
              <w:bottom w:val="single" w:sz="8" w:color="004483"/>
            </w:tcBorders>
            <w:gridSpan w:val="4"/>
          </w:tcPr>
          <w:p>
            <w:pPr>
              <w:jc w:val="right"/>
              <w:ind w:right="11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(13 )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c>
          <w:tcPr>
            <w:tcW w:w="740" w:type="dxa"/>
            <w:vAlign w:val="bottom"/>
            <w:gridSpan w:val="2"/>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(40 )</w:t>
            </w:r>
          </w:p>
        </w:tc>
      </w:tr>
      <w:tr>
        <w:trPr>
          <w:trHeight w:val="223"/>
        </w:trPr>
        <w:tc>
          <w:tcPr>
            <w:tcW w:w="522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16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62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11,672</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11,551</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62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24,692</w:t>
            </w:r>
          </w:p>
        </w:tc>
        <w:tc>
          <w:tcPr>
            <w:tcW w:w="100" w:type="dxa"/>
            <w:vAlign w:val="bottom"/>
          </w:tcPr>
          <w:p>
            <w:pPr>
              <w:spacing w:after="0"/>
              <w:rPr>
                <w:sz w:val="19"/>
                <w:szCs w:val="19"/>
                <w:color w:val="auto"/>
              </w:rPr>
            </w:pPr>
          </w:p>
        </w:tc>
      </w:tr>
      <w:tr>
        <w:trPr>
          <w:trHeight w:val="256"/>
        </w:trPr>
        <w:tc>
          <w:tcPr>
            <w:tcW w:w="52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Other Expenses</w:t>
            </w:r>
          </w:p>
        </w:tc>
        <w:tc>
          <w:tcPr>
            <w:tcW w:w="160" w:type="dxa"/>
            <w:vAlign w:val="bottom"/>
            <w:tcBorders>
              <w:bottom w:val="single" w:sz="8" w:color="004483"/>
            </w:tcBorders>
          </w:tcPr>
          <w:p>
            <w:pPr>
              <w:spacing w:after="0"/>
              <w:rPr>
                <w:sz w:val="22"/>
                <w:szCs w:val="22"/>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6,856</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620" w:type="dxa"/>
            <w:vAlign w:val="bottom"/>
            <w:tcBorders>
              <w:bottom w:val="single" w:sz="8" w:color="004483"/>
            </w:tcBorders>
          </w:tcPr>
          <w:p>
            <w:pPr>
              <w:spacing w:after="0"/>
              <w:rPr>
                <w:sz w:val="22"/>
                <w:szCs w:val="22"/>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2"/>
                <w:szCs w:val="22"/>
                <w:color w:val="auto"/>
              </w:rPr>
            </w:pPr>
          </w:p>
        </w:tc>
        <w:tc>
          <w:tcPr>
            <w:tcW w:w="140" w:type="dxa"/>
            <w:vAlign w:val="bottom"/>
            <w:tcBorders>
              <w:bottom w:val="single" w:sz="8" w:color="A6A6A6"/>
            </w:tcBorders>
          </w:tcPr>
          <w:p>
            <w:pPr>
              <w:spacing w:after="0"/>
              <w:rPr>
                <w:sz w:val="22"/>
                <w:szCs w:val="22"/>
                <w:color w:val="auto"/>
              </w:rPr>
            </w:pPr>
          </w:p>
        </w:tc>
        <w:tc>
          <w:tcPr>
            <w:tcW w:w="180" w:type="dxa"/>
            <w:vAlign w:val="bottom"/>
            <w:tcBorders>
              <w:bottom w:val="single" w:sz="8" w:color="004483"/>
            </w:tcBorders>
          </w:tcPr>
          <w:p>
            <w:pPr>
              <w:spacing w:after="0"/>
              <w:rPr>
                <w:sz w:val="22"/>
                <w:szCs w:val="22"/>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7,727</w:t>
            </w:r>
          </w:p>
        </w:tc>
        <w:tc>
          <w:tcPr>
            <w:tcW w:w="120" w:type="dxa"/>
            <w:vAlign w:val="bottom"/>
          </w:tcPr>
          <w:p>
            <w:pPr>
              <w:spacing w:after="0"/>
              <w:rPr>
                <w:sz w:val="22"/>
                <w:szCs w:val="22"/>
                <w:color w:val="auto"/>
              </w:rPr>
            </w:pPr>
          </w:p>
        </w:tc>
        <w:tc>
          <w:tcPr>
            <w:tcW w:w="120" w:type="dxa"/>
            <w:vAlign w:val="bottom"/>
            <w:tcBorders>
              <w:bottom w:val="single" w:sz="8" w:color="A6A6A6"/>
            </w:tcBorders>
          </w:tcPr>
          <w:p>
            <w:pPr>
              <w:spacing w:after="0"/>
              <w:rPr>
                <w:sz w:val="22"/>
                <w:szCs w:val="22"/>
                <w:color w:val="auto"/>
              </w:rPr>
            </w:pPr>
          </w:p>
        </w:tc>
        <w:tc>
          <w:tcPr>
            <w:tcW w:w="620" w:type="dxa"/>
            <w:vAlign w:val="bottom"/>
            <w:tcBorders>
              <w:bottom w:val="single" w:sz="8" w:color="004483"/>
            </w:tcBorders>
          </w:tcPr>
          <w:p>
            <w:pPr>
              <w:spacing w:after="0"/>
              <w:rPr>
                <w:sz w:val="22"/>
                <w:szCs w:val="22"/>
                <w:color w:val="auto"/>
              </w:rPr>
            </w:pP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Pr>
          <w:p>
            <w:pPr>
              <w:spacing w:after="0"/>
              <w:rPr>
                <w:sz w:val="22"/>
                <w:szCs w:val="22"/>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12,556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004483"/>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004483"/>
            </w:tcBorders>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26,597</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line="284"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 Other Expenses for the three and six months ended September 30, 2021 also include approximately $6.1 million for the write-off of debt issuance costs related to the Term Loan and 4.500% Senior Unsecured Notes, which were repaid and redeemed in July 2021.</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61"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September 30, 2021, we had contingent liabilities under these outstanding letters of credit of approximately $5.0 million.</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9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are currently contingently liable for performance under $26.1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61"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September 30, 2021 is as follows:</w:t>
      </w:r>
    </w:p>
    <w:p>
      <w:pPr>
        <w:spacing w:after="0" w:line="328"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44"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6374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8880" w:val="left"/>
          <w:tab w:leader="none" w:pos="1058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744,768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063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64"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2 input). The carrying values of Cash and Cash Equivalents, Accounts Receivable, Notes Receivable, Accounts Payable, and Accrued Liabilities approximate their fair values at September 30, 2021, due to the short-term maturities of these assets and liabilities. The fair value of our Revolving Credit Facility also approximates the carrying value at September 30, 2021.</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are a leading supplier of heavy construction materials and light building materials in the United States. 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2021 and 2020, respectively, are presented on a consolidated basis and by these business segments – Cement, Concrete and Aggregates, Gypsum Wallboard, and Recycled Paperboard.</w:t>
      </w:r>
    </w:p>
    <w:p>
      <w:pPr>
        <w:spacing w:after="0" w:line="9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8"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8"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On September 18, 2020, we sold our Oil and Gas Proppants business, which had previously been reported as a separate operating segment. Because the sale of the Oil and Gas Proppants business was determined to meet the accounting criteria for discontinued operations, this segment is no longer separately reported in our reportable segment footnote for any of the periods presented. See Footnote (C) in the Unaudited Consolidated Financial Statements for more information about the sale of the Oil and Gas Proppants business.</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On April 17, 2020, we sold our Western Aggregates LLC (Western) and Mathews Readymix LLC (Mathews) businesses for an aggregate purchase price of $93.5 million, resulting in a gain of $52.0 million. Western and Mathews were part of our Concrete and Aggregates operating segment, and their results of operations were included in our financial statements for the period from April 1, 2020 through April 17,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53"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In the first half of fiscal 2022, strong underlying market conditions continued to support construction activity in our markets. While supply chain disruptions are having an impact on our customers in the near term, we believe demand for our products is still strong. Additionally, if the proposed federal infrastructure program is passed, investment in roads, bridges, and other infrastructure will increase further throughout the country.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2" w:right="359" w:bottom="1440" w:gutter="0" w:footer="0" w:header="0"/>
        </w:sectPr>
      </w:pPr>
    </w:p>
    <w:bookmarkStart w:id="23" w:name="page24"/>
    <w:bookmarkEnd w:id="23"/>
    <w:p>
      <w:pPr>
        <w:ind w:right="200"/>
        <w:spacing w:after="0" w:line="285" w:lineRule="auto"/>
        <w:rPr>
          <w:sz w:val="20"/>
          <w:szCs w:val="20"/>
          <w:color w:val="auto"/>
        </w:rPr>
      </w:pPr>
      <w:r>
        <w:rPr>
          <w:rFonts w:ascii="Arial" w:cs="Arial" w:eastAsia="Arial" w:hAnsi="Arial"/>
          <w:sz w:val="18"/>
          <w:szCs w:val="18"/>
          <w:color w:val="auto"/>
        </w:rPr>
        <w:t>Energy and freight costs increased in all of our businesses during the fiscal second quarter, and we anticipate further increases throughout the remainder of fiscal 2022. We have forward purchase contracts for approximately 50% of our natural gas needs for the remainder of the fiscal year. Several factors are contributing to higher freight costs: limited availability of trucking and rail service, and congestion on the shipping routes, all of which have constrained capacity.</w:t>
      </w:r>
    </w:p>
    <w:p>
      <w:pPr>
        <w:spacing w:after="0" w:line="97"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Cement and Concrete and Aggregates markets are affected by infrastructure spending, residential construction, industrial construction activity, and weather. The Portland Cement Association estimates that in calendar 2021 cement consumption will increase approximately 2% over 2020. Despite underlying market demand, our organic Cement sales volume growth is expected to be limited in fiscal 2022 because our integrated cement sales network, which stretches across the U.S. heartland, is operating at high utilization levels.</w:t>
      </w:r>
    </w:p>
    <w:p>
      <w:pPr>
        <w:spacing w:after="0" w:line="97"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Our primary Gypsum Wallboard sales network stretches across the southern half of the United States, consistent with our facility network. Wallboard demand is heavily influenced by new residential housing construction, as well as repair and remodeling activity. Residential housing starts increased, on a seasonally adjusted basis, approximately 7% in during the first nine months of calendar 2021, compared with 2020. Repair and remodel activity is expected to remain consistent throughout the rest of the year, but may be negatively affected by further delays in the supply chain.</w:t>
      </w:r>
    </w:p>
    <w:p>
      <w:pPr>
        <w:spacing w:after="0" w:line="98"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Our Recycled Paperboard business sells paper primarily into the gypsum wallboard market, and demand for paper generally follows the demand for gypsum wallboard. The primary raw material used to produce paperboard is Old Carboard Containers (OCC). Prices for OCC significantly increased during the first six months of fiscal 2022. Although current customer contracts for gypsum liner include price escalators that partially offset and compensate for changes in raw material fiber prices, these increases will not be realized until future quarters, which will likely result in higher material costs in our Gypsum Wallboard segment in the period that these price increases are realized.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WITH THREE MONTHS ENDED SEPTEMBER 30,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00" w:type="dxa"/>
            <w:vAlign w:val="bottom"/>
            <w:shd w:val="clear" w:color="auto" w:fill="004483"/>
          </w:tcPr>
          <w:p>
            <w:pPr>
              <w:spacing w:after="0"/>
              <w:rPr>
                <w:sz w:val="16"/>
                <w:szCs w:val="16"/>
                <w:color w:val="auto"/>
              </w:rPr>
            </w:pPr>
          </w:p>
        </w:tc>
        <w:tc>
          <w:tcPr>
            <w:tcW w:w="3180" w:type="dxa"/>
            <w:vAlign w:val="bottom"/>
            <w:gridSpan w:val="6"/>
            <w:shd w:val="clear" w:color="auto" w:fill="004483"/>
          </w:tcPr>
          <w:p>
            <w:pPr>
              <w:jc w:val="right"/>
              <w:ind w:right="600"/>
              <w:spacing w:after="0"/>
              <w:rPr>
                <w:sz w:val="20"/>
                <w:szCs w:val="20"/>
                <w:color w:val="auto"/>
              </w:rPr>
            </w:pPr>
            <w:r>
              <w:rPr>
                <w:rFonts w:ascii="Arial" w:cs="Arial" w:eastAsia="Arial" w:hAnsi="Arial"/>
                <w:sz w:val="13"/>
                <w:szCs w:val="13"/>
                <w:b w:val="1"/>
                <w:bCs w:val="1"/>
                <w:color w:val="FFFFFF"/>
                <w:w w:val="95"/>
              </w:rPr>
              <w:t>For the Three Months Ended September 30,</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3"/>
        </w:trPr>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2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Change</w:t>
            </w:r>
          </w:p>
        </w:tc>
      </w:tr>
      <w:tr>
        <w:trPr>
          <w:trHeight w:val="225"/>
        </w:trPr>
        <w:tc>
          <w:tcPr>
            <w:tcW w:w="6200" w:type="dxa"/>
            <w:vAlign w:val="bottom"/>
            <w:tcBorders>
              <w:bottom w:val="single" w:sz="8" w:color="004483"/>
            </w:tcBorders>
          </w:tcPr>
          <w:p>
            <w:pPr>
              <w:spacing w:after="0"/>
              <w:rPr>
                <w:sz w:val="19"/>
                <w:szCs w:val="19"/>
                <w:color w:val="auto"/>
              </w:rPr>
            </w:pPr>
          </w:p>
        </w:tc>
        <w:tc>
          <w:tcPr>
            <w:tcW w:w="300" w:type="dxa"/>
            <w:vAlign w:val="bottom"/>
            <w:tcBorders>
              <w:bottom w:val="single" w:sz="8" w:color="004483"/>
            </w:tcBorders>
          </w:tcPr>
          <w:p>
            <w:pPr>
              <w:spacing w:after="0"/>
              <w:rPr>
                <w:sz w:val="19"/>
                <w:szCs w:val="19"/>
                <w:color w:val="auto"/>
              </w:rPr>
            </w:pPr>
          </w:p>
        </w:tc>
        <w:tc>
          <w:tcPr>
            <w:tcW w:w="242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6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004483"/>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Revenue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Pr>
          <w:p>
            <w:pPr>
              <w:spacing w:after="0"/>
              <w:rPr>
                <w:sz w:val="19"/>
                <w:szCs w:val="19"/>
                <w:color w:val="auto"/>
              </w:rPr>
            </w:pPr>
          </w:p>
        </w:tc>
        <w:tc>
          <w:tcPr>
            <w:tcW w:w="104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447,684</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004483"/>
              </w:rPr>
              <w:t>Cost of Goods Sold</w:t>
            </w:r>
          </w:p>
        </w:tc>
        <w:tc>
          <w:tcPr>
            <w:tcW w:w="3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(354,353 )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(324,835 )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62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004483"/>
              </w:rPr>
              <w:t>Gross Profit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122,849</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26 %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10,577</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(10,667 )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(11,109 )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Premium Paid on Early Retirement of Senior Notes</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Other Non-Operating Income (Loss)</w:t>
            </w:r>
          </w:p>
        </w:tc>
        <w:tc>
          <w:tcPr>
            <w:tcW w:w="30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(944 )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(90 )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949 %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6200" w:type="dxa"/>
            <w:vAlign w:val="bottom"/>
          </w:tcPr>
          <w:p>
            <w:pPr>
              <w:ind w:left="20"/>
              <w:spacing w:after="0"/>
              <w:rPr>
                <w:sz w:val="20"/>
                <w:szCs w:val="20"/>
                <w:color w:val="auto"/>
              </w:rPr>
            </w:pPr>
            <w:r>
              <w:rPr>
                <w:rFonts w:ascii="Arial" w:cs="Arial" w:eastAsia="Arial" w:hAnsi="Arial"/>
                <w:sz w:val="16"/>
                <w:szCs w:val="16"/>
                <w:color w:val="004483"/>
              </w:rPr>
              <w:t>Interest Expense, net</w:t>
            </w:r>
          </w:p>
        </w:tc>
        <w:tc>
          <w:tcPr>
            <w:tcW w:w="3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(12,268 )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(12,556 )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62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004483"/>
              </w:rPr>
              <w:t>Earnings from Continuing Operations Before Income Taxes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109,671</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20 %</w:t>
            </w:r>
          </w:p>
        </w:tc>
      </w:tr>
      <w:tr>
        <w:trPr>
          <w:trHeight w:val="23"/>
        </w:trPr>
        <w:tc>
          <w:tcPr>
            <w:tcW w:w="62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12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56"/>
        </w:trPr>
        <w:tc>
          <w:tcPr>
            <w:tcW w:w="620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300" w:type="dxa"/>
            <w:vAlign w:val="bottom"/>
          </w:tcPr>
          <w:p>
            <w:pPr>
              <w:spacing w:after="0"/>
              <w:rPr>
                <w:sz w:val="22"/>
                <w:szCs w:val="22"/>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(29,190 )</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(19,800 )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47 %</w:t>
            </w:r>
          </w:p>
        </w:tc>
      </w:tr>
      <w:tr>
        <w:trPr>
          <w:trHeight w:val="217"/>
        </w:trPr>
        <w:tc>
          <w:tcPr>
            <w:tcW w:w="62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Earnings from Continuing Operations</w:t>
            </w:r>
          </w:p>
        </w:tc>
        <w:tc>
          <w:tcPr>
            <w:tcW w:w="300" w:type="dxa"/>
            <w:vAlign w:val="bottom"/>
            <w:tcBorders>
              <w:top w:val="single" w:sz="8" w:color="004483"/>
              <w:bottom w:val="single" w:sz="8" w:color="A6A6A6"/>
            </w:tcBorders>
          </w:tcPr>
          <w:p>
            <w:pPr>
              <w:spacing w:after="0"/>
              <w:rPr>
                <w:sz w:val="18"/>
                <w:szCs w:val="18"/>
                <w:color w:val="auto"/>
              </w:rPr>
            </w:pPr>
          </w:p>
        </w:tc>
        <w:tc>
          <w:tcPr>
            <w:tcW w:w="12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102,125</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004483"/>
              <w:bottom w:val="single" w:sz="8" w:color="A6A6A6"/>
            </w:tcBorders>
          </w:tcPr>
          <w:p>
            <w:pPr>
              <w:spacing w:after="0"/>
              <w:rPr>
                <w:sz w:val="18"/>
                <w:szCs w:val="18"/>
                <w:color w:val="auto"/>
              </w:rPr>
            </w:pPr>
          </w:p>
        </w:tc>
        <w:tc>
          <w:tcPr>
            <w:tcW w:w="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89,871</w:t>
            </w:r>
          </w:p>
        </w:tc>
        <w:tc>
          <w:tcPr>
            <w:tcW w:w="100" w:type="dxa"/>
            <w:vAlign w:val="bottom"/>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004483"/>
              </w:rPr>
              <w:t>Net Earnings from Discontinued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2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96,034</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6 %</w:t>
            </w: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 from Continuing Operations</w:t>
            </w:r>
          </w:p>
        </w:tc>
        <w:tc>
          <w:tcPr>
            <w:tcW w:w="300" w:type="dxa"/>
            <w:vAlign w:val="bottom"/>
            <w:tcBorders>
              <w:bottom w:val="single" w:sz="8" w:color="004483"/>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14 %</w:t>
            </w: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0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Revenue increased by $62.0 million, or 14%, to $509.7 million for the three months ended September 30, 2021. The increase in Revenue was due to higher gross sales prices and Sales Volume, which positively affected Revenue by approximately $49.2 million and $12.8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Cost of Goods Sold increased by $29.6 million, or 9%, to $354.4 million for the three months ended September 30, 2021. The increase was due to higher Sales Volume and increased operating costs of $10.0 million and $19.6 million, respectively. The increase in operating costs was primarily related to our Gypsum Wallboard and Recycled Paperboard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color w:val="auto"/>
        </w:rPr>
        <w:t>Gross Profit increased 26% to $155.3 million during the three months ended September 30, 2021. The improvement was primarily due to higher gross sales prices and Sales Volume, partially offset by increased operating costs. The gross margin increased to 30% from 27%, mainly because of higher gross sales prices, partially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Equity in Earnings of our Unconsolidated Joint Venture decreased $2.3 million, or 22%, for the three months ended September 30, 2021. The decrease was primarily due to lower Sales Volume and increased operating costs, which adversely affected earnings by approximately $0.8 million and $3.3 million, respectively. This was partially offset by higher gross sales prices of $1.8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6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Corporate General and Administrative expenses declined by approximately $0.4 million, or 4%, for the three months ended September 30, 2021. The decrease was primarily due to lower professional fees incurred in fiscal 2021 of approximately $2.4 million. The prior year fees related primarily to the sale of Mathews Readymix and Western Aggregates, as well as the preparation for the sale of the Oil and Gas Proppants business. The lower fees were partially offset by higher salary and incentive compensation of $1.1 million and insurance expense of $0.5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PAID ON EARLY RETIREMENT OF SENIOR NOTES</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53"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Interest Expense, net decreased by approximately $0.3 million, or 2%, during the three months ended September 30, 2021. The decrease was primarily due to lower interest on borrowings under our Revolving Credit Facility and Term Loan of approximately $2.6 million and $5.1 million, respectively. Interest Expense related to our Revolving Credit Facility was lower because our average outstanding borrowings under the Revolving Credit Facility were less in the fiscal 2022 quarter at approximately $75.0 million, compared with average borrowings of approximately $350.0 million during the second quarter of fiscal 2021. Interest Expense on our Term Loan declined because we repaid the loan on July 1, 2021. The lower interest amounts were partially offset by higher interest expense on our public notes and loan amortization expense, which increased by $1.4 million and $5.9 million, respectively. Interest on our public notes was higher because our public notes outstanding increased to $750.0 million from $350.0 million, while loan amortization expense increased as a result of our $6.1 million write-off of debt issuance costs related to our 4.500% Unsecured Senior Notes Due in 2026 and our Term Loan in July 2021. See Footnote (M) to the Unaudited Consolidated Financial Statements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Earnings Before Income Taxes increased to $131.3 million during the three months ended September 30, 2021, primarily as a result of higher Gross Profit and lower Corporate General and Administrative expenses and Interest Expense. This was partially offset by higher Premium Paid on Early Retirement of Senior Notes and lower Equity in Earnings of Unconsolidated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jc w:val="both"/>
        <w:ind w:right="160"/>
        <w:spacing w:after="0" w:line="285" w:lineRule="auto"/>
        <w:rPr>
          <w:sz w:val="20"/>
          <w:szCs w:val="20"/>
          <w:color w:val="auto"/>
        </w:rPr>
      </w:pPr>
      <w:r>
        <w:rPr>
          <w:rFonts w:ascii="Arial" w:cs="Arial" w:eastAsia="Arial" w:hAnsi="Arial"/>
          <w:sz w:val="18"/>
          <w:szCs w:val="18"/>
          <w:color w:val="auto"/>
        </w:rPr>
        <w:t>Income Tax Expense was $29.2 million for the three months ended September 30, 2021, compared with $19.8 million for the three months ended September 30, 2020. The effective tax rate increased to 22% from 18% in the prior-year period. The increase in the effective tax rate for the three months ended September 30, 2021 was primarily due to the reversal of an uncertain tax position that was recorded during the three months ended September 30,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Net Earnings from Continuing Operations increased 14% to $102.1 million for the three months ended September 30, 2021. Diluted Earnings per Share from Continuing Operations increased 14% to $2.46 per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DISCONTINUED OPERATIONS</w:t>
      </w:r>
    </w:p>
    <w:p>
      <w:pPr>
        <w:spacing w:after="0" w:line="166"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Net Earnings from Discontinued Operations declined $6.2 million during the three months ended September 30, 2021. The Oil and Gas Proppants business was sold in September 2020, and there was no activity related to this business during fiscal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6% to $102.1 million for the three months ended September 30, 2021, as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2021 COMPARED WITH SIX MONTHS ENDED SEPTEMBER 30, 2020</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340" w:type="dxa"/>
            <w:vAlign w:val="bottom"/>
            <w:shd w:val="clear" w:color="auto" w:fill="004483"/>
          </w:tcPr>
          <w:p>
            <w:pPr>
              <w:spacing w:after="0"/>
              <w:rPr>
                <w:sz w:val="16"/>
                <w:szCs w:val="16"/>
                <w:color w:val="auto"/>
              </w:rPr>
            </w:pPr>
          </w:p>
        </w:tc>
        <w:tc>
          <w:tcPr>
            <w:tcW w:w="3140" w:type="dxa"/>
            <w:vAlign w:val="bottom"/>
            <w:gridSpan w:val="6"/>
            <w:shd w:val="clear" w:color="auto" w:fill="004483"/>
          </w:tcPr>
          <w:p>
            <w:pPr>
              <w:jc w:val="right"/>
              <w:ind w:right="680"/>
              <w:spacing w:after="0"/>
              <w:rPr>
                <w:sz w:val="20"/>
                <w:szCs w:val="20"/>
                <w:color w:val="auto"/>
              </w:rPr>
            </w:pPr>
            <w:r>
              <w:rPr>
                <w:rFonts w:ascii="Arial" w:cs="Arial" w:eastAsia="Arial" w:hAnsi="Arial"/>
                <w:sz w:val="13"/>
                <w:szCs w:val="13"/>
                <w:b w:val="1"/>
                <w:bCs w:val="1"/>
                <w:color w:val="FFFFFF"/>
                <w:w w:val="96"/>
              </w:rPr>
              <w:t>For the Six Months Ended September 30,</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3"/>
        </w:trPr>
        <w:tc>
          <w:tcPr>
            <w:tcW w:w="6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2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rPr>
              <w:t>Change</w:t>
            </w:r>
          </w:p>
        </w:tc>
      </w:tr>
      <w:tr>
        <w:trPr>
          <w:trHeight w:val="225"/>
        </w:trPr>
        <w:tc>
          <w:tcPr>
            <w:tcW w:w="6200" w:type="dxa"/>
            <w:vAlign w:val="bottom"/>
            <w:tcBorders>
              <w:bottom w:val="single" w:sz="8" w:color="004483"/>
            </w:tcBorders>
          </w:tcPr>
          <w:p>
            <w:pPr>
              <w:spacing w:after="0"/>
              <w:rPr>
                <w:sz w:val="19"/>
                <w:szCs w:val="19"/>
                <w:color w:val="auto"/>
              </w:rPr>
            </w:pPr>
          </w:p>
        </w:tc>
        <w:tc>
          <w:tcPr>
            <w:tcW w:w="340" w:type="dxa"/>
            <w:vAlign w:val="bottom"/>
            <w:tcBorders>
              <w:bottom w:val="single" w:sz="8" w:color="004483"/>
            </w:tcBorders>
          </w:tcPr>
          <w:p>
            <w:pPr>
              <w:spacing w:after="0"/>
              <w:rPr>
                <w:sz w:val="19"/>
                <w:szCs w:val="19"/>
                <w:color w:val="auto"/>
              </w:rPr>
            </w:pPr>
          </w:p>
        </w:tc>
        <w:tc>
          <w:tcPr>
            <w:tcW w:w="2380" w:type="dxa"/>
            <w:vAlign w:val="bottom"/>
            <w:tcBorders>
              <w:bottom w:val="single" w:sz="8" w:color="004483"/>
            </w:tcBorders>
            <w:gridSpan w:val="4"/>
          </w:tcPr>
          <w:p>
            <w:pPr>
              <w:jc w:val="right"/>
              <w:spacing w:after="0"/>
              <w:rPr>
                <w:sz w:val="20"/>
                <w:szCs w:val="20"/>
                <w:color w:val="auto"/>
              </w:rPr>
            </w:pPr>
            <w:r>
              <w:rPr>
                <w:rFonts w:ascii="Arial" w:cs="Arial" w:eastAsia="Arial" w:hAnsi="Arial"/>
                <w:sz w:val="13"/>
                <w:szCs w:val="13"/>
                <w:color w:val="auto"/>
              </w:rPr>
              <w:t>(dollars in thousands, except per share)</w:t>
            </w:r>
          </w:p>
        </w:tc>
        <w:tc>
          <w:tcPr>
            <w:tcW w:w="66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004483"/>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Revenue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985,464</w:t>
            </w:r>
          </w:p>
        </w:tc>
        <w:tc>
          <w:tcPr>
            <w:tcW w:w="100" w:type="dxa"/>
            <w:vAlign w:val="bottom"/>
          </w:tcPr>
          <w:p>
            <w:pPr>
              <w:spacing w:after="0"/>
              <w:rPr>
                <w:sz w:val="19"/>
                <w:szCs w:val="19"/>
                <w:color w:val="auto"/>
              </w:rPr>
            </w:pPr>
          </w:p>
        </w:tc>
        <w:tc>
          <w:tcPr>
            <w:tcW w:w="104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874,673</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6200" w:type="dxa"/>
            <w:vAlign w:val="bottom"/>
          </w:tcPr>
          <w:p>
            <w:pPr>
              <w:ind w:left="20"/>
              <w:spacing w:after="0"/>
              <w:rPr>
                <w:sz w:val="20"/>
                <w:szCs w:val="20"/>
                <w:color w:val="auto"/>
              </w:rPr>
            </w:pPr>
            <w:r>
              <w:rPr>
                <w:rFonts w:ascii="Arial" w:cs="Arial" w:eastAsia="Arial" w:hAnsi="Arial"/>
                <w:sz w:val="16"/>
                <w:szCs w:val="16"/>
                <w:color w:val="004483"/>
              </w:rPr>
              <w:t>Cost of Goods Sold</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(703,612 )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(649,527 )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620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2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004483"/>
              </w:rPr>
              <w:t>Gross Profit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281,852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225,146</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Corporate General and Administrative</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(20,135 )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(28,898 )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Premium Paid on Early Retirement of Senior Notes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Gain on Sale of Businesses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51,973</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004483"/>
              </w:rPr>
              <w:t>Other Non-Operating Income (Loss)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(399 )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(785 )%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004483"/>
              </w:rPr>
              <w:t>Interest Expense, net</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(19,240 )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(26,597 )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620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2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004483"/>
              </w:rPr>
              <w:t>Earnings from Continuing Operations Before Income Taxes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253,034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239,598</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3"/>
        </w:trPr>
        <w:tc>
          <w:tcPr>
            <w:tcW w:w="62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12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6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6200" w:type="dxa"/>
            <w:vAlign w:val="bottom"/>
          </w:tcPr>
          <w:p>
            <w:pPr>
              <w:ind w:left="20"/>
              <w:spacing w:after="0"/>
              <w:rPr>
                <w:sz w:val="20"/>
                <w:szCs w:val="20"/>
                <w:color w:val="auto"/>
              </w:rPr>
            </w:pPr>
            <w:r>
              <w:rPr>
                <w:rFonts w:ascii="Arial" w:cs="Arial" w:eastAsia="Arial" w:hAnsi="Arial"/>
                <w:sz w:val="16"/>
                <w:szCs w:val="16"/>
                <w:color w:val="004483"/>
              </w:rPr>
              <w:t>Income Tax Expense</w:t>
            </w:r>
          </w:p>
        </w:tc>
        <w:tc>
          <w:tcPr>
            <w:tcW w:w="34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(55,582 )</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(52,636 )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62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Earnings from Continuing Operations</w:t>
            </w:r>
          </w:p>
        </w:tc>
        <w:tc>
          <w:tcPr>
            <w:tcW w:w="340" w:type="dxa"/>
            <w:vAlign w:val="bottom"/>
            <w:tcBorders>
              <w:top w:val="single" w:sz="8" w:color="004483"/>
              <w:bottom w:val="single" w:sz="8" w:color="A6A6A6"/>
            </w:tcBorders>
          </w:tcPr>
          <w:p>
            <w:pPr>
              <w:spacing w:after="0"/>
              <w:rPr>
                <w:sz w:val="18"/>
                <w:szCs w:val="18"/>
                <w:color w:val="auto"/>
              </w:rPr>
            </w:pPr>
          </w:p>
        </w:tc>
        <w:tc>
          <w:tcPr>
            <w:tcW w:w="12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197,452</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900" w:type="dxa"/>
            <w:vAlign w:val="bottom"/>
            <w:tcBorders>
              <w:top w:val="single" w:sz="8" w:color="004483"/>
              <w:bottom w:val="single" w:sz="8" w:color="A6A6A6"/>
            </w:tcBorders>
          </w:tcPr>
          <w:p>
            <w:pPr>
              <w:spacing w:after="0"/>
              <w:rPr>
                <w:sz w:val="18"/>
                <w:szCs w:val="18"/>
                <w:color w:val="auto"/>
              </w:rPr>
            </w:pPr>
          </w:p>
        </w:tc>
        <w:tc>
          <w:tcPr>
            <w:tcW w:w="6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186,962</w:t>
            </w:r>
          </w:p>
        </w:tc>
        <w:tc>
          <w:tcPr>
            <w:tcW w:w="100" w:type="dxa"/>
            <w:vAlign w:val="bottom"/>
          </w:tcPr>
          <w:p>
            <w:pPr>
              <w:spacing w:after="0"/>
              <w:rPr>
                <w:sz w:val="18"/>
                <w:szCs w:val="18"/>
                <w:color w:val="auto"/>
              </w:rPr>
            </w:pPr>
          </w:p>
        </w:tc>
        <w:tc>
          <w:tcPr>
            <w:tcW w:w="12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7"/>
        </w:trPr>
        <w:tc>
          <w:tcPr>
            <w:tcW w:w="6200" w:type="dxa"/>
            <w:vAlign w:val="bottom"/>
          </w:tcPr>
          <w:p>
            <w:pPr>
              <w:ind w:left="20"/>
              <w:spacing w:after="0"/>
              <w:rPr>
                <w:sz w:val="20"/>
                <w:szCs w:val="20"/>
                <w:color w:val="auto"/>
              </w:rPr>
            </w:pPr>
            <w:r>
              <w:rPr>
                <w:rFonts w:ascii="Arial" w:cs="Arial" w:eastAsia="Arial" w:hAnsi="Arial"/>
                <w:sz w:val="16"/>
                <w:szCs w:val="16"/>
                <w:color w:val="004483"/>
              </w:rPr>
              <w:t>Net Earnings from Discontinued Operations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5,278</w:t>
            </w: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-100 %</w:t>
            </w:r>
          </w:p>
        </w:tc>
      </w:tr>
      <w:tr>
        <w:trPr>
          <w:trHeight w:val="20"/>
        </w:trPr>
        <w:tc>
          <w:tcPr>
            <w:tcW w:w="620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12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6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340" w:type="dxa"/>
            <w:vAlign w:val="bottom"/>
            <w:tcBorders>
              <w:bottom w:val="single" w:sz="8" w:color="004483"/>
            </w:tcBorders>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197,452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192,240</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3 %</w:t>
            </w: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 from Continuing Operations</w:t>
            </w:r>
          </w:p>
        </w:tc>
        <w:tc>
          <w:tcPr>
            <w:tcW w:w="340" w:type="dxa"/>
            <w:vAlign w:val="bottom"/>
            <w:tcBorders>
              <w:bottom w:val="single" w:sz="8" w:color="004483"/>
            </w:tcBorders>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4483"/>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4.49</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5 %</w:t>
            </w:r>
          </w:p>
        </w:tc>
      </w:tr>
      <w:tr>
        <w:trPr>
          <w:trHeight w:val="20"/>
        </w:trPr>
        <w:tc>
          <w:tcPr>
            <w:tcW w:w="6200" w:type="dxa"/>
            <w:vAlign w:val="bottom"/>
            <w:tcBorders>
              <w:bottom w:val="single" w:sz="8" w:color="A6A6A6"/>
            </w:tcBorders>
          </w:tcPr>
          <w:p>
            <w:pPr>
              <w:spacing w:after="0" w:line="20" w:lineRule="exact"/>
              <w:rPr>
                <w:sz w:val="1"/>
                <w:szCs w:val="1"/>
                <w:color w:val="auto"/>
              </w:rPr>
            </w:pPr>
          </w:p>
        </w:tc>
        <w:tc>
          <w:tcPr>
            <w:tcW w:w="340" w:type="dxa"/>
            <w:vAlign w:val="bottom"/>
            <w:tcBorders>
              <w:bottom w:val="single" w:sz="8" w:color="004483"/>
            </w:tcBorders>
          </w:tcPr>
          <w:p>
            <w:pPr>
              <w:spacing w:after="0" w:line="20" w:lineRule="exact"/>
              <w:rPr>
                <w:sz w:val="1"/>
                <w:szCs w:val="1"/>
                <w:color w:val="auto"/>
              </w:rPr>
            </w:pPr>
          </w:p>
        </w:tc>
        <w:tc>
          <w:tcPr>
            <w:tcW w:w="12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9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Revenue increased by $110.8 million, or 13%, to $985.5 million for the six months ended September 30, 2021. The increase in Revenue was due to higher gross sales prices and Sales Volume, which positively affected Revenue by approximately $89.1 million and $21.7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Cost of Goods Sold increased by $54.1 million, or 8%, to $703.6 million for the six months ended September 30, 2021. The increase was due to higher Sales Volume and increased operating costs of $16.1 million and $38.0 million, respectively. The increase in operating costs was primarily related to our Cement and Gypsum Wallboard segments, which are discussed further in the segment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Gross Profit increased 25% to $281.9 million during the six months ended September 30, 2021. The improvement was mainly due to higher gross sales prices and Sales Volume, partially offset by increased operating costs. The gross margin increased to 29% from 26%, primarily because of higher gross sales prices, partially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Equity in Earnings of our Unconsolidated Joint Venture decreased $2.2 million, or 12%, for the six months ended September 30, 2021. The decrease was primarily due to lower Sales Volume and higher operating costs, which reduced earnings by $2.2 million and $3.3 million, respectively. This was partially offset by higher net sales prices, which raised earnings by approximately $3.3 million. The increase in operating costs was due primarily to maintenance and energy, which reduced earnings by approximately $1.7 million and $0.5 million, respectively.</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CORPORATE GENERAL AND ADMINISTRATIVE</w:t>
      </w:r>
    </w:p>
    <w:p>
      <w:pPr>
        <w:spacing w:after="0" w:line="166" w:lineRule="exact"/>
        <w:rPr>
          <w:sz w:val="20"/>
          <w:szCs w:val="20"/>
          <w:color w:val="auto"/>
        </w:rPr>
      </w:pPr>
    </w:p>
    <w:p>
      <w:pPr>
        <w:jc w:val="both"/>
        <w:ind w:right="280"/>
        <w:spacing w:after="0" w:line="284" w:lineRule="auto"/>
        <w:rPr>
          <w:sz w:val="20"/>
          <w:szCs w:val="20"/>
          <w:color w:val="auto"/>
        </w:rPr>
      </w:pPr>
      <w:r>
        <w:rPr>
          <w:rFonts w:ascii="Arial" w:cs="Arial" w:eastAsia="Arial" w:hAnsi="Arial"/>
          <w:sz w:val="18"/>
          <w:szCs w:val="18"/>
          <w:color w:val="auto"/>
        </w:rPr>
        <w:t>Corporate General and Administrative expenses declined by approximately $8.8 million, or 30%, for the six months ended September 30, 2021. The decrease was primarily due to lower professional and transaction fees incurred in fiscal 2021 of approximately $4.6 million and $4.8 million, respectively. The professional fees related primarily to our strategic portfolio review in the prior year, and the transaction fees mostly related to the prior year sale of Mathews Readymix and Western Aggregates, as well as preparation for the sale of the Oil and Gas Proppants business. The decrease was partially offset by an increase of $0.9 million in insurance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RETIREMENT OF SENIOR NOTES</w:t>
      </w:r>
    </w:p>
    <w:p>
      <w:pPr>
        <w:spacing w:after="0" w:line="15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BUSINESSES</w:t>
      </w:r>
    </w:p>
    <w:p>
      <w:pPr>
        <w:spacing w:after="0" w:line="15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On April 17, 2020 we sold Western and Mathews for approximately $93.5 million. See Footnote (C) to the Unaudited Consolidated Financial Statements for more information regarding the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(LOSS)</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Other Non-Operating Income (Loss) consists of a variety of items that are unrelated to segment operations and include non-inventoried Aggregates income, asset sales, and other miscellaneous income and cost items. The increase in Other Non-Operating Income (Loss) was primarily due to the sale of land that resulted in a gain of approximately $1.7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Interest Expense, net decreased by approximately $7.4 million, or 28%, during the six months ended September 30, 2021. The decrease was primarily due to lower interest on borrowings under our Revolving Credit Facility and Term Loan of approximately $7.1 million and $7.4 million, respectively. Interest Expense related to our Revolving Credit Facility was lower because our average outstanding borrowings under the Revolving Credit Facility were significantly less in the first half of fiscal 2022 at approximately $75.0 million, compared with average borrowings of approximately $400.0 million during fiscal 2021. Interest Expense on our Term Loan declined due to lower average interest rates and because we repaid the loan on July 1, 2021. The lower interest amounts were partially offset by higher interest expense on our public notes and loan amortization expense, which increased by $1.4 million and $5.7 million, respectively. Interest on our public notes was higher because our public notes outstanding increased to $750.0 million from $350.0 million in July 2021. Loan amortization expense increased as a result of our $6.1 million write-off of debt issuance costs related to our 4.500% Unsecured Senior Notes Due in 2026 and our Term Loan in July 2021. See Footnote (M) to the Unaudited Consolidated Financial Statements for more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 BEFORE INCOME TAXES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Earnings Before Income Taxes increased to $253.0 million during the six months ended September 30, 2021, primarily as a result of higher Gross Profit and Other Non-Operating Income (Loss), as well as lower Corporate General and Administrative expenses and Interest Expense than the prior-year period. This was partially offset by lower Gross Equity in Earnings of Unconsolidated Joint Venture and Gain on Sale of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auto"/>
        </w:rPr>
        <w:t>Income Tax Expense was $55.6 million for the six months ended September 30, 2021, compared with $52.6 million for the six months ended September 30, 2020. The effective tax rate remained consistent at 22% for both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 AND DILUTED EARNINGS PER SHARE FROM CONTINUING OPERATIONS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Net Earnings from Continuing Operations increased 6% to $197.5 million for the six months ended September 30, 2021. Diluted Earnings per Share from Continuing Operations increased 5% to $4.70 per share.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DISCONTINUED OPERATIONS</w:t>
      </w:r>
    </w:p>
    <w:p>
      <w:pPr>
        <w:spacing w:after="0" w:line="166" w:lineRule="exact"/>
        <w:rPr>
          <w:sz w:val="20"/>
          <w:szCs w:val="20"/>
          <w:color w:val="auto"/>
        </w:rPr>
      </w:pPr>
    </w:p>
    <w:p>
      <w:pPr>
        <w:ind w:right="680"/>
        <w:spacing w:after="0" w:line="293" w:lineRule="auto"/>
        <w:rPr>
          <w:sz w:val="20"/>
          <w:szCs w:val="20"/>
          <w:color w:val="auto"/>
        </w:rPr>
      </w:pPr>
      <w:r>
        <w:rPr>
          <w:rFonts w:ascii="Arial" w:cs="Arial" w:eastAsia="Arial" w:hAnsi="Arial"/>
          <w:sz w:val="18"/>
          <w:szCs w:val="18"/>
          <w:color w:val="auto"/>
        </w:rPr>
        <w:t>Net Earnings from Discontinued Operations declined $5.3 million during the six months ended September 30, 2021. The Oil and Gas Proppants business was sold in September 2020, and there was no activity related to this business during fiscal 2022.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3% to $197.5 million for the six months ended September 30, 2021, as discussed above.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SEPTEMBER 30, 2021 vs. THREE AND SIX MONTHS ENDED SEPTEMBER 30, 2020 BY SEGMENT</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The following presents results within our two business sectors for the three and six months ended September 30, 2021 and 2020. Revenue and operating results are organized by sector and discussed by individual business segment within each respective business sector.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12"/>
          <w:szCs w:val="12"/>
          <w:b w:val="1"/>
          <w:bCs w:val="1"/>
          <w:color w:val="auto"/>
        </w:rPr>
        <w:t>(1)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00" w:type="dxa"/>
            <w:vAlign w:val="bottom"/>
          </w:tcPr>
          <w:p>
            <w:pPr>
              <w:spacing w:after="0"/>
              <w:rPr>
                <w:sz w:val="14"/>
                <w:szCs w:val="14"/>
                <w:color w:val="auto"/>
              </w:rPr>
            </w:pPr>
          </w:p>
        </w:tc>
        <w:tc>
          <w:tcPr>
            <w:tcW w:w="2380" w:type="dxa"/>
            <w:vAlign w:val="bottom"/>
            <w:gridSpan w:val="7"/>
            <w:shd w:val="clear" w:color="auto" w:fill="004483"/>
          </w:tcPr>
          <w:p>
            <w:pPr>
              <w:ind w:left="40"/>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4000" w:type="dxa"/>
            <w:vAlign w:val="bottom"/>
          </w:tcPr>
          <w:p>
            <w:pPr>
              <w:spacing w:after="0"/>
              <w:rPr>
                <w:sz w:val="15"/>
                <w:szCs w:val="15"/>
                <w:color w:val="auto"/>
              </w:rPr>
            </w:pPr>
          </w:p>
        </w:tc>
        <w:tc>
          <w:tcPr>
            <w:tcW w:w="300" w:type="dxa"/>
            <w:vAlign w:val="bottom"/>
            <w:tcBorders>
              <w:bottom w:val="single" w:sz="8" w:color="auto"/>
            </w:tcBorders>
            <w:shd w:val="clear" w:color="auto" w:fill="004483"/>
          </w:tcPr>
          <w:p>
            <w:pPr>
              <w:spacing w:after="0"/>
              <w:rPr>
                <w:sz w:val="15"/>
                <w:szCs w:val="15"/>
                <w:color w:val="auto"/>
              </w:rPr>
            </w:pPr>
          </w:p>
        </w:tc>
        <w:tc>
          <w:tcPr>
            <w:tcW w:w="940" w:type="dxa"/>
            <w:vAlign w:val="bottom"/>
            <w:tcBorders>
              <w:bottom w:val="single" w:sz="8" w:color="auto"/>
            </w:tcBorders>
            <w:gridSpan w:val="3"/>
            <w:shd w:val="clear" w:color="auto" w:fill="004483"/>
          </w:tcPr>
          <w:p>
            <w:pPr>
              <w:jc w:val="right"/>
              <w:ind w:right="20"/>
              <w:spacing w:after="0"/>
              <w:rPr>
                <w:sz w:val="20"/>
                <w:szCs w:val="20"/>
                <w:color w:val="auto"/>
              </w:rPr>
            </w:pPr>
            <w:r>
              <w:rPr>
                <w:rFonts w:ascii="Arial" w:cs="Arial" w:eastAsia="Arial" w:hAnsi="Arial"/>
                <w:sz w:val="13"/>
                <w:szCs w:val="13"/>
                <w:b w:val="1"/>
                <w:bCs w:val="1"/>
                <w:color w:val="FFFFFF"/>
              </w:rPr>
              <w:t>30,</w:t>
            </w:r>
          </w:p>
        </w:tc>
        <w:tc>
          <w:tcPr>
            <w:tcW w:w="300" w:type="dxa"/>
            <w:vAlign w:val="bottom"/>
            <w:tcBorders>
              <w:bottom w:val="single" w:sz="8" w:color="auto"/>
            </w:tcBorders>
            <w:shd w:val="clear" w:color="auto" w:fill="004483"/>
          </w:tcPr>
          <w:p>
            <w:pPr>
              <w:spacing w:after="0"/>
              <w:rPr>
                <w:sz w:val="15"/>
                <w:szCs w:val="15"/>
                <w:color w:val="auto"/>
              </w:rPr>
            </w:pPr>
          </w:p>
        </w:tc>
        <w:tc>
          <w:tcPr>
            <w:tcW w:w="74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shd w:val="clear" w:color="auto" w:fill="004483"/>
          </w:tcPr>
          <w:p>
            <w:pPr>
              <w:spacing w:after="0"/>
              <w:rPr>
                <w:sz w:val="15"/>
                <w:szCs w:val="15"/>
                <w:color w:val="auto"/>
              </w:rPr>
            </w:pPr>
          </w:p>
        </w:tc>
        <w:tc>
          <w:tcPr>
            <w:tcW w:w="920" w:type="dxa"/>
            <w:vAlign w:val="bottom"/>
            <w:tcBorders>
              <w:bottom w:val="single" w:sz="8" w:color="auto"/>
            </w:tcBorders>
            <w:gridSpan w:val="3"/>
            <w:shd w:val="clear" w:color="auto" w:fill="004483"/>
          </w:tcPr>
          <w:p>
            <w:pPr>
              <w:jc w:val="center"/>
              <w:ind w:left="642"/>
              <w:spacing w:after="0"/>
              <w:rPr>
                <w:sz w:val="20"/>
                <w:szCs w:val="20"/>
                <w:color w:val="auto"/>
              </w:rPr>
            </w:pPr>
            <w:r>
              <w:rPr>
                <w:rFonts w:ascii="Arial" w:cs="Arial" w:eastAsia="Arial" w:hAnsi="Arial"/>
                <w:sz w:val="13"/>
                <w:szCs w:val="13"/>
                <w:b w:val="1"/>
                <w:bCs w:val="1"/>
                <w:color w:val="FFFFFF"/>
                <w:w w:val="88"/>
              </w:rPr>
              <w:t>30,</w:t>
            </w:r>
          </w:p>
        </w:tc>
        <w:tc>
          <w:tcPr>
            <w:tcW w:w="260" w:type="dxa"/>
            <w:vAlign w:val="bottom"/>
            <w:tcBorders>
              <w:bottom w:val="single" w:sz="8" w:color="auto"/>
            </w:tcBorders>
            <w:shd w:val="clear" w:color="auto" w:fill="004483"/>
          </w:tcPr>
          <w:p>
            <w:pPr>
              <w:spacing w:after="0"/>
              <w:rPr>
                <w:sz w:val="15"/>
                <w:szCs w:val="15"/>
                <w:color w:val="auto"/>
              </w:rPr>
            </w:pPr>
          </w:p>
        </w:tc>
        <w:tc>
          <w:tcPr>
            <w:tcW w:w="740" w:type="dxa"/>
            <w:vAlign w:val="bottom"/>
            <w:tcBorders>
              <w:bottom w:val="single" w:sz="8" w:color="auto"/>
            </w:tcBorders>
            <w:shd w:val="clear" w:color="auto" w:fill="004483"/>
          </w:tcPr>
          <w:p>
            <w:pPr>
              <w:spacing w:after="0"/>
              <w:rPr>
                <w:sz w:val="15"/>
                <w:szCs w:val="15"/>
                <w:color w:val="auto"/>
              </w:rPr>
            </w:pPr>
          </w:p>
        </w:tc>
        <w:tc>
          <w:tcPr>
            <w:tcW w:w="80" w:type="dxa"/>
            <w:vAlign w:val="bottom"/>
            <w:tcBorders>
              <w:bottom w:val="single" w:sz="8" w:color="004483"/>
            </w:tcBorders>
            <w:shd w:val="clear" w:color="auto" w:fill="004483"/>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1"/>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5"/>
              </w:rPr>
              <w:t>Percentage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Percentage</w:t>
            </w:r>
          </w:p>
        </w:tc>
      </w:tr>
      <w:tr>
        <w:trPr>
          <w:trHeight w:val="164"/>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r>
      <w:tr>
        <w:trPr>
          <w:trHeight w:val="225"/>
        </w:trPr>
        <w:tc>
          <w:tcPr>
            <w:tcW w:w="4000" w:type="dxa"/>
            <w:vAlign w:val="bottom"/>
            <w:tcBorders>
              <w:bottom w:val="single" w:sz="8" w:color="17385E"/>
            </w:tcBorders>
          </w:tcPr>
          <w:p>
            <w:pPr>
              <w:spacing w:after="0"/>
              <w:rPr>
                <w:sz w:val="19"/>
                <w:szCs w:val="19"/>
                <w:color w:val="auto"/>
              </w:rPr>
            </w:pPr>
          </w:p>
        </w:tc>
        <w:tc>
          <w:tcPr>
            <w:tcW w:w="228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9"/>
                <w:szCs w:val="19"/>
                <w:color w:val="auto"/>
              </w:rPr>
            </w:pPr>
          </w:p>
        </w:tc>
        <w:tc>
          <w:tcPr>
            <w:tcW w:w="920" w:type="dxa"/>
            <w:vAlign w:val="bottom"/>
            <w:tcBorders>
              <w:bottom w:val="single" w:sz="8" w:color="17385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17385E"/>
            </w:tcBorders>
          </w:tcPr>
          <w:p>
            <w:pPr>
              <w:spacing w:after="0"/>
              <w:rPr>
                <w:sz w:val="19"/>
                <w:szCs w:val="19"/>
                <w:color w:val="auto"/>
              </w:rPr>
            </w:pPr>
          </w:p>
        </w:tc>
        <w:tc>
          <w:tcPr>
            <w:tcW w:w="220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80" w:type="dxa"/>
            <w:vAlign w:val="bottom"/>
          </w:tcPr>
          <w:p>
            <w:pPr>
              <w:spacing w:after="0"/>
              <w:rPr>
                <w:sz w:val="19"/>
                <w:szCs w:val="19"/>
                <w:color w:val="auto"/>
              </w:rPr>
            </w:pPr>
          </w:p>
        </w:tc>
        <w:tc>
          <w:tcPr>
            <w:tcW w:w="900" w:type="dxa"/>
            <w:vAlign w:val="bottom"/>
            <w:tcBorders>
              <w:bottom w:val="single" w:sz="8" w:color="17385E"/>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004483"/>
                <w:w w:val="96"/>
              </w:rPr>
              <w:t>Gross Revenue, including Intersegment and Joint Venture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288,324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278,062</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558,579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539,473</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(5,223 )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(6,267 )</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(13,056 )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(12,298 )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6"/>
                <w:szCs w:val="16"/>
                <w:color w:val="004483"/>
              </w:rPr>
              <w:t>Less Joint Venture Revenue</w:t>
            </w: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(26,926 )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(27,193 )</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(49,617 )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(52,493 )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40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256,175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244,602</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495,906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474,682</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(19,610 )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(18,850 )</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(38,652 )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(35,819 )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0"/>
        </w:trPr>
        <w:tc>
          <w:tcPr>
            <w:tcW w:w="40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00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236,565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225,752</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457,254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438,863</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29"/>
        </w:trPr>
        <w:tc>
          <w:tcPr>
            <w:tcW w:w="40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4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A6A6A6"/>
            </w:tcBorders>
          </w:tcPr>
          <w:p>
            <w:pPr>
              <w:spacing w:after="0"/>
              <w:rPr>
                <w:sz w:val="19"/>
                <w:szCs w:val="19"/>
                <w:color w:val="auto"/>
              </w:rPr>
            </w:pPr>
          </w:p>
        </w:tc>
        <w:tc>
          <w:tcPr>
            <w:tcW w:w="740" w:type="dxa"/>
            <w:vAlign w:val="bottom"/>
            <w:tcBorders>
              <w:top w:val="single" w:sz="8" w:color="A6A6A6"/>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4,265</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4000" w:type="dxa"/>
            <w:vAlign w:val="bottom"/>
          </w:tcPr>
          <w:p>
            <w:pPr>
              <w:ind w:left="20"/>
              <w:spacing w:after="0" w:line="23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111.59</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117.09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110.38</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r>
      <w:tr>
        <w:trPr>
          <w:trHeight w:val="20"/>
        </w:trPr>
        <w:tc>
          <w:tcPr>
            <w:tcW w:w="40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32.91</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88,750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79,913</w:t>
            </w: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151,297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140,368</w:t>
            </w: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3"/>
        </w:trPr>
        <w:tc>
          <w:tcPr>
            <w:tcW w:w="40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6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-2105025</wp:posOffset>
            </wp:positionV>
            <wp:extent cx="13716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-2105025</wp:posOffset>
            </wp:positionV>
            <wp:extent cx="12001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4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91" w:lineRule="exact"/>
        <w:rPr>
          <w:rFonts w:ascii="Arial" w:cs="Arial" w:eastAsia="Arial" w:hAnsi="Arial"/>
          <w:sz w:val="12"/>
          <w:szCs w:val="12"/>
          <w:color w:val="auto"/>
        </w:rPr>
      </w:pPr>
    </w:p>
    <w:p>
      <w:pPr>
        <w:ind w:left="180" w:hanging="172"/>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w:t>
      </w:r>
    </w:p>
    <w:p>
      <w:pPr>
        <w:spacing w:after="0" w:line="166"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color w:val="auto"/>
        </w:rPr>
        <w:t>Cement Revenue was $288.3 million, a 4% increase, for the three months ended September 30, 2021. The increase was primarily due to higher gross sales prices and Sales Volume, which improved Cement Revenue by approximately $8.9 million and $1.3 million, respectively.</w:t>
      </w:r>
    </w:p>
    <w:p>
      <w:pPr>
        <w:spacing w:after="0" w:line="6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Cement Operating Earnings increased by 11% to $88.8 million for the three months ended September 30, 2021. The increase was due to higher gross sales prices and Sales Volume, which positively affected Operating Earnings by approximately $8.9 million and $0.5 million, respectively. This was partially offset by increased operating costs, which negatively affected Operating Earnings by $0.5 million. The increase in operating costs was primarily due to higher energy and purchased raw materials costs of approximately $3.2 million and $1.8 million, respectively. These increases were partially offset by lower maintenance costs of $4.3 million. The decrease in maintenance expense was due to the shifting of certain maintenance outages in fiscal 2021 to the second and third quarters because of the uncertainty of the impact of the COVID-19 pandemic. During the current fiscal year, we performed maintenance outages during the first quarter for all our plants. The Operating Margin increased to 31%, primarily due to higher gross sales prices, partially offset by increased operating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2021</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Cement Revenue was $558.6 million, a 4% increase, for the six months ended September 30, 2021. The increase was primarily due to higher gross sales prices, which improved Cement Revenue by approximately $21.8 million. This was partially offset by lower Sales Volume, which reduced Revenue by $2.7 million.</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Cement Operating Earnings increased by 8% to $151.3 million for the six months ended September 30, 2021. The improvement was due to higher gross sales prices, which positively affected Operating Earnings by approximately $21.8 million. This was partially offset by lower Sales Volume and increased operating costs, which negatively affected Operating Earnings by $1.5 million and $9.4 million, respectively. The increase in operating costs was primarily due to higher maintenance and energy costs of approximately $6.7 million and $5.5 million, respectively. These increases were partially offset by a reduction of $3.7 million of costs at Kosmos Cement related to the recording of acquired inventory at fair value in the first quarter of fiscal 2021. The increase in maintenance expense was due to the shifting of certain maintenance outages in fiscal 2021 to the second and third quarters because of the uncertainty of the impact of the COVID-19 pandemic. During the current fiscal year, we performed maintenance outages during the first quarter for all our plants. The Operating Margin increased to 27% because of higher gross sales prices, partially offset by the increase in operating costs.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CONCRETE AND AGGREGATES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380" w:type="dxa"/>
            <w:vAlign w:val="bottom"/>
            <w:gridSpan w:val="7"/>
            <w:shd w:val="clear" w:color="auto" w:fill="004483"/>
          </w:tcPr>
          <w:p>
            <w:pPr>
              <w:ind w:left="40"/>
              <w:spacing w:after="0"/>
              <w:rPr>
                <w:sz w:val="20"/>
                <w:szCs w:val="20"/>
                <w:color w:val="auto"/>
              </w:rPr>
            </w:pPr>
            <w:r>
              <w:rPr>
                <w:rFonts w:ascii="Arial" w:cs="Arial" w:eastAsia="Arial" w:hAnsi="Arial"/>
                <w:sz w:val="13"/>
                <w:szCs w:val="13"/>
                <w:b w:val="1"/>
                <w:bCs w:val="1"/>
                <w:color w:val="FFFFFF"/>
                <w:w w:val="93"/>
              </w:rPr>
              <w:t>For the Three Months Ended September</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8"/>
              </w:rPr>
              <w:t>For the Six Months Ended September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4080" w:type="dxa"/>
            <w:vAlign w:val="bottom"/>
          </w:tcPr>
          <w:p>
            <w:pPr>
              <w:spacing w:after="0"/>
              <w:rPr>
                <w:sz w:val="15"/>
                <w:szCs w:val="15"/>
                <w:color w:val="auto"/>
              </w:rPr>
            </w:pPr>
          </w:p>
        </w:tc>
        <w:tc>
          <w:tcPr>
            <w:tcW w:w="140" w:type="dxa"/>
            <w:vAlign w:val="bottom"/>
            <w:tcBorders>
              <w:bottom w:val="single" w:sz="8" w:color="auto"/>
            </w:tcBorders>
            <w:shd w:val="clear" w:color="auto" w:fill="004483"/>
          </w:tcPr>
          <w:p>
            <w:pPr>
              <w:spacing w:after="0"/>
              <w:rPr>
                <w:sz w:val="15"/>
                <w:szCs w:val="15"/>
                <w:color w:val="auto"/>
              </w:rPr>
            </w:pPr>
          </w:p>
        </w:tc>
        <w:tc>
          <w:tcPr>
            <w:tcW w:w="900" w:type="dxa"/>
            <w:vAlign w:val="bottom"/>
            <w:tcBorders>
              <w:bottom w:val="single" w:sz="8" w:color="auto"/>
            </w:tcBorders>
            <w:shd w:val="clear" w:color="auto" w:fill="004483"/>
          </w:tcPr>
          <w:p>
            <w:pPr>
              <w:spacing w:after="0"/>
              <w:rPr>
                <w:sz w:val="15"/>
                <w:szCs w:val="15"/>
                <w:color w:val="auto"/>
              </w:rPr>
            </w:pPr>
          </w:p>
        </w:tc>
        <w:tc>
          <w:tcPr>
            <w:tcW w:w="200" w:type="dxa"/>
            <w:vAlign w:val="bottom"/>
            <w:tcBorders>
              <w:bottom w:val="single" w:sz="8" w:color="auto"/>
            </w:tcBorders>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w w:val="88"/>
              </w:rPr>
              <w:t>30,</w:t>
            </w:r>
          </w:p>
        </w:tc>
        <w:tc>
          <w:tcPr>
            <w:tcW w:w="340" w:type="dxa"/>
            <w:vAlign w:val="bottom"/>
            <w:tcBorders>
              <w:bottom w:val="single" w:sz="8" w:color="auto"/>
            </w:tcBorders>
            <w:shd w:val="clear" w:color="auto" w:fill="004483"/>
          </w:tcPr>
          <w:p>
            <w:pPr>
              <w:spacing w:after="0"/>
              <w:rPr>
                <w:sz w:val="15"/>
                <w:szCs w:val="15"/>
                <w:color w:val="auto"/>
              </w:rPr>
            </w:pPr>
          </w:p>
        </w:tc>
        <w:tc>
          <w:tcPr>
            <w:tcW w:w="70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004483"/>
          </w:tcPr>
          <w:p>
            <w:pPr>
              <w:spacing w:after="0"/>
              <w:rPr>
                <w:sz w:val="15"/>
                <w:szCs w:val="15"/>
                <w:color w:val="auto"/>
              </w:rPr>
            </w:pPr>
          </w:p>
        </w:tc>
        <w:tc>
          <w:tcPr>
            <w:tcW w:w="880" w:type="dxa"/>
            <w:vAlign w:val="bottom"/>
            <w:tcBorders>
              <w:bottom w:val="single" w:sz="8" w:color="auto"/>
            </w:tcBorders>
            <w:shd w:val="clear" w:color="auto" w:fill="004483"/>
          </w:tcPr>
          <w:p>
            <w:pPr>
              <w:spacing w:after="0"/>
              <w:rPr>
                <w:sz w:val="15"/>
                <w:szCs w:val="15"/>
                <w:color w:val="auto"/>
              </w:rPr>
            </w:pPr>
          </w:p>
        </w:tc>
        <w:tc>
          <w:tcPr>
            <w:tcW w:w="180" w:type="dxa"/>
            <w:vAlign w:val="bottom"/>
            <w:tcBorders>
              <w:bottom w:val="single" w:sz="8" w:color="auto"/>
            </w:tcBorders>
            <w:gridSpan w:val="2"/>
            <w:shd w:val="clear" w:color="auto" w:fill="004483"/>
          </w:tcPr>
          <w:p>
            <w:pPr>
              <w:jc w:val="center"/>
              <w:spacing w:after="0"/>
              <w:rPr>
                <w:sz w:val="20"/>
                <w:szCs w:val="20"/>
                <w:color w:val="auto"/>
              </w:rPr>
            </w:pPr>
            <w:r>
              <w:rPr>
                <w:rFonts w:ascii="Arial" w:cs="Arial" w:eastAsia="Arial" w:hAnsi="Arial"/>
                <w:sz w:val="13"/>
                <w:szCs w:val="13"/>
                <w:b w:val="1"/>
                <w:bCs w:val="1"/>
                <w:color w:val="FFFFFF"/>
                <w:w w:val="77"/>
              </w:rPr>
              <w:t>30,</w:t>
            </w:r>
          </w:p>
        </w:tc>
        <w:tc>
          <w:tcPr>
            <w:tcW w:w="320" w:type="dxa"/>
            <w:vAlign w:val="bottom"/>
            <w:tcBorders>
              <w:bottom w:val="single" w:sz="8" w:color="auto"/>
            </w:tcBorders>
            <w:shd w:val="clear" w:color="auto" w:fill="004483"/>
          </w:tcPr>
          <w:p>
            <w:pPr>
              <w:spacing w:after="0"/>
              <w:rPr>
                <w:sz w:val="15"/>
                <w:szCs w:val="15"/>
                <w:color w:val="auto"/>
              </w:rPr>
            </w:pPr>
          </w:p>
        </w:tc>
        <w:tc>
          <w:tcPr>
            <w:tcW w:w="68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Percentage</w:t>
            </w:r>
          </w:p>
        </w:tc>
      </w:tr>
      <w:tr>
        <w:trPr>
          <w:trHeight w:val="164"/>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3"/>
              </w:rPr>
              <w:t>Change</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r>
      <w:tr>
        <w:trPr>
          <w:trHeight w:val="226"/>
        </w:trPr>
        <w:tc>
          <w:tcPr>
            <w:tcW w:w="4080" w:type="dxa"/>
            <w:vAlign w:val="bottom"/>
            <w:tcBorders>
              <w:bottom w:val="single" w:sz="8" w:color="17385E"/>
            </w:tcBorders>
          </w:tcPr>
          <w:p>
            <w:pPr>
              <w:spacing w:after="0"/>
              <w:rPr>
                <w:sz w:val="19"/>
                <w:szCs w:val="19"/>
                <w:color w:val="auto"/>
              </w:rPr>
            </w:pPr>
          </w:p>
        </w:tc>
        <w:tc>
          <w:tcPr>
            <w:tcW w:w="140" w:type="dxa"/>
            <w:vAlign w:val="bottom"/>
            <w:tcBorders>
              <w:bottom w:val="single" w:sz="8" w:color="17385E"/>
            </w:tcBorders>
          </w:tcPr>
          <w:p>
            <w:pPr>
              <w:spacing w:after="0"/>
              <w:rPr>
                <w:sz w:val="19"/>
                <w:szCs w:val="19"/>
                <w:color w:val="auto"/>
              </w:rPr>
            </w:pPr>
          </w:p>
        </w:tc>
        <w:tc>
          <w:tcPr>
            <w:tcW w:w="2140" w:type="dxa"/>
            <w:vAlign w:val="bottom"/>
            <w:tcBorders>
              <w:bottom w:val="single" w:sz="8" w:color="17385E"/>
            </w:tcBorders>
            <w:gridSpan w:val="5"/>
          </w:tcPr>
          <w:p>
            <w:pPr>
              <w:jc w:val="center"/>
              <w:ind w:right="61"/>
              <w:spacing w:after="0"/>
              <w:rPr>
                <w:sz w:val="20"/>
                <w:szCs w:val="20"/>
                <w:color w:val="auto"/>
              </w:rPr>
            </w:pPr>
            <w:r>
              <w:rPr>
                <w:rFonts w:ascii="Arial" w:cs="Arial" w:eastAsia="Arial" w:hAnsi="Arial"/>
                <w:sz w:val="13"/>
                <w:szCs w:val="13"/>
                <w:color w:val="auto"/>
                <w:w w:val="86"/>
              </w:rPr>
              <w:t>(in thousands, except net sales prices)</w:t>
            </w:r>
          </w:p>
        </w:tc>
        <w:tc>
          <w:tcPr>
            <w:tcW w:w="100" w:type="dxa"/>
            <w:vAlign w:val="bottom"/>
          </w:tcPr>
          <w:p>
            <w:pPr>
              <w:spacing w:after="0"/>
              <w:rPr>
                <w:sz w:val="19"/>
                <w:szCs w:val="19"/>
                <w:color w:val="auto"/>
              </w:rPr>
            </w:pPr>
          </w:p>
        </w:tc>
        <w:tc>
          <w:tcPr>
            <w:tcW w:w="940" w:type="dxa"/>
            <w:vAlign w:val="bottom"/>
            <w:tcBorders>
              <w:bottom w:val="single" w:sz="8" w:color="17385E"/>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17385E"/>
            </w:tcBorders>
          </w:tcPr>
          <w:p>
            <w:pPr>
              <w:spacing w:after="0"/>
              <w:rPr>
                <w:sz w:val="19"/>
                <w:szCs w:val="19"/>
                <w:color w:val="auto"/>
              </w:rPr>
            </w:pPr>
          </w:p>
        </w:tc>
        <w:tc>
          <w:tcPr>
            <w:tcW w:w="120" w:type="dxa"/>
            <w:vAlign w:val="bottom"/>
            <w:tcBorders>
              <w:bottom w:val="single" w:sz="8" w:color="17385E"/>
            </w:tcBorders>
          </w:tcPr>
          <w:p>
            <w:pPr>
              <w:spacing w:after="0"/>
              <w:rPr>
                <w:sz w:val="19"/>
                <w:szCs w:val="19"/>
                <w:color w:val="auto"/>
              </w:rPr>
            </w:pPr>
          </w:p>
        </w:tc>
        <w:tc>
          <w:tcPr>
            <w:tcW w:w="2060" w:type="dxa"/>
            <w:vAlign w:val="bottom"/>
            <w:tcBorders>
              <w:bottom w:val="single" w:sz="8" w:color="17385E"/>
            </w:tcBorders>
            <w:gridSpan w:val="5"/>
          </w:tcPr>
          <w:p>
            <w:pPr>
              <w:jc w:val="center"/>
              <w:ind w:right="41"/>
              <w:spacing w:after="0"/>
              <w:rPr>
                <w:sz w:val="20"/>
                <w:szCs w:val="20"/>
                <w:color w:val="auto"/>
              </w:rPr>
            </w:pPr>
            <w:r>
              <w:rPr>
                <w:rFonts w:ascii="Arial" w:cs="Arial" w:eastAsia="Arial" w:hAnsi="Arial"/>
                <w:sz w:val="13"/>
                <w:szCs w:val="13"/>
                <w:color w:val="auto"/>
                <w:w w:val="85"/>
              </w:rPr>
              <w:t>(in thousands, except net sales prices)</w:t>
            </w:r>
          </w:p>
        </w:tc>
        <w:tc>
          <w:tcPr>
            <w:tcW w:w="100" w:type="dxa"/>
            <w:vAlign w:val="bottom"/>
          </w:tcPr>
          <w:p>
            <w:pPr>
              <w:spacing w:after="0"/>
              <w:rPr>
                <w:sz w:val="19"/>
                <w:szCs w:val="19"/>
                <w:color w:val="auto"/>
              </w:rPr>
            </w:pPr>
          </w:p>
        </w:tc>
        <w:tc>
          <w:tcPr>
            <w:tcW w:w="900" w:type="dxa"/>
            <w:vAlign w:val="bottom"/>
            <w:tcBorders>
              <w:bottom w:val="single" w:sz="8" w:color="17385E"/>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4080" w:type="dxa"/>
            <w:vAlign w:val="bottom"/>
          </w:tcPr>
          <w:p>
            <w:pPr>
              <w:ind w:left="20"/>
              <w:spacing w:after="0"/>
              <w:rPr>
                <w:sz w:val="20"/>
                <w:szCs w:val="20"/>
                <w:color w:val="auto"/>
              </w:rPr>
            </w:pPr>
            <w:r>
              <w:rPr>
                <w:rFonts w:ascii="Arial" w:cs="Arial" w:eastAsia="Arial" w:hAnsi="Arial"/>
                <w:sz w:val="16"/>
                <w:szCs w:val="16"/>
                <w:color w:val="004483"/>
              </w:rPr>
              <w:t>Gross Revenue, including intersegment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tcPr>
          <w:p>
            <w:pPr>
              <w:spacing w:after="0"/>
              <w:rPr>
                <w:sz w:val="19"/>
                <w:szCs w:val="19"/>
                <w:color w:val="auto"/>
              </w:rPr>
            </w:pP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97,504</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90,490</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r>
      <w:tr>
        <w:trPr>
          <w:trHeight w:val="23"/>
        </w:trPr>
        <w:tc>
          <w:tcPr>
            <w:tcW w:w="4080" w:type="dxa"/>
            <w:vAlign w:val="bottom"/>
            <w:shd w:val="clear" w:color="auto" w:fill="A6A6A6"/>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A6A6A6"/>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8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2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(106 )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4080" w:type="dxa"/>
            <w:vAlign w:val="bottom"/>
            <w:shd w:val="clear" w:color="auto" w:fill="A6A6A6"/>
          </w:tcPr>
          <w:p>
            <w:pPr>
              <w:spacing w:after="0" w:line="20" w:lineRule="exact"/>
              <w:rPr>
                <w:sz w:val="1"/>
                <w:szCs w:val="1"/>
                <w:color w:val="auto"/>
              </w:rPr>
            </w:pPr>
          </w:p>
        </w:tc>
        <w:tc>
          <w:tcPr>
            <w:tcW w:w="140" w:type="dxa"/>
            <w:vAlign w:val="bottom"/>
            <w:tcBorders>
              <w:top w:val="single" w:sz="8" w:color="004483"/>
            </w:tcBorders>
            <w:shd w:val="clear" w:color="auto" w:fill="004483"/>
          </w:tcPr>
          <w:p>
            <w:pPr>
              <w:spacing w:after="0" w:line="20" w:lineRule="exact"/>
              <w:rPr>
                <w:sz w:val="1"/>
                <w:szCs w:val="1"/>
                <w:color w:val="auto"/>
              </w:rPr>
            </w:pPr>
          </w:p>
        </w:tc>
        <w:tc>
          <w:tcPr>
            <w:tcW w:w="9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20" w:type="dxa"/>
            <w:vAlign w:val="bottom"/>
            <w:tcBorders>
              <w:top w:val="single" w:sz="8" w:color="004483"/>
            </w:tcBorders>
            <w:shd w:val="clear" w:color="auto" w:fill="004483"/>
          </w:tcPr>
          <w:p>
            <w:pPr>
              <w:spacing w:after="0" w:line="20" w:lineRule="exact"/>
              <w:rPr>
                <w:sz w:val="1"/>
                <w:szCs w:val="1"/>
                <w:color w:val="auto"/>
              </w:rPr>
            </w:pPr>
          </w:p>
        </w:tc>
        <w:tc>
          <w:tcPr>
            <w:tcW w:w="880" w:type="dxa"/>
            <w:vAlign w:val="bottom"/>
            <w:tcBorders>
              <w:top w:val="single" w:sz="8" w:color="004483"/>
            </w:tcBorders>
            <w:shd w:val="clear" w:color="auto" w:fill="00448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2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408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46,300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97,504</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90,384</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r>
      <w:tr>
        <w:trPr>
          <w:trHeight w:val="229"/>
        </w:trPr>
        <w:tc>
          <w:tcPr>
            <w:tcW w:w="4080" w:type="dxa"/>
            <w:vAlign w:val="bottom"/>
            <w:tcBorders>
              <w:top w:val="single" w:sz="8" w:color="A6A6A6"/>
              <w:bottom w:val="single" w:sz="8" w:color="A6A6A6"/>
            </w:tcBorders>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4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6A6A6"/>
              <w:bottom w:val="single" w:sz="8" w:color="A6A6A6"/>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880" w:type="dxa"/>
            <w:vAlign w:val="bottom"/>
            <w:tcBorders>
              <w:top w:val="single" w:sz="8" w:color="A6A6A6"/>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2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40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 -</w:t>
            </w:r>
          </w:p>
        </w:tc>
        <w:tc>
          <w:tcPr>
            <w:tcW w:w="140" w:type="dxa"/>
            <w:vAlign w:val="bottom"/>
            <w:tcBorders>
              <w:bottom w:val="single" w:sz="8" w:color="A6A6A6"/>
            </w:tcBorders>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340" w:type="dxa"/>
            <w:vAlign w:val="bottom"/>
            <w:tcBorders>
              <w:bottom w:val="single" w:sz="8" w:color="A6A6A6"/>
            </w:tcBorders>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6A6A6"/>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88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6A6A6"/>
            </w:tcBorders>
          </w:tcPr>
          <w:p>
            <w:pPr>
              <w:spacing w:after="0"/>
              <w:rPr>
                <w:sz w:val="18"/>
                <w:szCs w:val="18"/>
                <w:color w:val="auto"/>
              </w:rPr>
            </w:pPr>
          </w:p>
        </w:tc>
        <w:tc>
          <w:tcPr>
            <w:tcW w:w="32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6A6A6"/>
            </w:tcBorders>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408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r>
      <w:tr>
        <w:trPr>
          <w:trHeight w:val="23"/>
        </w:trPr>
        <w:tc>
          <w:tcPr>
            <w:tcW w:w="4080" w:type="dxa"/>
            <w:vAlign w:val="bottom"/>
            <w:shd w:val="clear" w:color="auto" w:fill="A6A6A6"/>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A6A6A6"/>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8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2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408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23"/>
        </w:trPr>
        <w:tc>
          <w:tcPr>
            <w:tcW w:w="4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 -</w:t>
            </w:r>
          </w:p>
        </w:tc>
        <w:tc>
          <w:tcPr>
            <w:tcW w:w="140" w:type="dxa"/>
            <w:vAlign w:val="bottom"/>
            <w:tcBorders>
              <w:top w:val="single" w:sz="8" w:color="A6A6A6"/>
              <w:bottom w:val="single" w:sz="8" w:color="A6A6A6"/>
            </w:tcBorders>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4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6A6A6"/>
              <w:bottom w:val="single" w:sz="8" w:color="A6A6A6"/>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880" w:type="dxa"/>
            <w:vAlign w:val="bottom"/>
            <w:tcBorders>
              <w:top w:val="single" w:sz="8" w:color="A6A6A6"/>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2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408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120.15</w:t>
            </w:r>
          </w:p>
        </w:tc>
        <w:tc>
          <w:tcPr>
            <w:tcW w:w="100" w:type="dxa"/>
            <w:vAlign w:val="bottom"/>
          </w:tcPr>
          <w:p>
            <w:pPr>
              <w:spacing w:after="0"/>
              <w:rPr>
                <w:sz w:val="19"/>
                <w:szCs w:val="19"/>
                <w:color w:val="auto"/>
              </w:rPr>
            </w:pP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116.55</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119.23</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115.10</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4 %</w:t>
            </w:r>
          </w:p>
        </w:tc>
      </w:tr>
      <w:tr>
        <w:trPr>
          <w:trHeight w:val="23"/>
        </w:trPr>
        <w:tc>
          <w:tcPr>
            <w:tcW w:w="4080" w:type="dxa"/>
            <w:vAlign w:val="bottom"/>
            <w:shd w:val="clear" w:color="auto" w:fill="A6A6A6"/>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gridSpan w:val="2"/>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A6A6A6"/>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8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408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9"/>
                <w:szCs w:val="19"/>
                <w:color w:val="auto"/>
              </w:rPr>
            </w:pP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10.20</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r>
      <w:tr>
        <w:trPr>
          <w:trHeight w:val="257"/>
        </w:trPr>
        <w:tc>
          <w:tcPr>
            <w:tcW w:w="4080" w:type="dxa"/>
            <w:vAlign w:val="bottom"/>
            <w:tcBorders>
              <w:top w:val="single" w:sz="8" w:color="A6A6A6"/>
              <w:bottom w:val="single" w:sz="8" w:color="A6A6A6"/>
            </w:tcBorders>
          </w:tcPr>
          <w:p>
            <w:pPr>
              <w:spacing w:after="0"/>
              <w:rPr>
                <w:sz w:val="22"/>
                <w:szCs w:val="22"/>
                <w:color w:val="auto"/>
              </w:rPr>
            </w:pPr>
          </w:p>
        </w:tc>
        <w:tc>
          <w:tcPr>
            <w:tcW w:w="140" w:type="dxa"/>
            <w:vAlign w:val="bottom"/>
            <w:tcBorders>
              <w:top w:val="single" w:sz="8" w:color="A6A6A6"/>
              <w:bottom w:val="single" w:sz="8" w:color="A6A6A6"/>
            </w:tcBorders>
          </w:tcPr>
          <w:p>
            <w:pPr>
              <w:spacing w:after="0"/>
              <w:rPr>
                <w:sz w:val="22"/>
                <w:szCs w:val="22"/>
                <w:color w:val="auto"/>
              </w:rPr>
            </w:pPr>
          </w:p>
        </w:tc>
        <w:tc>
          <w:tcPr>
            <w:tcW w:w="900" w:type="dxa"/>
            <w:vAlign w:val="bottom"/>
            <w:tcBorders>
              <w:top w:val="single" w:sz="8" w:color="A6A6A6"/>
              <w:bottom w:val="single" w:sz="8" w:color="A6A6A6"/>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6A6A6"/>
              <w:bottom w:val="single" w:sz="8" w:color="A6A6A6"/>
            </w:tcBorders>
            <w:gridSpan w:val="2"/>
          </w:tcPr>
          <w:p>
            <w:pPr>
              <w:spacing w:after="0"/>
              <w:rPr>
                <w:sz w:val="22"/>
                <w:szCs w:val="22"/>
                <w:color w:val="auto"/>
              </w:rPr>
            </w:pPr>
          </w:p>
        </w:tc>
        <w:tc>
          <w:tcPr>
            <w:tcW w:w="700" w:type="dxa"/>
            <w:vAlign w:val="bottom"/>
            <w:tcBorders>
              <w:top w:val="single" w:sz="8" w:color="A6A6A6"/>
              <w:bottom w:val="single" w:sz="8" w:color="A6A6A6"/>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6A6A6"/>
              <w:bottom w:val="single" w:sz="8" w:color="A6A6A6"/>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6A6A6"/>
              <w:bottom w:val="single" w:sz="8" w:color="A6A6A6"/>
            </w:tcBorders>
          </w:tcPr>
          <w:p>
            <w:pPr>
              <w:spacing w:after="0"/>
              <w:rPr>
                <w:sz w:val="22"/>
                <w:szCs w:val="22"/>
                <w:color w:val="auto"/>
              </w:rPr>
            </w:pPr>
          </w:p>
        </w:tc>
        <w:tc>
          <w:tcPr>
            <w:tcW w:w="120" w:type="dxa"/>
            <w:vAlign w:val="bottom"/>
            <w:tcBorders>
              <w:top w:val="single" w:sz="8" w:color="A6A6A6"/>
              <w:bottom w:val="single" w:sz="8" w:color="A6A6A6"/>
            </w:tcBorders>
          </w:tcPr>
          <w:p>
            <w:pPr>
              <w:spacing w:after="0"/>
              <w:rPr>
                <w:sz w:val="22"/>
                <w:szCs w:val="22"/>
                <w:color w:val="auto"/>
              </w:rPr>
            </w:pPr>
          </w:p>
        </w:tc>
        <w:tc>
          <w:tcPr>
            <w:tcW w:w="880" w:type="dxa"/>
            <w:vAlign w:val="bottom"/>
            <w:tcBorders>
              <w:top w:val="single" w:sz="8" w:color="A6A6A6"/>
              <w:bottom w:val="single" w:sz="8" w:color="A6A6A6"/>
            </w:tcBorders>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6A6A6"/>
              <w:bottom w:val="single" w:sz="8" w:color="A6A6A6"/>
            </w:tcBorders>
            <w:gridSpan w:val="2"/>
          </w:tcPr>
          <w:p>
            <w:pPr>
              <w:spacing w:after="0"/>
              <w:rPr>
                <w:sz w:val="22"/>
                <w:szCs w:val="22"/>
                <w:color w:val="auto"/>
              </w:rPr>
            </w:pPr>
          </w:p>
        </w:tc>
        <w:tc>
          <w:tcPr>
            <w:tcW w:w="680" w:type="dxa"/>
            <w:vAlign w:val="bottom"/>
            <w:tcBorders>
              <w:top w:val="single" w:sz="8" w:color="A6A6A6"/>
              <w:bottom w:val="single" w:sz="8" w:color="A6A6A6"/>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6A6A6"/>
              <w:bottom w:val="single" w:sz="8" w:color="A6A6A6"/>
            </w:tcBorders>
          </w:tcPr>
          <w:p>
            <w:pPr>
              <w:spacing w:after="0"/>
              <w:rPr>
                <w:sz w:val="22"/>
                <w:szCs w:val="22"/>
                <w:color w:val="auto"/>
              </w:rPr>
            </w:pPr>
          </w:p>
        </w:tc>
        <w:tc>
          <w:tcPr>
            <w:tcW w:w="200" w:type="dxa"/>
            <w:vAlign w:val="bottom"/>
          </w:tcPr>
          <w:p>
            <w:pPr>
              <w:spacing w:after="0"/>
              <w:rPr>
                <w:sz w:val="22"/>
                <w:szCs w:val="22"/>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18"/>
                <w:szCs w:val="18"/>
                <w:color w:val="auto"/>
              </w:rPr>
            </w:pP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12,883</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r>
      <w:tr>
        <w:trPr>
          <w:trHeight w:val="23"/>
        </w:trPr>
        <w:tc>
          <w:tcPr>
            <w:tcW w:w="4080" w:type="dxa"/>
            <w:vAlign w:val="bottom"/>
            <w:shd w:val="clear" w:color="auto" w:fill="A6A6A6"/>
          </w:tcPr>
          <w:p>
            <w:pPr>
              <w:spacing w:after="0"/>
              <w:rPr>
                <w:sz w:val="2"/>
                <w:szCs w:val="2"/>
                <w:color w:val="auto"/>
              </w:rPr>
            </w:pPr>
          </w:p>
        </w:tc>
        <w:tc>
          <w:tcPr>
            <w:tcW w:w="140" w:type="dxa"/>
            <w:vAlign w:val="bottom"/>
            <w:shd w:val="clear" w:color="auto" w:fill="A6A6A6"/>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A6A6A6"/>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8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2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-2259330</wp:posOffset>
            </wp:positionV>
            <wp:extent cx="1371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-2259330</wp:posOffset>
            </wp:positionV>
            <wp:extent cx="12001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w:t>
      </w:r>
    </w:p>
    <w:p>
      <w:pPr>
        <w:spacing w:after="0" w:line="166"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Concrete and Aggregates Revenue increased 14% to $52.8 million for the three months ended September 30, 2021. The improvement was mainly due to higher gross sales prices and Sales Volume, primarily for Concrete, which increased Revenue by $1.6 million and $4.9 million, respectively.</w:t>
      </w:r>
    </w:p>
    <w:p>
      <w:pPr>
        <w:spacing w:after="0" w:line="9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Operating Earnings increased 43% to approximately $7.5 million. The increase was a result of higher gross sales prices and Sales Volume of approximately $1.6 million and $0.4 million, respectively, and lower operating costs of approximately $0.2 million.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2021</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Concrete and Aggregates Revenue increased 8% to $97.5 million for the six months ended September 30, 2021. The improvement was mainly due to higher gross sales prices and Sales Volume, primarily for Concrete, which increased Revenue by $3.5 million and $4.6 million, respectively. This was partially offset by lower Sales Volume in Aggregates, which reduced Revenue by $1.1 million.</w:t>
      </w:r>
    </w:p>
    <w:p>
      <w:pPr>
        <w:spacing w:after="0" w:line="94"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Operating Earnings increased 21% to approximately $12.9 million. The increase was a result of higher gross sales prices and Sales Volume of approximately $3.5 million and $0.3 million, respectively. This was partially offset by higher operating costs of approximately $1.6 million. The increase in operating costs was primarily due to higher delivery costs of approximately $1.6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400" w:type="dxa"/>
            <w:vAlign w:val="bottom"/>
            <w:gridSpan w:val="7"/>
            <w:shd w:val="clear" w:color="auto" w:fill="004483"/>
          </w:tcPr>
          <w:p>
            <w:pPr>
              <w:jc w:val="center"/>
              <w:ind w:right="140"/>
              <w:spacing w:after="0"/>
              <w:rPr>
                <w:sz w:val="20"/>
                <w:szCs w:val="20"/>
                <w:color w:val="auto"/>
              </w:rPr>
            </w:pPr>
            <w:r>
              <w:rPr>
                <w:rFonts w:ascii="Arial" w:cs="Arial" w:eastAsia="Arial" w:hAnsi="Arial"/>
                <w:sz w:val="13"/>
                <w:szCs w:val="13"/>
                <w:b w:val="1"/>
                <w:bCs w:val="1"/>
                <w:color w:val="FFFFFF"/>
                <w:w w:val="88"/>
              </w:rPr>
              <w:t>For the Three Months Ended September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7"/>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Six Months Ended September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4120" w:type="dxa"/>
            <w:vAlign w:val="bottom"/>
          </w:tcPr>
          <w:p>
            <w:pPr>
              <w:spacing w:after="0"/>
              <w:rPr>
                <w:sz w:val="15"/>
                <w:szCs w:val="15"/>
                <w:color w:val="auto"/>
              </w:rPr>
            </w:pPr>
          </w:p>
        </w:tc>
        <w:tc>
          <w:tcPr>
            <w:tcW w:w="280" w:type="dxa"/>
            <w:vAlign w:val="bottom"/>
            <w:tcBorders>
              <w:bottom w:val="single" w:sz="8" w:color="auto"/>
            </w:tcBorders>
            <w:shd w:val="clear" w:color="auto" w:fill="004483"/>
          </w:tcPr>
          <w:p>
            <w:pPr>
              <w:spacing w:after="0"/>
              <w:rPr>
                <w:sz w:val="15"/>
                <w:szCs w:val="15"/>
                <w:color w:val="auto"/>
              </w:rPr>
            </w:pPr>
          </w:p>
        </w:tc>
        <w:tc>
          <w:tcPr>
            <w:tcW w:w="960" w:type="dxa"/>
            <w:vAlign w:val="bottom"/>
            <w:tcBorders>
              <w:bottom w:val="single" w:sz="8" w:color="auto"/>
            </w:tcBorders>
            <w:gridSpan w:val="3"/>
            <w:shd w:val="clear" w:color="auto" w:fill="004483"/>
          </w:tcPr>
          <w:p>
            <w:pPr>
              <w:jc w:val="center"/>
              <w:ind w:left="683"/>
              <w:spacing w:after="0"/>
              <w:rPr>
                <w:sz w:val="20"/>
                <w:szCs w:val="20"/>
                <w:color w:val="auto"/>
              </w:rPr>
            </w:pPr>
            <w:r>
              <w:rPr>
                <w:rFonts w:ascii="Arial" w:cs="Arial" w:eastAsia="Arial" w:hAnsi="Arial"/>
                <w:sz w:val="13"/>
                <w:szCs w:val="13"/>
                <w:b w:val="1"/>
                <w:bCs w:val="1"/>
                <w:color w:val="FFFFFF"/>
                <w:w w:val="88"/>
              </w:rPr>
              <w:t>30,</w:t>
            </w:r>
          </w:p>
        </w:tc>
        <w:tc>
          <w:tcPr>
            <w:tcW w:w="300" w:type="dxa"/>
            <w:vAlign w:val="bottom"/>
            <w:tcBorders>
              <w:bottom w:val="single" w:sz="8" w:color="auto"/>
            </w:tcBorders>
            <w:shd w:val="clear" w:color="auto" w:fill="004483"/>
          </w:tcPr>
          <w:p>
            <w:pPr>
              <w:spacing w:after="0"/>
              <w:rPr>
                <w:sz w:val="15"/>
                <w:szCs w:val="15"/>
                <w:color w:val="auto"/>
              </w:rPr>
            </w:pPr>
          </w:p>
        </w:tc>
        <w:tc>
          <w:tcPr>
            <w:tcW w:w="74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shd w:val="clear" w:color="auto" w:fill="004483"/>
          </w:tcPr>
          <w:p>
            <w:pPr>
              <w:spacing w:after="0"/>
              <w:rPr>
                <w:sz w:val="15"/>
                <w:szCs w:val="15"/>
                <w:color w:val="auto"/>
              </w:rPr>
            </w:pPr>
          </w:p>
        </w:tc>
        <w:tc>
          <w:tcPr>
            <w:tcW w:w="1000" w:type="dxa"/>
            <w:vAlign w:val="bottom"/>
            <w:tcBorders>
              <w:bottom w:val="single" w:sz="8" w:color="auto"/>
            </w:tcBorders>
            <w:gridSpan w:val="3"/>
            <w:shd w:val="clear" w:color="auto" w:fill="004483"/>
          </w:tcPr>
          <w:p>
            <w:pPr>
              <w:jc w:val="center"/>
              <w:ind w:left="725"/>
              <w:spacing w:after="0"/>
              <w:rPr>
                <w:sz w:val="20"/>
                <w:szCs w:val="20"/>
                <w:color w:val="auto"/>
              </w:rPr>
            </w:pPr>
            <w:r>
              <w:rPr>
                <w:rFonts w:ascii="Arial" w:cs="Arial" w:eastAsia="Arial" w:hAnsi="Arial"/>
                <w:sz w:val="13"/>
                <w:szCs w:val="13"/>
                <w:b w:val="1"/>
                <w:bCs w:val="1"/>
                <w:color w:val="FFFFFF"/>
                <w:w w:val="88"/>
              </w:rPr>
              <w:t>30,</w:t>
            </w:r>
          </w:p>
        </w:tc>
        <w:tc>
          <w:tcPr>
            <w:tcW w:w="340" w:type="dxa"/>
            <w:vAlign w:val="bottom"/>
            <w:tcBorders>
              <w:bottom w:val="single" w:sz="8" w:color="auto"/>
            </w:tcBorders>
            <w:shd w:val="clear" w:color="auto" w:fill="004483"/>
          </w:tcPr>
          <w:p>
            <w:pPr>
              <w:spacing w:after="0"/>
              <w:rPr>
                <w:sz w:val="15"/>
                <w:szCs w:val="15"/>
                <w:color w:val="auto"/>
              </w:rPr>
            </w:pPr>
          </w:p>
        </w:tc>
        <w:tc>
          <w:tcPr>
            <w:tcW w:w="680" w:type="dxa"/>
            <w:vAlign w:val="bottom"/>
            <w:tcBorders>
              <w:bottom w:val="single" w:sz="8" w:color="auto"/>
            </w:tcBorders>
            <w:shd w:val="clear" w:color="auto" w:fill="004483"/>
          </w:tcPr>
          <w:p>
            <w:pPr>
              <w:spacing w:after="0"/>
              <w:rPr>
                <w:sz w:val="15"/>
                <w:szCs w:val="15"/>
                <w:color w:val="auto"/>
              </w:rPr>
            </w:pPr>
          </w:p>
        </w:tc>
        <w:tc>
          <w:tcPr>
            <w:tcW w:w="80" w:type="dxa"/>
            <w:vAlign w:val="bottom"/>
            <w:tcBorders>
              <w:bottom w:val="single" w:sz="8" w:color="004483"/>
            </w:tcBorders>
            <w:shd w:val="clear" w:color="auto" w:fill="004483"/>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1"/>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5"/>
              </w:rPr>
              <w:t>Percentage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Percentage</w:t>
            </w:r>
          </w:p>
        </w:tc>
      </w:tr>
      <w:tr>
        <w:trPr>
          <w:trHeight w:val="164"/>
        </w:trPr>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8"/>
              </w:rPr>
              <w:t>Change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Change</w:t>
            </w:r>
          </w:p>
        </w:tc>
      </w:tr>
      <w:tr>
        <w:trPr>
          <w:trHeight w:val="189"/>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3"/>
                <w:szCs w:val="13"/>
                <w:color w:val="auto"/>
                <w:w w:val="86"/>
              </w:rPr>
              <w:t>(in thousands, except per MSF</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8"/>
        </w:trPr>
        <w:tc>
          <w:tcPr>
            <w:tcW w:w="4120" w:type="dxa"/>
            <w:vAlign w:val="bottom"/>
            <w:tcBorders>
              <w:bottom w:val="single" w:sz="8" w:color="17385E"/>
            </w:tcBorders>
          </w:tcPr>
          <w:p>
            <w:pPr>
              <w:spacing w:after="0"/>
              <w:rPr>
                <w:sz w:val="17"/>
                <w:szCs w:val="17"/>
                <w:color w:val="auto"/>
              </w:rPr>
            </w:pPr>
          </w:p>
        </w:tc>
        <w:tc>
          <w:tcPr>
            <w:tcW w:w="228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MSF information)</w:t>
            </w:r>
          </w:p>
        </w:tc>
        <w:tc>
          <w:tcPr>
            <w:tcW w:w="120" w:type="dxa"/>
            <w:vAlign w:val="bottom"/>
          </w:tcPr>
          <w:p>
            <w:pPr>
              <w:spacing w:after="0"/>
              <w:rPr>
                <w:sz w:val="17"/>
                <w:szCs w:val="17"/>
                <w:color w:val="auto"/>
              </w:rPr>
            </w:pPr>
          </w:p>
        </w:tc>
        <w:tc>
          <w:tcPr>
            <w:tcW w:w="920" w:type="dxa"/>
            <w:vAlign w:val="bottom"/>
            <w:tcBorders>
              <w:bottom w:val="single" w:sz="8" w:color="17385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17385E"/>
            </w:tcBorders>
          </w:tcPr>
          <w:p>
            <w:pPr>
              <w:spacing w:after="0"/>
              <w:rPr>
                <w:sz w:val="17"/>
                <w:szCs w:val="17"/>
                <w:color w:val="auto"/>
              </w:rPr>
            </w:pPr>
          </w:p>
        </w:tc>
        <w:tc>
          <w:tcPr>
            <w:tcW w:w="200" w:type="dxa"/>
            <w:vAlign w:val="bottom"/>
            <w:tcBorders>
              <w:bottom w:val="single" w:sz="8" w:color="17385E"/>
            </w:tcBorders>
          </w:tcPr>
          <w:p>
            <w:pPr>
              <w:spacing w:after="0"/>
              <w:rPr>
                <w:sz w:val="17"/>
                <w:szCs w:val="17"/>
                <w:color w:val="auto"/>
              </w:rPr>
            </w:pPr>
          </w:p>
        </w:tc>
        <w:tc>
          <w:tcPr>
            <w:tcW w:w="1340" w:type="dxa"/>
            <w:vAlign w:val="bottom"/>
            <w:tcBorders>
              <w:bottom w:val="single" w:sz="8" w:color="17385E"/>
            </w:tcBorders>
            <w:gridSpan w:val="4"/>
          </w:tcPr>
          <w:p>
            <w:pPr>
              <w:jc w:val="center"/>
              <w:ind w:left="385"/>
              <w:spacing w:after="0"/>
              <w:rPr>
                <w:sz w:val="20"/>
                <w:szCs w:val="20"/>
                <w:color w:val="auto"/>
              </w:rPr>
            </w:pPr>
            <w:r>
              <w:rPr>
                <w:rFonts w:ascii="Arial" w:cs="Arial" w:eastAsia="Arial" w:hAnsi="Arial"/>
                <w:sz w:val="13"/>
                <w:szCs w:val="13"/>
                <w:color w:val="auto"/>
                <w:w w:val="93"/>
              </w:rPr>
              <w:t>information)</w:t>
            </w:r>
          </w:p>
        </w:tc>
        <w:tc>
          <w:tcPr>
            <w:tcW w:w="680" w:type="dxa"/>
            <w:vAlign w:val="bottom"/>
            <w:tcBorders>
              <w:bottom w:val="single" w:sz="8" w:color="17385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17385E"/>
            </w:tcBorders>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172,985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131,210</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339,252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261,360</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3"/>
        </w:trPr>
        <w:tc>
          <w:tcPr>
            <w:tcW w:w="412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(32,463 )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(27,977 )</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(63,785 )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(55,099 )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0"/>
        </w:trPr>
        <w:tc>
          <w:tcPr>
            <w:tcW w:w="412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6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4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8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4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140,522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103,233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275,467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206,261</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34 %</w:t>
            </w:r>
          </w:p>
        </w:tc>
      </w:tr>
      <w:tr>
        <w:trPr>
          <w:trHeight w:val="230"/>
        </w:trPr>
        <w:tc>
          <w:tcPr>
            <w:tcW w:w="4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76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4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00" w:type="dxa"/>
            <w:vAlign w:val="bottom"/>
            <w:tcBorders>
              <w:top w:val="single" w:sz="8" w:color="A6A6A6"/>
              <w:bottom w:val="single" w:sz="8" w:color="A6A6A6"/>
            </w:tcBorders>
          </w:tcPr>
          <w:p>
            <w:pPr>
              <w:spacing w:after="0"/>
              <w:rPr>
                <w:sz w:val="19"/>
                <w:szCs w:val="19"/>
                <w:color w:val="auto"/>
              </w:rPr>
            </w:pPr>
          </w:p>
        </w:tc>
        <w:tc>
          <w:tcPr>
            <w:tcW w:w="8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40" w:type="dxa"/>
            <w:vAlign w:val="bottom"/>
            <w:tcBorders>
              <w:top w:val="single" w:sz="8" w:color="A6A6A6"/>
              <w:bottom w:val="single" w:sz="8" w:color="A6A6A6"/>
            </w:tcBorders>
          </w:tcPr>
          <w:p>
            <w:pPr>
              <w:spacing w:after="0"/>
              <w:rPr>
                <w:sz w:val="19"/>
                <w:szCs w:val="19"/>
                <w:color w:val="auto"/>
              </w:rPr>
            </w:pPr>
          </w:p>
        </w:tc>
        <w:tc>
          <w:tcPr>
            <w:tcW w:w="680" w:type="dxa"/>
            <w:vAlign w:val="bottom"/>
            <w:tcBorders>
              <w:top w:val="single" w:sz="8" w:color="A6A6A6"/>
              <w:bottom w:val="single" w:sz="8" w:color="A6A6A6"/>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3"/>
        </w:trPr>
        <w:tc>
          <w:tcPr>
            <w:tcW w:w="412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29"/>
        </w:trPr>
        <w:tc>
          <w:tcPr>
            <w:tcW w:w="4120" w:type="dxa"/>
            <w:vAlign w:val="bottom"/>
          </w:tcPr>
          <w:p>
            <w:pPr>
              <w:ind w:left="20"/>
              <w:spacing w:after="0" w:line="230"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190.93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143.41</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183.73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144.83</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4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4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38.86</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38.69</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3"/>
        </w:trPr>
        <w:tc>
          <w:tcPr>
            <w:tcW w:w="412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52.23</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55.43</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56 %</w:t>
            </w:r>
          </w:p>
        </w:tc>
      </w:tr>
      <w:tr>
        <w:trPr>
          <w:trHeight w:val="23"/>
        </w:trPr>
        <w:tc>
          <w:tcPr>
            <w:tcW w:w="412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66,331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37,606</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78,931</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64 %</w:t>
            </w:r>
          </w:p>
        </w:tc>
      </w:tr>
      <w:tr>
        <w:trPr>
          <w:trHeight w:val="23"/>
        </w:trPr>
        <w:tc>
          <w:tcPr>
            <w:tcW w:w="412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4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A6A6A6"/>
          </w:tcPr>
          <w:p>
            <w:pPr>
              <w:spacing w:after="0"/>
              <w:rPr>
                <w:sz w:val="2"/>
                <w:szCs w:val="2"/>
                <w:color w:val="auto"/>
              </w:rPr>
            </w:pPr>
          </w:p>
        </w:tc>
        <w:tc>
          <w:tcPr>
            <w:tcW w:w="200" w:type="dxa"/>
            <w:vAlign w:val="bottom"/>
            <w:shd w:val="clear" w:color="auto" w:fill="A6A6A6"/>
          </w:tcPr>
          <w:p>
            <w:pPr>
              <w:spacing w:after="0"/>
              <w:rPr>
                <w:sz w:val="2"/>
                <w:szCs w:val="2"/>
                <w:color w:val="auto"/>
              </w:rPr>
            </w:pPr>
          </w:p>
        </w:tc>
        <w:tc>
          <w:tcPr>
            <w:tcW w:w="8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40" w:type="dxa"/>
            <w:vAlign w:val="bottom"/>
            <w:shd w:val="clear" w:color="auto" w:fill="A6A6A6"/>
          </w:tcPr>
          <w:p>
            <w:pPr>
              <w:spacing w:after="0"/>
              <w:rPr>
                <w:sz w:val="2"/>
                <w:szCs w:val="2"/>
                <w:color w:val="auto"/>
              </w:rPr>
            </w:pPr>
          </w:p>
        </w:tc>
        <w:tc>
          <w:tcPr>
            <w:tcW w:w="680" w:type="dxa"/>
            <w:vAlign w:val="bottom"/>
            <w:shd w:val="clear" w:color="auto" w:fill="A6A6A6"/>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-1882140</wp:posOffset>
            </wp:positionV>
            <wp:extent cx="1371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-1882140</wp:posOffset>
            </wp:positionV>
            <wp:extent cx="1200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Gypsum Wallboard Revenue increased 32% to $173.0 million for the three months ended September 30, 2021. The improvement was due to higher gross sales prices and Sales Volume, which contributed approximately $38.9 million and $2.9 million, respectively. Our market share remained relatively consistent during the three months ended September 30, 2021.</w:t>
      </w:r>
    </w:p>
    <w:p>
      <w:pPr>
        <w:spacing w:after="0" w:line="94"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Operating Earnings increased 76% to $66.3 million, primarily because of higher gross sales prices and Sales Volume. The increase in gross sales prices and Sales Volume positively affected Operating Earnings by approximately $38.9 million and $0.8 million, respectively. This was partially offset by higher operating costs, which adversely affected Operating Earnings by approximately $11.0 million. The higher operating costs were primarily related to freight, energy, and raw material costs, which reduced Operating Earnings by approximately $3.9 million, $3.1 million, and $2.6 million, respectively. The Operating Margin increased to 38% for the three months ended September 30, 2021,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2021</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Gypsum Wallboard Revenue increased 30% to $339.3 million for the six months ended September 30, 2021. The increase was due to higher gross sales prices and Sales Volume, which contributed approximately $64.1 million and $13.8 million, respectively. Our market share remained relatively consistent during the six months ended September 30, 2021.</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Operating Earnings increased 64% to $129.6 million, primarily because of higher gross sales prices and Sales Volume. The increase in gross sales prices and Sales Volume positively affected Operating Earnings by approximately $64.1 million and $4.2 million, respectively. This was partially offset by higher operating costs, which adversely affected Operating Earnings by approximately $17.6 million. The higher operating costs were primarily related to freight, energy, and raw material costs which reduced Operating Earnings by approximately $5.8 million, $5.1 million, and $5.2 million, respectively. The Operating Margin increased to 38% for the six months ended September 30, 2021,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RECYCLED PAPERBOARD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380" w:type="dxa"/>
            <w:vAlign w:val="bottom"/>
            <w:gridSpan w:val="7"/>
            <w:shd w:val="clear" w:color="auto" w:fill="004483"/>
          </w:tcPr>
          <w:p>
            <w:pPr>
              <w:ind w:left="20"/>
              <w:spacing w:after="0"/>
              <w:rPr>
                <w:sz w:val="20"/>
                <w:szCs w:val="20"/>
                <w:color w:val="auto"/>
              </w:rPr>
            </w:pPr>
            <w:r>
              <w:rPr>
                <w:rFonts w:ascii="Arial" w:cs="Arial" w:eastAsia="Arial" w:hAnsi="Arial"/>
                <w:sz w:val="13"/>
                <w:szCs w:val="13"/>
                <w:b w:val="1"/>
                <w:bCs w:val="1"/>
                <w:color w:val="FFFFFF"/>
                <w:w w:val="94"/>
              </w:rPr>
              <w:t>For the Three Months Ended September</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shd w:val="clear" w:color="auto" w:fill="004483"/>
          </w:tcPr>
          <w:p>
            <w:pPr>
              <w:jc w:val="center"/>
              <w:ind w:right="120"/>
              <w:spacing w:after="0"/>
              <w:rPr>
                <w:sz w:val="20"/>
                <w:szCs w:val="20"/>
                <w:color w:val="auto"/>
              </w:rPr>
            </w:pPr>
            <w:r>
              <w:rPr>
                <w:rFonts w:ascii="Arial" w:cs="Arial" w:eastAsia="Arial" w:hAnsi="Arial"/>
                <w:sz w:val="13"/>
                <w:szCs w:val="13"/>
                <w:b w:val="1"/>
                <w:bCs w:val="1"/>
                <w:color w:val="FFFFFF"/>
                <w:w w:val="87"/>
              </w:rPr>
              <w:t>For the Six Months Ended September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4020" w:type="dxa"/>
            <w:vAlign w:val="bottom"/>
          </w:tcPr>
          <w:p>
            <w:pPr>
              <w:spacing w:after="0"/>
              <w:rPr>
                <w:sz w:val="15"/>
                <w:szCs w:val="15"/>
                <w:color w:val="auto"/>
              </w:rPr>
            </w:pPr>
          </w:p>
        </w:tc>
        <w:tc>
          <w:tcPr>
            <w:tcW w:w="300" w:type="dxa"/>
            <w:vAlign w:val="bottom"/>
            <w:tcBorders>
              <w:bottom w:val="single" w:sz="8" w:color="auto"/>
            </w:tcBorders>
            <w:shd w:val="clear" w:color="auto" w:fill="004483"/>
          </w:tcPr>
          <w:p>
            <w:pPr>
              <w:spacing w:after="0"/>
              <w:rPr>
                <w:sz w:val="15"/>
                <w:szCs w:val="15"/>
                <w:color w:val="auto"/>
              </w:rPr>
            </w:pPr>
          </w:p>
        </w:tc>
        <w:tc>
          <w:tcPr>
            <w:tcW w:w="940" w:type="dxa"/>
            <w:vAlign w:val="bottom"/>
            <w:tcBorders>
              <w:bottom w:val="single" w:sz="8" w:color="auto"/>
            </w:tcBorders>
            <w:gridSpan w:val="3"/>
            <w:shd w:val="clear" w:color="auto" w:fill="004483"/>
          </w:tcPr>
          <w:p>
            <w:pPr>
              <w:jc w:val="right"/>
              <w:ind w:right="20"/>
              <w:spacing w:after="0"/>
              <w:rPr>
                <w:sz w:val="20"/>
                <w:szCs w:val="20"/>
                <w:color w:val="auto"/>
              </w:rPr>
            </w:pPr>
            <w:r>
              <w:rPr>
                <w:rFonts w:ascii="Arial" w:cs="Arial" w:eastAsia="Arial" w:hAnsi="Arial"/>
                <w:sz w:val="13"/>
                <w:szCs w:val="13"/>
                <w:b w:val="1"/>
                <w:bCs w:val="1"/>
                <w:color w:val="FFFFFF"/>
              </w:rPr>
              <w:t>30,</w:t>
            </w:r>
          </w:p>
        </w:tc>
        <w:tc>
          <w:tcPr>
            <w:tcW w:w="300" w:type="dxa"/>
            <w:vAlign w:val="bottom"/>
            <w:tcBorders>
              <w:bottom w:val="single" w:sz="8" w:color="auto"/>
            </w:tcBorders>
            <w:shd w:val="clear" w:color="auto" w:fill="004483"/>
          </w:tcPr>
          <w:p>
            <w:pPr>
              <w:spacing w:after="0"/>
              <w:rPr>
                <w:sz w:val="15"/>
                <w:szCs w:val="15"/>
                <w:color w:val="auto"/>
              </w:rPr>
            </w:pPr>
          </w:p>
        </w:tc>
        <w:tc>
          <w:tcPr>
            <w:tcW w:w="72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shd w:val="clear" w:color="auto" w:fill="004483"/>
          </w:tcPr>
          <w:p>
            <w:pPr>
              <w:spacing w:after="0"/>
              <w:rPr>
                <w:sz w:val="15"/>
                <w:szCs w:val="15"/>
                <w:color w:val="auto"/>
              </w:rPr>
            </w:pPr>
          </w:p>
        </w:tc>
        <w:tc>
          <w:tcPr>
            <w:tcW w:w="900" w:type="dxa"/>
            <w:vAlign w:val="bottom"/>
            <w:tcBorders>
              <w:bottom w:val="single" w:sz="8" w:color="auto"/>
            </w:tcBorders>
            <w:gridSpan w:val="3"/>
            <w:shd w:val="clear" w:color="auto" w:fill="004483"/>
          </w:tcPr>
          <w:p>
            <w:pPr>
              <w:jc w:val="center"/>
              <w:ind w:left="622"/>
              <w:spacing w:after="0"/>
              <w:rPr>
                <w:sz w:val="20"/>
                <w:szCs w:val="20"/>
                <w:color w:val="auto"/>
              </w:rPr>
            </w:pPr>
            <w:r>
              <w:rPr>
                <w:rFonts w:ascii="Arial" w:cs="Arial" w:eastAsia="Arial" w:hAnsi="Arial"/>
                <w:sz w:val="13"/>
                <w:szCs w:val="13"/>
                <w:b w:val="1"/>
                <w:bCs w:val="1"/>
                <w:color w:val="FFFFFF"/>
                <w:w w:val="88"/>
              </w:rPr>
              <w:t>30,</w:t>
            </w:r>
          </w:p>
        </w:tc>
        <w:tc>
          <w:tcPr>
            <w:tcW w:w="280" w:type="dxa"/>
            <w:vAlign w:val="bottom"/>
            <w:tcBorders>
              <w:bottom w:val="single" w:sz="8" w:color="auto"/>
            </w:tcBorders>
            <w:shd w:val="clear" w:color="auto" w:fill="004483"/>
          </w:tcPr>
          <w:p>
            <w:pPr>
              <w:spacing w:after="0"/>
              <w:rPr>
                <w:sz w:val="15"/>
                <w:szCs w:val="15"/>
                <w:color w:val="auto"/>
              </w:rPr>
            </w:pPr>
          </w:p>
        </w:tc>
        <w:tc>
          <w:tcPr>
            <w:tcW w:w="72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2"/>
              </w:rPr>
              <w:t>Percentage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Percentage</w:t>
            </w:r>
          </w:p>
        </w:tc>
      </w:tr>
      <w:tr>
        <w:trPr>
          <w:trHeight w:val="164"/>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Change</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r>
      <w:tr>
        <w:trPr>
          <w:trHeight w:val="225"/>
        </w:trPr>
        <w:tc>
          <w:tcPr>
            <w:tcW w:w="4020" w:type="dxa"/>
            <w:vAlign w:val="bottom"/>
            <w:tcBorders>
              <w:bottom w:val="single" w:sz="8" w:color="17385E"/>
            </w:tcBorders>
          </w:tcPr>
          <w:p>
            <w:pPr>
              <w:spacing w:after="0"/>
              <w:rPr>
                <w:sz w:val="19"/>
                <w:szCs w:val="19"/>
                <w:color w:val="auto"/>
              </w:rPr>
            </w:pPr>
          </w:p>
        </w:tc>
        <w:tc>
          <w:tcPr>
            <w:tcW w:w="226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20" w:type="dxa"/>
            <w:vAlign w:val="bottom"/>
          </w:tcPr>
          <w:p>
            <w:pPr>
              <w:spacing w:after="0"/>
              <w:rPr>
                <w:sz w:val="19"/>
                <w:szCs w:val="19"/>
                <w:color w:val="auto"/>
              </w:rPr>
            </w:pPr>
          </w:p>
        </w:tc>
        <w:tc>
          <w:tcPr>
            <w:tcW w:w="920" w:type="dxa"/>
            <w:vAlign w:val="bottom"/>
            <w:tcBorders>
              <w:bottom w:val="single" w:sz="8" w:color="17385E"/>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17385E"/>
            </w:tcBorders>
          </w:tcPr>
          <w:p>
            <w:pPr>
              <w:spacing w:after="0"/>
              <w:rPr>
                <w:sz w:val="19"/>
                <w:szCs w:val="19"/>
                <w:color w:val="auto"/>
              </w:rPr>
            </w:pPr>
          </w:p>
        </w:tc>
        <w:tc>
          <w:tcPr>
            <w:tcW w:w="2200" w:type="dxa"/>
            <w:vAlign w:val="bottom"/>
            <w:tcBorders>
              <w:bottom w:val="single" w:sz="8" w:color="17385E"/>
            </w:tcBorders>
            <w:gridSpan w:val="6"/>
          </w:tcPr>
          <w:p>
            <w:pPr>
              <w:jc w:val="center"/>
              <w:spacing w:after="0"/>
              <w:rPr>
                <w:sz w:val="20"/>
                <w:szCs w:val="20"/>
                <w:color w:val="auto"/>
              </w:rPr>
            </w:pPr>
            <w:r>
              <w:rPr>
                <w:rFonts w:ascii="Arial" w:cs="Arial" w:eastAsia="Arial" w:hAnsi="Arial"/>
                <w:sz w:val="13"/>
                <w:szCs w:val="13"/>
                <w:color w:val="auto"/>
                <w:w w:val="88"/>
              </w:rPr>
              <w:t>(in thousands, except per ton information)</w:t>
            </w:r>
          </w:p>
        </w:tc>
        <w:tc>
          <w:tcPr>
            <w:tcW w:w="100" w:type="dxa"/>
            <w:vAlign w:val="bottom"/>
          </w:tcPr>
          <w:p>
            <w:pPr>
              <w:spacing w:after="0"/>
              <w:rPr>
                <w:sz w:val="19"/>
                <w:szCs w:val="19"/>
                <w:color w:val="auto"/>
              </w:rPr>
            </w:pPr>
          </w:p>
        </w:tc>
        <w:tc>
          <w:tcPr>
            <w:tcW w:w="900" w:type="dxa"/>
            <w:vAlign w:val="bottom"/>
            <w:tcBorders>
              <w:bottom w:val="single" w:sz="8" w:color="17385E"/>
            </w:tcBorders>
          </w:tcPr>
          <w:p>
            <w:pPr>
              <w:spacing w:after="0"/>
              <w:rPr>
                <w:sz w:val="19"/>
                <w:szCs w:val="19"/>
                <w:color w:val="auto"/>
              </w:rPr>
            </w:pPr>
          </w:p>
        </w:tc>
        <w:tc>
          <w:tcPr>
            <w:tcW w:w="200" w:type="dxa"/>
            <w:vAlign w:val="bottom"/>
          </w:tcPr>
          <w:p>
            <w:pPr>
              <w:spacing w:after="0"/>
              <w:rPr>
                <w:sz w:val="19"/>
                <w:szCs w:val="19"/>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004483"/>
              </w:rPr>
              <w:t>Gross Revenue, including intersegment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47,798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46,071</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91,065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82,815</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(20,014 )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(20,499 )</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(38,263 )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(34,568 )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r>
      <w:tr>
        <w:trPr>
          <w:trHeight w:val="20"/>
        </w:trPr>
        <w:tc>
          <w:tcPr>
            <w:tcW w:w="402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25,572</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52,802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48,247</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(2,123 )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(1,352 )</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(3,571 )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(2,685 )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33 %</w:t>
            </w:r>
          </w:p>
        </w:tc>
      </w:tr>
      <w:tr>
        <w:trPr>
          <w:trHeight w:val="20"/>
        </w:trPr>
        <w:tc>
          <w:tcPr>
            <w:tcW w:w="402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24,220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6 %</w:t>
            </w:r>
          </w:p>
        </w:tc>
        <w:tc>
          <w:tcPr>
            <w:tcW w:w="8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45,562</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30"/>
        </w:trPr>
        <w:tc>
          <w:tcPr>
            <w:tcW w:w="402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top w:val="single" w:sz="8" w:color="A6A6A6"/>
              <w:bottom w:val="single" w:sz="8" w:color="A6A6A6"/>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6A6A6"/>
              <w:bottom w:val="single" w:sz="8" w:color="A6A6A6"/>
            </w:tcBorders>
          </w:tcPr>
          <w:p>
            <w:pPr>
              <w:spacing w:after="0"/>
              <w:rPr>
                <w:sz w:val="19"/>
                <w:szCs w:val="19"/>
                <w:color w:val="auto"/>
              </w:rPr>
            </w:pPr>
          </w:p>
        </w:tc>
        <w:tc>
          <w:tcPr>
            <w:tcW w:w="300" w:type="dxa"/>
            <w:vAlign w:val="bottom"/>
            <w:tcBorders>
              <w:top w:val="single" w:sz="8" w:color="A6A6A6"/>
              <w:bottom w:val="single" w:sz="8" w:color="A6A6A6"/>
            </w:tcBorders>
          </w:tcPr>
          <w:p>
            <w:pPr>
              <w:spacing w:after="0"/>
              <w:rPr>
                <w:sz w:val="19"/>
                <w:szCs w:val="19"/>
                <w:color w:val="auto"/>
              </w:rPr>
            </w:pPr>
          </w:p>
        </w:tc>
        <w:tc>
          <w:tcPr>
            <w:tcW w:w="70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6A6A6"/>
              <w:bottom w:val="single" w:sz="8" w:color="A6A6A6"/>
            </w:tcBorders>
          </w:tcPr>
          <w:p>
            <w:pPr>
              <w:spacing w:after="0"/>
              <w:rPr>
                <w:sz w:val="19"/>
                <w:szCs w:val="19"/>
                <w:color w:val="auto"/>
              </w:rPr>
            </w:pPr>
          </w:p>
        </w:tc>
        <w:tc>
          <w:tcPr>
            <w:tcW w:w="200" w:type="dxa"/>
            <w:vAlign w:val="bottom"/>
          </w:tcPr>
          <w:p>
            <w:pPr>
              <w:spacing w:after="0"/>
              <w:rPr>
                <w:sz w:val="19"/>
                <w:szCs w:val="19"/>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0 %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513.11</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489.13</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5 %</w:t>
            </w:r>
          </w:p>
        </w:tc>
      </w:tr>
      <w:tr>
        <w:trPr>
          <w:trHeight w:val="20"/>
        </w:trPr>
        <w:tc>
          <w:tcPr>
            <w:tcW w:w="402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A6A6A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A6A6A6"/>
          </w:tcPr>
          <w:p>
            <w:pPr>
              <w:spacing w:after="0" w:line="20" w:lineRule="exact"/>
              <w:rPr>
                <w:sz w:val="1"/>
                <w:szCs w:val="1"/>
                <w:color w:val="auto"/>
              </w:rPr>
            </w:pPr>
          </w:p>
        </w:tc>
        <w:tc>
          <w:tcPr>
            <w:tcW w:w="3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004483"/>
              </w:rPr>
              <w:t>Freight, per ton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28 %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122.44</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(69 )%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10,652</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(91 )%</w:t>
            </w:r>
          </w:p>
        </w:tc>
        <w:tc>
          <w:tcPr>
            <w:tcW w:w="8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13,547</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(68 )%</w:t>
            </w:r>
          </w:p>
        </w:tc>
      </w:tr>
      <w:tr>
        <w:trPr>
          <w:trHeight w:val="23"/>
        </w:trPr>
        <w:tc>
          <w:tcPr>
            <w:tcW w:w="402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A6A6A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A6A6A6"/>
          </w:tcPr>
          <w:p>
            <w:pPr>
              <w:spacing w:after="0"/>
              <w:rPr>
                <w:sz w:val="2"/>
                <w:szCs w:val="2"/>
                <w:color w:val="auto"/>
              </w:rPr>
            </w:pPr>
          </w:p>
        </w:tc>
        <w:tc>
          <w:tcPr>
            <w:tcW w:w="300" w:type="dxa"/>
            <w:vAlign w:val="bottom"/>
            <w:shd w:val="clear" w:color="auto" w:fill="A6A6A6"/>
          </w:tcPr>
          <w:p>
            <w:pPr>
              <w:spacing w:after="0"/>
              <w:rPr>
                <w:sz w:val="2"/>
                <w:szCs w:val="2"/>
                <w:color w:val="auto"/>
              </w:rPr>
            </w:pPr>
          </w:p>
        </w:tc>
        <w:tc>
          <w:tcPr>
            <w:tcW w:w="70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A6A6A6"/>
          </w:tcPr>
          <w:p>
            <w:pPr>
              <w:spacing w:after="0"/>
              <w:rPr>
                <w:sz w:val="2"/>
                <w:szCs w:val="2"/>
                <w:color w:val="auto"/>
              </w:rPr>
            </w:pPr>
          </w:p>
        </w:tc>
        <w:tc>
          <w:tcPr>
            <w:tcW w:w="2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A6A6A6"/>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-2105025</wp:posOffset>
            </wp:positionV>
            <wp:extent cx="1371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-2105025</wp:posOffset>
            </wp:positionV>
            <wp:extent cx="1200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w:t>
      </w:r>
    </w:p>
    <w:p>
      <w:pPr>
        <w:spacing w:after="0" w:line="16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Recycled Paperboard Revenue increased 4% to $47.8 million during the three months ended September 30, 2021. The increase was primarily due to higher gross sales prices, which positively affected Revenue by $1.7 million. Higher gross sales prices were related to the pricing provisions in our long-term sales agreements.</w:t>
      </w:r>
    </w:p>
    <w:p>
      <w:pPr>
        <w:spacing w:after="0" w:line="94"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Operating Earnings decreased 91% to $1.0 million, primarily because of higher operating costs, which reduced Operating Earnings by approximately $11.4 million. This was partially offset by higher gross sales prices, which increased Operating Earnings by $1.7 million. The increase in operating costs was primarily related to higher input costs, namely fiber, and energy, which lowered Operating Earnings by approximately $10.3 million and $1.0 million, respectively. The Operating Margin declined to 2% because of increased operating costs, partially offset by higher gross sales prices. Although the Company has certain pricing provisions in its long-term sales agreements, prices are only adjusted at certain times throughout the year so the timing of price adjustments is not always in the same period as the change in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2021</w:t>
      </w:r>
    </w:p>
    <w:p>
      <w:pPr>
        <w:spacing w:after="0" w:line="166"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Recycled Paperboard Revenue increased 10% to $91.1 million during the six months ended September 30, 2021. The increase was due to higher gross sales prices and Sales Volume, which positively affected Revenue by $4.7 million and $3.6 million, respectively. Higher gross sales prices were related to the pricing provisions in our long-term sales agreements.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Operating Earnings decreased 68% to $4.3 million, primarily because of higher operating costs, which adversely affected Operating Earnings by $14.4 million. This was partially offset by higher gross sales prices and Sales Volume, which positively affected Operating Earnings by approximately $4.6 million and $0.6 million, respectively. These increases were partially offset by higher operating costs. The increase in operating costs was mainly related to higher input costs, namely fiber, and energy, which lowered Operating Earnings by approximately $12.0 million and $1.7 million, respectively. The Operating Margin decreased to 5% primarily because of higher operating costs, partially offset by increased gross sales prices. Although the Company has certain pricing provisions in its long-term sales agreements, prices are only adjusted at certain times throughout the year so the timing of price adjustments is not always in the same period as the change in costs.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reflected and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6"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relating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53" w:lineRule="exact"/>
        <w:rPr>
          <w:sz w:val="20"/>
          <w:szCs w:val="20"/>
          <w:color w:val="auto"/>
        </w:rPr>
      </w:pPr>
    </w:p>
    <w:p>
      <w:pPr>
        <w:ind w:right="460"/>
        <w:spacing w:after="0" w:line="293"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will continue to monitor the potential impact of future COVID-19 outbreaks, or similar disruptions to the economy, and on our operations, as well as any other economic impacts related to changing fiscal policy or economic conditions. Please see the Debt Financing Activities section below for a discussion of our revolving credit facility and the amount of borrowings available to us in the next twelve-month period.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460" w:type="dxa"/>
            <w:vAlign w:val="bottom"/>
            <w:shd w:val="clear" w:color="auto" w:fill="004483"/>
          </w:tcPr>
          <w:p>
            <w:pPr>
              <w:spacing w:after="0"/>
              <w:rPr>
                <w:sz w:val="16"/>
                <w:szCs w:val="16"/>
                <w:color w:val="auto"/>
              </w:rPr>
            </w:pPr>
          </w:p>
        </w:tc>
        <w:tc>
          <w:tcPr>
            <w:tcW w:w="2720" w:type="dxa"/>
            <w:vAlign w:val="bottom"/>
            <w:gridSpan w:val="4"/>
            <w:shd w:val="clear" w:color="auto" w:fill="004483"/>
          </w:tcPr>
          <w:p>
            <w:pPr>
              <w:jc w:val="right"/>
              <w:ind w:right="39"/>
              <w:spacing w:after="0"/>
              <w:rPr>
                <w:sz w:val="20"/>
                <w:szCs w:val="20"/>
                <w:color w:val="auto"/>
              </w:rPr>
            </w:pPr>
            <w:r>
              <w:rPr>
                <w:rFonts w:ascii="Arial" w:cs="Arial" w:eastAsia="Arial" w:hAnsi="Arial"/>
                <w:sz w:val="13"/>
                <w:szCs w:val="13"/>
                <w:b w:val="1"/>
                <w:bCs w:val="1"/>
                <w:color w:val="FFFFFF"/>
              </w:rPr>
              <w:t>For the Six Months Ended September 30,</w:t>
            </w:r>
          </w:p>
        </w:tc>
        <w:tc>
          <w:tcPr>
            <w:tcW w:w="72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r>
      <w:tr>
        <w:trPr>
          <w:trHeight w:val="173"/>
        </w:trPr>
        <w:tc>
          <w:tcPr>
            <w:tcW w:w="7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6"/>
        </w:trPr>
        <w:tc>
          <w:tcPr>
            <w:tcW w:w="7240" w:type="dxa"/>
            <w:vAlign w:val="bottom"/>
            <w:tcBorders>
              <w:bottom w:val="single" w:sz="8" w:color="004483"/>
            </w:tcBorders>
          </w:tcPr>
          <w:p>
            <w:pPr>
              <w:spacing w:after="0"/>
              <w:rPr>
                <w:sz w:val="19"/>
                <w:szCs w:val="19"/>
                <w:color w:val="auto"/>
              </w:rPr>
            </w:pPr>
          </w:p>
        </w:tc>
        <w:tc>
          <w:tcPr>
            <w:tcW w:w="460" w:type="dxa"/>
            <w:vAlign w:val="bottom"/>
            <w:tcBorders>
              <w:bottom w:val="single" w:sz="8" w:color="004483"/>
            </w:tcBorders>
          </w:tcPr>
          <w:p>
            <w:pPr>
              <w:spacing w:after="0"/>
              <w:rPr>
                <w:sz w:val="19"/>
                <w:szCs w:val="19"/>
                <w:color w:val="auto"/>
              </w:rPr>
            </w:pPr>
          </w:p>
        </w:tc>
        <w:tc>
          <w:tcPr>
            <w:tcW w:w="2720" w:type="dxa"/>
            <w:vAlign w:val="bottom"/>
            <w:tcBorders>
              <w:bottom w:val="single" w:sz="8" w:color="004483"/>
            </w:tcBorders>
            <w:gridSpan w:val="4"/>
          </w:tcPr>
          <w:p>
            <w:pPr>
              <w:jc w:val="right"/>
              <w:ind w:right="599"/>
              <w:spacing w:after="0"/>
              <w:rPr>
                <w:sz w:val="20"/>
                <w:szCs w:val="20"/>
                <w:color w:val="auto"/>
              </w:rPr>
            </w:pPr>
            <w:r>
              <w:rPr>
                <w:rFonts w:ascii="Arial" w:cs="Arial" w:eastAsia="Arial" w:hAnsi="Arial"/>
                <w:sz w:val="13"/>
                <w:szCs w:val="13"/>
                <w:color w:val="auto"/>
              </w:rPr>
              <w:t>(dollars in thousands)</w:t>
            </w:r>
          </w:p>
        </w:tc>
        <w:tc>
          <w:tcPr>
            <w:tcW w:w="72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60" w:type="dxa"/>
            <w:vAlign w:val="bottom"/>
            <w:tcBorders>
              <w:bottom w:val="single" w:sz="8" w:color="A6A6A6"/>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261,462</w:t>
            </w:r>
          </w:p>
        </w:tc>
        <w:tc>
          <w:tcPr>
            <w:tcW w:w="100" w:type="dxa"/>
            <w:vAlign w:val="bottom"/>
          </w:tcPr>
          <w:p>
            <w:pPr>
              <w:spacing w:after="0"/>
              <w:rPr>
                <w:sz w:val="19"/>
                <w:szCs w:val="19"/>
                <w:color w:val="auto"/>
              </w:rPr>
            </w:pPr>
          </w:p>
        </w:tc>
        <w:tc>
          <w:tcPr>
            <w:tcW w:w="1260" w:type="dxa"/>
            <w:vAlign w:val="bottom"/>
            <w:tcBorders>
              <w:bottom w:val="single" w:sz="8" w:color="A6A6A6"/>
            </w:tcBorders>
            <w:gridSpan w:val="2"/>
          </w:tcPr>
          <w:p>
            <w:pPr>
              <w:jc w:val="right"/>
              <w:ind w:right="89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358,377</w:t>
            </w:r>
          </w:p>
        </w:tc>
        <w:tc>
          <w:tcPr>
            <w:tcW w:w="100" w:type="dxa"/>
            <w:vAlign w:val="bottom"/>
          </w:tcPr>
          <w:p>
            <w:pPr>
              <w:spacing w:after="0"/>
              <w:rPr>
                <w:sz w:val="19"/>
                <w:szCs w:val="19"/>
                <w:color w:val="auto"/>
              </w:rPr>
            </w:pPr>
          </w:p>
        </w:tc>
      </w:tr>
      <w:tr>
        <w:trPr>
          <w:trHeight w:val="250"/>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60" w:type="dxa"/>
            <w:vAlign w:val="bottom"/>
            <w:tcBorders>
              <w:bottom w:val="single" w:sz="8" w:color="A6A6A6"/>
            </w:tcBorders>
          </w:tcPr>
          <w:p>
            <w:pPr>
              <w:spacing w:after="0"/>
              <w:rPr>
                <w:sz w:val="21"/>
                <w:szCs w:val="21"/>
                <w:color w:val="auto"/>
              </w:rPr>
            </w:pPr>
          </w:p>
        </w:tc>
        <w:tc>
          <w:tcPr>
            <w:tcW w:w="136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6A6A6"/>
            </w:tcBorders>
          </w:tcPr>
          <w:p>
            <w:pPr>
              <w:spacing w:after="0"/>
              <w:rPr>
                <w:sz w:val="21"/>
                <w:szCs w:val="21"/>
                <w:color w:val="auto"/>
              </w:rPr>
            </w:pPr>
          </w:p>
        </w:tc>
        <w:tc>
          <w:tcPr>
            <w:tcW w:w="1080" w:type="dxa"/>
            <w:vAlign w:val="bottom"/>
            <w:tcBorders>
              <w:bottom w:val="single" w:sz="8" w:color="A6A6A6"/>
            </w:tcBorders>
          </w:tcPr>
          <w:p>
            <w:pPr>
              <w:spacing w:after="0"/>
              <w:rPr>
                <w:sz w:val="21"/>
                <w:szCs w:val="21"/>
                <w:color w:val="auto"/>
              </w:rPr>
            </w:pPr>
          </w:p>
        </w:tc>
        <w:tc>
          <w:tcPr>
            <w:tcW w:w="72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24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(26,777 )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(40,676 )</w:t>
            </w:r>
          </w:p>
        </w:tc>
      </w:tr>
      <w:tr>
        <w:trPr>
          <w:trHeight w:val="256"/>
        </w:trPr>
        <w:tc>
          <w:tcPr>
            <w:tcW w:w="72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Sale of Businesses</w:t>
            </w:r>
          </w:p>
        </w:tc>
        <w:tc>
          <w:tcPr>
            <w:tcW w:w="460" w:type="dxa"/>
            <w:vAlign w:val="bottom"/>
            <w:tcBorders>
              <w:top w:val="single" w:sz="8" w:color="A6A6A6"/>
              <w:bottom w:val="single" w:sz="8" w:color="004483"/>
            </w:tcBorders>
          </w:tcPr>
          <w:p>
            <w:pPr>
              <w:spacing w:after="0"/>
              <w:rPr>
                <w:sz w:val="22"/>
                <w:szCs w:val="22"/>
                <w:color w:val="auto"/>
              </w:rPr>
            </w:pPr>
          </w:p>
        </w:tc>
        <w:tc>
          <w:tcPr>
            <w:tcW w:w="13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Borders>
              <w:top w:val="single" w:sz="8" w:color="A6A6A6"/>
              <w:bottom w:val="single" w:sz="8" w:color="A6A6A6"/>
            </w:tcBorders>
          </w:tcPr>
          <w:p>
            <w:pPr>
              <w:spacing w:after="0"/>
              <w:rPr>
                <w:sz w:val="22"/>
                <w:szCs w:val="22"/>
                <w:color w:val="auto"/>
              </w:rPr>
            </w:pPr>
          </w:p>
        </w:tc>
        <w:tc>
          <w:tcPr>
            <w:tcW w:w="1080" w:type="dxa"/>
            <w:vAlign w:val="bottom"/>
            <w:tcBorders>
              <w:top w:val="single" w:sz="8" w:color="A6A6A6"/>
              <w:bottom w:val="single" w:sz="8" w:color="004483"/>
            </w:tcBorders>
          </w:tcPr>
          <w:p>
            <w:pPr>
              <w:spacing w:after="0"/>
              <w:rPr>
                <w:sz w:val="22"/>
                <w:szCs w:val="22"/>
                <w:color w:val="auto"/>
              </w:rPr>
            </w:pPr>
          </w:p>
        </w:tc>
        <w:tc>
          <w:tcPr>
            <w:tcW w:w="72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91,022</w:t>
            </w:r>
          </w:p>
        </w:tc>
        <w:tc>
          <w:tcPr>
            <w:tcW w:w="100" w:type="dxa"/>
            <w:vAlign w:val="bottom"/>
          </w:tcPr>
          <w:p>
            <w:pPr>
              <w:spacing w:after="0"/>
              <w:rPr>
                <w:sz w:val="22"/>
                <w:szCs w:val="22"/>
                <w:color w:val="auto"/>
              </w:rPr>
            </w:pPr>
          </w:p>
        </w:tc>
      </w:tr>
      <w:tr>
        <w:trPr>
          <w:trHeight w:val="250"/>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460" w:type="dxa"/>
            <w:vAlign w:val="bottom"/>
            <w:tcBorders>
              <w:bottom w:val="single" w:sz="8" w:color="004483"/>
            </w:tcBorders>
          </w:tcPr>
          <w:p>
            <w:pPr>
              <w:spacing w:after="0"/>
              <w:rPr>
                <w:sz w:val="21"/>
                <w:szCs w:val="21"/>
                <w:color w:val="auto"/>
              </w:rPr>
            </w:pP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6A6A6"/>
            </w:tcBorders>
          </w:tcPr>
          <w:p>
            <w:pPr>
              <w:spacing w:after="0"/>
              <w:rPr>
                <w:sz w:val="21"/>
                <w:szCs w:val="21"/>
                <w:color w:val="auto"/>
              </w:rPr>
            </w:pPr>
          </w:p>
        </w:tc>
        <w:tc>
          <w:tcPr>
            <w:tcW w:w="1080" w:type="dxa"/>
            <w:vAlign w:val="bottom"/>
            <w:tcBorders>
              <w:bottom w:val="single" w:sz="8" w:color="004483"/>
            </w:tcBorders>
          </w:tcPr>
          <w:p>
            <w:pPr>
              <w:spacing w:after="0"/>
              <w:rPr>
                <w:sz w:val="21"/>
                <w:szCs w:val="21"/>
                <w:color w:val="auto"/>
              </w:rPr>
            </w:pP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50,346</w:t>
            </w:r>
          </w:p>
        </w:tc>
        <w:tc>
          <w:tcPr>
            <w:tcW w:w="100" w:type="dxa"/>
            <w:vAlign w:val="bottom"/>
          </w:tcPr>
          <w:p>
            <w:pPr>
              <w:spacing w:after="0"/>
              <w:rPr>
                <w:sz w:val="21"/>
                <w:szCs w:val="21"/>
                <w:color w:val="auto"/>
              </w:rPr>
            </w:pPr>
          </w:p>
        </w:tc>
      </w:tr>
      <w:tr>
        <w:trPr>
          <w:trHeight w:val="244"/>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60" w:type="dxa"/>
            <w:vAlign w:val="bottom"/>
            <w:tcBorders>
              <w:bottom w:val="single" w:sz="8" w:color="A6A6A6"/>
            </w:tcBorders>
          </w:tcPr>
          <w:p>
            <w:pPr>
              <w:spacing w:after="0"/>
              <w:rPr>
                <w:sz w:val="21"/>
                <w:szCs w:val="21"/>
                <w:color w:val="auto"/>
              </w:rPr>
            </w:pPr>
          </w:p>
        </w:tc>
        <w:tc>
          <w:tcPr>
            <w:tcW w:w="136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6A6A6"/>
            </w:tcBorders>
          </w:tcPr>
          <w:p>
            <w:pPr>
              <w:spacing w:after="0"/>
              <w:rPr>
                <w:sz w:val="21"/>
                <w:szCs w:val="21"/>
                <w:color w:val="auto"/>
              </w:rPr>
            </w:pPr>
          </w:p>
        </w:tc>
        <w:tc>
          <w:tcPr>
            <w:tcW w:w="1080" w:type="dxa"/>
            <w:vAlign w:val="bottom"/>
            <w:tcBorders>
              <w:bottom w:val="single" w:sz="8" w:color="A6A6A6"/>
            </w:tcBorders>
          </w:tcPr>
          <w:p>
            <w:pPr>
              <w:spacing w:after="0"/>
              <w:rPr>
                <w:sz w:val="21"/>
                <w:szCs w:val="21"/>
                <w:color w:val="auto"/>
              </w:rPr>
            </w:pPr>
          </w:p>
        </w:tc>
        <w:tc>
          <w:tcPr>
            <w:tcW w:w="720" w:type="dxa"/>
            <w:vAlign w:val="bottom"/>
            <w:tcBorders>
              <w:bottom w:val="single" w:sz="8" w:color="A6A6A6"/>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240" w:type="dxa"/>
            <w:vAlign w:val="bottom"/>
          </w:tcPr>
          <w:p>
            <w:pPr>
              <w:ind w:left="200"/>
              <w:spacing w:after="0"/>
              <w:rPr>
                <w:sz w:val="20"/>
                <w:szCs w:val="20"/>
                <w:color w:val="auto"/>
              </w:rPr>
            </w:pPr>
            <w:r>
              <w:rPr>
                <w:rFonts w:ascii="Arial" w:cs="Arial" w:eastAsia="Arial" w:hAnsi="Arial"/>
                <w:sz w:val="16"/>
                <w:szCs w:val="16"/>
                <w:color w:val="004483"/>
              </w:rPr>
              <w:t>Increase (Decrease) in Credit Facility</w:t>
            </w: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(315,000 )</w:t>
            </w:r>
          </w:p>
        </w:tc>
      </w:tr>
      <w:tr>
        <w:trPr>
          <w:trHeight w:val="223"/>
        </w:trPr>
        <w:tc>
          <w:tcPr>
            <w:tcW w:w="72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460" w:type="dxa"/>
            <w:vAlign w:val="bottom"/>
            <w:tcBorders>
              <w:top w:val="single" w:sz="8" w:color="A6A6A6"/>
              <w:bottom w:val="single" w:sz="8" w:color="A6A6A6"/>
            </w:tcBorders>
          </w:tcPr>
          <w:p>
            <w:pPr>
              <w:spacing w:after="0"/>
              <w:rPr>
                <w:sz w:val="19"/>
                <w:szCs w:val="19"/>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8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(350,000 )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
        </w:trPr>
        <w:tc>
          <w:tcPr>
            <w:tcW w:w="7240" w:type="dxa"/>
            <w:vAlign w:val="bottom"/>
            <w:shd w:val="clear" w:color="auto" w:fill="A6A6A6"/>
          </w:tcPr>
          <w:p>
            <w:pPr>
              <w:spacing w:after="0"/>
              <w:rPr>
                <w:sz w:val="2"/>
                <w:szCs w:val="2"/>
                <w:color w:val="auto"/>
              </w:rPr>
            </w:pPr>
          </w:p>
        </w:tc>
        <w:tc>
          <w:tcPr>
            <w:tcW w:w="460" w:type="dxa"/>
            <w:vAlign w:val="bottom"/>
            <w:shd w:val="clear" w:color="auto" w:fill="A6A6A6"/>
          </w:tcPr>
          <w:p>
            <w:pPr>
              <w:spacing w:after="0"/>
              <w:rPr>
                <w:sz w:val="2"/>
                <w:szCs w:val="2"/>
                <w:color w:val="auto"/>
              </w:rPr>
            </w:pPr>
          </w:p>
        </w:tc>
        <w:tc>
          <w:tcPr>
            <w:tcW w:w="13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004483"/>
              </w:rPr>
              <w:t>Repayment of Term Loan</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(665,000 )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
        </w:trPr>
        <w:tc>
          <w:tcPr>
            <w:tcW w:w="7240" w:type="dxa"/>
            <w:vAlign w:val="bottom"/>
            <w:shd w:val="clear" w:color="auto" w:fill="A6A6A6"/>
          </w:tcPr>
          <w:p>
            <w:pPr>
              <w:spacing w:after="0"/>
              <w:rPr>
                <w:sz w:val="2"/>
                <w:szCs w:val="2"/>
                <w:color w:val="auto"/>
              </w:rPr>
            </w:pPr>
          </w:p>
        </w:tc>
        <w:tc>
          <w:tcPr>
            <w:tcW w:w="460" w:type="dxa"/>
            <w:vAlign w:val="bottom"/>
            <w:shd w:val="clear" w:color="auto" w:fill="A6A6A6"/>
          </w:tcPr>
          <w:p>
            <w:pPr>
              <w:spacing w:after="0"/>
              <w:rPr>
                <w:sz w:val="2"/>
                <w:szCs w:val="2"/>
                <w:color w:val="auto"/>
              </w:rPr>
            </w:pPr>
          </w:p>
        </w:tc>
        <w:tc>
          <w:tcPr>
            <w:tcW w:w="13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(10,547 )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(4,163 )</w:t>
            </w:r>
          </w:p>
        </w:tc>
      </w:tr>
      <w:tr>
        <w:trPr>
          <w:trHeight w:val="23"/>
        </w:trPr>
        <w:tc>
          <w:tcPr>
            <w:tcW w:w="7240" w:type="dxa"/>
            <w:vAlign w:val="bottom"/>
            <w:shd w:val="clear" w:color="auto" w:fill="A6A6A6"/>
          </w:tcPr>
          <w:p>
            <w:pPr>
              <w:spacing w:after="0"/>
              <w:rPr>
                <w:sz w:val="2"/>
                <w:szCs w:val="2"/>
                <w:color w:val="auto"/>
              </w:rPr>
            </w:pPr>
          </w:p>
        </w:tc>
        <w:tc>
          <w:tcPr>
            <w:tcW w:w="460" w:type="dxa"/>
            <w:vAlign w:val="bottom"/>
            <w:shd w:val="clear" w:color="auto" w:fill="A6A6A6"/>
          </w:tcPr>
          <w:p>
            <w:pPr>
              <w:spacing w:after="0"/>
              <w:rPr>
                <w:sz w:val="2"/>
                <w:szCs w:val="2"/>
                <w:color w:val="auto"/>
              </w:rPr>
            </w:pPr>
          </w:p>
        </w:tc>
        <w:tc>
          <w:tcPr>
            <w:tcW w:w="13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24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(247,845 )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72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460" w:type="dxa"/>
            <w:vAlign w:val="bottom"/>
            <w:tcBorders>
              <w:top w:val="single" w:sz="8" w:color="A6A6A6"/>
              <w:bottom w:val="single" w:sz="8" w:color="A6A6A6"/>
            </w:tcBorders>
          </w:tcPr>
          <w:p>
            <w:pPr>
              <w:spacing w:after="0"/>
              <w:rPr>
                <w:sz w:val="19"/>
                <w:szCs w:val="19"/>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14,460</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080" w:type="dxa"/>
            <w:vAlign w:val="bottom"/>
            <w:tcBorders>
              <w:top w:val="single" w:sz="8" w:color="A6A6A6"/>
              <w:bottom w:val="single" w:sz="8" w:color="A6A6A6"/>
            </w:tcBorders>
          </w:tcPr>
          <w:p>
            <w:pPr>
              <w:spacing w:after="0"/>
              <w:rPr>
                <w:sz w:val="19"/>
                <w:szCs w:val="19"/>
                <w:color w:val="auto"/>
              </w:rPr>
            </w:pPr>
          </w:p>
        </w:tc>
        <w:tc>
          <w:tcPr>
            <w:tcW w:w="7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9"/>
                <w:szCs w:val="19"/>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004483"/>
              </w:rPr>
              <w:t>Premium Paid on Early Retirement of Senior Notes</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(8,407 )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
        </w:trPr>
        <w:tc>
          <w:tcPr>
            <w:tcW w:w="7240" w:type="dxa"/>
            <w:vAlign w:val="bottom"/>
            <w:shd w:val="clear" w:color="auto" w:fill="A6A6A6"/>
          </w:tcPr>
          <w:p>
            <w:pPr>
              <w:spacing w:after="0"/>
              <w:rPr>
                <w:sz w:val="2"/>
                <w:szCs w:val="2"/>
                <w:color w:val="auto"/>
              </w:rPr>
            </w:pPr>
          </w:p>
        </w:tc>
        <w:tc>
          <w:tcPr>
            <w:tcW w:w="460" w:type="dxa"/>
            <w:vAlign w:val="bottom"/>
            <w:shd w:val="clear" w:color="auto" w:fill="A6A6A6"/>
          </w:tcPr>
          <w:p>
            <w:pPr>
              <w:spacing w:after="0"/>
              <w:rPr>
                <w:sz w:val="2"/>
                <w:szCs w:val="2"/>
                <w:color w:val="auto"/>
              </w:rPr>
            </w:pPr>
          </w:p>
        </w:tc>
        <w:tc>
          <w:tcPr>
            <w:tcW w:w="13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24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4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(7,985 )</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(1,718 )</w:t>
            </w:r>
          </w:p>
        </w:tc>
      </w:tr>
      <w:tr>
        <w:trPr>
          <w:trHeight w:val="23"/>
        </w:trPr>
        <w:tc>
          <w:tcPr>
            <w:tcW w:w="7240" w:type="dxa"/>
            <w:vAlign w:val="bottom"/>
            <w:shd w:val="clear" w:color="auto" w:fill="A6A6A6"/>
          </w:tcPr>
          <w:p>
            <w:pPr>
              <w:spacing w:after="0"/>
              <w:rPr>
                <w:sz w:val="2"/>
                <w:szCs w:val="2"/>
                <w:color w:val="auto"/>
              </w:rPr>
            </w:pPr>
          </w:p>
        </w:tc>
        <w:tc>
          <w:tcPr>
            <w:tcW w:w="460" w:type="dxa"/>
            <w:vAlign w:val="bottom"/>
            <w:shd w:val="clear" w:color="auto" w:fill="A6A6A6"/>
          </w:tcPr>
          <w:p>
            <w:pPr>
              <w:spacing w:after="0"/>
              <w:rPr>
                <w:sz w:val="2"/>
                <w:szCs w:val="2"/>
                <w:color w:val="auto"/>
              </w:rPr>
            </w:pPr>
          </w:p>
        </w:tc>
        <w:tc>
          <w:tcPr>
            <w:tcW w:w="136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A6A6A6"/>
          </w:tcPr>
          <w:p>
            <w:pPr>
              <w:spacing w:after="0"/>
              <w:rPr>
                <w:sz w:val="2"/>
                <w:szCs w:val="2"/>
                <w:color w:val="auto"/>
              </w:rPr>
            </w:pPr>
          </w:p>
        </w:tc>
        <w:tc>
          <w:tcPr>
            <w:tcW w:w="1080" w:type="dxa"/>
            <w:vAlign w:val="bottom"/>
            <w:shd w:val="clear" w:color="auto" w:fill="A6A6A6"/>
          </w:tcPr>
          <w:p>
            <w:pPr>
              <w:spacing w:after="0"/>
              <w:rPr>
                <w:sz w:val="2"/>
                <w:szCs w:val="2"/>
                <w:color w:val="auto"/>
              </w:rPr>
            </w:pPr>
          </w:p>
        </w:tc>
        <w:tc>
          <w:tcPr>
            <w:tcW w:w="720" w:type="dxa"/>
            <w:vAlign w:val="bottom"/>
            <w:shd w:val="clear" w:color="auto" w:fill="A6A6A6"/>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24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4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(1,359 )</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(1,130 )</w:t>
            </w:r>
          </w:p>
        </w:tc>
      </w:tr>
      <w:tr>
        <w:trPr>
          <w:trHeight w:val="250"/>
        </w:trPr>
        <w:tc>
          <w:tcPr>
            <w:tcW w:w="72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60" w:type="dxa"/>
            <w:vAlign w:val="bottom"/>
            <w:tcBorders>
              <w:top w:val="single" w:sz="8" w:color="004483"/>
              <w:bottom w:val="single" w:sz="8" w:color="004483"/>
            </w:tcBorders>
          </w:tcPr>
          <w:p>
            <w:pPr>
              <w:spacing w:after="0"/>
              <w:rPr>
                <w:sz w:val="21"/>
                <w:szCs w:val="21"/>
                <w:color w:val="auto"/>
              </w:rPr>
            </w:pPr>
          </w:p>
        </w:tc>
        <w:tc>
          <w:tcPr>
            <w:tcW w:w="13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(457,991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6A6A6"/>
              <w:bottom w:val="single" w:sz="8" w:color="A6A6A6"/>
            </w:tcBorders>
          </w:tcPr>
          <w:p>
            <w:pPr>
              <w:spacing w:after="0"/>
              <w:rPr>
                <w:sz w:val="21"/>
                <w:szCs w:val="21"/>
                <w:color w:val="auto"/>
              </w:rPr>
            </w:pPr>
          </w:p>
        </w:tc>
        <w:tc>
          <w:tcPr>
            <w:tcW w:w="1080" w:type="dxa"/>
            <w:vAlign w:val="bottom"/>
            <w:tcBorders>
              <w:top w:val="single" w:sz="8" w:color="004483"/>
              <w:bottom w:val="single" w:sz="8" w:color="004483"/>
            </w:tcBorders>
          </w:tcPr>
          <w:p>
            <w:pPr>
              <w:spacing w:after="0"/>
              <w:rPr>
                <w:sz w:val="21"/>
                <w:szCs w:val="21"/>
                <w:color w:val="auto"/>
              </w:rPr>
            </w:pPr>
          </w:p>
        </w:tc>
        <w:tc>
          <w:tcPr>
            <w:tcW w:w="7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(321,513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(223,306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80" w:type="dxa"/>
            <w:vAlign w:val="bottom"/>
            <w:tcBorders>
              <w:bottom w:val="single" w:sz="8" w:color="004483"/>
            </w:tcBorders>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87,210</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004483"/>
            </w:tcBorders>
          </w:tcPr>
          <w:p>
            <w:pPr>
              <w:spacing w:after="0" w:line="20" w:lineRule="exact"/>
              <w:rPr>
                <w:sz w:val="1"/>
                <w:szCs w:val="1"/>
                <w:color w:val="auto"/>
              </w:rPr>
            </w:pPr>
          </w:p>
        </w:tc>
        <w:tc>
          <w:tcPr>
            <w:tcW w:w="7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color w:val="auto"/>
        </w:rPr>
        <w:t>Net Cash Provided by Operating Activities decreased by $96.9 million to $261.5 million during the six months ended September 30, 2021. This decrease was primarily attributable to changes in working capital of $132.3 million and lower dividends from our Unconsolidated Joint Venture of $4.0 million. This was partially offset by higher Net Earnings, adjusted for non-cash charges, of approximately $39.4 million. The decline related to the changes in working capital was primarily due to approximately $100.0 million of Income Tax Receivables at March 31, 2020 being applied during the six months ended September 30, 2020.</w:t>
      </w:r>
    </w:p>
    <w:p>
      <w:pPr>
        <w:spacing w:after="0" w:line="9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Working capital decreased by $208.8 million to $283.5 million at September 30, 2021, because of lower Cash and Inventories of approximately $218.3 million and $32.0 million, respectively, and higher Accounts Payable and Accrued Liabilities of $18.6 million. This was partially offset by increased Accounts Receivable and Income Tax Receivable of approximately $49.6 million and $15.2 million, respectively. The reduction in Cash was due to the redemption and repayment of our 4.500% Senior Unsecured Notes due 2026 and Term Loan in July 2021. The reduction in inventory was due to our normal sales cycle where we build inventory in the winter months to meet demand in the spring and summer.</w:t>
      </w:r>
    </w:p>
    <w:p>
      <w:pPr>
        <w:spacing w:after="0" w:line="96"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 increase in Accounts Receivable at September 30, 2021, was primarily related to higher Revenue during the three months ended September 30, 2021, compared with the three months ended March 31, 2021. As a percentage of quarterly sales generated for the respective quarter, Accounts Receivable was approximately 39% at September 30, 2021 and 43% at March 31, 2021.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2021. Notes Receivable are monitored on an individual basis, and no significant deterioration in the collectability of our Notes Receivable was identified at September 30, 2021.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35" w:name="page36"/>
    <w:bookmarkEnd w:id="35"/>
    <w:p>
      <w:pPr>
        <w:ind w:right="60"/>
        <w:spacing w:after="0" w:line="283" w:lineRule="auto"/>
        <w:rPr>
          <w:sz w:val="20"/>
          <w:szCs w:val="20"/>
          <w:color w:val="auto"/>
        </w:rPr>
      </w:pPr>
      <w:r>
        <w:rPr>
          <w:rFonts w:ascii="Arial" w:cs="Arial" w:eastAsia="Arial" w:hAnsi="Arial"/>
          <w:sz w:val="18"/>
          <w:szCs w:val="18"/>
          <w:color w:val="auto"/>
        </w:rPr>
        <w:t>Our Inventory balance at September 30, 2021 declined by approximately $32.0 million from our balance at March 31, 2021. Within Inventory, raw materials and materials-in-progress decreased by approximately $23.6 million and finished cement decreased by approximately $8.8 million. The decline in raw materials and materials-in-progress and finished cement is consistent with our business cycle; we generally build up clinker inventory over the winter months to meet the demand for cement in the spring and summer.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99"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Net Cash Used in Investing Activities during the six months ended September 30, 2021 was approximately $26.8 million, compared with Net Cash Provided by Investing Activities of $50.3 million during the same period in 2020, a decrease of approximately $77.1 million. The decrease was primarily related to the $91.0 million of cash received for the sale of businesses in fiscal 2021, and a reduction of $13.9 million in capital spending in fiscal 2022 compared with fiscal 2021. The reduction in capital spending was mainly related to lower capital spending in our Cement and Recycled Paperboard businesses.</w:t>
      </w:r>
    </w:p>
    <w:p>
      <w:pPr>
        <w:spacing w:after="0" w:line="98" w:lineRule="exact"/>
        <w:rPr>
          <w:sz w:val="20"/>
          <w:szCs w:val="20"/>
          <w:color w:val="auto"/>
        </w:rPr>
      </w:pPr>
    </w:p>
    <w:p>
      <w:pPr>
        <w:jc w:val="both"/>
        <w:ind w:right="280"/>
        <w:spacing w:after="0" w:line="284" w:lineRule="auto"/>
        <w:rPr>
          <w:sz w:val="20"/>
          <w:szCs w:val="20"/>
          <w:color w:val="auto"/>
        </w:rPr>
      </w:pPr>
      <w:r>
        <w:rPr>
          <w:rFonts w:ascii="Arial" w:cs="Arial" w:eastAsia="Arial" w:hAnsi="Arial"/>
          <w:sz w:val="18"/>
          <w:szCs w:val="18"/>
          <w:color w:val="auto"/>
        </w:rPr>
        <w:t>Net Cash Used in Financing Activities was approximately $458.0 million during the six months ended September 30, 2021, compared with $321.5 million during the six months ended September 30, 2020. During the first six months of fiscal 2022, we had $247.8 million of share repurchases and retirements, and increased Dividends Paid to Shareholders of $6.3 million, and Debt Issuance costs of $6.3 million. This was partially offset by an increase of $14.0 million of cash received from the exercise of stock options and a reduction in net borrowings of $118.7 million compared with fiscal 2021.</w:t>
      </w:r>
    </w:p>
    <w:p>
      <w:pPr>
        <w:spacing w:after="0" w:line="98" w:lineRule="exact"/>
        <w:rPr>
          <w:sz w:val="20"/>
          <w:szCs w:val="20"/>
          <w:color w:val="auto"/>
        </w:rPr>
      </w:pPr>
    </w:p>
    <w:p>
      <w:pPr>
        <w:jc w:val="both"/>
        <w:ind w:right="280"/>
        <w:spacing w:after="0" w:line="293" w:lineRule="auto"/>
        <w:rPr>
          <w:sz w:val="20"/>
          <w:szCs w:val="20"/>
          <w:color w:val="auto"/>
        </w:rPr>
      </w:pPr>
      <w:r>
        <w:rPr>
          <w:rFonts w:ascii="Arial" w:cs="Arial" w:eastAsia="Arial" w:hAnsi="Arial"/>
          <w:sz w:val="18"/>
          <w:szCs w:val="18"/>
          <w:color w:val="auto"/>
        </w:rPr>
        <w:t>Our debt-to-capitalization ratio and net-debt-to-capitalization ratio were 38.7% and 37.4%, respectively, at September 30, 2021, compared with 42.8% and 35.6%, respectively, at March 31,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September 30,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80" w:type="dxa"/>
            <w:vAlign w:val="bottom"/>
            <w:tcBorders>
              <w:bottom w:val="single" w:sz="8" w:color="004483"/>
            </w:tcBorders>
          </w:tcPr>
          <w:p>
            <w:pPr>
              <w:spacing w:after="0"/>
              <w:rPr>
                <w:sz w:val="17"/>
                <w:szCs w:val="17"/>
                <w:color w:val="auto"/>
              </w:rPr>
            </w:pPr>
          </w:p>
        </w:tc>
        <w:tc>
          <w:tcPr>
            <w:tcW w:w="4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23"/>
        </w:trPr>
        <w:tc>
          <w:tcPr>
            <w:tcW w:w="63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2026</w:t>
            </w:r>
          </w:p>
        </w:tc>
      </w:tr>
      <w:tr>
        <w:trPr>
          <w:trHeight w:val="223"/>
        </w:trPr>
        <w:tc>
          <w:tcPr>
            <w:tcW w:w="63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The borrowing capacity of our Revolving Credit Facility is $750.0 million until July 1, 2026. The Revolving Credit Facility also includes a swingline loan sublimit of $25.0 million, and a $40.0 million letter of credit facility. At September 30, 2021 we had $75.0 million outstanding under the Revolving Credit Facility and $5.0 million of outstanding letters of credit. We are contingently liable for performance under $26.1 million in performance bonds relating primarily to our mining operations. We do not have any off-balance sheet debt, or any outstanding debt guarantees.</w:t>
      </w:r>
    </w:p>
    <w:p>
      <w:pPr>
        <w:spacing w:after="0" w:line="98"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6" w:name="page37"/>
    <w:bookmarkEnd w:id="36"/>
    <w:p>
      <w:pPr>
        <w:spacing w:after="0" w:line="283"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10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and borrowings under the Revolving Credit Facility,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98" w:lineRule="exact"/>
        <w:rPr>
          <w:sz w:val="20"/>
          <w:szCs w:val="20"/>
          <w:color w:val="auto"/>
        </w:rPr>
      </w:pPr>
    </w:p>
    <w:p>
      <w:pPr>
        <w:ind w:right="360"/>
        <w:spacing w:after="0" w:line="293" w:lineRule="auto"/>
        <w:rPr>
          <w:sz w:val="20"/>
          <w:szCs w:val="20"/>
          <w:color w:val="auto"/>
        </w:rPr>
      </w:pPr>
      <w:r>
        <w:rPr>
          <w:rFonts w:ascii="Arial" w:cs="Arial" w:eastAsia="Arial" w:hAnsi="Arial"/>
          <w:sz w:val="18"/>
          <w:szCs w:val="18"/>
          <w:color w:val="auto"/>
        </w:rPr>
        <w:t>We have approximately $38.7 million of lease liabilities at September 30, 2021 that have an average remaining life of approximately 10.2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66"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color w:val="auto"/>
        </w:rPr>
        <w:t>Dividends paid were $10.5 million and $4.2 million for the six months ended September 30, 2021 and 2020, respectively. On May 19, 2021, we announced the reinstatement of our quarterly dividend that was suspended in fiscal 2021. Each quarterly dividend payment is subject to review and approval by our Board of Directors, who will continue to evaluate our dividend payment amount on a quarterly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2021, our share repurchases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r>
      <w:tr>
        <w:trPr>
          <w:trHeight w:val="162"/>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of Shares that May</w:t>
            </w:r>
          </w:p>
        </w:tc>
      </w:tr>
      <w:tr>
        <w:trPr>
          <w:trHeight w:val="162"/>
        </w:trPr>
        <w:tc>
          <w:tcPr>
            <w:tcW w:w="5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as Part of Publicly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Yet be Purchased</w:t>
            </w:r>
          </w:p>
        </w:tc>
      </w:tr>
      <w:tr>
        <w:trPr>
          <w:trHeight w:val="162"/>
        </w:trPr>
        <w:tc>
          <w:tcPr>
            <w:tcW w:w="5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w w:val="91"/>
              </w:rPr>
              <w:t>Average Price Paid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Announced Plans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Under the Plans</w:t>
            </w:r>
          </w:p>
        </w:tc>
      </w:tr>
      <w:tr>
        <w:trPr>
          <w:trHeight w:val="174"/>
        </w:trPr>
        <w:tc>
          <w:tcPr>
            <w:tcW w:w="540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Period</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8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8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80" w:type="dxa"/>
            <w:vAlign w:val="bottom"/>
          </w:tcPr>
          <w:p>
            <w:pPr>
              <w:spacing w:after="0"/>
              <w:rPr>
                <w:sz w:val="15"/>
                <w:szCs w:val="15"/>
                <w:color w:val="auto"/>
              </w:rPr>
            </w:pPr>
          </w:p>
        </w:tc>
        <w:tc>
          <w:tcPr>
            <w:tcW w:w="14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8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r>
      <w:tr>
        <w:trPr>
          <w:trHeight w:val="223"/>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2021</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3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r>
      <w:tr>
        <w:trPr>
          <w:trHeight w:val="223"/>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2021</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110,000</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143.77</w:t>
            </w:r>
          </w:p>
        </w:tc>
        <w:tc>
          <w:tcPr>
            <w:tcW w:w="80" w:type="dxa"/>
            <w:vAlign w:val="bottom"/>
          </w:tcPr>
          <w:p>
            <w:pPr>
              <w:spacing w:after="0"/>
              <w:rPr>
                <w:sz w:val="19"/>
                <w:szCs w:val="19"/>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110,000</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004483"/>
              </w:rPr>
              <w:t>June 1 through June 30, 2021</w:t>
            </w:r>
          </w:p>
        </w:tc>
        <w:tc>
          <w:tcPr>
            <w:tcW w:w="1300" w:type="dxa"/>
            <w:vAlign w:val="bottom"/>
          </w:tcPr>
          <w:p>
            <w:pPr>
              <w:jc w:val="right"/>
              <w:spacing w:after="0"/>
              <w:rPr>
                <w:sz w:val="20"/>
                <w:szCs w:val="20"/>
                <w:color w:val="auto"/>
              </w:rPr>
            </w:pPr>
            <w:r>
              <w:rPr>
                <w:rFonts w:ascii="Arial" w:cs="Arial" w:eastAsia="Arial" w:hAnsi="Arial"/>
                <w:sz w:val="16"/>
                <w:szCs w:val="16"/>
                <w:color w:val="auto"/>
              </w:rPr>
              <w:t>315,500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146.16</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315,500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4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425,500</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145.54</w:t>
            </w:r>
          </w:p>
        </w:tc>
        <w:tc>
          <w:tcPr>
            <w:tcW w:w="8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425,500</w:t>
            </w:r>
          </w:p>
        </w:tc>
        <w:tc>
          <w:tcPr>
            <w:tcW w:w="8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80" w:type="dxa"/>
            <w:vAlign w:val="bottom"/>
            <w:tcBorders>
              <w:top w:val="single" w:sz="8" w:color="A6A6A6"/>
              <w:bottom w:val="single" w:sz="8" w:color="A6A6A6"/>
            </w:tcBorders>
          </w:tcPr>
          <w:p>
            <w:pPr>
              <w:spacing w:after="0"/>
              <w:rPr>
                <w:sz w:val="19"/>
                <w:szCs w:val="19"/>
                <w:color w:val="auto"/>
              </w:rPr>
            </w:pPr>
          </w:p>
        </w:tc>
      </w:tr>
      <w:tr>
        <w:trPr>
          <w:trHeight w:val="223"/>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July 1 through July 31, 2021</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298,044</w:t>
            </w:r>
          </w:p>
        </w:tc>
        <w:tc>
          <w:tcPr>
            <w:tcW w:w="80" w:type="dxa"/>
            <w:vAlign w:val="bottom"/>
          </w:tcPr>
          <w:p>
            <w:pPr>
              <w:spacing w:after="0"/>
              <w:rPr>
                <w:sz w:val="19"/>
                <w:szCs w:val="19"/>
                <w:color w:val="auto"/>
              </w:rPr>
            </w:pPr>
          </w:p>
        </w:tc>
        <w:tc>
          <w:tcPr>
            <w:tcW w:w="3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137.82</w:t>
            </w:r>
          </w:p>
        </w:tc>
        <w:tc>
          <w:tcPr>
            <w:tcW w:w="80" w:type="dxa"/>
            <w:vAlign w:val="bottom"/>
          </w:tcPr>
          <w:p>
            <w:pPr>
              <w:spacing w:after="0"/>
              <w:rPr>
                <w:sz w:val="19"/>
                <w:szCs w:val="19"/>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298,044</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r>
      <w:tr>
        <w:trPr>
          <w:trHeight w:val="223"/>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August 1 through August 31, 2021</w:t>
            </w:r>
          </w:p>
        </w:tc>
        <w:tc>
          <w:tcPr>
            <w:tcW w:w="13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509,402</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80" w:type="dxa"/>
            <w:vAlign w:val="bottom"/>
            <w:tcBorders>
              <w:bottom w:val="single" w:sz="8" w:color="A6A6A6"/>
            </w:tcBorders>
          </w:tcPr>
          <w:p>
            <w:pPr>
              <w:spacing w:after="0"/>
              <w:rPr>
                <w:sz w:val="19"/>
                <w:szCs w:val="19"/>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150.19</w:t>
            </w:r>
          </w:p>
        </w:tc>
        <w:tc>
          <w:tcPr>
            <w:tcW w:w="80" w:type="dxa"/>
            <w:vAlign w:val="bottom"/>
          </w:tcPr>
          <w:p>
            <w:pPr>
              <w:spacing w:after="0"/>
              <w:rPr>
                <w:sz w:val="19"/>
                <w:szCs w:val="19"/>
                <w:color w:val="auto"/>
              </w:rPr>
            </w:pPr>
          </w:p>
        </w:tc>
        <w:tc>
          <w:tcPr>
            <w:tcW w:w="14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509,402</w:t>
            </w:r>
          </w:p>
        </w:tc>
        <w:tc>
          <w:tcPr>
            <w:tcW w:w="8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1280" w:type="dxa"/>
            <w:vAlign w:val="bottom"/>
            <w:tcBorders>
              <w:bottom w:val="single" w:sz="8" w:color="A6A6A6"/>
            </w:tcBorders>
          </w:tcPr>
          <w:p>
            <w:pPr>
              <w:spacing w:after="0"/>
              <w:rPr>
                <w:sz w:val="19"/>
                <w:szCs w:val="19"/>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004483"/>
              </w:rPr>
              <w:t>September 1 through September 30, 2021</w:t>
            </w:r>
          </w:p>
        </w:tc>
        <w:tc>
          <w:tcPr>
            <w:tcW w:w="1300" w:type="dxa"/>
            <w:vAlign w:val="bottom"/>
          </w:tcPr>
          <w:p>
            <w:pPr>
              <w:jc w:val="right"/>
              <w:spacing w:after="0"/>
              <w:rPr>
                <w:sz w:val="20"/>
                <w:szCs w:val="20"/>
                <w:color w:val="auto"/>
              </w:rPr>
            </w:pPr>
            <w:r>
              <w:rPr>
                <w:rFonts w:ascii="Arial" w:cs="Arial" w:eastAsia="Arial" w:hAnsi="Arial"/>
                <w:sz w:val="16"/>
                <w:szCs w:val="16"/>
                <w:color w:val="auto"/>
              </w:rPr>
              <w:t>470,000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145.39</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470,000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400" w:type="dxa"/>
            <w:vAlign w:val="bottom"/>
            <w:tcBorders>
              <w:top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2 Totals</w:t>
            </w:r>
          </w:p>
        </w:tc>
        <w:tc>
          <w:tcPr>
            <w:tcW w:w="13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1,277,446</w:t>
            </w:r>
          </w:p>
        </w:tc>
        <w:tc>
          <w:tcPr>
            <w:tcW w:w="80" w:type="dxa"/>
            <w:vAlign w:val="bottom"/>
          </w:tcPr>
          <w:p>
            <w:pPr>
              <w:spacing w:after="0"/>
              <w:rPr>
                <w:sz w:val="19"/>
                <w:szCs w:val="19"/>
                <w:color w:val="auto"/>
              </w:rPr>
            </w:pPr>
          </w:p>
        </w:tc>
        <w:tc>
          <w:tcPr>
            <w:tcW w:w="120" w:type="dxa"/>
            <w:vAlign w:val="bottom"/>
            <w:tcBorders>
              <w:top w:val="single" w:sz="8" w:color="A6A6A6"/>
            </w:tcBorders>
          </w:tcPr>
          <w:p>
            <w:pPr>
              <w:spacing w:after="0"/>
              <w:rPr>
                <w:sz w:val="19"/>
                <w:szCs w:val="19"/>
                <w:color w:val="auto"/>
              </w:rPr>
            </w:pPr>
          </w:p>
        </w:tc>
        <w:tc>
          <w:tcPr>
            <w:tcW w:w="1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145.54</w:t>
            </w:r>
          </w:p>
        </w:tc>
        <w:tc>
          <w:tcPr>
            <w:tcW w:w="80" w:type="dxa"/>
            <w:vAlign w:val="bottom"/>
          </w:tcPr>
          <w:p>
            <w:pPr>
              <w:spacing w:after="0"/>
              <w:rPr>
                <w:sz w:val="19"/>
                <w:szCs w:val="19"/>
                <w:color w:val="auto"/>
              </w:rPr>
            </w:pPr>
          </w:p>
        </w:tc>
        <w:tc>
          <w:tcPr>
            <w:tcW w:w="140" w:type="dxa"/>
            <w:vAlign w:val="bottom"/>
            <w:tcBorders>
              <w:top w:val="single" w:sz="8" w:color="A6A6A6"/>
            </w:tcBorders>
          </w:tcPr>
          <w:p>
            <w:pPr>
              <w:spacing w:after="0"/>
              <w:rPr>
                <w:sz w:val="19"/>
                <w:szCs w:val="19"/>
                <w:color w:val="auto"/>
              </w:rPr>
            </w:pPr>
          </w:p>
        </w:tc>
        <w:tc>
          <w:tcPr>
            <w:tcW w:w="12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1,277,446</w:t>
            </w:r>
          </w:p>
        </w:tc>
        <w:tc>
          <w:tcPr>
            <w:tcW w:w="80" w:type="dxa"/>
            <w:vAlign w:val="bottom"/>
          </w:tcPr>
          <w:p>
            <w:pPr>
              <w:spacing w:after="0"/>
              <w:rPr>
                <w:sz w:val="19"/>
                <w:szCs w:val="19"/>
                <w:color w:val="auto"/>
              </w:rPr>
            </w:pPr>
          </w:p>
        </w:tc>
        <w:tc>
          <w:tcPr>
            <w:tcW w:w="120" w:type="dxa"/>
            <w:vAlign w:val="bottom"/>
            <w:tcBorders>
              <w:top w:val="single" w:sz="8" w:color="A6A6A6"/>
            </w:tcBorders>
          </w:tcPr>
          <w:p>
            <w:pPr>
              <w:spacing w:after="0"/>
              <w:rPr>
                <w:sz w:val="19"/>
                <w:szCs w:val="19"/>
                <w:color w:val="auto"/>
              </w:rPr>
            </w:pPr>
          </w:p>
        </w:tc>
        <w:tc>
          <w:tcPr>
            <w:tcW w:w="1280" w:type="dxa"/>
            <w:vAlign w:val="bottom"/>
            <w:tcBorders>
              <w:top w:val="single" w:sz="8" w:color="A3A3A3"/>
              <w:bottom w:val="single" w:sz="8" w:color="004483"/>
            </w:tcBorders>
          </w:tcPr>
          <w:p>
            <w:pPr>
              <w:spacing w:after="0"/>
              <w:rPr>
                <w:sz w:val="19"/>
                <w:szCs w:val="19"/>
                <w:color w:val="auto"/>
              </w:rPr>
            </w:pPr>
          </w:p>
        </w:tc>
      </w:tr>
      <w:tr>
        <w:trPr>
          <w:trHeight w:val="223"/>
        </w:trPr>
        <w:tc>
          <w:tcPr>
            <w:tcW w:w="540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3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1,702,946</w:t>
            </w:r>
          </w:p>
        </w:tc>
        <w:tc>
          <w:tcPr>
            <w:tcW w:w="200" w:type="dxa"/>
            <w:vAlign w:val="bottom"/>
            <w:gridSpan w:val="2"/>
          </w:tcPr>
          <w:p>
            <w:pPr>
              <w:spacing w:after="0"/>
              <w:rPr>
                <w:sz w:val="19"/>
                <w:szCs w:val="19"/>
                <w:color w:val="auto"/>
              </w:rPr>
            </w:pPr>
          </w:p>
        </w:tc>
        <w:tc>
          <w:tcPr>
            <w:tcW w:w="1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145.54</w:t>
            </w:r>
          </w:p>
        </w:tc>
        <w:tc>
          <w:tcPr>
            <w:tcW w:w="220" w:type="dxa"/>
            <w:vAlign w:val="bottom"/>
            <w:gridSpan w:val="2"/>
          </w:tcPr>
          <w:p>
            <w:pPr>
              <w:spacing w:after="0"/>
              <w:rPr>
                <w:sz w:val="19"/>
                <w:szCs w:val="19"/>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1,702,946</w:t>
            </w:r>
          </w:p>
        </w:tc>
        <w:tc>
          <w:tcPr>
            <w:tcW w:w="200" w:type="dxa"/>
            <w:vAlign w:val="bottom"/>
            <w:gridSpan w:val="2"/>
          </w:tcPr>
          <w:p>
            <w:pPr>
              <w:spacing w:after="0"/>
              <w:rPr>
                <w:sz w:val="19"/>
                <w:szCs w:val="19"/>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5,602,703</w:t>
            </w:r>
          </w:p>
        </w:tc>
      </w:tr>
      <w:tr>
        <w:trPr>
          <w:trHeight w:val="20"/>
        </w:trPr>
        <w:tc>
          <w:tcPr>
            <w:tcW w:w="5400" w:type="dxa"/>
            <w:vAlign w:val="bottom"/>
          </w:tcPr>
          <w:p>
            <w:pPr>
              <w:spacing w:after="0" w:line="20" w:lineRule="exact"/>
              <w:rPr>
                <w:sz w:val="1"/>
                <w:szCs w:val="1"/>
                <w:color w:val="auto"/>
              </w:rPr>
            </w:pPr>
          </w:p>
        </w:tc>
        <w:tc>
          <w:tcPr>
            <w:tcW w:w="13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r>
    </w:tbl>
    <w:p>
      <w:pPr>
        <w:spacing w:after="0" w:line="121" w:lineRule="exact"/>
        <w:rPr>
          <w:sz w:val="20"/>
          <w:szCs w:val="20"/>
          <w:color w:val="auto"/>
        </w:rPr>
      </w:pPr>
    </w:p>
    <w:p>
      <w:pPr>
        <w:jc w:val="both"/>
        <w:ind w:right="560"/>
        <w:spacing w:after="0" w:line="287" w:lineRule="auto"/>
        <w:rPr>
          <w:sz w:val="20"/>
          <w:szCs w:val="20"/>
          <w:color w:val="auto"/>
        </w:rPr>
      </w:pPr>
      <w:r>
        <w:rPr>
          <w:rFonts w:ascii="Arial" w:cs="Arial" w:eastAsia="Arial" w:hAnsi="Arial"/>
          <w:sz w:val="18"/>
          <w:szCs w:val="18"/>
          <w:color w:val="auto"/>
        </w:rPr>
        <w:t>On April 18, 2019, the Board of Directors authorized us to repurchase an additional 10.0 million shares. This authorization brought the cumulative total of Common Stock our Board has approved for repurchase in the open market to 48.4 million shares since we became publicly held in April 1994. Through September 30, 2021, we have repurchased approximately 42.8 million shares.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7" w:name="page38"/>
    <w:bookmarkEnd w:id="37"/>
    <w:p>
      <w:pPr>
        <w:ind w:right="14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9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During the six months ended September 30, 2021, the Company withheld from employees 8,973 shares of stock upon the vesting of Restricted Shares that were granted under the Plan. We withheld these shares to satisfy the employees’ statutory tax withholding requirements, which is required once the Restricted Shares or Restricted Shares Units are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40" w:type="dxa"/>
            <w:vAlign w:val="bottom"/>
          </w:tcPr>
          <w:p>
            <w:pPr>
              <w:spacing w:after="0"/>
              <w:rPr>
                <w:sz w:val="16"/>
                <w:szCs w:val="16"/>
                <w:color w:val="auto"/>
              </w:rPr>
            </w:pPr>
          </w:p>
        </w:tc>
        <w:tc>
          <w:tcPr>
            <w:tcW w:w="460" w:type="dxa"/>
            <w:vAlign w:val="bottom"/>
            <w:shd w:val="clear" w:color="auto" w:fill="004483"/>
          </w:tcPr>
          <w:p>
            <w:pPr>
              <w:spacing w:after="0"/>
              <w:rPr>
                <w:sz w:val="16"/>
                <w:szCs w:val="16"/>
                <w:color w:val="auto"/>
              </w:rPr>
            </w:pPr>
          </w:p>
        </w:tc>
        <w:tc>
          <w:tcPr>
            <w:tcW w:w="2780" w:type="dxa"/>
            <w:vAlign w:val="bottom"/>
            <w:gridSpan w:val="4"/>
            <w:shd w:val="clear" w:color="auto" w:fill="004483"/>
          </w:tcPr>
          <w:p>
            <w:pPr>
              <w:jc w:val="right"/>
              <w:ind w:right="99"/>
              <w:spacing w:after="0"/>
              <w:rPr>
                <w:sz w:val="20"/>
                <w:szCs w:val="20"/>
                <w:color w:val="auto"/>
              </w:rPr>
            </w:pPr>
            <w:r>
              <w:rPr>
                <w:rFonts w:ascii="Arial" w:cs="Arial" w:eastAsia="Arial" w:hAnsi="Arial"/>
                <w:sz w:val="13"/>
                <w:szCs w:val="13"/>
                <w:b w:val="1"/>
                <w:bCs w:val="1"/>
                <w:color w:val="FFFFFF"/>
              </w:rPr>
              <w:t>For the Six Months Ended September 30,</w:t>
            </w:r>
          </w:p>
        </w:tc>
        <w:tc>
          <w:tcPr>
            <w:tcW w:w="660" w:type="dxa"/>
            <w:vAlign w:val="bottom"/>
            <w:shd w:val="clear" w:color="auto" w:fill="004483"/>
          </w:tcPr>
          <w:p>
            <w:pPr>
              <w:spacing w:after="0"/>
              <w:rPr>
                <w:sz w:val="16"/>
                <w:szCs w:val="16"/>
                <w:color w:val="auto"/>
              </w:rPr>
            </w:pPr>
          </w:p>
        </w:tc>
        <w:tc>
          <w:tcPr>
            <w:tcW w:w="100" w:type="dxa"/>
            <w:vAlign w:val="bottom"/>
            <w:shd w:val="clear" w:color="auto" w:fill="004483"/>
          </w:tcPr>
          <w:p>
            <w:pPr>
              <w:spacing w:after="0"/>
              <w:rPr>
                <w:sz w:val="16"/>
                <w:szCs w:val="16"/>
                <w:color w:val="auto"/>
              </w:rPr>
            </w:pPr>
          </w:p>
        </w:tc>
      </w:tr>
      <w:tr>
        <w:trPr>
          <w:trHeight w:val="173"/>
        </w:trPr>
        <w:tc>
          <w:tcPr>
            <w:tcW w:w="7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5"/>
        </w:trPr>
        <w:tc>
          <w:tcPr>
            <w:tcW w:w="7240" w:type="dxa"/>
            <w:vAlign w:val="bottom"/>
            <w:tcBorders>
              <w:bottom w:val="single" w:sz="8" w:color="004483"/>
            </w:tcBorders>
          </w:tcPr>
          <w:p>
            <w:pPr>
              <w:spacing w:after="0"/>
              <w:rPr>
                <w:sz w:val="19"/>
                <w:szCs w:val="19"/>
                <w:color w:val="auto"/>
              </w:rPr>
            </w:pPr>
          </w:p>
        </w:tc>
        <w:tc>
          <w:tcPr>
            <w:tcW w:w="460" w:type="dxa"/>
            <w:vAlign w:val="bottom"/>
            <w:tcBorders>
              <w:bottom w:val="single" w:sz="8" w:color="004483"/>
            </w:tcBorders>
          </w:tcPr>
          <w:p>
            <w:pPr>
              <w:spacing w:after="0"/>
              <w:rPr>
                <w:sz w:val="19"/>
                <w:szCs w:val="19"/>
                <w:color w:val="auto"/>
              </w:rPr>
            </w:pPr>
          </w:p>
        </w:tc>
        <w:tc>
          <w:tcPr>
            <w:tcW w:w="2780" w:type="dxa"/>
            <w:vAlign w:val="bottom"/>
            <w:tcBorders>
              <w:bottom w:val="single" w:sz="8" w:color="004483"/>
            </w:tcBorders>
            <w:gridSpan w:val="4"/>
          </w:tcPr>
          <w:p>
            <w:pPr>
              <w:jc w:val="right"/>
              <w:ind w:right="67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1,378</w:t>
            </w:r>
          </w:p>
        </w:tc>
        <w:tc>
          <w:tcPr>
            <w:tcW w:w="1440" w:type="dxa"/>
            <w:vAlign w:val="bottom"/>
            <w:gridSpan w:val="3"/>
          </w:tcPr>
          <w:p>
            <w:pPr>
              <w:jc w:val="right"/>
              <w:ind w:right="9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9"/>
                <w:szCs w:val="19"/>
                <w:color w:val="auto"/>
              </w:rPr>
            </w:pPr>
          </w:p>
        </w:tc>
      </w:tr>
      <w:tr>
        <w:trPr>
          <w:trHeight w:val="223"/>
        </w:trPr>
        <w:tc>
          <w:tcPr>
            <w:tcW w:w="72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460" w:type="dxa"/>
            <w:vAlign w:val="bottom"/>
            <w:tcBorders>
              <w:top w:val="single" w:sz="8" w:color="A6A6A6"/>
              <w:bottom w:val="single" w:sz="8" w:color="A6A6A6"/>
            </w:tcBorders>
          </w:tcPr>
          <w:p>
            <w:pPr>
              <w:spacing w:after="0"/>
              <w:rPr>
                <w:sz w:val="19"/>
                <w:szCs w:val="19"/>
                <w:color w:val="auto"/>
              </w:rPr>
            </w:pPr>
          </w:p>
        </w:tc>
        <w:tc>
          <w:tcPr>
            <w:tcW w:w="13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22,480</w:t>
            </w:r>
          </w:p>
        </w:tc>
        <w:tc>
          <w:tcPr>
            <w:tcW w:w="100" w:type="dxa"/>
            <w:vAlign w:val="bottom"/>
          </w:tcPr>
          <w:p>
            <w:pPr>
              <w:spacing w:after="0"/>
              <w:rPr>
                <w:sz w:val="19"/>
                <w:szCs w:val="19"/>
                <w:color w:val="auto"/>
              </w:rPr>
            </w:pPr>
          </w:p>
        </w:tc>
        <w:tc>
          <w:tcPr>
            <w:tcW w:w="180" w:type="dxa"/>
            <w:vAlign w:val="bottom"/>
            <w:tcBorders>
              <w:top w:val="single" w:sz="8" w:color="A6A6A6"/>
              <w:bottom w:val="single" w:sz="8" w:color="A6A6A6"/>
            </w:tcBorders>
          </w:tcPr>
          <w:p>
            <w:pPr>
              <w:spacing w:after="0"/>
              <w:rPr>
                <w:sz w:val="19"/>
                <w:szCs w:val="19"/>
                <w:color w:val="auto"/>
              </w:rPr>
            </w:pPr>
          </w:p>
        </w:tc>
        <w:tc>
          <w:tcPr>
            <w:tcW w:w="1160" w:type="dxa"/>
            <w:vAlign w:val="bottom"/>
            <w:tcBorders>
              <w:top w:val="single" w:sz="8" w:color="A6A6A6"/>
              <w:bottom w:val="single" w:sz="8" w:color="A6A6A6"/>
            </w:tcBorders>
          </w:tcPr>
          <w:p>
            <w:pPr>
              <w:spacing w:after="0"/>
              <w:rPr>
                <w:sz w:val="19"/>
                <w:szCs w:val="19"/>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19"/>
                <w:szCs w:val="19"/>
                <w:color w:val="auto"/>
              </w:rPr>
            </w:pPr>
          </w:p>
        </w:tc>
      </w:tr>
      <w:tr>
        <w:trPr>
          <w:trHeight w:val="257"/>
        </w:trPr>
        <w:tc>
          <w:tcPr>
            <w:tcW w:w="7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Buildings, Machinery, and Equipment</w:t>
            </w:r>
          </w:p>
        </w:tc>
        <w:tc>
          <w:tcPr>
            <w:tcW w:w="460" w:type="dxa"/>
            <w:vAlign w:val="bottom"/>
            <w:tcBorders>
              <w:bottom w:val="single" w:sz="8" w:color="004483"/>
            </w:tcBorders>
          </w:tcPr>
          <w:p>
            <w:pPr>
              <w:spacing w:after="0"/>
              <w:rPr>
                <w:sz w:val="22"/>
                <w:szCs w:val="22"/>
                <w:color w:val="auto"/>
              </w:rPr>
            </w:pP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22"/>
                <w:szCs w:val="22"/>
                <w:color w:val="auto"/>
              </w:rPr>
            </w:pPr>
          </w:p>
        </w:tc>
        <w:tc>
          <w:tcPr>
            <w:tcW w:w="180" w:type="dxa"/>
            <w:vAlign w:val="bottom"/>
            <w:tcBorders>
              <w:bottom w:val="single" w:sz="8" w:color="A6A6A6"/>
            </w:tcBorders>
          </w:tcPr>
          <w:p>
            <w:pPr>
              <w:spacing w:after="0"/>
              <w:rPr>
                <w:sz w:val="22"/>
                <w:szCs w:val="22"/>
                <w:color w:val="auto"/>
              </w:rPr>
            </w:pPr>
          </w:p>
        </w:tc>
        <w:tc>
          <w:tcPr>
            <w:tcW w:w="1160" w:type="dxa"/>
            <w:vAlign w:val="bottom"/>
            <w:tcBorders>
              <w:bottom w:val="single" w:sz="8" w:color="004483"/>
            </w:tcBorders>
          </w:tcPr>
          <w:p>
            <w:pPr>
              <w:spacing w:after="0"/>
              <w:rPr>
                <w:sz w:val="22"/>
                <w:szCs w:val="22"/>
                <w:color w:val="auto"/>
              </w:rPr>
            </w:pP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6,351</w:t>
            </w:r>
          </w:p>
        </w:tc>
        <w:tc>
          <w:tcPr>
            <w:tcW w:w="100" w:type="dxa"/>
            <w:vAlign w:val="bottom"/>
          </w:tcPr>
          <w:p>
            <w:pPr>
              <w:spacing w:after="0"/>
              <w:rPr>
                <w:sz w:val="22"/>
                <w:szCs w:val="22"/>
                <w:color w:val="auto"/>
              </w:rPr>
            </w:pPr>
          </w:p>
        </w:tc>
      </w:tr>
      <w:tr>
        <w:trPr>
          <w:trHeight w:val="216"/>
        </w:trPr>
        <w:tc>
          <w:tcPr>
            <w:tcW w:w="724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460" w:type="dxa"/>
            <w:vAlign w:val="bottom"/>
            <w:tcBorders>
              <w:bottom w:val="single" w:sz="8" w:color="004483"/>
            </w:tcBorders>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004483"/>
            </w:tcBorders>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40,676</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3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Capital expenditures for fiscal 2021 are expected to range from $90.0 million to $100.0 million and will be allocated across both Heavy Materials and Light Materials sectors. These estimated capital expenditures will include maintenance capital expenditures and improvements, as well as other safety and regulatory projects.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fluctuations in or changes in the nature of activity in the oil and gas industry;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and their effects on our facilities, operations and contractual arrangements with third parties; competition; cyber-attacks or data security breaches; announced increases in capacity in the gypsum wallboard and cement industries; changes in the demand for residential housing construction or commercial construction or construction projects undertaken by state or local governments;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2021.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6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have a $750.0 million Revolving Credit Facility at September 30, 2021, under which borrowings bear interest at a variable rate. A hypothetical 100 basis point increase in interest rates on the $75.0 million of borrowings under the Revolving Credit Facility at September 30, 2021 would increase interest expense by approximately $0.8 million on an annual basis. At present, we do not utilize derivative financial instruments.</w:t>
      </w:r>
    </w:p>
    <w:p>
      <w:pPr>
        <w:spacing w:after="0" w:line="96"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6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2" w:right="37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PART II.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63"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6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2021, filed with the Securities and Exchange Commission on May 21, 2021.</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63"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6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99" w:right="499" w:bottom="1440" w:gutter="0" w:footer="0" w:header="0"/>
        </w:sectPr>
      </w:pPr>
    </w:p>
    <w:bookmarkStart w:id="41" w:name="page42"/>
    <w:bookmarkEnd w:id="41"/>
    <w:p>
      <w:pPr>
        <w:spacing w:after="0"/>
        <w:rPr>
          <w:sz w:val="20"/>
          <w:szCs w:val="20"/>
          <w:color w:val="auto"/>
        </w:rPr>
      </w:pPr>
      <w:r>
        <w:rPr>
          <w:rFonts w:ascii="Arial" w:cs="Arial" w:eastAsia="Arial" w:hAnsi="Arial"/>
          <w:sz w:val="23"/>
          <w:szCs w:val="23"/>
          <w:b w:val="1"/>
          <w:bCs w:val="1"/>
          <w:color w:val="auto"/>
        </w:rPr>
        <w:t>Item 6.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20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4380" w:type="dxa"/>
            <w:vAlign w:val="bottom"/>
            <w:gridSpan w:val="9"/>
            <w:vMerge w:val="restart"/>
          </w:tcPr>
          <w:p>
            <w:pPr>
              <w:spacing w:after="0"/>
              <w:rPr>
                <w:rFonts w:ascii="Arial" w:cs="Arial" w:eastAsia="Arial" w:hAnsi="Arial"/>
                <w:sz w:val="18"/>
                <w:szCs w:val="18"/>
                <w:color w:val="auto"/>
              </w:rPr>
            </w:pPr>
            <w:hyperlink w:anchor="page44">
              <w:r>
                <w:rPr>
                  <w:rFonts w:ascii="Arial" w:cs="Arial" w:eastAsia="Arial" w:hAnsi="Arial"/>
                  <w:sz w:val="18"/>
                  <w:szCs w:val="18"/>
                  <w:color w:val="auto"/>
                </w:rPr>
                <w:t>Eagle Materials Inc. Director Compensation Summary.</w:t>
              </w:r>
            </w:hyperlink>
          </w:p>
        </w:tc>
        <w:tc>
          <w:tcPr>
            <w:tcW w:w="140" w:type="dxa"/>
            <w:vAlign w:val="bottom"/>
            <w:tcBorders>
              <w:bottom w:val="single" w:sz="8" w:color="0000EE"/>
            </w:tcBorders>
          </w:tcPr>
          <w:p>
            <w:pPr>
              <w:jc w:val="right"/>
              <w:spacing w:after="0"/>
              <w:rPr>
                <w:rFonts w:ascii="Arial" w:cs="Arial" w:eastAsia="Arial" w:hAnsi="Arial"/>
                <w:sz w:val="12"/>
                <w:szCs w:val="12"/>
                <w:color w:val="auto"/>
                <w:w w:val="81"/>
              </w:rPr>
            </w:pPr>
            <w:hyperlink w:anchor="page44">
              <w:r>
                <w:rPr>
                  <w:rFonts w:ascii="Arial" w:cs="Arial" w:eastAsia="Arial" w:hAnsi="Arial"/>
                  <w:sz w:val="12"/>
                  <w:szCs w:val="12"/>
                  <w:color w:val="auto"/>
                  <w:w w:val="81"/>
                </w:rPr>
                <w:t>(1)</w:t>
              </w:r>
            </w:hyperlink>
          </w:p>
        </w:tc>
        <w:tc>
          <w:tcPr>
            <w:tcW w:w="5460" w:type="dxa"/>
            <w:vAlign w:val="bottom"/>
            <w:gridSpan w:val="7"/>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4380" w:type="dxa"/>
            <w:vAlign w:val="bottom"/>
            <w:tcBorders>
              <w:bottom w:val="single" w:sz="8" w:color="0000EE"/>
            </w:tcBorders>
            <w:gridSpan w:val="9"/>
            <w:vMerge w:val="continue"/>
          </w:tcPr>
          <w:p>
            <w:pPr>
              <w:spacing w:after="0"/>
              <w:rPr>
                <w:sz w:val="5"/>
                <w:szCs w:val="5"/>
                <w:color w:val="auto"/>
              </w:rPr>
            </w:pPr>
          </w:p>
        </w:tc>
        <w:tc>
          <w:tcPr>
            <w:tcW w:w="140" w:type="dxa"/>
            <w:vAlign w:val="bottom"/>
          </w:tcPr>
          <w:p>
            <w:pPr>
              <w:spacing w:after="0"/>
              <w:rPr>
                <w:sz w:val="5"/>
                <w:szCs w:val="5"/>
                <w:color w:val="auto"/>
              </w:rPr>
            </w:pPr>
          </w:p>
        </w:tc>
        <w:tc>
          <w:tcPr>
            <w:tcW w:w="54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0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3700" w:type="dxa"/>
            <w:vAlign w:val="bottom"/>
            <w:gridSpan w:val="4"/>
            <w:vMerge w:val="restart"/>
          </w:tcPr>
          <w:p>
            <w:pPr>
              <w:spacing w:after="0"/>
              <w:rPr>
                <w:rFonts w:ascii="Arial" w:cs="Arial" w:eastAsia="Arial" w:hAnsi="Arial"/>
                <w:sz w:val="18"/>
                <w:szCs w:val="18"/>
                <w:color w:val="auto"/>
              </w:rPr>
            </w:pPr>
            <w:hyperlink w:anchor="page46">
              <w:r>
                <w:rPr>
                  <w:rFonts w:ascii="Arial" w:cs="Arial" w:eastAsia="Arial" w:hAnsi="Arial"/>
                  <w:sz w:val="18"/>
                  <w:szCs w:val="18"/>
                  <w:color w:val="auto"/>
                </w:rPr>
                <w:t>Form of Director Restricted Stock Agreement.</w:t>
              </w:r>
            </w:hyperlink>
          </w:p>
        </w:tc>
        <w:tc>
          <w:tcPr>
            <w:tcW w:w="140" w:type="dxa"/>
            <w:vAlign w:val="bottom"/>
            <w:tcBorders>
              <w:bottom w:val="single" w:sz="8" w:color="0000EE"/>
            </w:tcBorders>
            <w:gridSpan w:val="2"/>
          </w:tcPr>
          <w:p>
            <w:pPr>
              <w:jc w:val="right"/>
              <w:spacing w:after="0"/>
              <w:rPr>
                <w:rFonts w:ascii="Arial" w:cs="Arial" w:eastAsia="Arial" w:hAnsi="Arial"/>
                <w:sz w:val="12"/>
                <w:szCs w:val="12"/>
                <w:color w:val="auto"/>
                <w:w w:val="81"/>
              </w:rPr>
            </w:pPr>
            <w:hyperlink w:anchor="page46">
              <w:r>
                <w:rPr>
                  <w:rFonts w:ascii="Arial" w:cs="Arial" w:eastAsia="Arial" w:hAnsi="Arial"/>
                  <w:sz w:val="12"/>
                  <w:szCs w:val="12"/>
                  <w:color w:val="auto"/>
                  <w:w w:val="81"/>
                </w:rPr>
                <w:t>(1)</w:t>
              </w:r>
            </w:hyperlink>
          </w:p>
        </w:tc>
        <w:tc>
          <w:tcPr>
            <w:tcW w:w="614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3700" w:type="dxa"/>
            <w:vAlign w:val="bottom"/>
            <w:tcBorders>
              <w:bottom w:val="single" w:sz="8" w:color="0000EE"/>
            </w:tcBorders>
            <w:gridSpan w:val="4"/>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614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2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3420" w:type="dxa"/>
            <w:vAlign w:val="bottom"/>
            <w:gridSpan w:val="2"/>
            <w:vMerge w:val="restart"/>
          </w:tcPr>
          <w:p>
            <w:pPr>
              <w:spacing w:after="0"/>
              <w:rPr>
                <w:rFonts w:ascii="Arial" w:cs="Arial" w:eastAsia="Arial" w:hAnsi="Arial"/>
                <w:sz w:val="18"/>
                <w:szCs w:val="18"/>
                <w:color w:val="auto"/>
              </w:rPr>
            </w:pPr>
            <w:hyperlink w:anchor="page52">
              <w:r>
                <w:rPr>
                  <w:rFonts w:ascii="Arial" w:cs="Arial" w:eastAsia="Arial" w:hAnsi="Arial"/>
                  <w:sz w:val="18"/>
                  <w:szCs w:val="18"/>
                  <w:color w:val="auto"/>
                </w:rPr>
                <w:t>Form of Director Stock Option Agreement.</w:t>
              </w:r>
            </w:hyperlink>
          </w:p>
        </w:tc>
        <w:tc>
          <w:tcPr>
            <w:tcW w:w="140" w:type="dxa"/>
            <w:vAlign w:val="bottom"/>
            <w:tcBorders>
              <w:bottom w:val="single" w:sz="8" w:color="0000EE"/>
            </w:tcBorders>
          </w:tcPr>
          <w:p>
            <w:pPr>
              <w:jc w:val="right"/>
              <w:spacing w:after="0"/>
              <w:rPr>
                <w:rFonts w:ascii="Arial" w:cs="Arial" w:eastAsia="Arial" w:hAnsi="Arial"/>
                <w:sz w:val="12"/>
                <w:szCs w:val="12"/>
                <w:color w:val="auto"/>
                <w:w w:val="81"/>
              </w:rPr>
            </w:pPr>
            <w:hyperlink w:anchor="page52">
              <w:r>
                <w:rPr>
                  <w:rFonts w:ascii="Arial" w:cs="Arial" w:eastAsia="Arial" w:hAnsi="Arial"/>
                  <w:sz w:val="12"/>
                  <w:szCs w:val="12"/>
                  <w:color w:val="auto"/>
                  <w:w w:val="81"/>
                </w:rPr>
                <w:t>(1)</w:t>
              </w:r>
            </w:hyperlink>
          </w:p>
        </w:tc>
        <w:tc>
          <w:tcPr>
            <w:tcW w:w="642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3420" w:type="dxa"/>
            <w:vAlign w:val="bottom"/>
            <w:tcBorders>
              <w:bottom w:val="single" w:sz="8" w:color="0000EE"/>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42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9900" w:type="dxa"/>
            <w:vAlign w:val="bottom"/>
            <w:tcBorders>
              <w:bottom w:val="single" w:sz="8" w:color="0000EE"/>
            </w:tcBorders>
            <w:gridSpan w:val="16"/>
          </w:tcPr>
          <w:p>
            <w:pPr>
              <w:spacing w:after="0"/>
              <w:rPr>
                <w:rFonts w:ascii="Arial" w:cs="Arial" w:eastAsia="Arial" w:hAnsi="Arial"/>
                <w:sz w:val="18"/>
                <w:szCs w:val="18"/>
                <w:color w:val="auto"/>
              </w:rPr>
            </w:pPr>
            <w:hyperlink r:id="rId165">
              <w:r>
                <w:rPr>
                  <w:rFonts w:ascii="Arial" w:cs="Arial" w:eastAsia="Arial" w:hAnsi="Arial"/>
                  <w:sz w:val="18"/>
                  <w:szCs w:val="18"/>
                  <w:color w:val="auto"/>
                </w:rPr>
                <w:t>Credit Agreement, dated July 1, 2021, among the Company, the lenders identified therein, and JPMorgan Chase Bank, N.A.</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9580" w:type="dxa"/>
            <w:vAlign w:val="bottom"/>
            <w:tcBorders>
              <w:bottom w:val="single" w:sz="8" w:color="0000EE"/>
            </w:tcBorders>
            <w:gridSpan w:val="12"/>
          </w:tcPr>
          <w:p>
            <w:pPr>
              <w:spacing w:after="0"/>
              <w:rPr>
                <w:rFonts w:ascii="Arial" w:cs="Arial" w:eastAsia="Arial" w:hAnsi="Arial"/>
                <w:sz w:val="18"/>
                <w:szCs w:val="18"/>
                <w:color w:val="auto"/>
              </w:rPr>
            </w:pPr>
            <w:hyperlink r:id="rId165">
              <w:r>
                <w:rPr>
                  <w:rFonts w:ascii="Arial" w:cs="Arial" w:eastAsia="Arial" w:hAnsi="Arial"/>
                  <w:sz w:val="18"/>
                  <w:szCs w:val="18"/>
                  <w:color w:val="auto"/>
                </w:rPr>
                <w:t>as the administrative agent, issuing bank and swingline lender thereunder (filed as Exhibit 10.1 to the Current Report on</w:t>
              </w:r>
            </w:hyperlink>
          </w:p>
        </w:tc>
        <w:tc>
          <w:tcPr>
            <w:tcW w:w="4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9980" w:type="dxa"/>
            <w:vAlign w:val="bottom"/>
            <w:gridSpan w:val="17"/>
          </w:tcPr>
          <w:p>
            <w:pPr>
              <w:spacing w:after="0"/>
              <w:rPr>
                <w:rFonts w:ascii="Arial" w:cs="Arial" w:eastAsia="Arial" w:hAnsi="Arial"/>
                <w:sz w:val="18"/>
                <w:szCs w:val="18"/>
                <w:color w:val="auto"/>
              </w:rPr>
            </w:pPr>
            <w:hyperlink r:id="rId165">
              <w:r>
                <w:rPr>
                  <w:rFonts w:ascii="Arial" w:cs="Arial" w:eastAsia="Arial" w:hAnsi="Arial"/>
                  <w:sz w:val="18"/>
                  <w:szCs w:val="18"/>
                  <w:color w:val="auto"/>
                </w:rPr>
                <w:t>Form 8-K filed with the Securities and Exchange Commission on July 1, 2021 and incorporated herein by reference).</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4"/>
          </w:tcPr>
          <w:p>
            <w:pPr>
              <w:spacing w:after="0"/>
              <w:rPr>
                <w:rFonts w:ascii="Arial" w:cs="Arial" w:eastAsia="Arial" w:hAnsi="Arial"/>
                <w:sz w:val="18"/>
                <w:szCs w:val="18"/>
                <w:color w:val="auto"/>
              </w:rPr>
            </w:pPr>
            <w:hyperlink w:anchor="page61">
              <w:r>
                <w:rPr>
                  <w:rFonts w:ascii="Arial" w:cs="Arial" w:eastAsia="Arial" w:hAnsi="Arial"/>
                  <w:sz w:val="18"/>
                  <w:szCs w:val="18"/>
                  <w:color w:val="auto"/>
                </w:rPr>
                <w:t>Certification of the Chief Executive Officer of Eagle Materials Inc. pursuant to Rules 13a-14 and 15d-14 promulgated under</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060" w:type="dxa"/>
            <w:vAlign w:val="bottom"/>
            <w:tcBorders>
              <w:bottom w:val="single" w:sz="8" w:color="0000EE"/>
            </w:tcBorders>
            <w:gridSpan w:val="8"/>
          </w:tcPr>
          <w:p>
            <w:pPr>
              <w:spacing w:after="0"/>
              <w:rPr>
                <w:rFonts w:ascii="Arial" w:cs="Arial" w:eastAsia="Arial" w:hAnsi="Arial"/>
                <w:sz w:val="18"/>
                <w:szCs w:val="18"/>
                <w:color w:val="auto"/>
                <w:w w:val="99"/>
              </w:rPr>
            </w:pPr>
            <w:hyperlink w:anchor="page61">
              <w:r>
                <w:rPr>
                  <w:rFonts w:ascii="Arial" w:cs="Arial" w:eastAsia="Arial" w:hAnsi="Arial"/>
                  <w:sz w:val="18"/>
                  <w:szCs w:val="18"/>
                  <w:color w:val="auto"/>
                  <w:w w:val="99"/>
                </w:rPr>
                <w:t>the Securities Exchange Act of 1934, as amended.</w:t>
              </w:r>
            </w:hyperlink>
          </w:p>
        </w:tc>
        <w:tc>
          <w:tcPr>
            <w:tcW w:w="59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13"/>
          </w:tcPr>
          <w:p>
            <w:pPr>
              <w:spacing w:after="0"/>
              <w:rPr>
                <w:rFonts w:ascii="Arial" w:cs="Arial" w:eastAsia="Arial" w:hAnsi="Arial"/>
                <w:sz w:val="18"/>
                <w:szCs w:val="18"/>
                <w:color w:val="auto"/>
              </w:rPr>
            </w:pPr>
            <w:hyperlink w:anchor="page62">
              <w:r>
                <w:rPr>
                  <w:rFonts w:ascii="Arial" w:cs="Arial" w:eastAsia="Arial" w:hAnsi="Arial"/>
                  <w:sz w:val="18"/>
                  <w:szCs w:val="18"/>
                  <w:color w:val="auto"/>
                </w:rPr>
                <w:t>Certification of the Chief Financial Officer of Eagle Materials Inc. pursuant to Rules 13a-14 and 15d-14 promulgated under</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9980" w:type="dxa"/>
            <w:vAlign w:val="bottom"/>
            <w:gridSpan w:val="17"/>
          </w:tcPr>
          <w:p>
            <w:pPr>
              <w:spacing w:after="0"/>
              <w:rPr>
                <w:rFonts w:ascii="Arial" w:cs="Arial" w:eastAsia="Arial" w:hAnsi="Arial"/>
                <w:sz w:val="18"/>
                <w:szCs w:val="18"/>
                <w:color w:val="auto"/>
              </w:rPr>
            </w:pPr>
            <w:hyperlink w:anchor="page62">
              <w:r>
                <w:rPr>
                  <w:rFonts w:ascii="Arial" w:cs="Arial" w:eastAsia="Arial" w:hAnsi="Arial"/>
                  <w:sz w:val="18"/>
                  <w:szCs w:val="18"/>
                  <w:color w:val="auto"/>
                </w:rPr>
                <w:t>the Securities Exchange Act of 1934, as amended.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tcBorders>
              <w:bottom w:val="single" w:sz="8" w:color="0000EE"/>
            </w:tcBorders>
            <w:gridSpan w:val="15"/>
          </w:tcPr>
          <w:p>
            <w:pPr>
              <w:spacing w:after="0"/>
              <w:rPr>
                <w:rFonts w:ascii="Arial" w:cs="Arial" w:eastAsia="Arial" w:hAnsi="Arial"/>
                <w:sz w:val="18"/>
                <w:szCs w:val="18"/>
                <w:color w:val="auto"/>
              </w:rPr>
            </w:pPr>
            <w:hyperlink w:anchor="page63">
              <w:r>
                <w:rPr>
                  <w:rFonts w:ascii="Arial" w:cs="Arial" w:eastAsia="Arial" w:hAnsi="Arial"/>
                  <w:sz w:val="18"/>
                  <w:szCs w:val="18"/>
                  <w:color w:val="auto"/>
                </w:rPr>
                <w:t>Certification of the Chief Executive Officer of Eagle Materials Inc. pursuant to 18 U.S.C. Section 1350, as adopted pursuant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9980" w:type="dxa"/>
            <w:vAlign w:val="bottom"/>
            <w:gridSpan w:val="17"/>
          </w:tcPr>
          <w:p>
            <w:pPr>
              <w:spacing w:after="0"/>
              <w:rPr>
                <w:rFonts w:ascii="Arial" w:cs="Arial" w:eastAsia="Arial" w:hAnsi="Arial"/>
                <w:sz w:val="18"/>
                <w:szCs w:val="18"/>
                <w:color w:val="auto"/>
              </w:rPr>
            </w:pPr>
            <w:hyperlink w:anchor="page63">
              <w:r>
                <w:rPr>
                  <w:rFonts w:ascii="Arial" w:cs="Arial" w:eastAsia="Arial" w:hAnsi="Arial"/>
                  <w:sz w:val="18"/>
                  <w:szCs w:val="18"/>
                  <w:color w:val="auto"/>
                </w:rPr>
                <w:t>to Section 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tcBorders>
              <w:bottom w:val="single" w:sz="8" w:color="0000EE"/>
            </w:tcBorders>
            <w:gridSpan w:val="17"/>
          </w:tcPr>
          <w:p>
            <w:pPr>
              <w:spacing w:after="0"/>
              <w:rPr>
                <w:rFonts w:ascii="Arial" w:cs="Arial" w:eastAsia="Arial" w:hAnsi="Arial"/>
                <w:sz w:val="18"/>
                <w:szCs w:val="18"/>
                <w:color w:val="auto"/>
              </w:rPr>
            </w:pPr>
            <w:hyperlink w:anchor="page64">
              <w:r>
                <w:rPr>
                  <w:rFonts w:ascii="Arial" w:cs="Arial" w:eastAsia="Arial" w:hAnsi="Arial"/>
                  <w:sz w:val="18"/>
                  <w:szCs w:val="18"/>
                  <w:color w:val="auto"/>
                </w:rPr>
                <w:t>Certification of the Chief Financial Officer of Eagle Materials Inc. pursuant to 18 U.S.C. Section 1350, as adopted pursuant to</w:t>
              </w:r>
            </w:hyperlink>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9980" w:type="dxa"/>
            <w:vAlign w:val="bottom"/>
            <w:gridSpan w:val="17"/>
          </w:tcPr>
          <w:p>
            <w:pPr>
              <w:spacing w:after="0"/>
              <w:rPr>
                <w:rFonts w:ascii="Arial" w:cs="Arial" w:eastAsia="Arial" w:hAnsi="Arial"/>
                <w:sz w:val="18"/>
                <w:szCs w:val="18"/>
                <w:color w:val="auto"/>
              </w:rPr>
            </w:pPr>
            <w:hyperlink w:anchor="page64">
              <w:r>
                <w:rPr>
                  <w:rFonts w:ascii="Arial" w:cs="Arial" w:eastAsia="Arial" w:hAnsi="Arial"/>
                  <w:sz w:val="18"/>
                  <w:szCs w:val="18"/>
                  <w:color w:val="auto"/>
                </w:rPr>
                <w:t>Section 906 of the Sarbanes-Oxley Act of 2002.</w:t>
              </w:r>
            </w:hyperlink>
          </w:p>
        </w:tc>
        <w:tc>
          <w:tcPr>
            <w:tcW w:w="0" w:type="dxa"/>
            <w:vAlign w:val="bottom"/>
          </w:tcPr>
          <w:p>
            <w:pPr>
              <w:spacing w:after="0"/>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95*</w:t>
            </w:r>
          </w:p>
        </w:tc>
        <w:tc>
          <w:tcPr>
            <w:tcW w:w="1900" w:type="dxa"/>
            <w:vAlign w:val="bottom"/>
            <w:tcBorders>
              <w:top w:val="single" w:sz="8" w:color="0000EE"/>
              <w:bottom w:val="single" w:sz="8" w:color="0000EE"/>
            </w:tcBorders>
          </w:tcPr>
          <w:p>
            <w:pPr>
              <w:spacing w:after="0"/>
              <w:rPr>
                <w:rFonts w:ascii="Arial" w:cs="Arial" w:eastAsia="Arial" w:hAnsi="Arial"/>
                <w:sz w:val="18"/>
                <w:szCs w:val="18"/>
                <w:color w:val="auto"/>
                <w:w w:val="99"/>
              </w:rPr>
            </w:pPr>
            <w:hyperlink w:anchor="page65">
              <w:r>
                <w:rPr>
                  <w:rFonts w:ascii="Arial" w:cs="Arial" w:eastAsia="Arial" w:hAnsi="Arial"/>
                  <w:sz w:val="18"/>
                  <w:szCs w:val="18"/>
                  <w:color w:val="auto"/>
                  <w:w w:val="99"/>
                </w:rPr>
                <w:t>Mine Safety Disclosure.</w:t>
              </w:r>
            </w:hyperlink>
          </w:p>
        </w:tc>
        <w:tc>
          <w:tcPr>
            <w:tcW w:w="1900" w:type="dxa"/>
            <w:vAlign w:val="bottom"/>
            <w:tcBorders>
              <w:top w:val="single" w:sz="8" w:color="0000EE"/>
            </w:tcBorders>
            <w:gridSpan w:val="4"/>
          </w:tcPr>
          <w:p>
            <w:pPr>
              <w:spacing w:after="0"/>
              <w:rPr>
                <w:sz w:val="24"/>
                <w:szCs w:val="24"/>
                <w:color w:val="auto"/>
              </w:rPr>
            </w:pPr>
          </w:p>
        </w:tc>
        <w:tc>
          <w:tcPr>
            <w:tcW w:w="61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621"/>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660" w:firstLine="21"/>
        <w:spacing w:after="0" w:line="445" w:lineRule="auto"/>
        <w:tabs>
          <w:tab w:leader="none" w:pos="12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3742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400" w:hanging="392"/>
        <w:spacing w:after="0" w:line="202" w:lineRule="auto"/>
        <w:tabs>
          <w:tab w:leader="none" w:pos="400" w:val="left"/>
        </w:tabs>
        <w:numPr>
          <w:ilvl w:val="0"/>
          <w:numId w:val="16"/>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2" w:right="379" w:bottom="1440" w:gutter="0" w:footer="0" w:header="0"/>
        </w:sectPr>
      </w:pPr>
    </w:p>
    <w:bookmarkStart w:id="42" w:name="page43"/>
    <w:bookmarkEnd w:id="42"/>
    <w:p>
      <w:pPr>
        <w:jc w:val="center"/>
        <w:ind w:right="60"/>
        <w:spacing w:after="0"/>
        <w:rPr>
          <w:sz w:val="20"/>
          <w:szCs w:val="20"/>
          <w:color w:val="auto"/>
        </w:rPr>
      </w:pPr>
      <w:r>
        <w:rPr>
          <w:rFonts w:ascii="Arial" w:cs="Arial" w:eastAsia="Arial" w:hAnsi="Arial"/>
          <w:sz w:val="23"/>
          <w:szCs w:val="23"/>
          <w:b w:val="1"/>
          <w:bCs w:val="1"/>
          <w:color w:val="auto"/>
        </w:rPr>
        <w:t>SIGNATURES</w:t>
      </w:r>
    </w:p>
    <w:p>
      <w:pPr>
        <w:spacing w:after="0" w:line="163"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EAGLE MATERIALS INC.</w:t>
            </w:r>
          </w:p>
        </w:tc>
      </w:tr>
      <w:tr>
        <w:trPr>
          <w:trHeight w:val="243"/>
        </w:trPr>
        <w:tc>
          <w:tcPr>
            <w:tcW w:w="6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27"/>
        </w:trPr>
        <w:tc>
          <w:tcPr>
            <w:tcW w:w="6740" w:type="dxa"/>
            <w:vAlign w:val="bottom"/>
          </w:tcPr>
          <w:p>
            <w:pPr>
              <w:spacing w:after="0"/>
              <w:rPr>
                <w:sz w:val="20"/>
                <w:szCs w:val="20"/>
                <w:color w:val="auto"/>
              </w:rPr>
            </w:pPr>
            <w:r>
              <w:rPr>
                <w:rFonts w:ascii="Arial" w:cs="Arial" w:eastAsia="Arial" w:hAnsi="Arial"/>
                <w:sz w:val="18"/>
                <w:szCs w:val="18"/>
                <w:color w:val="auto"/>
              </w:rPr>
              <w:t>October 28, 2021</w:t>
            </w: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R. HAACK</w:t>
            </w:r>
          </w:p>
        </w:tc>
      </w:t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Michael R. Haack</w:t>
            </w:r>
          </w:p>
        </w:tc>
      </w:tr>
      <w:tr>
        <w:trPr>
          <w:trHeight w:val="229"/>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r>
      <w:tr>
        <w:trPr>
          <w:trHeight w:val="540"/>
        </w:trPr>
        <w:tc>
          <w:tcPr>
            <w:tcW w:w="6740" w:type="dxa"/>
            <w:vAlign w:val="bottom"/>
          </w:tcPr>
          <w:p>
            <w:pPr>
              <w:spacing w:after="0"/>
              <w:rPr>
                <w:sz w:val="20"/>
                <w:szCs w:val="20"/>
                <w:color w:val="auto"/>
              </w:rPr>
            </w:pPr>
            <w:r>
              <w:rPr>
                <w:rFonts w:ascii="Arial" w:cs="Arial" w:eastAsia="Arial" w:hAnsi="Arial"/>
                <w:sz w:val="18"/>
                <w:szCs w:val="18"/>
                <w:color w:val="auto"/>
              </w:rPr>
              <w:t>October 28, 2021</w:t>
            </w: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 CRAIG KESLER</w:t>
            </w:r>
          </w:p>
        </w:tc>
      </w:t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D. Craig Kesler</w:t>
            </w:r>
          </w:p>
        </w:tc>
      </w:tr>
      <w:tr>
        <w:trPr>
          <w:trHeight w:val="230"/>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Executive Vice President – Finance and</w:t>
            </w:r>
          </w:p>
        </w:tc>
      </w:tr>
      <w:tr>
        <w:trPr>
          <w:trHeight w:val="229"/>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rPr>
              <w:t>Administration and Chief Financial Officer</w:t>
            </w:r>
          </w:p>
        </w:tc>
      </w:tr>
      <w:tr>
        <w:trPr>
          <w:trHeight w:val="229"/>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(principal financial officer)</w:t>
            </w:r>
          </w:p>
        </w:tc>
      </w:tr>
      <w:tr>
        <w:trPr>
          <w:trHeight w:val="756"/>
        </w:trPr>
        <w:tc>
          <w:tcPr>
            <w:tcW w:w="6740" w:type="dxa"/>
            <w:vAlign w:val="bottom"/>
          </w:tcPr>
          <w:p>
            <w:pPr>
              <w:spacing w:after="0"/>
              <w:rPr>
                <w:sz w:val="20"/>
                <w:szCs w:val="20"/>
                <w:color w:val="auto"/>
              </w:rPr>
            </w:pPr>
            <w:r>
              <w:rPr>
                <w:rFonts w:ascii="Arial" w:cs="Arial" w:eastAsia="Arial" w:hAnsi="Arial"/>
                <w:sz w:val="18"/>
                <w:szCs w:val="18"/>
                <w:color w:val="auto"/>
              </w:rPr>
              <w:t>October 28, 2021</w:t>
            </w:r>
          </w:p>
        </w:tc>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R. DEVLIN</w:t>
            </w:r>
          </w:p>
        </w:tc>
      </w:tr>
      <w:tr>
        <w:trPr>
          <w:trHeight w:val="223"/>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William R. Devlin</w:t>
            </w:r>
          </w:p>
        </w:tc>
      </w:tr>
      <w:tr>
        <w:trPr>
          <w:trHeight w:val="229"/>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Senior Vice President – Controller and</w:t>
            </w:r>
          </w:p>
        </w:tc>
      </w:tr>
      <w:tr>
        <w:trPr>
          <w:trHeight w:val="230"/>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Chief Accounting Officer</w:t>
            </w:r>
          </w:p>
        </w:tc>
      </w:tr>
      <w:tr>
        <w:trPr>
          <w:trHeight w:val="229"/>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9"/>
              </w:rPr>
              <w:t>(principal accounting officer)</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 -- Compensation Summary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August 2021 to July 2022</w:t>
      </w:r>
    </w:p>
    <w:p>
      <w:pPr>
        <w:spacing w:after="0" w:line="283" w:lineRule="exact"/>
        <w:rPr>
          <w:sz w:val="20"/>
          <w:szCs w:val="20"/>
          <w:color w:val="auto"/>
        </w:rPr>
      </w:pPr>
    </w:p>
    <w:p>
      <w:pPr>
        <w:ind w:right="860" w:firstLine="749"/>
        <w:spacing w:after="0" w:line="358" w:lineRule="auto"/>
        <w:rPr>
          <w:sz w:val="20"/>
          <w:szCs w:val="20"/>
          <w:color w:val="auto"/>
        </w:rPr>
      </w:pPr>
      <w:r>
        <w:rPr>
          <w:rFonts w:ascii="Arial" w:cs="Arial" w:eastAsia="Arial" w:hAnsi="Arial"/>
          <w:sz w:val="19"/>
          <w:szCs w:val="19"/>
          <w:color w:val="auto"/>
        </w:rPr>
        <w:t>On an annual basis, each non-employee director of Eagle Materials Inc. (the “Company”) may select one of the following compensation packages for his or her performance of director services during the next 12 months:</w:t>
      </w:r>
    </w:p>
    <w:p>
      <w:pPr>
        <w:spacing w:after="0" w:line="158" w:lineRule="exact"/>
        <w:rPr>
          <w:sz w:val="20"/>
          <w:szCs w:val="20"/>
          <w:color w:val="auto"/>
        </w:rPr>
      </w:pPr>
    </w:p>
    <w:p>
      <w:pPr>
        <w:ind w:left="1500" w:right="160" w:hanging="690"/>
        <w:spacing w:after="0" w:line="276" w:lineRule="auto"/>
        <w:tabs>
          <w:tab w:leader="none" w:pos="1237" w:val="left"/>
        </w:tabs>
        <w:numPr>
          <w:ilvl w:val="0"/>
          <w:numId w:val="17"/>
        </w:numPr>
        <w:rPr>
          <w:rFonts w:ascii="Arial" w:cs="Arial" w:eastAsia="Arial" w:hAnsi="Arial"/>
          <w:sz w:val="22"/>
          <w:szCs w:val="22"/>
          <w:color w:val="auto"/>
        </w:rPr>
      </w:pPr>
      <w:r>
        <w:rPr>
          <w:rFonts w:ascii="Arial" w:cs="Arial" w:eastAsia="Arial" w:hAnsi="Arial"/>
          <w:sz w:val="22"/>
          <w:szCs w:val="22"/>
          <w:color w:val="auto"/>
        </w:rPr>
        <w:t>total annual compensation valued at $230,000, of which $105,000 is paid in cash and the remainder is provided in the form of an equity grant valued at $125,000; or</w:t>
      </w:r>
    </w:p>
    <w:p>
      <w:pPr>
        <w:spacing w:after="0" w:line="228" w:lineRule="exact"/>
        <w:rPr>
          <w:rFonts w:ascii="Arial" w:cs="Arial" w:eastAsia="Arial" w:hAnsi="Arial"/>
          <w:sz w:val="22"/>
          <w:szCs w:val="22"/>
          <w:color w:val="auto"/>
        </w:rPr>
      </w:pPr>
    </w:p>
    <w:p>
      <w:pPr>
        <w:ind w:left="1240" w:hanging="430"/>
        <w:spacing w:after="0"/>
        <w:tabs>
          <w:tab w:leader="none" w:pos="12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 equity grant valued at $261,500.</w:t>
      </w:r>
    </w:p>
    <w:p>
      <w:pPr>
        <w:spacing w:after="0" w:line="287" w:lineRule="exact"/>
        <w:rPr>
          <w:sz w:val="20"/>
          <w:szCs w:val="20"/>
          <w:color w:val="auto"/>
        </w:rPr>
      </w:pPr>
    </w:p>
    <w:p>
      <w:pPr>
        <w:jc w:val="both"/>
        <w:ind w:right="480"/>
        <w:spacing w:after="0" w:line="266" w:lineRule="auto"/>
        <w:rPr>
          <w:sz w:val="20"/>
          <w:szCs w:val="20"/>
          <w:color w:val="auto"/>
        </w:rPr>
      </w:pPr>
      <w:r>
        <w:rPr>
          <w:rFonts w:ascii="Arial" w:cs="Arial" w:eastAsia="Arial" w:hAnsi="Arial"/>
          <w:sz w:val="22"/>
          <w:szCs w:val="22"/>
          <w:color w:val="auto"/>
        </w:rPr>
        <w:t>The grant date value of the equity grant under either alternative is allocated between restricted stock and options to purchase common stock of the Company, par value $0.01 (“Common Stock”) (based upon the recommendation of the Compensation Committee) with respect to each non-employee director.</w:t>
      </w:r>
    </w:p>
    <w:p>
      <w:pPr>
        <w:spacing w:after="0" w:line="239" w:lineRule="exact"/>
        <w:rPr>
          <w:sz w:val="20"/>
          <w:szCs w:val="20"/>
          <w:color w:val="auto"/>
        </w:rPr>
      </w:pPr>
    </w:p>
    <w:p>
      <w:pPr>
        <w:ind w:right="120" w:firstLine="749"/>
        <w:spacing w:after="0" w:line="317" w:lineRule="auto"/>
        <w:rPr>
          <w:sz w:val="20"/>
          <w:szCs w:val="20"/>
          <w:color w:val="auto"/>
        </w:rPr>
      </w:pPr>
      <w:r>
        <w:rPr>
          <w:rFonts w:ascii="Arial" w:cs="Arial" w:eastAsia="Arial" w:hAnsi="Arial"/>
          <w:sz w:val="19"/>
          <w:szCs w:val="19"/>
          <w:color w:val="auto"/>
        </w:rPr>
        <w:t>In accordance with the terms of the Eagle Materials Inc. Amended and Restated Incentive Plan, the exercise price of the stock options is set at the closing price of the Common Stock on the New York Stock Exchange (“NYSE”) on the date of grant. The number of option shares granted is determined as of the date of the grant by using the Black-Scholes method. All options granted to directors in August 2021 were fully exercisable when granted and have a ten-year term.</w:t>
      </w:r>
    </w:p>
    <w:p>
      <w:pPr>
        <w:spacing w:after="0" w:line="196" w:lineRule="exact"/>
        <w:rPr>
          <w:sz w:val="20"/>
          <w:szCs w:val="20"/>
          <w:color w:val="auto"/>
        </w:rPr>
      </w:pPr>
    </w:p>
    <w:p>
      <w:pPr>
        <w:ind w:firstLine="749"/>
        <w:spacing w:after="0" w:line="273" w:lineRule="auto"/>
        <w:rPr>
          <w:sz w:val="20"/>
          <w:szCs w:val="20"/>
          <w:color w:val="auto"/>
        </w:rPr>
      </w:pPr>
      <w:r>
        <w:rPr>
          <w:rFonts w:ascii="Arial" w:cs="Arial" w:eastAsia="Arial" w:hAnsi="Arial"/>
          <w:sz w:val="21"/>
          <w:szCs w:val="21"/>
          <w:color w:val="auto"/>
        </w:rPr>
        <w:t>The number of shares of restricted stock is determined as of the date of grant using the closing price of the Common Stock on the NYSE on the date of grant. The restricted stock granted to directors in August 2021 was earned on the date of grant; however, the shares will not become fully vested (unrestricted) until the earliest to occur of (i) February 3, 2022;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237" w:lineRule="exact"/>
        <w:rPr>
          <w:sz w:val="20"/>
          <w:szCs w:val="20"/>
          <w:color w:val="auto"/>
        </w:rPr>
      </w:pPr>
    </w:p>
    <w:p>
      <w:pPr>
        <w:ind w:right="300" w:firstLine="432"/>
        <w:spacing w:after="0" w:line="311" w:lineRule="auto"/>
        <w:rPr>
          <w:sz w:val="20"/>
          <w:szCs w:val="20"/>
          <w:color w:val="auto"/>
        </w:rPr>
      </w:pPr>
      <w:r>
        <w:rPr>
          <w:rFonts w:ascii="Arial" w:cs="Arial" w:eastAsia="Arial" w:hAnsi="Arial"/>
          <w:sz w:val="19"/>
          <w:szCs w:val="19"/>
          <w:color w:val="auto"/>
        </w:rPr>
        <w:t>Non-employee directors who chair committees of the Board of Directors receive additional annual compensation. The chairs of the Audit Committee, Compensation Committee and Governance Committee each receive a fee of $20,000 per year. The Chairman of the Board of Directors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21"/>
          <w:szCs w:val="21"/>
          <w:color w:val="auto"/>
        </w:rPr>
        <w:t>equity, in which case a 30% premium is added to such fees when valuing the equity to be received by such chairperson.</w:t>
      </w:r>
    </w:p>
    <w:p>
      <w:pPr>
        <w:spacing w:after="0" w:line="299" w:lineRule="exact"/>
        <w:rPr>
          <w:sz w:val="20"/>
          <w:szCs w:val="20"/>
          <w:color w:val="auto"/>
        </w:rPr>
      </w:pPr>
    </w:p>
    <w:p>
      <w:pPr>
        <w:ind w:firstLine="432"/>
        <w:spacing w:after="0" w:line="266" w:lineRule="auto"/>
        <w:rPr>
          <w:sz w:val="20"/>
          <w:szCs w:val="20"/>
          <w:color w:val="auto"/>
        </w:rPr>
      </w:pPr>
      <w:r>
        <w:rPr>
          <w:rFonts w:ascii="Arial" w:cs="Arial" w:eastAsia="Arial" w:hAnsi="Arial"/>
          <w:sz w:val="22"/>
          <w:szCs w:val="22"/>
          <w:color w:val="auto"/>
        </w:rPr>
        <w:t>Any non-employee director holding unvested restricted stock units (“RSUs”) granted as part of director compensation in prior fiscal years (which currently includes Mr. Nicolais) will receive dividend equivalent units as and when the Company issues a cash dividend on the Common Stock, in accordance with the terms of the RSUs.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All directors are reimbursed for reasonable expenses of attending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00" w:lineRule="exact"/>
        <w:rPr>
          <w:sz w:val="20"/>
          <w:szCs w:val="20"/>
          <w:color w:val="auto"/>
        </w:rPr>
      </w:pPr>
    </w:p>
    <w:p>
      <w:pPr>
        <w:spacing w:after="0" w:line="228" w:lineRule="exact"/>
        <w:rPr>
          <w:sz w:val="20"/>
          <w:szCs w:val="20"/>
          <w:color w:val="auto"/>
        </w:rPr>
      </w:pPr>
    </w:p>
    <w:p>
      <w:pPr>
        <w:ind w:left="440"/>
        <w:spacing w:after="0"/>
        <w:rPr>
          <w:sz w:val="20"/>
          <w:szCs w:val="20"/>
          <w:color w:val="auto"/>
        </w:rPr>
      </w:pPr>
      <w:r>
        <w:rPr>
          <w:rFonts w:ascii="Arial" w:cs="Arial" w:eastAsia="Arial" w:hAnsi="Arial"/>
          <w:sz w:val="19"/>
          <w:szCs w:val="19"/>
          <w:color w:val="auto"/>
        </w:rPr>
        <w:t>Eagle Materials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August 3, 2021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241" w:lineRule="exact"/>
        <w:rPr>
          <w:sz w:val="20"/>
          <w:szCs w:val="20"/>
          <w:color w:val="auto"/>
        </w:rPr>
      </w:pPr>
    </w:p>
    <w:p>
      <w:pPr>
        <w:ind w:left="1400" w:hanging="600"/>
        <w:spacing w:after="0"/>
        <w:tabs>
          <w:tab w:leader="none" w:pos="1400" w:val="left"/>
        </w:tabs>
        <w:numPr>
          <w:ilvl w:val="1"/>
          <w:numId w:val="1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 shares of Common Stock of the Company (the</w:t>
      </w:r>
    </w:p>
    <w:p>
      <w:pPr>
        <w:spacing w:after="0" w:line="55"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28" w:lineRule="exact"/>
        <w:rPr>
          <w:rFonts w:ascii="Arial" w:cs="Arial" w:eastAsia="Arial" w:hAnsi="Arial"/>
          <w:sz w:val="19"/>
          <w:szCs w:val="19"/>
          <w:u w:val="single" w:color="auto"/>
          <w:color w:val="auto"/>
        </w:rPr>
      </w:pPr>
    </w:p>
    <w:p>
      <w:pPr>
        <w:jc w:val="both"/>
        <w:ind w:firstLine="800"/>
        <w:spacing w:after="0" w:line="262" w:lineRule="auto"/>
        <w:tabs>
          <w:tab w:leader="none" w:pos="1397" w:val="left"/>
        </w:tabs>
        <w:numPr>
          <w:ilvl w:val="1"/>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Relationship to the Plan</w:t>
      </w:r>
      <w:r>
        <w:rPr>
          <w:rFonts w:ascii="Arial" w:cs="Arial" w:eastAsia="Arial" w:hAnsi="Arial"/>
          <w:sz w:val="22"/>
          <w:szCs w:val="22"/>
          <w:color w:val="auto"/>
        </w:rPr>
        <w:t>. The Award shall be subject to the terms and conditions of the Eagle Materials Inc. Amended and Restated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91" w:lineRule="exact"/>
        <w:rPr>
          <w:rFonts w:ascii="Arial" w:cs="Arial" w:eastAsia="Arial" w:hAnsi="Arial"/>
          <w:sz w:val="22"/>
          <w:szCs w:val="22"/>
          <w:u w:val="single" w:color="auto"/>
          <w:color w:val="auto"/>
        </w:rPr>
      </w:pPr>
    </w:p>
    <w:p>
      <w:pPr>
        <w:ind w:left="2160" w:hanging="655"/>
        <w:spacing w:after="0" w:line="276" w:lineRule="auto"/>
        <w:tabs>
          <w:tab w:leader="none" w:pos="21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shall mean the period beginning on the Award Date and ending on the date immediately preceding the Vesting Date.</w:t>
      </w:r>
    </w:p>
    <w:p>
      <w:pPr>
        <w:spacing w:after="0" w:line="174" w:lineRule="exact"/>
        <w:rPr>
          <w:rFonts w:ascii="Arial" w:cs="Arial" w:eastAsia="Arial" w:hAnsi="Arial"/>
          <w:sz w:val="22"/>
          <w:szCs w:val="22"/>
          <w:color w:val="auto"/>
        </w:rPr>
      </w:pPr>
    </w:p>
    <w:p>
      <w:pPr>
        <w:jc w:val="both"/>
        <w:ind w:left="2160" w:hanging="655"/>
        <w:spacing w:after="0" w:line="266" w:lineRule="auto"/>
        <w:tabs>
          <w:tab w:leader="none" w:pos="2160" w:val="left"/>
        </w:tabs>
        <w:numPr>
          <w:ilvl w:val="2"/>
          <w:numId w:val="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84" w:lineRule="exact"/>
        <w:rPr>
          <w:rFonts w:ascii="Arial" w:cs="Arial" w:eastAsia="Arial" w:hAnsi="Arial"/>
          <w:sz w:val="22"/>
          <w:szCs w:val="22"/>
          <w:color w:val="auto"/>
        </w:rPr>
      </w:pPr>
    </w:p>
    <w:p>
      <w:pPr>
        <w:ind w:left="1400" w:hanging="600"/>
        <w:spacing w:after="0"/>
        <w:tabs>
          <w:tab w:leader="none" w:pos="1400" w:val="left"/>
        </w:tabs>
        <w:numPr>
          <w:ilvl w:val="1"/>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33" w:lineRule="exact"/>
        <w:rPr>
          <w:rFonts w:ascii="Arial" w:cs="Arial" w:eastAsia="Arial" w:hAnsi="Arial"/>
          <w:sz w:val="22"/>
          <w:szCs w:val="22"/>
          <w:u w:val="single" w:color="auto"/>
          <w:color w:val="auto"/>
        </w:rPr>
      </w:pPr>
    </w:p>
    <w:p>
      <w:pPr>
        <w:jc w:val="both"/>
        <w:ind w:left="2160" w:hanging="655"/>
        <w:spacing w:after="0" w:line="266" w:lineRule="auto"/>
        <w:tabs>
          <w:tab w:leader="none" w:pos="2160" w:val="left"/>
        </w:tabs>
        <w:numPr>
          <w:ilvl w:val="2"/>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 Criteria</w:t>
      </w:r>
      <w:r>
        <w:rPr>
          <w:rFonts w:ascii="Arial" w:cs="Arial" w:eastAsia="Arial" w:hAnsi="Arial"/>
          <w:sz w:val="22"/>
          <w:szCs w:val="22"/>
          <w:color w:val="auto"/>
        </w:rPr>
        <w:t>. The Grantee's interest in the Shares shall vest in full as of the earliest of (i) February 3, 2022; (ii) Grantee's Retirement; or (iii) Grantee's death (as applicable, the "</w:t>
      </w:r>
      <w:r>
        <w:rPr>
          <w:rFonts w:ascii="Arial" w:cs="Arial" w:eastAsia="Arial" w:hAnsi="Arial"/>
          <w:sz w:val="22"/>
          <w:szCs w:val="22"/>
          <w:u w:val="single" w:color="auto"/>
          <w:color w:val="auto"/>
        </w:rPr>
        <w:t>Vesting Date</w:t>
      </w:r>
      <w:r>
        <w:rPr>
          <w:rFonts w:ascii="Arial" w:cs="Arial" w:eastAsia="Arial" w:hAnsi="Arial"/>
          <w:sz w:val="22"/>
          <w:szCs w:val="22"/>
          <w:color w:val="auto"/>
        </w:rPr>
        <w:t>"). Prior to the Vesting Date, all Shares shall be unvested Shares.</w:t>
      </w:r>
    </w:p>
    <w:p>
      <w:pPr>
        <w:spacing w:after="0" w:line="184" w:lineRule="exact"/>
        <w:rPr>
          <w:rFonts w:ascii="Arial" w:cs="Arial" w:eastAsia="Arial" w:hAnsi="Arial"/>
          <w:sz w:val="22"/>
          <w:szCs w:val="22"/>
          <w:u w:val="single" w:color="auto"/>
          <w:color w:val="auto"/>
        </w:rPr>
      </w:pPr>
    </w:p>
    <w:p>
      <w:pPr>
        <w:jc w:val="both"/>
        <w:ind w:left="2160" w:hanging="655"/>
        <w:spacing w:after="0" w:line="279" w:lineRule="auto"/>
        <w:tabs>
          <w:tab w:leader="none" w:pos="2160" w:val="left"/>
        </w:tabs>
        <w:numPr>
          <w:ilvl w:val="2"/>
          <w:numId w:val="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73" w:lineRule="exact"/>
        <w:rPr>
          <w:rFonts w:ascii="Arial" w:cs="Arial" w:eastAsia="Arial" w:hAnsi="Arial"/>
          <w:sz w:val="21"/>
          <w:szCs w:val="21"/>
          <w:u w:val="single" w:color="auto"/>
          <w:color w:val="auto"/>
        </w:rPr>
      </w:pPr>
    </w:p>
    <w:p>
      <w:pPr>
        <w:jc w:val="both"/>
        <w:ind w:left="2160" w:hanging="655"/>
        <w:spacing w:after="0" w:line="262" w:lineRule="auto"/>
        <w:tabs>
          <w:tab w:leader="none" w:pos="2160" w:val="left"/>
        </w:tabs>
        <w:numPr>
          <w:ilvl w:val="2"/>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Cancellation Right</w:t>
      </w:r>
      <w:r>
        <w:rPr>
          <w:rFonts w:ascii="Arial" w:cs="Arial" w:eastAsia="Arial" w:hAnsi="Arial"/>
          <w:sz w:val="22"/>
          <w:szCs w:val="22"/>
          <w:color w:val="auto"/>
        </w:rPr>
        <w:t>. The Grantee must be in continuous service as a Director from the Award Date through the Vesting Date for an unvested Share to become vested. Subject to Section 4, Grantee's discontinuation of service as a Director prior to the Vesting Date shall cause the unvested Shares to be automatically forfeited as of such discontinuation of service date.</w:t>
      </w:r>
    </w:p>
    <w:p>
      <w:pPr>
        <w:spacing w:after="0" w:line="191" w:lineRule="exact"/>
        <w:rPr>
          <w:rFonts w:ascii="Arial" w:cs="Arial" w:eastAsia="Arial" w:hAnsi="Arial"/>
          <w:sz w:val="22"/>
          <w:szCs w:val="22"/>
          <w:u w:val="single" w:color="auto"/>
          <w:color w:val="auto"/>
        </w:rPr>
      </w:pPr>
    </w:p>
    <w:p>
      <w:pPr>
        <w:jc w:val="both"/>
        <w:ind w:firstLine="800"/>
        <w:spacing w:after="0" w:line="266" w:lineRule="auto"/>
        <w:tabs>
          <w:tab w:leader="none" w:pos="1397" w:val="left"/>
        </w:tabs>
        <w:numPr>
          <w:ilvl w:val="1"/>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restrictions set forth above in Section 3 shall lapse with respect to the unvested Shares not previously forfeited and such Shares shall become fully vested without regard to the limitations set forth in Section 3 above, provided that the Grantee has been in continuous service as a</w:t>
      </w:r>
    </w:p>
    <w:p>
      <w:pPr>
        <w:spacing w:after="0" w:line="184" w:lineRule="exact"/>
        <w:rPr>
          <w:rFonts w:ascii="Arial" w:cs="Arial" w:eastAsia="Arial" w:hAnsi="Arial"/>
          <w:sz w:val="22"/>
          <w:szCs w:val="22"/>
          <w:u w:val="single" w:color="auto"/>
          <w:color w:val="auto"/>
        </w:rPr>
      </w:pPr>
    </w:p>
    <w:p>
      <w:pPr>
        <w:ind w:left="560" w:hanging="120"/>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spacing w:after="0" w:line="308" w:lineRule="auto"/>
        <w:rPr>
          <w:sz w:val="20"/>
          <w:szCs w:val="20"/>
          <w:color w:val="auto"/>
        </w:rPr>
      </w:pPr>
      <w:r>
        <w:rPr>
          <w:rFonts w:ascii="Arial" w:cs="Arial" w:eastAsia="Arial" w:hAnsi="Arial"/>
          <w:sz w:val="19"/>
          <w:szCs w:val="19"/>
          <w:color w:val="auto"/>
        </w:rPr>
        <w:t xml:space="preserve">Director from the Award Date through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54" w:lineRule="exact"/>
        <w:rPr>
          <w:sz w:val="20"/>
          <w:szCs w:val="20"/>
          <w:color w:val="auto"/>
        </w:rPr>
      </w:pPr>
    </w:p>
    <w:p>
      <w:pPr>
        <w:jc w:val="both"/>
        <w:ind w:firstLine="800"/>
        <w:spacing w:after="0" w:line="284" w:lineRule="auto"/>
        <w:tabs>
          <w:tab w:leader="none" w:pos="1397" w:val="left"/>
        </w:tabs>
        <w:numPr>
          <w:ilvl w:val="0"/>
          <w:numId w:val="1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Stockholder Rights</w:t>
      </w:r>
      <w:r>
        <w:rPr>
          <w:rFonts w:ascii="Arial" w:cs="Arial" w:eastAsia="Arial" w:hAnsi="Arial"/>
          <w:sz w:val="21"/>
          <w:szCs w:val="21"/>
          <w:color w:val="auto"/>
        </w:rPr>
        <w:t>. The Grantee shall have the right to vote the Shares. The Grantee shall also have the right to receive any cash dividends paid on the unvested Shares at the same time such amounts are paid with respect to all other shares of Common Stock; provided, the record date for such dividend payment is on or after the Award Date.</w:t>
      </w:r>
    </w:p>
    <w:p>
      <w:pPr>
        <w:spacing w:after="0" w:line="168" w:lineRule="exact"/>
        <w:rPr>
          <w:rFonts w:ascii="Arial" w:cs="Arial" w:eastAsia="Arial" w:hAnsi="Arial"/>
          <w:sz w:val="21"/>
          <w:szCs w:val="21"/>
          <w:u w:val="single" w:color="auto"/>
          <w:color w:val="auto"/>
        </w:rPr>
      </w:pPr>
    </w:p>
    <w:p>
      <w:pPr>
        <w:jc w:val="both"/>
        <w:ind w:firstLine="800"/>
        <w:spacing w:after="0" w:line="272" w:lineRule="auto"/>
        <w:tabs>
          <w:tab w:leader="none" w:pos="1397" w:val="left"/>
        </w:tabs>
        <w:numPr>
          <w:ilvl w:val="0"/>
          <w:numId w:val="1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82" w:lineRule="exact"/>
        <w:rPr>
          <w:rFonts w:ascii="Arial" w:cs="Arial" w:eastAsia="Arial" w:hAnsi="Arial"/>
          <w:sz w:val="21"/>
          <w:szCs w:val="21"/>
          <w:u w:val="single" w:color="auto"/>
          <w:color w:val="auto"/>
        </w:rPr>
      </w:pPr>
    </w:p>
    <w:p>
      <w:pPr>
        <w:ind w:left="1400" w:hanging="600"/>
        <w:spacing w:after="0"/>
        <w:tabs>
          <w:tab w:leader="none" w:pos="1400"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33" w:lineRule="exact"/>
        <w:rPr>
          <w:rFonts w:ascii="Arial" w:cs="Arial" w:eastAsia="Arial" w:hAnsi="Arial"/>
          <w:sz w:val="22"/>
          <w:szCs w:val="22"/>
          <w:u w:val="single" w:color="auto"/>
          <w:color w:val="auto"/>
        </w:rPr>
      </w:pPr>
    </w:p>
    <w:p>
      <w:pPr>
        <w:ind w:left="2160" w:hanging="655"/>
        <w:spacing w:after="0" w:line="276" w:lineRule="auto"/>
        <w:tabs>
          <w:tab w:leader="none" w:pos="21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74" w:lineRule="exact"/>
        <w:rPr>
          <w:rFonts w:ascii="Arial" w:cs="Arial" w:eastAsia="Arial" w:hAnsi="Arial"/>
          <w:sz w:val="22"/>
          <w:szCs w:val="22"/>
          <w:color w:val="auto"/>
        </w:rPr>
      </w:pPr>
    </w:p>
    <w:p>
      <w:pPr>
        <w:jc w:val="both"/>
        <w:ind w:left="2160" w:hanging="655"/>
        <w:spacing w:after="0" w:line="266" w:lineRule="auto"/>
        <w:tabs>
          <w:tab w:leader="none" w:pos="216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84" w:lineRule="exact"/>
        <w:rPr>
          <w:rFonts w:ascii="Arial" w:cs="Arial" w:eastAsia="Arial" w:hAnsi="Arial"/>
          <w:sz w:val="22"/>
          <w:szCs w:val="22"/>
          <w:color w:val="auto"/>
        </w:rPr>
      </w:pPr>
    </w:p>
    <w:p>
      <w:pPr>
        <w:ind w:right="20" w:firstLine="800"/>
        <w:spacing w:after="0" w:line="276" w:lineRule="auto"/>
        <w:tabs>
          <w:tab w:leader="none" w:pos="1397" w:val="left"/>
        </w:tabs>
        <w:numPr>
          <w:ilvl w:val="0"/>
          <w:numId w:val="1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SHARES REPRESENTED BY THIS CERTIFICATE ARE SUBJECT TO CERTAIN</w:t>
      </w:r>
    </w:p>
    <w:p>
      <w:pPr>
        <w:spacing w:after="0" w:line="21" w:lineRule="exact"/>
        <w:rPr>
          <w:sz w:val="20"/>
          <w:szCs w:val="20"/>
          <w:color w:val="auto"/>
        </w:rPr>
      </w:pPr>
    </w:p>
    <w:p>
      <w:pPr>
        <w:ind w:left="1500"/>
        <w:spacing w:after="0"/>
        <w:tabs>
          <w:tab w:leader="none" w:pos="3240" w:val="left"/>
          <w:tab w:leader="none" w:pos="4000" w:val="left"/>
          <w:tab w:leader="none" w:pos="5820" w:val="left"/>
          <w:tab w:leader="none" w:pos="6540" w:val="left"/>
          <w:tab w:leader="none" w:pos="7220" w:val="left"/>
          <w:tab w:leader="none" w:pos="7740" w:val="left"/>
          <w:tab w:leader="none" w:pos="8600" w:val="left"/>
        </w:tabs>
        <w:rPr>
          <w:sz w:val="20"/>
          <w:szCs w:val="20"/>
          <w:color w:val="auto"/>
        </w:rPr>
      </w:pPr>
      <w:r>
        <w:rPr>
          <w:rFonts w:ascii="Arial" w:cs="Arial" w:eastAsia="Arial" w:hAnsi="Arial"/>
          <w:sz w:val="22"/>
          <w:szCs w:val="22"/>
          <w:color w:val="auto"/>
        </w:rPr>
        <w:t>RESTRICTIONS</w:t>
        <w:tab/>
        <w:t>AND,</w:t>
        <w:tab/>
        <w:t>ACCORDINGLY,</w:t>
        <w:tab/>
        <w:t>MAY</w:t>
        <w:tab/>
        <w:t>NOT</w:t>
        <w:tab/>
        <w:t>BE</w:t>
        <w:tab/>
        <w:t>SOLD,</w:t>
      </w:r>
      <w:r>
        <w:rPr>
          <w:sz w:val="20"/>
          <w:szCs w:val="20"/>
          <w:color w:val="auto"/>
        </w:rPr>
        <w:tab/>
      </w:r>
      <w:r>
        <w:rPr>
          <w:rFonts w:ascii="Arial" w:cs="Arial" w:eastAsia="Arial" w:hAnsi="Arial"/>
          <w:sz w:val="19"/>
          <w:szCs w:val="19"/>
          <w:color w:val="auto"/>
        </w:rPr>
        <w:t>ASSIGNED,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TRANSFERRED, ENCUMBERED, OR IN ANY MANNER DISPOSED OF EXCEPT IN</w:t>
      </w:r>
    </w:p>
    <w:p>
      <w:pPr>
        <w:spacing w:after="0" w:line="17" w:lineRule="exact"/>
        <w:rPr>
          <w:sz w:val="20"/>
          <w:szCs w:val="20"/>
          <w:color w:val="auto"/>
        </w:rPr>
      </w:pPr>
    </w:p>
    <w:p>
      <w:pPr>
        <w:ind w:left="1500"/>
        <w:spacing w:after="0"/>
        <w:tabs>
          <w:tab w:leader="none" w:pos="3080" w:val="left"/>
          <w:tab w:leader="none" w:pos="3820" w:val="left"/>
          <w:tab w:leader="none" w:pos="4400" w:val="left"/>
          <w:tab w:leader="none" w:pos="5300" w:val="left"/>
          <w:tab w:leader="none" w:pos="5740" w:val="left"/>
          <w:tab w:leader="none" w:pos="6460" w:val="left"/>
          <w:tab w:leader="none" w:pos="7540" w:val="left"/>
          <w:tab w:leader="none" w:pos="9000" w:val="left"/>
        </w:tabs>
        <w:rPr>
          <w:sz w:val="20"/>
          <w:szCs w:val="20"/>
          <w:color w:val="auto"/>
        </w:rPr>
      </w:pPr>
      <w:r>
        <w:rPr>
          <w:rFonts w:ascii="Arial" w:cs="Arial" w:eastAsia="Arial" w:hAnsi="Arial"/>
          <w:sz w:val="22"/>
          <w:szCs w:val="22"/>
          <w:color w:val="auto"/>
        </w:rPr>
        <w:t>CONFORMITY</w:t>
        <w:tab/>
        <w:t>WITH</w:t>
        <w:tab/>
        <w:t>THE</w:t>
        <w:tab/>
        <w:t>TERMS</w:t>
        <w:tab/>
        <w:t>OF</w:t>
        <w:tab/>
        <w:t>THAT</w:t>
        <w:tab/>
        <w:t>CERTAIN</w:t>
        <w:tab/>
        <w:t>RESTRICTED</w:t>
      </w:r>
      <w:r>
        <w:rPr>
          <w:sz w:val="20"/>
          <w:szCs w:val="20"/>
          <w:color w:val="auto"/>
        </w:rPr>
        <w:tab/>
      </w:r>
      <w:r>
        <w:rPr>
          <w:rFonts w:ascii="Arial" w:cs="Arial" w:eastAsia="Arial" w:hAnsi="Arial"/>
          <w:sz w:val="19"/>
          <w:szCs w:val="19"/>
          <w:color w:val="auto"/>
        </w:rPr>
        <w:t>STOCK</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AGREEMENT BETWEEN THE ISSUER AND THE ORIGINAL HOLDER OF THESE</w:t>
      </w:r>
    </w:p>
    <w:p>
      <w:pPr>
        <w:spacing w:after="0" w:line="17"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22"/>
          <w:szCs w:val="22"/>
          <w:color w:val="auto"/>
        </w:rPr>
        <w:t>SHARES.</w:t>
        <w:tab/>
        <w:t>A COPY OF SUCH AGREEMENT IS MAINTAINED AT THE ISSUER’S</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PRINCIPAL CORPORATE OFFICES.</w:t>
      </w:r>
    </w:p>
    <w:p>
      <w:pPr>
        <w:spacing w:after="0" w:line="229" w:lineRule="exact"/>
        <w:rPr>
          <w:sz w:val="20"/>
          <w:szCs w:val="20"/>
          <w:color w:val="auto"/>
        </w:rPr>
      </w:pPr>
    </w:p>
    <w:p>
      <w:pPr>
        <w:jc w:val="both"/>
        <w:ind w:firstLine="800"/>
        <w:spacing w:after="0" w:line="266" w:lineRule="auto"/>
        <w:tabs>
          <w:tab w:leader="none" w:pos="1397" w:val="left"/>
        </w:tabs>
        <w:numPr>
          <w:ilvl w:val="1"/>
          <w:numId w:val="2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w:t>
      </w:r>
    </w:p>
    <w:p>
      <w:pPr>
        <w:spacing w:after="0" w:line="184" w:lineRule="exact"/>
        <w:rPr>
          <w:rFonts w:ascii="Arial" w:cs="Arial" w:eastAsia="Arial" w:hAnsi="Arial"/>
          <w:sz w:val="22"/>
          <w:szCs w:val="22"/>
          <w:u w:val="single" w:color="auto"/>
          <w:color w:val="auto"/>
        </w:rPr>
      </w:pPr>
    </w:p>
    <w:p>
      <w:pPr>
        <w:ind w:left="560" w:hanging="120"/>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spacing w:after="0" w:line="271" w:lineRule="auto"/>
        <w:rPr>
          <w:sz w:val="20"/>
          <w:szCs w:val="20"/>
          <w:color w:val="auto"/>
        </w:rPr>
      </w:pPr>
      <w:r>
        <w:rPr>
          <w:rFonts w:ascii="Arial" w:cs="Arial" w:eastAsia="Arial" w:hAnsi="Arial"/>
          <w:sz w:val="21"/>
          <w:szCs w:val="21"/>
          <w:color w:val="auto"/>
        </w:rPr>
        <w:t>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89" w:lineRule="exact"/>
        <w:rPr>
          <w:sz w:val="20"/>
          <w:szCs w:val="20"/>
          <w:color w:val="auto"/>
        </w:rPr>
      </w:pPr>
    </w:p>
    <w:p>
      <w:pPr>
        <w:jc w:val="both"/>
        <w:ind w:firstLine="800"/>
        <w:spacing w:after="0" w:line="303" w:lineRule="auto"/>
        <w:tabs>
          <w:tab w:leader="none" w:pos="1397"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“Parties”)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57" w:lineRule="exact"/>
        <w:rPr>
          <w:rFonts w:ascii="Arial" w:cs="Arial" w:eastAsia="Arial" w:hAnsi="Arial"/>
          <w:sz w:val="19"/>
          <w:szCs w:val="19"/>
          <w:u w:val="single" w:color="auto"/>
          <w:color w:val="auto"/>
        </w:rPr>
      </w:pPr>
    </w:p>
    <w:p>
      <w:pPr>
        <w:jc w:val="both"/>
        <w:ind w:firstLine="800"/>
        <w:spacing w:after="0" w:line="311" w:lineRule="auto"/>
        <w:tabs>
          <w:tab w:leader="none" w:pos="1397"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50" w:lineRule="exact"/>
        <w:rPr>
          <w:rFonts w:ascii="Arial" w:cs="Arial" w:eastAsia="Arial" w:hAnsi="Arial"/>
          <w:sz w:val="19"/>
          <w:szCs w:val="19"/>
          <w:u w:val="single" w:color="auto"/>
          <w:color w:val="auto"/>
        </w:rPr>
      </w:pPr>
    </w:p>
    <w:p>
      <w:pPr>
        <w:jc w:val="both"/>
        <w:ind w:firstLine="800"/>
        <w:spacing w:after="0" w:line="261" w:lineRule="auto"/>
        <w:tabs>
          <w:tab w:leader="none" w:pos="1397" w:val="left"/>
        </w:tabs>
        <w:numPr>
          <w:ilvl w:val="0"/>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90" w:lineRule="exact"/>
        <w:rPr>
          <w:rFonts w:ascii="Arial" w:cs="Arial" w:eastAsia="Arial" w:hAnsi="Arial"/>
          <w:sz w:val="22"/>
          <w:szCs w:val="22"/>
          <w:u w:val="single" w:color="auto"/>
          <w:color w:val="auto"/>
        </w:rPr>
      </w:pPr>
    </w:p>
    <w:p>
      <w:pPr>
        <w:jc w:val="both"/>
        <w:ind w:firstLine="800"/>
        <w:spacing w:after="0" w:line="262" w:lineRule="auto"/>
        <w:tabs>
          <w:tab w:leader="none" w:pos="1397" w:val="left"/>
        </w:tabs>
        <w:numPr>
          <w:ilvl w:val="0"/>
          <w:numId w:val="2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377"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77"/>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94"/>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90"/>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GRANTEE</w:t>
      </w:r>
    </w:p>
    <w:p>
      <w:pPr>
        <w:spacing w:after="0" w:line="307" w:lineRule="exact"/>
        <w:rPr>
          <w:sz w:val="20"/>
          <w:szCs w:val="20"/>
          <w:color w:val="auto"/>
        </w:rPr>
      </w:pPr>
    </w:p>
    <w:p>
      <w:pPr>
        <w:ind w:left="4900"/>
        <w:spacing w:after="0"/>
        <w:tabs>
          <w:tab w:leader="none" w:pos="60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34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5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199" w:lineRule="exact"/>
        <w:rPr>
          <w:sz w:val="20"/>
          <w:szCs w:val="20"/>
          <w:color w:val="auto"/>
        </w:rPr>
      </w:pPr>
    </w:p>
    <w:p>
      <w:pPr>
        <w:jc w:val="center"/>
        <w:ind w:right="36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37" w:lineRule="exact"/>
        <w:rPr>
          <w:sz w:val="20"/>
          <w:szCs w:val="20"/>
          <w:color w:val="auto"/>
        </w:rPr>
      </w:pPr>
    </w:p>
    <w:p>
      <w:pPr>
        <w:jc w:val="both"/>
        <w:ind w:firstLine="800"/>
        <w:spacing w:after="0" w:line="259" w:lineRule="auto"/>
        <w:tabs>
          <w:tab w:leader="none" w:pos="1397"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87" w:lineRule="exact"/>
        <w:rPr>
          <w:rFonts w:ascii="Arial" w:cs="Arial" w:eastAsia="Arial" w:hAnsi="Arial"/>
          <w:sz w:val="22"/>
          <w:szCs w:val="22"/>
          <w:color w:val="auto"/>
        </w:rPr>
      </w:pPr>
    </w:p>
    <w:p>
      <w:pPr>
        <w:jc w:val="both"/>
        <w:ind w:firstLine="800"/>
        <w:spacing w:after="0" w:line="305" w:lineRule="auto"/>
        <w:tabs>
          <w:tab w:leader="none" w:pos="13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46" w:lineRule="exact"/>
        <w:rPr>
          <w:rFonts w:ascii="Arial" w:cs="Arial" w:eastAsia="Arial" w:hAnsi="Arial"/>
          <w:sz w:val="19"/>
          <w:szCs w:val="19"/>
          <w:color w:val="auto"/>
        </w:rPr>
      </w:pPr>
    </w:p>
    <w:p>
      <w:pPr>
        <w:jc w:val="both"/>
        <w:ind w:firstLine="800"/>
        <w:spacing w:after="0" w:line="302" w:lineRule="auto"/>
        <w:tabs>
          <w:tab w:leader="none" w:pos="13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318" w:lineRule="exact"/>
        <w:rPr>
          <w:rFonts w:ascii="Arial" w:cs="Arial" w:eastAsia="Arial" w:hAnsi="Arial"/>
          <w:sz w:val="19"/>
          <w:szCs w:val="19"/>
          <w:color w:val="auto"/>
        </w:rPr>
      </w:pPr>
    </w:p>
    <w:p>
      <w:pPr>
        <w:jc w:val="both"/>
        <w:ind w:firstLine="800"/>
        <w:spacing w:after="0" w:line="308" w:lineRule="auto"/>
        <w:tabs>
          <w:tab w:leader="none" w:pos="1397" w:val="left"/>
        </w:tabs>
        <w:numPr>
          <w:ilvl w:val="1"/>
          <w:numId w:val="22"/>
        </w:numPr>
        <w:rPr>
          <w:rFonts w:ascii="Arial" w:cs="Arial" w:eastAsia="Arial" w:hAnsi="Arial"/>
          <w:sz w:val="19"/>
          <w:szCs w:val="19"/>
          <w:color w:val="auto"/>
        </w:rPr>
      </w:pPr>
      <w:r>
        <w:rPr>
          <w:rFonts w:ascii="Arial" w:cs="Arial" w:eastAsia="Arial" w:hAnsi="Arial"/>
          <w:sz w:val="19"/>
          <w:szCs w:val="19"/>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w:t>
      </w:r>
    </w:p>
    <w:p>
      <w:pPr>
        <w:spacing w:after="0" w:line="45" w:lineRule="exact"/>
        <w:rPr>
          <w:rFonts w:ascii="Arial" w:cs="Arial" w:eastAsia="Arial" w:hAnsi="Arial"/>
          <w:sz w:val="19"/>
          <w:szCs w:val="19"/>
          <w:color w:val="auto"/>
        </w:rPr>
      </w:pPr>
    </w:p>
    <w:p>
      <w:pPr>
        <w:ind w:left="560" w:hanging="120"/>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jc w:val="both"/>
        <w:spacing w:after="0" w:line="306" w:lineRule="auto"/>
        <w:rPr>
          <w:sz w:val="20"/>
          <w:szCs w:val="20"/>
          <w:color w:val="auto"/>
        </w:rPr>
      </w:pPr>
      <w:r>
        <w:rPr>
          <w:rFonts w:ascii="Arial" w:cs="Arial" w:eastAsia="Arial" w:hAnsi="Arial"/>
          <w:sz w:val="19"/>
          <w:szCs w:val="19"/>
          <w:color w:val="auto"/>
        </w:rPr>
        <w:t>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125" w:lineRule="exact"/>
        <w:rPr>
          <w:sz w:val="20"/>
          <w:szCs w:val="20"/>
          <w:color w:val="auto"/>
        </w:rPr>
      </w:pPr>
    </w:p>
    <w:p>
      <w:pPr>
        <w:ind w:left="1400" w:hanging="847"/>
        <w:spacing w:after="0"/>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125" w:lineRule="exact"/>
        <w:rPr>
          <w:rFonts w:ascii="Arial" w:cs="Arial" w:eastAsia="Arial" w:hAnsi="Arial"/>
          <w:sz w:val="22"/>
          <w:szCs w:val="22"/>
          <w:color w:val="auto"/>
        </w:rPr>
      </w:pPr>
    </w:p>
    <w:p>
      <w:pPr>
        <w:ind w:left="1400" w:hanging="907"/>
        <w:spacing w:after="0"/>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125" w:lineRule="exact"/>
        <w:rPr>
          <w:rFonts w:ascii="Arial" w:cs="Arial" w:eastAsia="Arial" w:hAnsi="Arial"/>
          <w:sz w:val="22"/>
          <w:szCs w:val="22"/>
          <w:color w:val="auto"/>
        </w:rPr>
      </w:pPr>
    </w:p>
    <w:p>
      <w:pPr>
        <w:ind w:left="1400" w:hanging="967"/>
        <w:spacing w:after="0" w:line="276"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66" w:lineRule="exact"/>
        <w:rPr>
          <w:rFonts w:ascii="Arial" w:cs="Arial" w:eastAsia="Arial" w:hAnsi="Arial"/>
          <w:sz w:val="22"/>
          <w:szCs w:val="22"/>
          <w:color w:val="auto"/>
        </w:rPr>
      </w:pPr>
    </w:p>
    <w:p>
      <w:pPr>
        <w:jc w:val="both"/>
        <w:ind w:left="1400" w:hanging="955"/>
        <w:spacing w:after="0" w:line="266"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76" w:lineRule="exact"/>
        <w:rPr>
          <w:rFonts w:ascii="Arial" w:cs="Arial" w:eastAsia="Arial" w:hAnsi="Arial"/>
          <w:sz w:val="22"/>
          <w:szCs w:val="22"/>
          <w:color w:val="auto"/>
        </w:rPr>
      </w:pPr>
    </w:p>
    <w:p>
      <w:pPr>
        <w:ind w:left="1400" w:hanging="895"/>
        <w:spacing w:after="0"/>
        <w:tabs>
          <w:tab w:leader="none" w:pos="14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59" w:lineRule="exact"/>
        <w:rPr>
          <w:rFonts w:ascii="Arial" w:cs="Arial" w:eastAsia="Arial" w:hAnsi="Arial"/>
          <w:sz w:val="19"/>
          <w:szCs w:val="19"/>
          <w:color w:val="auto"/>
        </w:rPr>
      </w:pPr>
    </w:p>
    <w:p>
      <w:pPr>
        <w:ind w:left="1400" w:hanging="955"/>
        <w:spacing w:after="0"/>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125" w:lineRule="exact"/>
        <w:rPr>
          <w:rFonts w:ascii="Arial" w:cs="Arial" w:eastAsia="Arial" w:hAnsi="Arial"/>
          <w:sz w:val="22"/>
          <w:szCs w:val="22"/>
          <w:color w:val="auto"/>
        </w:rPr>
      </w:pPr>
    </w:p>
    <w:p>
      <w:pPr>
        <w:jc w:val="both"/>
        <w:ind w:left="1400" w:hanging="1015"/>
        <w:spacing w:after="0" w:line="262"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83" w:lineRule="exact"/>
        <w:rPr>
          <w:rFonts w:ascii="Arial" w:cs="Arial" w:eastAsia="Arial" w:hAnsi="Arial"/>
          <w:sz w:val="22"/>
          <w:szCs w:val="22"/>
          <w:color w:val="auto"/>
        </w:rPr>
      </w:pPr>
    </w:p>
    <w:p>
      <w:pPr>
        <w:jc w:val="both"/>
        <w:ind w:left="1400" w:hanging="1075"/>
        <w:spacing w:after="0" w:line="262"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Major Asset Disposition</w:t>
      </w:r>
      <w:r>
        <w:rPr>
          <w:rFonts w:ascii="Arial" w:cs="Arial" w:eastAsia="Arial" w:hAnsi="Arial"/>
          <w:sz w:val="22"/>
          <w:szCs w:val="22"/>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83" w:lineRule="exact"/>
        <w:rPr>
          <w:rFonts w:ascii="Arial" w:cs="Arial" w:eastAsia="Arial" w:hAnsi="Arial"/>
          <w:sz w:val="22"/>
          <w:szCs w:val="22"/>
          <w:color w:val="auto"/>
        </w:rPr>
      </w:pPr>
    </w:p>
    <w:p>
      <w:pPr>
        <w:jc w:val="both"/>
        <w:ind w:left="1400" w:hanging="955"/>
        <w:spacing w:after="0" w:line="262"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83" w:lineRule="exact"/>
        <w:rPr>
          <w:rFonts w:ascii="Arial" w:cs="Arial" w:eastAsia="Arial" w:hAnsi="Arial"/>
          <w:sz w:val="22"/>
          <w:szCs w:val="22"/>
          <w:color w:val="auto"/>
        </w:rPr>
      </w:pPr>
    </w:p>
    <w:p>
      <w:pPr>
        <w:jc w:val="both"/>
        <w:ind w:left="1400" w:hanging="895"/>
        <w:spacing w:after="0" w:line="308" w:lineRule="auto"/>
        <w:tabs>
          <w:tab w:leader="none" w:pos="14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45" w:lineRule="exact"/>
        <w:rPr>
          <w:rFonts w:ascii="Arial" w:cs="Arial" w:eastAsia="Arial" w:hAnsi="Arial"/>
          <w:sz w:val="19"/>
          <w:szCs w:val="19"/>
          <w:color w:val="auto"/>
        </w:rPr>
      </w:pPr>
    </w:p>
    <w:p>
      <w:pPr>
        <w:ind w:left="560" w:hanging="120"/>
        <w:spacing w:after="0"/>
        <w:tabs>
          <w:tab w:leader="none" w:pos="5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DIRECTOR STOCK OPTION AGREEMENT</w:t>
      </w:r>
    </w:p>
    <w:p>
      <w:pPr>
        <w:spacing w:after="0" w:line="200" w:lineRule="exact"/>
        <w:rPr>
          <w:sz w:val="20"/>
          <w:szCs w:val="20"/>
          <w:color w:val="auto"/>
        </w:rPr>
      </w:pPr>
    </w:p>
    <w:p>
      <w:pPr>
        <w:spacing w:after="0" w:line="363" w:lineRule="exact"/>
        <w:rPr>
          <w:sz w:val="20"/>
          <w:szCs w:val="20"/>
          <w:color w:val="auto"/>
        </w:rPr>
      </w:pPr>
    </w:p>
    <w:p>
      <w:pPr>
        <w:ind w:firstLine="1497"/>
        <w:spacing w:after="0" w:line="299" w:lineRule="auto"/>
        <w:rPr>
          <w:sz w:val="20"/>
          <w:szCs w:val="20"/>
          <w:color w:val="auto"/>
        </w:rPr>
      </w:pPr>
      <w:r>
        <w:rPr>
          <w:rFonts w:ascii="Arial" w:cs="Arial" w:eastAsia="Arial" w:hAnsi="Arial"/>
          <w:sz w:val="19"/>
          <w:szCs w:val="19"/>
          <w:color w:val="auto"/>
        </w:rPr>
        <w:t>This option agreement (the “Option Agreement” or “Agreement”) entered into between EAGLE MATERIALS INC., a Delaware corporation (the “Company”), and ________ (the “Optionee”), a director of the Company, with respect to a</w:t>
      </w:r>
    </w:p>
    <w:p>
      <w:pPr>
        <w:spacing w:after="0" w:line="296" w:lineRule="auto"/>
        <w:rPr>
          <w:sz w:val="20"/>
          <w:szCs w:val="20"/>
          <w:color w:val="auto"/>
        </w:rPr>
      </w:pPr>
      <w:r>
        <w:rPr>
          <w:rFonts w:ascii="Arial" w:cs="Arial" w:eastAsia="Arial" w:hAnsi="Arial"/>
          <w:sz w:val="19"/>
          <w:szCs w:val="19"/>
          <w:color w:val="auto"/>
        </w:rPr>
        <w:t>right (the “Option”) awarded to the Optionee under the Eagle Materials Inc. Amended and Restated Incentive Plan (the “Plan”), on August 3, 2021 (the “Award Date”) to purchase from the Company up to but not exceeding in the aggregate _______ shares of</w:t>
      </w:r>
    </w:p>
    <w:p>
      <w:pPr>
        <w:spacing w:after="0" w:line="1" w:lineRule="exact"/>
        <w:rPr>
          <w:sz w:val="20"/>
          <w:szCs w:val="20"/>
          <w:color w:val="auto"/>
        </w:rPr>
      </w:pPr>
    </w:p>
    <w:p>
      <w:pPr>
        <w:spacing w:after="0" w:line="353" w:lineRule="auto"/>
        <w:rPr>
          <w:sz w:val="20"/>
          <w:szCs w:val="20"/>
          <w:color w:val="auto"/>
        </w:rPr>
      </w:pPr>
      <w:r>
        <w:rPr>
          <w:rFonts w:ascii="Arial" w:cs="Arial" w:eastAsia="Arial" w:hAnsi="Arial"/>
          <w:sz w:val="19"/>
          <w:szCs w:val="19"/>
          <w:color w:val="auto"/>
        </w:rPr>
        <w:t>Common Stock (as defined in the Plan) at a price of $143.09 per share (the “Exercise Price”), such number of shares and such price per share being subject to adjustment as provided in the Plan, and further subject to the following terms and conditions:</w:t>
      </w:r>
    </w:p>
    <w:p>
      <w:pPr>
        <w:spacing w:after="0" w:line="109" w:lineRule="exact"/>
        <w:rPr>
          <w:sz w:val="20"/>
          <w:szCs w:val="20"/>
          <w:color w:val="auto"/>
        </w:rPr>
      </w:pPr>
    </w:p>
    <w:p>
      <w:pPr>
        <w:ind w:left="2160" w:hanging="655"/>
        <w:spacing w:after="0"/>
        <w:tabs>
          <w:tab w:leader="none" w:pos="2160" w:val="left"/>
        </w:tabs>
        <w:numPr>
          <w:ilvl w:val="0"/>
          <w:numId w:val="24"/>
        </w:numPr>
        <w:rPr>
          <w:rFonts w:ascii="Arial" w:cs="Arial" w:eastAsia="Arial" w:hAnsi="Arial"/>
          <w:sz w:val="22"/>
          <w:szCs w:val="22"/>
          <w:i w:val="1"/>
          <w:iCs w:val="1"/>
          <w:color w:val="auto"/>
        </w:rPr>
      </w:pPr>
      <w:r>
        <w:rPr>
          <w:rFonts w:ascii="Arial" w:cs="Arial" w:eastAsia="Arial" w:hAnsi="Arial"/>
          <w:sz w:val="22"/>
          <w:szCs w:val="22"/>
          <w:i w:val="1"/>
          <w:iCs w:val="1"/>
          <w:color w:val="auto"/>
        </w:rPr>
        <w:t>Relationship to Plan</w:t>
      </w:r>
      <w:r>
        <w:rPr>
          <w:rFonts w:ascii="Arial" w:cs="Arial" w:eastAsia="Arial" w:hAnsi="Arial"/>
          <w:sz w:val="22"/>
          <w:szCs w:val="22"/>
          <w:color w:val="auto"/>
        </w:rPr>
        <w:t>.</w:t>
      </w:r>
    </w:p>
    <w:p>
      <w:pPr>
        <w:spacing w:after="0" w:line="233" w:lineRule="exact"/>
        <w:rPr>
          <w:sz w:val="20"/>
          <w:szCs w:val="20"/>
          <w:color w:val="auto"/>
        </w:rPr>
      </w:pPr>
    </w:p>
    <w:p>
      <w:pPr>
        <w:jc w:val="both"/>
        <w:ind w:firstLine="1623"/>
        <w:spacing w:after="0" w:line="262" w:lineRule="auto"/>
        <w:rPr>
          <w:sz w:val="20"/>
          <w:szCs w:val="20"/>
          <w:color w:val="auto"/>
        </w:rPr>
      </w:pPr>
      <w:r>
        <w:rPr>
          <w:rFonts w:ascii="Arial" w:cs="Arial" w:eastAsia="Arial" w:hAnsi="Arial"/>
          <w:sz w:val="22"/>
          <w:szCs w:val="22"/>
          <w:color w:val="auto"/>
        </w:rPr>
        <w:t>This Option is subject to all of the terms, conditions and provisions of the Plan and administrative interpretations thereunder, if any, which have been adopted by the Company’s Compensation Committee (“Committee”) and are in effect on the date hereof. Except as defined herein, capitalized terms shall have the same meanings ascribed to them under the Plan. For purposes of this Option Agreement:</w:t>
      </w:r>
    </w:p>
    <w:p>
      <w:pPr>
        <w:spacing w:after="0" w:line="191" w:lineRule="exact"/>
        <w:rPr>
          <w:sz w:val="20"/>
          <w:szCs w:val="20"/>
          <w:color w:val="auto"/>
        </w:rPr>
      </w:pPr>
    </w:p>
    <w:p>
      <w:pPr>
        <w:jc w:val="both"/>
        <w:ind w:left="1500"/>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85" w:lineRule="exact"/>
        <w:rPr>
          <w:sz w:val="20"/>
          <w:szCs w:val="20"/>
          <w:color w:val="auto"/>
        </w:rPr>
      </w:pPr>
    </w:p>
    <w:p>
      <w:pPr>
        <w:ind w:left="2160" w:hanging="655"/>
        <w:spacing w:after="0"/>
        <w:tabs>
          <w:tab w:leader="none" w:pos="2160" w:val="left"/>
        </w:tabs>
        <w:numPr>
          <w:ilvl w:val="0"/>
          <w:numId w:val="25"/>
        </w:numPr>
        <w:rPr>
          <w:rFonts w:ascii="Arial" w:cs="Arial" w:eastAsia="Arial" w:hAnsi="Arial"/>
          <w:sz w:val="22"/>
          <w:szCs w:val="22"/>
          <w:i w:val="1"/>
          <w:iCs w:val="1"/>
          <w:color w:val="auto"/>
        </w:rPr>
      </w:pPr>
      <w:r>
        <w:rPr>
          <w:rFonts w:ascii="Arial" w:cs="Arial" w:eastAsia="Arial" w:hAnsi="Arial"/>
          <w:sz w:val="22"/>
          <w:szCs w:val="22"/>
          <w:i w:val="1"/>
          <w:iCs w:val="1"/>
          <w:color w:val="auto"/>
        </w:rPr>
        <w:t>Exercise Schedule</w:t>
      </w:r>
      <w:r>
        <w:rPr>
          <w:rFonts w:ascii="Arial" w:cs="Arial" w:eastAsia="Arial" w:hAnsi="Arial"/>
          <w:sz w:val="22"/>
          <w:szCs w:val="22"/>
          <w:b w:val="1"/>
          <w:bCs w:val="1"/>
          <w:i w:val="1"/>
          <w:iCs w:val="1"/>
          <w:color w:val="auto"/>
        </w:rPr>
        <w:t>.</w:t>
      </w:r>
    </w:p>
    <w:p>
      <w:pPr>
        <w:spacing w:after="0" w:line="233" w:lineRule="exact"/>
        <w:rPr>
          <w:sz w:val="20"/>
          <w:szCs w:val="20"/>
          <w:color w:val="auto"/>
        </w:rPr>
      </w:pPr>
    </w:p>
    <w:p>
      <w:pPr>
        <w:jc w:val="both"/>
        <w:ind w:firstLine="1505"/>
        <w:spacing w:after="0" w:line="262" w:lineRule="auto"/>
        <w:tabs>
          <w:tab w:leader="none" w:pos="1943"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Exercisability</w:t>
      </w:r>
      <w:r>
        <w:rPr>
          <w:rFonts w:ascii="Arial" w:cs="Arial" w:eastAsia="Arial" w:hAnsi="Arial"/>
          <w:sz w:val="22"/>
          <w:szCs w:val="22"/>
          <w:color w:val="auto"/>
        </w:rPr>
        <w:t>. This Option may be exercised to purchase the shares of Common Stock covered thereby</w:t>
      </w:r>
      <w:r>
        <w:rPr>
          <w:rFonts w:ascii="Arial" w:cs="Arial" w:eastAsia="Arial" w:hAnsi="Arial"/>
          <w:sz w:val="22"/>
          <w:szCs w:val="22"/>
          <w:i w:val="1"/>
          <w:iCs w:val="1"/>
          <w:color w:val="auto"/>
        </w:rPr>
        <w:t xml:space="preserve"> </w:t>
      </w:r>
      <w:r>
        <w:rPr>
          <w:rFonts w:ascii="Arial" w:cs="Arial" w:eastAsia="Arial" w:hAnsi="Arial"/>
          <w:sz w:val="22"/>
          <w:szCs w:val="22"/>
          <w:color w:val="auto"/>
        </w:rPr>
        <w:t>(the “Option Shares”) immediately on the Award Date. Such Option may be exercised in whole or in part (at any time or from time to time, except as otherwise provided herein) until expiration of the Option pursuant to the terms of this Agreement or the Plan.</w:t>
      </w:r>
    </w:p>
    <w:p>
      <w:pPr>
        <w:spacing w:after="0" w:line="191" w:lineRule="exact"/>
        <w:rPr>
          <w:rFonts w:ascii="Arial" w:cs="Arial" w:eastAsia="Arial" w:hAnsi="Arial"/>
          <w:sz w:val="22"/>
          <w:szCs w:val="22"/>
          <w:color w:val="auto"/>
        </w:rPr>
      </w:pPr>
    </w:p>
    <w:p>
      <w:pPr>
        <w:jc w:val="both"/>
        <w:ind w:firstLine="1678"/>
        <w:spacing w:after="0" w:line="306" w:lineRule="auto"/>
        <w:tabs>
          <w:tab w:leader="none" w:pos="2793" w:val="left"/>
        </w:tabs>
        <w:numPr>
          <w:ilvl w:val="1"/>
          <w:numId w:val="26"/>
        </w:numPr>
        <w:rPr>
          <w:rFonts w:ascii="Arial" w:cs="Arial" w:eastAsia="Arial" w:hAnsi="Arial"/>
          <w:sz w:val="19"/>
          <w:szCs w:val="19"/>
          <w:i w:val="1"/>
          <w:iCs w:val="1"/>
          <w:color w:val="auto"/>
        </w:rPr>
      </w:pPr>
      <w:r>
        <w:rPr>
          <w:rFonts w:ascii="Arial" w:cs="Arial" w:eastAsia="Arial" w:hAnsi="Arial"/>
          <w:sz w:val="19"/>
          <w:szCs w:val="19"/>
          <w:i w:val="1"/>
          <w:iCs w:val="1"/>
          <w:color w:val="auto"/>
        </w:rPr>
        <w:t>Change in Control</w:t>
      </w:r>
      <w:r>
        <w:rPr>
          <w:rFonts w:ascii="Arial" w:cs="Arial" w:eastAsia="Arial" w:hAnsi="Arial"/>
          <w:sz w:val="19"/>
          <w:szCs w:val="19"/>
          <w:color w:val="auto"/>
        </w:rPr>
        <w:t>. Upon the occurrence of a Change in Control (as defined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to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(i) this Option may be replaced within a reasonable time after the Change in Control with an option of equivalent value to purchase shares of the surviving parent corporation if the Committee determines that the terms giving rise to the Change in Control provide for such replacement, or (ii) the Option may be settled in cash in accordance with the last sentence of this subparagraph (b).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56" w:lineRule="exact"/>
        <w:rPr>
          <w:sz w:val="20"/>
          <w:szCs w:val="20"/>
          <w:color w:val="auto"/>
        </w:rPr>
      </w:pPr>
    </w:p>
    <w:p>
      <w:pPr>
        <w:ind w:right="20" w:firstLine="1505"/>
        <w:spacing w:after="0" w:line="276" w:lineRule="auto"/>
        <w:tabs>
          <w:tab w:leader="none" w:pos="1929"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Capital Adjustments and Corporate Events. </w:t>
      </w:r>
      <w:r>
        <w:rPr>
          <w:rFonts w:ascii="Arial" w:cs="Arial" w:eastAsia="Arial" w:hAnsi="Arial"/>
          <w:sz w:val="22"/>
          <w:szCs w:val="22"/>
          <w:color w:val="auto"/>
        </w:rPr>
        <w:t>If, from time to time during the term of the Option prior to its</w:t>
      </w:r>
      <w:r>
        <w:rPr>
          <w:rFonts w:ascii="Arial" w:cs="Arial" w:eastAsia="Arial" w:hAnsi="Arial"/>
          <w:sz w:val="22"/>
          <w:szCs w:val="22"/>
          <w:i w:val="1"/>
          <w:iCs w:val="1"/>
          <w:color w:val="auto"/>
        </w:rPr>
        <w:t xml:space="preserve"> </w:t>
      </w:r>
      <w:r>
        <w:rPr>
          <w:rFonts w:ascii="Arial" w:cs="Arial" w:eastAsia="Arial" w:hAnsi="Arial"/>
          <w:sz w:val="22"/>
          <w:szCs w:val="22"/>
          <w:color w:val="auto"/>
        </w:rPr>
        <w:t>exercise, there is any capital adjustment affecting the outstanding</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jc w:val="both"/>
        <w:spacing w:after="0" w:line="305" w:lineRule="auto"/>
        <w:rPr>
          <w:sz w:val="20"/>
          <w:szCs w:val="20"/>
          <w:color w:val="auto"/>
        </w:rPr>
      </w:pPr>
      <w:r>
        <w:rPr>
          <w:rFonts w:ascii="Arial" w:cs="Arial" w:eastAsia="Arial" w:hAnsi="Arial"/>
          <w:sz w:val="19"/>
          <w:szCs w:val="19"/>
          <w:color w:val="auto"/>
        </w:rPr>
        <w:t>Common Stock as a class without the Company’s receipt of consideration, including, without limitation, as a result of a spin-off or business disposition or an extraordinary cash dividend,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55" w:lineRule="exact"/>
        <w:rPr>
          <w:sz w:val="20"/>
          <w:szCs w:val="20"/>
          <w:color w:val="auto"/>
        </w:rPr>
      </w:pPr>
    </w:p>
    <w:p>
      <w:pPr>
        <w:ind w:left="2160" w:hanging="655"/>
        <w:spacing w:after="0"/>
        <w:tabs>
          <w:tab w:leader="none" w:pos="2160" w:val="left"/>
        </w:tabs>
        <w:numPr>
          <w:ilvl w:val="0"/>
          <w:numId w:val="28"/>
        </w:numPr>
        <w:rPr>
          <w:rFonts w:ascii="Arial" w:cs="Arial" w:eastAsia="Arial" w:hAnsi="Arial"/>
          <w:sz w:val="22"/>
          <w:szCs w:val="22"/>
          <w:i w:val="1"/>
          <w:iCs w:val="1"/>
          <w:color w:val="auto"/>
        </w:rPr>
      </w:pPr>
      <w:r>
        <w:rPr>
          <w:rFonts w:ascii="Arial" w:cs="Arial" w:eastAsia="Arial" w:hAnsi="Arial"/>
          <w:sz w:val="22"/>
          <w:szCs w:val="22"/>
          <w:i w:val="1"/>
          <w:iCs w:val="1"/>
          <w:color w:val="auto"/>
        </w:rPr>
        <w:t>Termination of Option.</w:t>
      </w:r>
    </w:p>
    <w:p>
      <w:pPr>
        <w:spacing w:after="0" w:line="233" w:lineRule="exact"/>
        <w:rPr>
          <w:sz w:val="20"/>
          <w:szCs w:val="20"/>
          <w:color w:val="auto"/>
        </w:rPr>
      </w:pPr>
    </w:p>
    <w:p>
      <w:pPr>
        <w:ind w:firstLine="1497"/>
        <w:spacing w:after="0" w:line="276" w:lineRule="auto"/>
        <w:rPr>
          <w:sz w:val="20"/>
          <w:szCs w:val="20"/>
          <w:color w:val="auto"/>
        </w:rPr>
      </w:pPr>
      <w:r>
        <w:rPr>
          <w:rFonts w:ascii="Arial" w:cs="Arial" w:eastAsia="Arial" w:hAnsi="Arial"/>
          <w:sz w:val="22"/>
          <w:szCs w:val="22"/>
          <w:color w:val="auto"/>
        </w:rPr>
        <w:t>The Option hereby granted shall terminate and be of no force and effect with respect to any Option Shares not previously purchased by the Optionee at the earliest time specified below:</w:t>
      </w:r>
    </w:p>
    <w:p>
      <w:pPr>
        <w:spacing w:after="0" w:line="174" w:lineRule="exact"/>
        <w:rPr>
          <w:sz w:val="20"/>
          <w:szCs w:val="20"/>
          <w:color w:val="auto"/>
        </w:rPr>
      </w:pPr>
    </w:p>
    <w:p>
      <w:pPr>
        <w:ind w:left="2800" w:hanging="1122"/>
        <w:spacing w:after="0"/>
        <w:tabs>
          <w:tab w:leader="none" w:pos="28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tenth anniversary of the Award Date;</w:t>
      </w:r>
    </w:p>
    <w:p>
      <w:pPr>
        <w:spacing w:after="0" w:line="233" w:lineRule="exact"/>
        <w:rPr>
          <w:rFonts w:ascii="Arial" w:cs="Arial" w:eastAsia="Arial" w:hAnsi="Arial"/>
          <w:sz w:val="22"/>
          <w:szCs w:val="22"/>
          <w:color w:val="auto"/>
        </w:rPr>
      </w:pPr>
    </w:p>
    <w:p>
      <w:pPr>
        <w:jc w:val="both"/>
        <w:ind w:firstLine="1678"/>
        <w:spacing w:after="0" w:line="266" w:lineRule="auto"/>
        <w:tabs>
          <w:tab w:leader="none" w:pos="2793"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Optionee’s service as a Director is terminated by the Company for “cause” (as determined by the Committee) at any time after the Award Date, then the Option shall terminate immediately upon such termination of Optionee’s service;</w:t>
      </w:r>
    </w:p>
    <w:p>
      <w:pPr>
        <w:spacing w:after="0" w:line="184" w:lineRule="exact"/>
        <w:rPr>
          <w:rFonts w:ascii="Arial" w:cs="Arial" w:eastAsia="Arial" w:hAnsi="Arial"/>
          <w:sz w:val="22"/>
          <w:szCs w:val="22"/>
          <w:color w:val="auto"/>
        </w:rPr>
      </w:pPr>
    </w:p>
    <w:p>
      <w:pPr>
        <w:ind w:right="20" w:firstLine="1678"/>
        <w:spacing w:after="0" w:line="276" w:lineRule="auto"/>
        <w:tabs>
          <w:tab w:leader="none" w:pos="2793"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Optionee’s service as a Director is terminated due to Retirement, then this Option shall terminate on the tenth anniversary of the Award Date;</w:t>
      </w:r>
    </w:p>
    <w:p>
      <w:pPr>
        <w:spacing w:after="0" w:line="174" w:lineRule="exact"/>
        <w:rPr>
          <w:rFonts w:ascii="Arial" w:cs="Arial" w:eastAsia="Arial" w:hAnsi="Arial"/>
          <w:sz w:val="22"/>
          <w:szCs w:val="22"/>
          <w:color w:val="auto"/>
        </w:rPr>
      </w:pPr>
    </w:p>
    <w:p>
      <w:pPr>
        <w:jc w:val="both"/>
        <w:ind w:firstLine="1678"/>
        <w:spacing w:after="0" w:line="327" w:lineRule="auto"/>
        <w:tabs>
          <w:tab w:leader="none" w:pos="2793"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Optionee’s service as a Director is terminated due to death at any time after the Award Date and while in the service of the Company or within 90 days after such termination of service, then the Option shall terminate on the first business day following the expiration of the one-year period which began on the date of Optionee’s death; or</w:t>
      </w:r>
    </w:p>
    <w:p>
      <w:pPr>
        <w:spacing w:after="0" w:line="132" w:lineRule="exact"/>
        <w:rPr>
          <w:rFonts w:ascii="Arial" w:cs="Arial" w:eastAsia="Arial" w:hAnsi="Arial"/>
          <w:sz w:val="19"/>
          <w:szCs w:val="19"/>
          <w:color w:val="auto"/>
        </w:rPr>
      </w:pPr>
    </w:p>
    <w:p>
      <w:pPr>
        <w:jc w:val="both"/>
        <w:ind w:firstLine="1678"/>
        <w:spacing w:after="0" w:line="266" w:lineRule="auto"/>
        <w:tabs>
          <w:tab w:leader="none" w:pos="2793"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Optionee’s service as a Director is terminated for any reason other than death, Retirement or termination for “cause,” then the Option shall terminate on the first business day following the expiration of the 90-day period beginning on the date of termination of Optionee’s service.</w:t>
      </w:r>
    </w:p>
    <w:p>
      <w:pPr>
        <w:spacing w:after="0" w:line="184" w:lineRule="exact"/>
        <w:rPr>
          <w:rFonts w:ascii="Arial" w:cs="Arial" w:eastAsia="Arial" w:hAnsi="Arial"/>
          <w:sz w:val="22"/>
          <w:szCs w:val="22"/>
          <w:color w:val="auto"/>
        </w:rPr>
      </w:pPr>
    </w:p>
    <w:p>
      <w:pPr>
        <w:ind w:left="2160" w:hanging="655"/>
        <w:spacing w:after="0"/>
        <w:tabs>
          <w:tab w:leader="none" w:pos="2160" w:val="left"/>
        </w:tabs>
        <w:numPr>
          <w:ilvl w:val="0"/>
          <w:numId w:val="30"/>
        </w:numPr>
        <w:rPr>
          <w:rFonts w:ascii="Arial" w:cs="Arial" w:eastAsia="Arial" w:hAnsi="Arial"/>
          <w:sz w:val="22"/>
          <w:szCs w:val="22"/>
          <w:i w:val="1"/>
          <w:iCs w:val="1"/>
          <w:color w:val="auto"/>
        </w:rPr>
      </w:pPr>
      <w:r>
        <w:rPr>
          <w:rFonts w:ascii="Arial" w:cs="Arial" w:eastAsia="Arial" w:hAnsi="Arial"/>
          <w:sz w:val="22"/>
          <w:szCs w:val="22"/>
          <w:i w:val="1"/>
          <w:iCs w:val="1"/>
          <w:color w:val="auto"/>
        </w:rPr>
        <w:t>Exercise of Option.</w:t>
      </w:r>
    </w:p>
    <w:p>
      <w:pPr>
        <w:spacing w:after="0" w:line="233"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Subject to the limitations set forth herein and in the Plan, this Option may be exercised by notice provided to the Company as set forth in Section 5. The payment of the Exercise Price for the Option Shares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21"/>
          <w:szCs w:val="21"/>
          <w:color w:val="auto"/>
        </w:rPr>
        <w:t>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179"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21"/>
          <w:szCs w:val="21"/>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79"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“Act”),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5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85" w:lineRule="exact"/>
        <w:rPr>
          <w:sz w:val="20"/>
          <w:szCs w:val="20"/>
          <w:color w:val="auto"/>
        </w:rPr>
      </w:pPr>
    </w:p>
    <w:p>
      <w:pPr>
        <w:ind w:left="2160" w:hanging="655"/>
        <w:spacing w:after="0"/>
        <w:tabs>
          <w:tab w:leader="none" w:pos="2160" w:val="left"/>
        </w:tabs>
        <w:numPr>
          <w:ilvl w:val="0"/>
          <w:numId w:val="31"/>
        </w:numPr>
        <w:rPr>
          <w:rFonts w:ascii="Arial" w:cs="Arial" w:eastAsia="Arial" w:hAnsi="Arial"/>
          <w:sz w:val="22"/>
          <w:szCs w:val="22"/>
          <w:i w:val="1"/>
          <w:iCs w:val="1"/>
          <w:color w:val="auto"/>
        </w:rPr>
      </w:pPr>
      <w:r>
        <w:rPr>
          <w:rFonts w:ascii="Arial" w:cs="Arial" w:eastAsia="Arial" w:hAnsi="Arial"/>
          <w:sz w:val="22"/>
          <w:szCs w:val="22"/>
          <w:i w:val="1"/>
          <w:iCs w:val="1"/>
          <w:color w:val="auto"/>
        </w:rPr>
        <w:t>Notices.</w:t>
      </w:r>
    </w:p>
    <w:p>
      <w:pPr>
        <w:spacing w:after="0" w:line="233" w:lineRule="exact"/>
        <w:rPr>
          <w:sz w:val="20"/>
          <w:szCs w:val="20"/>
          <w:color w:val="auto"/>
        </w:rPr>
      </w:pPr>
    </w:p>
    <w:p>
      <w:pPr>
        <w:ind w:firstLine="1497"/>
        <w:spacing w:after="0" w:line="276" w:lineRule="auto"/>
        <w:rPr>
          <w:sz w:val="20"/>
          <w:szCs w:val="20"/>
          <w:color w:val="auto"/>
        </w:rPr>
      </w:pPr>
      <w:r>
        <w:rPr>
          <w:rFonts w:ascii="Arial" w:cs="Arial" w:eastAsia="Arial" w:hAnsi="Arial"/>
          <w:sz w:val="22"/>
          <w:szCs w:val="22"/>
          <w:color w:val="auto"/>
        </w:rPr>
        <w:t>Notice of exercise of the Option must be made in the following manner, using such forms as the Company may from time to time provide:</w:t>
      </w:r>
    </w:p>
    <w:p>
      <w:pPr>
        <w:spacing w:after="0" w:line="174" w:lineRule="exact"/>
        <w:rPr>
          <w:sz w:val="20"/>
          <w:szCs w:val="20"/>
          <w:color w:val="auto"/>
        </w:rPr>
      </w:pPr>
    </w:p>
    <w:p>
      <w:pPr>
        <w:ind w:firstLine="1678"/>
        <w:spacing w:after="0" w:line="276" w:lineRule="auto"/>
        <w:tabs>
          <w:tab w:leader="none" w:pos="2793" w:val="left"/>
        </w:tabs>
        <w:numPr>
          <w:ilvl w:val="0"/>
          <w:numId w:val="32"/>
        </w:numPr>
        <w:rPr>
          <w:rFonts w:ascii="Arial" w:cs="Arial" w:eastAsia="Arial" w:hAnsi="Arial"/>
          <w:sz w:val="22"/>
          <w:szCs w:val="22"/>
          <w:color w:val="auto"/>
        </w:rPr>
      </w:pPr>
      <w:r>
        <w:rPr>
          <w:rFonts w:ascii="Arial" w:cs="Arial" w:eastAsia="Arial" w:hAnsi="Arial"/>
          <w:sz w:val="22"/>
          <w:szCs w:val="22"/>
          <w:color w:val="auto"/>
        </w:rPr>
        <w:t>by electronic means as designated by the Committee, in which case the date of exercise shall be the date when receipt is acknowledged by the Company;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4" w:name="page55"/>
    <w:bookmarkEnd w:id="54"/>
    <w:p>
      <w:pPr>
        <w:ind w:firstLine="1678"/>
        <w:spacing w:after="0" w:line="358" w:lineRule="auto"/>
        <w:tabs>
          <w:tab w:leader="none" w:pos="2793" w:val="left"/>
        </w:tabs>
        <w:numPr>
          <w:ilvl w:val="0"/>
          <w:numId w:val="33"/>
        </w:numPr>
        <w:rPr>
          <w:rFonts w:ascii="Arial" w:cs="Arial" w:eastAsia="Arial" w:hAnsi="Arial"/>
          <w:sz w:val="19"/>
          <w:szCs w:val="19"/>
          <w:color w:val="auto"/>
        </w:rPr>
      </w:pPr>
      <w:r>
        <w:rPr>
          <w:rFonts w:ascii="Arial" w:cs="Arial" w:eastAsia="Arial" w:hAnsi="Arial"/>
          <w:sz w:val="19"/>
          <w:szCs w:val="19"/>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04" w:lineRule="exact"/>
        <w:rPr>
          <w:rFonts w:ascii="Arial" w:cs="Arial" w:eastAsia="Arial" w:hAnsi="Arial"/>
          <w:sz w:val="19"/>
          <w:szCs w:val="19"/>
          <w:color w:val="auto"/>
        </w:rPr>
      </w:pPr>
    </w:p>
    <w:p>
      <w:pPr>
        <w:jc w:val="both"/>
        <w:ind w:firstLine="1678"/>
        <w:spacing w:after="0" w:line="266" w:lineRule="auto"/>
        <w:tabs>
          <w:tab w:leader="none" w:pos="2793"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8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85"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90" w:lineRule="exact"/>
        <w:rPr>
          <w:sz w:val="20"/>
          <w:szCs w:val="20"/>
          <w:color w:val="auto"/>
        </w:rPr>
      </w:pPr>
    </w:p>
    <w:p>
      <w:pPr>
        <w:ind w:left="2160" w:hanging="655"/>
        <w:spacing w:after="0"/>
        <w:tabs>
          <w:tab w:leader="none" w:pos="2160" w:val="left"/>
        </w:tabs>
        <w:numPr>
          <w:ilvl w:val="0"/>
          <w:numId w:val="34"/>
        </w:numPr>
        <w:rPr>
          <w:rFonts w:ascii="Arial" w:cs="Arial" w:eastAsia="Arial" w:hAnsi="Arial"/>
          <w:sz w:val="22"/>
          <w:szCs w:val="22"/>
          <w:i w:val="1"/>
          <w:iCs w:val="1"/>
          <w:color w:val="auto"/>
        </w:rPr>
      </w:pPr>
      <w:r>
        <w:rPr>
          <w:rFonts w:ascii="Arial" w:cs="Arial" w:eastAsia="Arial" w:hAnsi="Arial"/>
          <w:sz w:val="22"/>
          <w:szCs w:val="22"/>
          <w:i w:val="1"/>
          <w:iCs w:val="1"/>
          <w:color w:val="auto"/>
        </w:rPr>
        <w:t>Assignment of Option.</w:t>
      </w:r>
    </w:p>
    <w:p>
      <w:pPr>
        <w:spacing w:after="0" w:line="233"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provided in this Agreement.</w:t>
      </w:r>
    </w:p>
    <w:p>
      <w:pPr>
        <w:spacing w:after="0" w:line="142"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and only to the extent that the Option was exercisable on the date of the Optionee’s death.</w:t>
      </w:r>
    </w:p>
    <w:p>
      <w:pPr>
        <w:spacing w:after="0" w:line="191" w:lineRule="exact"/>
        <w:rPr>
          <w:sz w:val="20"/>
          <w:szCs w:val="20"/>
          <w:color w:val="auto"/>
        </w:rPr>
      </w:pPr>
    </w:p>
    <w:p>
      <w:pPr>
        <w:ind w:left="2160" w:hanging="655"/>
        <w:spacing w:after="0"/>
        <w:tabs>
          <w:tab w:leader="none" w:pos="2160" w:val="left"/>
        </w:tabs>
        <w:numPr>
          <w:ilvl w:val="0"/>
          <w:numId w:val="35"/>
        </w:numPr>
        <w:rPr>
          <w:rFonts w:ascii="Arial" w:cs="Arial" w:eastAsia="Arial" w:hAnsi="Arial"/>
          <w:sz w:val="22"/>
          <w:szCs w:val="22"/>
          <w:i w:val="1"/>
          <w:iCs w:val="1"/>
          <w:color w:val="auto"/>
        </w:rPr>
      </w:pPr>
      <w:r>
        <w:rPr>
          <w:rFonts w:ascii="Arial" w:cs="Arial" w:eastAsia="Arial" w:hAnsi="Arial"/>
          <w:sz w:val="22"/>
          <w:szCs w:val="22"/>
          <w:i w:val="1"/>
          <w:iCs w:val="1"/>
          <w:color w:val="auto"/>
        </w:rPr>
        <w:t>Stock Certificates.</w:t>
      </w:r>
    </w:p>
    <w:p>
      <w:pPr>
        <w:spacing w:after="0" w:line="233"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Certificates representing the Common Stock issued pursuant to the exercise of the Option will bear all legends required by law and necessary or advisable to effectuate the provisions of the Plan and this Option. The Company may place a “stop transfer” order against shares of the Common Stock issued pursuant to the exercise of this Option until all restrictions and conditions set forth in the Plan or this Agreement and in the legends referred to in this Section 7 have been complied with.</w:t>
      </w:r>
    </w:p>
    <w:p>
      <w:pPr>
        <w:spacing w:after="0" w:line="142" w:lineRule="exact"/>
        <w:rPr>
          <w:sz w:val="20"/>
          <w:szCs w:val="20"/>
          <w:color w:val="auto"/>
        </w:rPr>
      </w:pPr>
    </w:p>
    <w:p>
      <w:pPr>
        <w:ind w:left="2160" w:hanging="655"/>
        <w:spacing w:after="0"/>
        <w:tabs>
          <w:tab w:leader="none" w:pos="2160" w:val="left"/>
        </w:tabs>
        <w:numPr>
          <w:ilvl w:val="0"/>
          <w:numId w:val="36"/>
        </w:numPr>
        <w:rPr>
          <w:rFonts w:ascii="Arial" w:cs="Arial" w:eastAsia="Arial" w:hAnsi="Arial"/>
          <w:sz w:val="22"/>
          <w:szCs w:val="22"/>
          <w:i w:val="1"/>
          <w:iCs w:val="1"/>
          <w:color w:val="auto"/>
        </w:rPr>
      </w:pPr>
      <w:r>
        <w:rPr>
          <w:rFonts w:ascii="Arial" w:cs="Arial" w:eastAsia="Arial" w:hAnsi="Arial"/>
          <w:sz w:val="22"/>
          <w:szCs w:val="22"/>
          <w:i w:val="1"/>
          <w:iCs w:val="1"/>
          <w:color w:val="auto"/>
        </w:rPr>
        <w:t>Shareholder Rights.</w:t>
      </w:r>
    </w:p>
    <w:p>
      <w:pPr>
        <w:spacing w:after="0" w:line="233" w:lineRule="exact"/>
        <w:rPr>
          <w:sz w:val="20"/>
          <w:szCs w:val="20"/>
          <w:color w:val="auto"/>
        </w:rPr>
      </w:pPr>
    </w:p>
    <w:p>
      <w:pPr>
        <w:jc w:val="both"/>
        <w:ind w:right="20" w:firstLine="1497"/>
        <w:spacing w:after="0" w:line="266" w:lineRule="auto"/>
        <w:rPr>
          <w:sz w:val="20"/>
          <w:szCs w:val="20"/>
          <w:color w:val="auto"/>
        </w:rPr>
      </w:pPr>
      <w:r>
        <w:rPr>
          <w:rFonts w:ascii="Arial" w:cs="Arial" w:eastAsia="Arial" w:hAnsi="Arial"/>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5" w:name="page56"/>
    <w:bookmarkEnd w:id="55"/>
    <w:p>
      <w:pPr>
        <w:ind w:left="2160" w:hanging="655"/>
        <w:spacing w:after="0"/>
        <w:tabs>
          <w:tab w:leader="none" w:pos="2160" w:val="left"/>
        </w:tabs>
        <w:numPr>
          <w:ilvl w:val="0"/>
          <w:numId w:val="37"/>
        </w:numPr>
        <w:rPr>
          <w:rFonts w:ascii="Arial" w:cs="Arial" w:eastAsia="Arial" w:hAnsi="Arial"/>
          <w:sz w:val="22"/>
          <w:szCs w:val="22"/>
          <w:i w:val="1"/>
          <w:iCs w:val="1"/>
          <w:color w:val="auto"/>
        </w:rPr>
      </w:pPr>
      <w:r>
        <w:rPr>
          <w:rFonts w:ascii="Arial" w:cs="Arial" w:eastAsia="Arial" w:hAnsi="Arial"/>
          <w:sz w:val="22"/>
          <w:szCs w:val="22"/>
          <w:i w:val="1"/>
          <w:iCs w:val="1"/>
          <w:color w:val="auto"/>
        </w:rPr>
        <w:t>Successors and Assigns.</w:t>
      </w:r>
    </w:p>
    <w:p>
      <w:pPr>
        <w:spacing w:after="0" w:line="233"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33" w:lineRule="exact"/>
        <w:rPr>
          <w:sz w:val="20"/>
          <w:szCs w:val="20"/>
          <w:color w:val="auto"/>
        </w:rPr>
      </w:pPr>
    </w:p>
    <w:p>
      <w:pPr>
        <w:ind w:left="2160" w:hanging="655"/>
        <w:spacing w:after="0"/>
        <w:tabs>
          <w:tab w:leader="none" w:pos="2160" w:val="left"/>
        </w:tabs>
        <w:numPr>
          <w:ilvl w:val="0"/>
          <w:numId w:val="38"/>
        </w:numPr>
        <w:rPr>
          <w:rFonts w:ascii="Arial" w:cs="Arial" w:eastAsia="Arial" w:hAnsi="Arial"/>
          <w:sz w:val="22"/>
          <w:szCs w:val="22"/>
          <w:i w:val="1"/>
          <w:iCs w:val="1"/>
          <w:color w:val="auto"/>
        </w:rPr>
      </w:pPr>
      <w:r>
        <w:rPr>
          <w:rFonts w:ascii="Arial" w:cs="Arial" w:eastAsia="Arial" w:hAnsi="Arial"/>
          <w:sz w:val="22"/>
          <w:szCs w:val="22"/>
          <w:i w:val="1"/>
          <w:iCs w:val="1"/>
          <w:color w:val="auto"/>
        </w:rPr>
        <w:t>No Service Guaranteed.</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 provision of this Option Agreement shall confer any right upon the Optionee to continued service with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29" w:lineRule="exact"/>
        <w:rPr>
          <w:sz w:val="20"/>
          <w:szCs w:val="20"/>
          <w:color w:val="auto"/>
        </w:rPr>
      </w:pPr>
    </w:p>
    <w:p>
      <w:pPr>
        <w:ind w:left="2160" w:hanging="655"/>
        <w:spacing w:after="0"/>
        <w:tabs>
          <w:tab w:leader="none" w:pos="2160" w:val="left"/>
        </w:tabs>
        <w:numPr>
          <w:ilvl w:val="0"/>
          <w:numId w:val="39"/>
        </w:numPr>
        <w:rPr>
          <w:rFonts w:ascii="Arial" w:cs="Arial" w:eastAsia="Arial" w:hAnsi="Arial"/>
          <w:sz w:val="22"/>
          <w:szCs w:val="22"/>
          <w:i w:val="1"/>
          <w:iCs w:val="1"/>
          <w:color w:val="auto"/>
        </w:rPr>
      </w:pPr>
      <w:r>
        <w:rPr>
          <w:rFonts w:ascii="Arial" w:cs="Arial" w:eastAsia="Arial" w:hAnsi="Arial"/>
          <w:sz w:val="22"/>
          <w:szCs w:val="22"/>
          <w:i w:val="1"/>
          <w:iCs w:val="1"/>
          <w:color w:val="auto"/>
        </w:rPr>
        <w:t>Governing Law.</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This Option Agreement shall be governed by, construed and enforced in accordance with the laws of the State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229" w:lineRule="exact"/>
        <w:rPr>
          <w:sz w:val="20"/>
          <w:szCs w:val="20"/>
          <w:color w:val="auto"/>
        </w:rPr>
      </w:pPr>
    </w:p>
    <w:p>
      <w:pPr>
        <w:ind w:left="2160" w:hanging="655"/>
        <w:spacing w:after="0"/>
        <w:tabs>
          <w:tab w:leader="none" w:pos="2160" w:val="left"/>
        </w:tabs>
        <w:numPr>
          <w:ilvl w:val="0"/>
          <w:numId w:val="40"/>
        </w:numPr>
        <w:rPr>
          <w:rFonts w:ascii="Arial" w:cs="Arial" w:eastAsia="Arial" w:hAnsi="Arial"/>
          <w:sz w:val="22"/>
          <w:szCs w:val="22"/>
          <w:i w:val="1"/>
          <w:iCs w:val="1"/>
          <w:color w:val="auto"/>
        </w:rPr>
      </w:pPr>
      <w:r>
        <w:rPr>
          <w:rFonts w:ascii="Arial" w:cs="Arial" w:eastAsia="Arial" w:hAnsi="Arial"/>
          <w:sz w:val="22"/>
          <w:szCs w:val="22"/>
          <w:i w:val="1"/>
          <w:iCs w:val="1"/>
          <w:color w:val="auto"/>
        </w:rPr>
        <w:t>Amendment.</w:t>
      </w:r>
    </w:p>
    <w:p>
      <w:pPr>
        <w:spacing w:after="0" w:line="233" w:lineRule="exact"/>
        <w:rPr>
          <w:sz w:val="20"/>
          <w:szCs w:val="20"/>
          <w:color w:val="auto"/>
        </w:rPr>
      </w:pPr>
    </w:p>
    <w:p>
      <w:pPr>
        <w:ind w:firstLine="1497"/>
        <w:spacing w:after="0" w:line="276" w:lineRule="auto"/>
        <w:rPr>
          <w:sz w:val="20"/>
          <w:szCs w:val="20"/>
          <w:color w:val="auto"/>
        </w:rPr>
      </w:pPr>
      <w:r>
        <w:rPr>
          <w:rFonts w:ascii="Arial" w:cs="Arial" w:eastAsia="Arial" w:hAnsi="Arial"/>
          <w:sz w:val="22"/>
          <w:szCs w:val="22"/>
          <w:color w:val="auto"/>
        </w:rPr>
        <w:t>This Agreement cannot be modified, altered or amended except by an agreement, in writing, signed by both the Company and the Optionee.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EAGLE MATERIALS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900" w:type="dxa"/>
        <w:tblCellMar>
          <w:top w:w="0" w:type="dxa"/>
          <w:left w:w="0" w:type="dxa"/>
          <w:bottom w:w="0" w:type="dxa"/>
          <w:right w:w="0" w:type="dxa"/>
        </w:tblCellMar>
      </w:tblPr>
      <w:tr>
        <w:trPr>
          <w:trHeight w:val="285"/>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77"/>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94"/>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590"/>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6" w:name="page57"/>
    <w:bookmarkEnd w:id="56"/>
    <w:p>
      <w:pPr>
        <w:ind w:firstLine="1497"/>
        <w:spacing w:after="0" w:line="276" w:lineRule="auto"/>
        <w:rPr>
          <w:sz w:val="20"/>
          <w:szCs w:val="20"/>
          <w:color w:val="auto"/>
        </w:rPr>
      </w:pPr>
      <w:r>
        <w:rPr>
          <w:rFonts w:ascii="Arial" w:cs="Arial" w:eastAsia="Arial" w:hAnsi="Arial"/>
          <w:sz w:val="22"/>
          <w:szCs w:val="22"/>
          <w:color w:val="auto"/>
        </w:rPr>
        <w:t>The Optionee hereby accepts the foregoing Option Agreement, subject to the terms and provisions of the Plan and administrative interpretations thereof referred to above.</w:t>
      </w:r>
    </w:p>
    <w:p>
      <w:pPr>
        <w:spacing w:after="0" w:line="16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00"/>
        <w:spacing w:after="0"/>
        <w:tabs>
          <w:tab w:leader="none" w:pos="60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34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357"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200" w:lineRule="exact"/>
        <w:rPr>
          <w:sz w:val="20"/>
          <w:szCs w:val="20"/>
          <w:color w:val="auto"/>
        </w:rPr>
      </w:pPr>
    </w:p>
    <w:p>
      <w:pPr>
        <w:spacing w:after="0" w:line="36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For the purpose of this Agreement, a “Change in Control” shall mean the occurrence of any of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229" w:lineRule="exact"/>
        <w:rPr>
          <w:sz w:val="20"/>
          <w:szCs w:val="20"/>
          <w:color w:val="auto"/>
        </w:rPr>
      </w:pPr>
    </w:p>
    <w:p>
      <w:pPr>
        <w:jc w:val="both"/>
        <w:ind w:firstLine="1678"/>
        <w:spacing w:after="0" w:line="273" w:lineRule="auto"/>
        <w:tabs>
          <w:tab w:leader="none" w:pos="2793"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83" w:lineRule="exact"/>
        <w:rPr>
          <w:rFonts w:ascii="Arial" w:cs="Arial" w:eastAsia="Arial" w:hAnsi="Arial"/>
          <w:sz w:val="21"/>
          <w:szCs w:val="21"/>
          <w:color w:val="auto"/>
        </w:rPr>
      </w:pPr>
    </w:p>
    <w:p>
      <w:pPr>
        <w:jc w:val="both"/>
        <w:ind w:firstLine="1678"/>
        <w:spacing w:after="0" w:line="272" w:lineRule="auto"/>
        <w:tabs>
          <w:tab w:leader="none" w:pos="2793" w:val="left"/>
        </w:tabs>
        <w:numPr>
          <w:ilvl w:val="0"/>
          <w:numId w:val="41"/>
        </w:numPr>
        <w:rPr>
          <w:rFonts w:ascii="Arial" w:cs="Arial" w:eastAsia="Arial" w:hAnsi="Arial"/>
          <w:sz w:val="21"/>
          <w:szCs w:val="21"/>
          <w:color w:val="auto"/>
        </w:rPr>
      </w:pPr>
      <w:r>
        <w:rPr>
          <w:rFonts w:ascii="Arial" w:cs="Arial" w:eastAsia="Arial" w:hAnsi="Arial"/>
          <w:sz w:val="21"/>
          <w:szCs w:val="21"/>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82" w:lineRule="exact"/>
        <w:rPr>
          <w:rFonts w:ascii="Arial" w:cs="Arial" w:eastAsia="Arial" w:hAnsi="Arial"/>
          <w:sz w:val="21"/>
          <w:szCs w:val="21"/>
          <w:color w:val="auto"/>
        </w:rPr>
      </w:pPr>
    </w:p>
    <w:p>
      <w:pPr>
        <w:jc w:val="both"/>
        <w:ind w:firstLine="1678"/>
        <w:spacing w:after="0" w:line="301" w:lineRule="auto"/>
        <w:tabs>
          <w:tab w:leader="none" w:pos="2793"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jc w:val="both"/>
        <w:ind w:left="-300" w:firstLine="1678"/>
        <w:spacing w:after="0" w:line="301" w:lineRule="auto"/>
        <w:tabs>
          <w:tab w:leader="none" w:pos="2493" w:val="left"/>
        </w:tabs>
        <w:numPr>
          <w:ilvl w:val="0"/>
          <w:numId w:val="42"/>
        </w:numPr>
        <w:rPr>
          <w:rFonts w:ascii="Arial" w:cs="Arial" w:eastAsia="Arial" w:hAnsi="Arial"/>
          <w:sz w:val="19"/>
          <w:szCs w:val="19"/>
          <w:color w:val="auto"/>
        </w:rPr>
      </w:pPr>
      <w:r>
        <w:rPr>
          <w:rFonts w:ascii="Arial" w:cs="Arial" w:eastAsia="Arial" w:hAnsi="Arial"/>
          <w:sz w:val="19"/>
          <w:szCs w:val="19"/>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64"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For purposes of the foregoing,</w:t>
      </w:r>
    </w:p>
    <w:p>
      <w:pPr>
        <w:spacing w:after="0" w:line="233" w:lineRule="exact"/>
        <w:rPr>
          <w:sz w:val="20"/>
          <w:szCs w:val="20"/>
          <w:color w:val="auto"/>
        </w:rPr>
      </w:pPr>
    </w:p>
    <w:p>
      <w:pPr>
        <w:ind w:left="3360" w:hanging="843"/>
        <w:spacing w:after="0"/>
        <w:tabs>
          <w:tab w:leader="none" w:pos="33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 “Person” means an individual, entity or group;</w:t>
      </w:r>
    </w:p>
    <w:p>
      <w:pPr>
        <w:spacing w:after="0" w:line="233" w:lineRule="exact"/>
        <w:rPr>
          <w:rFonts w:ascii="Arial" w:cs="Arial" w:eastAsia="Arial" w:hAnsi="Arial"/>
          <w:sz w:val="22"/>
          <w:szCs w:val="22"/>
          <w:color w:val="auto"/>
        </w:rPr>
      </w:pPr>
    </w:p>
    <w:p>
      <w:pPr>
        <w:ind w:left="3360" w:hanging="897"/>
        <w:spacing w:after="0"/>
        <w:tabs>
          <w:tab w:leader="none" w:pos="33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term “group” is used as it is defined for purposes of Section 13(d)(3) of the</w:t>
      </w:r>
    </w:p>
    <w:p>
      <w:pPr>
        <w:spacing w:after="0" w:line="32"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Exchange Act;</w:t>
      </w:r>
    </w:p>
    <w:p>
      <w:pPr>
        <w:spacing w:after="0" w:line="228" w:lineRule="exact"/>
        <w:rPr>
          <w:rFonts w:ascii="Arial" w:cs="Arial" w:eastAsia="Arial" w:hAnsi="Arial"/>
          <w:sz w:val="21"/>
          <w:szCs w:val="21"/>
          <w:color w:val="auto"/>
        </w:rPr>
      </w:pPr>
    </w:p>
    <w:p>
      <w:pPr>
        <w:ind w:left="1960" w:right="740" w:firstLine="448"/>
        <w:spacing w:after="0" w:line="276" w:lineRule="auto"/>
        <w:tabs>
          <w:tab w:leader="none" w:pos="3357"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terms “beneficial owner”, “beneficial ownership” and “beneficially own” are used as defined for purposes of Rule 13d-3 under the Exchange Act;</w:t>
      </w:r>
    </w:p>
    <w:p>
      <w:pPr>
        <w:spacing w:after="0" w:line="174" w:lineRule="exact"/>
        <w:rPr>
          <w:rFonts w:ascii="Arial" w:cs="Arial" w:eastAsia="Arial" w:hAnsi="Arial"/>
          <w:sz w:val="22"/>
          <w:szCs w:val="22"/>
          <w:color w:val="auto"/>
        </w:rPr>
      </w:pPr>
    </w:p>
    <w:p>
      <w:pPr>
        <w:jc w:val="both"/>
        <w:ind w:left="1960" w:right="760" w:firstLine="459"/>
        <w:spacing w:after="0" w:line="327" w:lineRule="auto"/>
        <w:tabs>
          <w:tab w:leader="none" w:pos="3357"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32" w:lineRule="exact"/>
        <w:rPr>
          <w:rFonts w:ascii="Arial" w:cs="Arial" w:eastAsia="Arial" w:hAnsi="Arial"/>
          <w:sz w:val="19"/>
          <w:szCs w:val="19"/>
          <w:color w:val="auto"/>
        </w:rPr>
      </w:pPr>
    </w:p>
    <w:p>
      <w:pPr>
        <w:ind w:left="1960" w:right="760" w:firstLine="514"/>
        <w:spacing w:after="0" w:line="276" w:lineRule="auto"/>
        <w:tabs>
          <w:tab w:leader="none" w:pos="3357"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term “Company Common Stock” shall mean the Common Stock, par value $.01 per share, of the Company;</w:t>
      </w:r>
    </w:p>
    <w:p>
      <w:pPr>
        <w:spacing w:after="0" w:line="174" w:lineRule="exact"/>
        <w:rPr>
          <w:rFonts w:ascii="Arial" w:cs="Arial" w:eastAsia="Arial" w:hAnsi="Arial"/>
          <w:sz w:val="22"/>
          <w:szCs w:val="22"/>
          <w:color w:val="auto"/>
        </w:rPr>
      </w:pPr>
    </w:p>
    <w:p>
      <w:pPr>
        <w:ind w:left="3360" w:hanging="941"/>
        <w:spacing w:after="0"/>
        <w:tabs>
          <w:tab w:leader="none" w:pos="33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term “Exchange Act” means the Securities Exchange Act of 1934, as</w:t>
      </w:r>
    </w:p>
    <w:p>
      <w:pPr>
        <w:spacing w:after="0" w:line="21"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amended;</w:t>
      </w:r>
    </w:p>
    <w:p>
      <w:pPr>
        <w:spacing w:after="0" w:line="228" w:lineRule="exact"/>
        <w:rPr>
          <w:rFonts w:ascii="Arial" w:cs="Arial" w:eastAsia="Arial" w:hAnsi="Arial"/>
          <w:sz w:val="22"/>
          <w:szCs w:val="22"/>
          <w:color w:val="auto"/>
        </w:rPr>
      </w:pPr>
    </w:p>
    <w:p>
      <w:pPr>
        <w:jc w:val="both"/>
        <w:ind w:left="1960" w:right="760" w:firstLine="405"/>
        <w:spacing w:after="0" w:line="261" w:lineRule="auto"/>
        <w:tabs>
          <w:tab w:leader="none" w:pos="3357"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71755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2" w:right="339" w:bottom="1440" w:gutter="0" w:footer="0" w:header="0"/>
        </w:sectPr>
      </w:pPr>
    </w:p>
    <w:bookmarkStart w:id="59" w:name="page60"/>
    <w:bookmarkEnd w:id="59"/>
    <w:p>
      <w:pPr>
        <w:jc w:val="both"/>
        <w:ind w:left="1960" w:right="20" w:firstLine="350"/>
        <w:spacing w:after="0" w:line="261" w:lineRule="auto"/>
        <w:tabs>
          <w:tab w:leader="none" w:pos="3357"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190" w:lineRule="exact"/>
        <w:rPr>
          <w:sz w:val="20"/>
          <w:szCs w:val="20"/>
          <w:color w:val="auto"/>
        </w:rPr>
      </w:pPr>
    </w:p>
    <w:p>
      <w:pPr>
        <w:jc w:val="both"/>
        <w:ind w:left="1960" w:right="20" w:firstLine="459"/>
        <w:spacing w:after="0" w:line="317" w:lineRule="auto"/>
        <w:tabs>
          <w:tab w:leader="none" w:pos="3357"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41" w:lineRule="exact"/>
        <w:rPr>
          <w:rFonts w:ascii="Arial" w:cs="Arial" w:eastAsia="Arial" w:hAnsi="Arial"/>
          <w:sz w:val="19"/>
          <w:szCs w:val="19"/>
          <w:color w:val="auto"/>
        </w:rPr>
      </w:pPr>
    </w:p>
    <w:p>
      <w:pPr>
        <w:jc w:val="both"/>
        <w:ind w:left="1960" w:firstLine="514"/>
        <w:spacing w:after="0" w:line="273" w:lineRule="auto"/>
        <w:tabs>
          <w:tab w:leader="none" w:pos="3357"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71755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620" w:top="132" w:right="107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31"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30" w:lineRule="exact"/>
        <w:rPr>
          <w:rFonts w:ascii="Arial" w:cs="Arial" w:eastAsia="Arial" w:hAnsi="Arial"/>
          <w:sz w:val="18"/>
          <w:szCs w:val="18"/>
          <w:color w:val="auto"/>
        </w:rPr>
      </w:pPr>
    </w:p>
    <w:p>
      <w:pPr>
        <w:ind w:firstLine="8"/>
        <w:spacing w:after="0" w:line="359" w:lineRule="auto"/>
        <w:tabs>
          <w:tab w:leader="none" w:pos="2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93" w:lineRule="auto"/>
        <w:tabs>
          <w:tab w:leader="none" w:pos="2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firstLine="8"/>
        <w:spacing w:after="0" w:line="279" w:lineRule="auto"/>
        <w:tabs>
          <w:tab w:leader="none" w:pos="1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8"/>
        <w:spacing w:after="0" w:line="279" w:lineRule="auto"/>
        <w:tabs>
          <w:tab w:leader="none" w:pos="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firstLine="8"/>
        <w:spacing w:after="0" w:line="279" w:lineRule="auto"/>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firstLine="8"/>
        <w:spacing w:after="0" w:line="293" w:lineRule="auto"/>
        <w:tabs>
          <w:tab w:leader="none" w:pos="1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firstLine="8"/>
        <w:spacing w:after="0" w:line="279" w:lineRule="auto"/>
        <w:tabs>
          <w:tab w:leader="none" w:pos="2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8"/>
        <w:spacing w:after="0" w:line="324" w:lineRule="auto"/>
        <w:tabs>
          <w:tab w:leader="none" w:pos="19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93" w:lineRule="auto"/>
        <w:tabs>
          <w:tab w:leader="none" w:pos="1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firstLine="8"/>
        <w:spacing w:after="0" w:line="293" w:lineRule="auto"/>
        <w:tabs>
          <w:tab w:leader="none" w:pos="20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2021</w:t>
      </w:r>
    </w:p>
    <w:p>
      <w:pPr>
        <w:spacing w:after="0" w:line="293"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92075</wp:posOffset>
            </wp:positionV>
            <wp:extent cx="25800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1" w:name="page62"/>
    <w:bookmarkEnd w:id="61"/>
    <w:p>
      <w:pPr>
        <w:ind w:left="10260"/>
        <w:spacing w:after="0"/>
        <w:rPr>
          <w:sz w:val="20"/>
          <w:szCs w:val="20"/>
          <w:color w:val="auto"/>
        </w:rPr>
      </w:pPr>
      <w:r>
        <w:rPr>
          <w:rFonts w:ascii="Arial" w:cs="Arial" w:eastAsia="Arial" w:hAnsi="Arial"/>
          <w:sz w:val="17"/>
          <w:szCs w:val="17"/>
          <w:b w:val="1"/>
          <w:bCs w:val="1"/>
          <w:color w:val="auto"/>
        </w:rPr>
        <w:t>Exhibit 31.2</w:t>
      </w:r>
    </w:p>
    <w:p>
      <w:pPr>
        <w:spacing w:after="0" w:line="25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31"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30" w:lineRule="exact"/>
        <w:rPr>
          <w:rFonts w:ascii="Arial" w:cs="Arial" w:eastAsia="Arial" w:hAnsi="Arial"/>
          <w:sz w:val="18"/>
          <w:szCs w:val="18"/>
          <w:color w:val="auto"/>
        </w:rPr>
      </w:pPr>
    </w:p>
    <w:p>
      <w:pPr>
        <w:ind w:firstLine="8"/>
        <w:spacing w:after="0" w:line="359" w:lineRule="auto"/>
        <w:tabs>
          <w:tab w:leader="none" w:pos="2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93" w:lineRule="auto"/>
        <w:tabs>
          <w:tab w:leader="none" w:pos="20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firstLine="8"/>
        <w:spacing w:after="0" w:line="279" w:lineRule="auto"/>
        <w:tabs>
          <w:tab w:leader="none" w:pos="1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8"/>
        <w:spacing w:after="0" w:line="279" w:lineRule="auto"/>
        <w:tabs>
          <w:tab w:leader="none" w:pos="18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firstLine="8"/>
        <w:spacing w:after="0" w:line="279" w:lineRule="auto"/>
        <w:tabs>
          <w:tab w:leader="none" w:pos="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firstLine="8"/>
        <w:spacing w:after="0" w:line="293" w:lineRule="auto"/>
        <w:tabs>
          <w:tab w:leader="none" w:pos="1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firstLine="8"/>
        <w:spacing w:after="0" w:line="279" w:lineRule="auto"/>
        <w:tabs>
          <w:tab w:leader="none" w:pos="2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8"/>
        <w:spacing w:after="0" w:line="324" w:lineRule="auto"/>
        <w:tabs>
          <w:tab w:leader="none" w:pos="192"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9" w:lineRule="exact"/>
        <w:rPr>
          <w:sz w:val="20"/>
          <w:szCs w:val="20"/>
          <w:color w:val="auto"/>
        </w:rPr>
      </w:pPr>
    </w:p>
    <w:p>
      <w:pPr>
        <w:ind w:firstLine="8"/>
        <w:spacing w:after="0" w:line="293" w:lineRule="auto"/>
        <w:tabs>
          <w:tab w:leader="none" w:pos="1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firstLine="8"/>
        <w:spacing w:after="0" w:line="293" w:lineRule="auto"/>
        <w:tabs>
          <w:tab w:leader="none" w:pos="20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2021</w:t>
      </w:r>
    </w:p>
    <w:p>
      <w:pPr>
        <w:spacing w:after="0" w:line="26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92075</wp:posOffset>
            </wp:positionV>
            <wp:extent cx="258889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ind w:left="10260"/>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43"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September 30, 2021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7" w:lineRule="exact"/>
        <w:rPr>
          <w:sz w:val="20"/>
          <w:szCs w:val="20"/>
          <w:color w:val="auto"/>
        </w:rPr>
      </w:pPr>
    </w:p>
    <w:p>
      <w:pPr>
        <w:ind w:left="580" w:hanging="487"/>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37"/>
        <w:spacing w:after="0"/>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2021</w:t>
      </w:r>
    </w:p>
    <w:p>
      <w:pPr>
        <w:spacing w:after="0" w:line="26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tab/>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92075</wp:posOffset>
            </wp:positionV>
            <wp:extent cx="25888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ind w:left="1026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43" w:lineRule="exact"/>
        <w:rPr>
          <w:sz w:val="20"/>
          <w:szCs w:val="20"/>
          <w:color w:val="auto"/>
        </w:rPr>
      </w:pPr>
    </w:p>
    <w:p>
      <w:pPr>
        <w:jc w:val="both"/>
        <w:ind w:firstLine="255"/>
        <w:spacing w:after="0" w:line="329"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September 30, 2021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40" w:lineRule="exact"/>
        <w:rPr>
          <w:sz w:val="20"/>
          <w:szCs w:val="20"/>
          <w:color w:val="auto"/>
        </w:rPr>
      </w:pPr>
    </w:p>
    <w:p>
      <w:pPr>
        <w:ind w:left="580" w:hanging="487"/>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580" w:hanging="537"/>
        <w:spacing w:after="0"/>
        <w:tabs>
          <w:tab w:leader="none" w:pos="5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2021</w:t>
      </w:r>
    </w:p>
    <w:p>
      <w:pPr>
        <w:spacing w:after="0" w:line="26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tab/>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92075</wp:posOffset>
            </wp:positionV>
            <wp:extent cx="25888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Craig Kesler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right"/>
        <w:ind w:righ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-119380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-102235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-85090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-67945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-50800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-33655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-16510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17145</wp:posOffset>
            </wp:positionV>
            <wp:extent cx="889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pacing w:after="0" w:line="3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-113030</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-95885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-78740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-61595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-44450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-27305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-10160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6350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23495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40640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57785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74930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92075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109220</wp:posOffset>
            </wp:positionV>
            <wp:extent cx="88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126365</wp:posOffset>
            </wp:positionV>
            <wp:extent cx="889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pacing w:after="0" w:line="196"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September 30, 2021 for our facilities. In 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 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-761365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-744220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-727075</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-709930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-692785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-675640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-658495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-624205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-607060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-589915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-572770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-555625</wp:posOffset>
            </wp:positionV>
            <wp:extent cx="88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-538480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-521335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-504190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-487045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-452755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-435610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-418465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-401320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-384175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-367030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-349885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-332740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-315595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-281305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-264160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-247015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-229870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-212725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-195580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-178435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-161290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-144145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-109855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-92710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-75565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-58420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-41275</wp:posOffset>
            </wp:positionV>
            <wp:extent cx="88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-24130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-6985</wp:posOffset>
            </wp:positionV>
            <wp:extent cx="889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635</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20"/>
          </w:cols>
          <w:pgMar w:left="440" w:top="6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spacing w:after="0" w:line="303" w:lineRule="auto"/>
        <w:rPr>
          <w:sz w:val="20"/>
          <w:szCs w:val="20"/>
          <w:color w:val="auto"/>
        </w:rPr>
      </w:pPr>
      <w:r>
        <w:rPr>
          <w:rFonts w:ascii="Arial" w:cs="Arial" w:eastAsia="Arial" w:hAnsi="Arial"/>
          <w:sz w:val="13"/>
          <w:szCs w:val="13"/>
          <w:color w:val="auto"/>
        </w:rPr>
        <w:t>Mine or Operating Name/MSHA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-1007110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-989965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-972820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-955675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-938530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-921385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-904240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-887095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-869950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-852805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-835660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-818515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-801370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-784225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-767080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-749935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-732790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-715645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-698500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-681355</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-664210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-647065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-629920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-612775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-595630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-578485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-561340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-544195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-527050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-509905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-492760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-475615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-458470</wp:posOffset>
            </wp:positionV>
            <wp:extent cx="88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-441325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-424180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-407035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-389890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-372745</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-355600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-338455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-321310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-304165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-287020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-269875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-252730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wp:posOffset>
            </wp:positionV>
            <wp:extent cx="1371600" cy="2743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right="620"/>
        <w:spacing w:after="0" w:line="314" w:lineRule="auto"/>
        <w:rPr>
          <w:sz w:val="20"/>
          <w:szCs w:val="20"/>
          <w:color w:val="auto"/>
        </w:rPr>
      </w:pPr>
      <w:r>
        <w:rPr>
          <w:rFonts w:ascii="Arial" w:cs="Arial" w:eastAsia="Arial" w:hAnsi="Arial"/>
          <w:sz w:val="13"/>
          <w:szCs w:val="13"/>
          <w:color w:val="auto"/>
        </w:rPr>
        <w:t>3D Concrete LLC Lander, NV (2602434)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-4445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500"/>
        <w:spacing w:after="0" w:line="314" w:lineRule="auto"/>
        <w:rPr>
          <w:sz w:val="20"/>
          <w:szCs w:val="20"/>
          <w:color w:val="auto"/>
        </w:rPr>
      </w:pPr>
      <w:r>
        <w:rPr>
          <w:rFonts w:ascii="Arial" w:cs="Arial" w:eastAsia="Arial" w:hAnsi="Arial"/>
          <w:sz w:val="13"/>
          <w:szCs w:val="13"/>
          <w:color w:val="auto"/>
        </w:rPr>
        <w:t>3D Concrete LLC Lyon, Nevada (2602412)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1371600" cy="3943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371600" cy="3943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American Gypsum Company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Albuquerque, NM (2900181)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American Gypsum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-89535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-72390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-55245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-38100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-20955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-3810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12700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-85090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-67945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-50800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-33655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-16510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Duke, OK (3400256)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-93980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-76835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-59690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-42545</wp:posOffset>
            </wp:positionV>
            <wp:extent cx="88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-25400</wp:posOffset>
            </wp:positionV>
            <wp:extent cx="1371600" cy="3943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1371600" cy="3943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American Gypsum Company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LLC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Eagle, CO (0503997)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5" w:lineRule="exact"/>
        <w:rPr>
          <w:sz w:val="20"/>
          <w:szCs w:val="20"/>
          <w:color w:val="auto"/>
        </w:rPr>
      </w:pPr>
    </w:p>
    <w:p>
      <w:pPr>
        <w:ind w:right="660"/>
        <w:spacing w:after="0" w:line="314" w:lineRule="auto"/>
        <w:rPr>
          <w:sz w:val="20"/>
          <w:szCs w:val="20"/>
          <w:color w:val="auto"/>
        </w:rPr>
      </w:pPr>
      <w:r>
        <w:rPr>
          <w:rFonts w:ascii="Arial" w:cs="Arial" w:eastAsia="Arial" w:hAnsi="Arial"/>
          <w:sz w:val="13"/>
          <w:szCs w:val="13"/>
          <w:color w:val="auto"/>
        </w:rPr>
        <w:t>Centex Materials LLC Buda, TX (4102241)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wp:posOffset>
            </wp:positionV>
            <wp:extent cx="1371600" cy="2743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right="60"/>
        <w:spacing w:after="0" w:line="340" w:lineRule="auto"/>
        <w:rPr>
          <w:sz w:val="20"/>
          <w:szCs w:val="20"/>
          <w:color w:val="auto"/>
        </w:rPr>
      </w:pPr>
      <w:r>
        <w:rPr>
          <w:rFonts w:ascii="Arial" w:cs="Arial" w:eastAsia="Arial" w:hAnsi="Arial"/>
          <w:sz w:val="12"/>
          <w:szCs w:val="12"/>
          <w:color w:val="auto"/>
        </w:rPr>
        <w:t>Central Plains Cement Company Sugar Creek, MO (2302171)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-4445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60"/>
        <w:spacing w:after="0" w:line="314" w:lineRule="auto"/>
        <w:rPr>
          <w:sz w:val="20"/>
          <w:szCs w:val="20"/>
          <w:color w:val="auto"/>
        </w:rPr>
      </w:pPr>
      <w:r>
        <w:rPr>
          <w:rFonts w:ascii="Arial" w:cs="Arial" w:eastAsia="Arial" w:hAnsi="Arial"/>
          <w:sz w:val="13"/>
          <w:szCs w:val="13"/>
          <w:color w:val="auto"/>
        </w:rPr>
        <w:t>Central Plains Cement Company Tulsa, OK (3400026)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wp:posOffset>
            </wp:positionV>
            <wp:extent cx="1371600" cy="2743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right="60"/>
        <w:spacing w:after="0" w:line="314" w:lineRule="auto"/>
        <w:rPr>
          <w:sz w:val="20"/>
          <w:szCs w:val="20"/>
          <w:color w:val="auto"/>
        </w:rPr>
      </w:pPr>
      <w:r>
        <w:rPr>
          <w:rFonts w:ascii="Arial" w:cs="Arial" w:eastAsia="Arial" w:hAnsi="Arial"/>
          <w:sz w:val="13"/>
          <w:szCs w:val="13"/>
          <w:color w:val="auto"/>
        </w:rPr>
        <w:t>Fairborn Cement Company LLC Greene County, OH (3300161)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-4445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460"/>
        <w:spacing w:after="0" w:line="314" w:lineRule="auto"/>
        <w:rPr>
          <w:sz w:val="20"/>
          <w:szCs w:val="20"/>
          <w:color w:val="auto"/>
        </w:rPr>
      </w:pPr>
      <w:r>
        <w:rPr>
          <w:rFonts w:ascii="Arial" w:cs="Arial" w:eastAsia="Arial" w:hAnsi="Arial"/>
          <w:sz w:val="13"/>
          <w:szCs w:val="13"/>
          <w:color w:val="auto"/>
        </w:rPr>
        <w:t>Illinois Cement Company LaSalle, IL (1100003)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wp:posOffset>
            </wp:positionV>
            <wp:extent cx="1371600" cy="2743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right="80"/>
        <w:spacing w:after="0" w:line="291" w:lineRule="auto"/>
        <w:rPr>
          <w:sz w:val="20"/>
          <w:szCs w:val="20"/>
          <w:color w:val="auto"/>
        </w:rPr>
      </w:pPr>
      <w:r>
        <w:rPr>
          <w:rFonts w:ascii="Arial" w:cs="Arial" w:eastAsia="Arial" w:hAnsi="Arial"/>
          <w:sz w:val="14"/>
          <w:szCs w:val="14"/>
          <w:color w:val="auto"/>
        </w:rPr>
        <w:t>Kosmos Cement Company LLC Jefferson, KY (1504469)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91" w:lineRule="auto"/>
        <w:rPr>
          <w:sz w:val="20"/>
          <w:szCs w:val="20"/>
          <w:color w:val="auto"/>
        </w:rPr>
      </w:pPr>
      <w:r>
        <w:rPr>
          <w:rFonts w:ascii="Arial" w:cs="Arial" w:eastAsia="Arial" w:hAnsi="Arial"/>
          <w:sz w:val="14"/>
          <w:szCs w:val="14"/>
          <w:color w:val="auto"/>
        </w:rPr>
        <w:t>Mountain Cement Company LLC Laramie, WY (4800007)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-218440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-201295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-184150</wp:posOffset>
            </wp:positionV>
            <wp:extent cx="88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-167005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-149860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-132715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-115570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-98425</wp:posOffset>
            </wp:positionV>
            <wp:extent cx="88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-81280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-64135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-46990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-29845</wp:posOffset>
            </wp:positionV>
            <wp:extent cx="1371600" cy="274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1371600" cy="274320"/>
                    </a:xfrm>
                    <a:prstGeom prst="rect">
                      <a:avLst/>
                    </a:prstGeom>
                    <a:noFill/>
                  </pic:spPr>
                </pic:pic>
              </a:graphicData>
            </a:graphic>
          </wp:anchor>
        </w:drawing>
      </w:r>
    </w:p>
    <w:p>
      <w:pPr>
        <w:ind w:right="120"/>
        <w:spacing w:after="0" w:line="293" w:lineRule="auto"/>
        <w:rPr>
          <w:sz w:val="20"/>
          <w:szCs w:val="20"/>
          <w:color w:val="auto"/>
        </w:rPr>
      </w:pPr>
      <w:r>
        <w:rPr>
          <w:rFonts w:ascii="Arial" w:cs="Arial" w:eastAsia="Arial" w:hAnsi="Arial"/>
          <w:sz w:val="14"/>
          <w:szCs w:val="14"/>
          <w:color w:val="auto"/>
        </w:rPr>
        <w:t>Nevada Cement Company LLC Fernley, NV (2600015)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wp:posOffset>
            </wp:positionV>
            <wp:extent cx="133731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3373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auto"/>
              </w:rPr>
              <w:t>Received</w:t>
            </w: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Received</w:t>
            </w: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Notice of</w:t>
            </w: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Potential</w:t>
            </w: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Pattern of</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to Have</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6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4"/>
              </w:rPr>
              <w:t>Total Dollar</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Violations</w:t>
            </w: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Pattern</w:t>
            </w:r>
          </w:p>
        </w:tc>
        <w:tc>
          <w:tcPr>
            <w:tcW w:w="88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Legal</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75"/>
        </w:trPr>
        <w:tc>
          <w:tcPr>
            <w:tcW w:w="700" w:type="dxa"/>
            <w:vAlign w:val="bottom"/>
          </w:tcPr>
          <w:p>
            <w:pPr>
              <w:jc w:val="center"/>
              <w:spacing w:after="0"/>
              <w:rPr>
                <w:sz w:val="20"/>
                <w:szCs w:val="20"/>
                <w:color w:val="auto"/>
              </w:rPr>
            </w:pPr>
            <w:r>
              <w:rPr>
                <w:rFonts w:ascii="Arial" w:cs="Arial" w:eastAsia="Arial" w:hAnsi="Arial"/>
                <w:sz w:val="14"/>
                <w:szCs w:val="14"/>
                <w:color w:val="auto"/>
                <w:w w:val="94"/>
              </w:rPr>
              <w:t>104</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Sectio</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104(d)</w:t>
            </w:r>
          </w:p>
        </w:tc>
        <w:tc>
          <w:tcPr>
            <w:tcW w:w="74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Sectio</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93"/>
              </w:rPr>
              <w:t>Value of</w:t>
            </w: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Number</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Under</w:t>
            </w:r>
          </w:p>
        </w:tc>
        <w:tc>
          <w:tcPr>
            <w:tcW w:w="880" w:type="dxa"/>
            <w:vAlign w:val="bottom"/>
          </w:tcPr>
          <w:p>
            <w:pPr>
              <w:jc w:val="center"/>
              <w:spacing w:after="0"/>
              <w:rPr>
                <w:sz w:val="20"/>
                <w:szCs w:val="20"/>
                <w:color w:val="auto"/>
              </w:rPr>
            </w:pPr>
            <w:r>
              <w:rPr>
                <w:rFonts w:ascii="Arial" w:cs="Arial" w:eastAsia="Arial" w:hAnsi="Arial"/>
                <w:sz w:val="14"/>
                <w:szCs w:val="14"/>
                <w:color w:val="auto"/>
                <w:w w:val="88"/>
              </w:rPr>
              <w:t>Pending as</w:t>
            </w:r>
          </w:p>
        </w:tc>
        <w:tc>
          <w:tcPr>
            <w:tcW w:w="700" w:type="dxa"/>
            <w:vAlign w:val="bottom"/>
          </w:tcPr>
          <w:p>
            <w:pPr>
              <w:jc w:val="center"/>
              <w:spacing w:after="0"/>
              <w:rPr>
                <w:sz w:val="20"/>
                <w:szCs w:val="20"/>
                <w:color w:val="auto"/>
              </w:rPr>
            </w:pPr>
            <w:r>
              <w:rPr>
                <w:rFonts w:ascii="Arial" w:cs="Arial" w:eastAsia="Arial" w:hAnsi="Arial"/>
                <w:sz w:val="14"/>
                <w:szCs w:val="14"/>
                <w:color w:val="auto"/>
                <w:w w:val="95"/>
              </w:rPr>
              <w:t>Actions</w:t>
            </w:r>
          </w:p>
        </w:tc>
        <w:tc>
          <w:tcPr>
            <w:tcW w:w="780" w:type="dxa"/>
            <w:vAlign w:val="bottom"/>
          </w:tcPr>
          <w:p>
            <w:pPr>
              <w:jc w:val="center"/>
              <w:spacing w:after="0"/>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76"/>
        </w:trPr>
        <w:tc>
          <w:tcPr>
            <w:tcW w:w="700" w:type="dxa"/>
            <w:vAlign w:val="bottom"/>
          </w:tcPr>
          <w:p>
            <w:pPr>
              <w:jc w:val="center"/>
              <w:spacing w:after="0"/>
              <w:rPr>
                <w:sz w:val="20"/>
                <w:szCs w:val="20"/>
                <w:color w:val="auto"/>
              </w:rPr>
            </w:pPr>
            <w:r>
              <w:rPr>
                <w:rFonts w:ascii="Arial" w:cs="Arial" w:eastAsia="Arial" w:hAnsi="Arial"/>
                <w:sz w:val="14"/>
                <w:szCs w:val="14"/>
                <w:color w:val="auto"/>
                <w:w w:val="99"/>
              </w:rPr>
              <w:t>S&amp;S</w:t>
            </w:r>
          </w:p>
        </w:tc>
        <w:tc>
          <w:tcPr>
            <w:tcW w:w="600" w:type="dxa"/>
            <w:vAlign w:val="bottom"/>
          </w:tcPr>
          <w:p>
            <w:pPr>
              <w:jc w:val="center"/>
              <w:spacing w:after="0"/>
              <w:rPr>
                <w:sz w:val="20"/>
                <w:szCs w:val="20"/>
                <w:color w:val="auto"/>
              </w:rPr>
            </w:pPr>
            <w:r>
              <w:rPr>
                <w:rFonts w:ascii="Arial" w:cs="Arial" w:eastAsia="Arial" w:hAnsi="Arial"/>
                <w:sz w:val="14"/>
                <w:szCs w:val="14"/>
                <w:color w:val="auto"/>
              </w:rPr>
              <w:t>n</w:t>
            </w:r>
          </w:p>
        </w:tc>
        <w:tc>
          <w:tcPr>
            <w:tcW w:w="660" w:type="dxa"/>
            <w:vAlign w:val="bottom"/>
          </w:tcPr>
          <w:p>
            <w:pPr>
              <w:ind w:left="100"/>
              <w:spacing w:after="0"/>
              <w:rPr>
                <w:sz w:val="20"/>
                <w:szCs w:val="20"/>
                <w:color w:val="auto"/>
              </w:rPr>
            </w:pPr>
            <w:r>
              <w:rPr>
                <w:rFonts w:ascii="Arial" w:cs="Arial" w:eastAsia="Arial" w:hAnsi="Arial"/>
                <w:sz w:val="14"/>
                <w:szCs w:val="14"/>
                <w:color w:val="auto"/>
              </w:rPr>
              <w:t>Citation</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110(b)(2)</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n</w:t>
            </w:r>
          </w:p>
        </w:tc>
        <w:tc>
          <w:tcPr>
            <w:tcW w:w="220" w:type="dxa"/>
            <w:vAlign w:val="bottom"/>
          </w:tcPr>
          <w:p>
            <w:pPr>
              <w:spacing w:after="0"/>
              <w:rPr>
                <w:sz w:val="15"/>
                <w:szCs w:val="15"/>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MSHA</w:t>
            </w:r>
          </w:p>
        </w:tc>
        <w:tc>
          <w:tcPr>
            <w:tcW w:w="820" w:type="dxa"/>
            <w:vAlign w:val="bottom"/>
          </w:tcPr>
          <w:p>
            <w:pPr>
              <w:jc w:val="center"/>
              <w:spacing w:after="0"/>
              <w:rPr>
                <w:sz w:val="20"/>
                <w:szCs w:val="20"/>
                <w:color w:val="auto"/>
              </w:rPr>
            </w:pPr>
            <w:r>
              <w:rPr>
                <w:rFonts w:ascii="Arial" w:cs="Arial" w:eastAsia="Arial" w:hAnsi="Arial"/>
                <w:sz w:val="14"/>
                <w:szCs w:val="14"/>
                <w:color w:val="auto"/>
              </w:rPr>
              <w:t>of Mining</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Section</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of Last</w:t>
            </w:r>
          </w:p>
        </w:tc>
        <w:tc>
          <w:tcPr>
            <w:tcW w:w="700" w:type="dxa"/>
            <w:vAlign w:val="bottom"/>
          </w:tcPr>
          <w:p>
            <w:pPr>
              <w:jc w:val="center"/>
              <w:spacing w:after="0"/>
              <w:rPr>
                <w:sz w:val="20"/>
                <w:szCs w:val="20"/>
                <w:color w:val="auto"/>
              </w:rPr>
            </w:pPr>
            <w:r>
              <w:rPr>
                <w:rFonts w:ascii="Arial" w:cs="Arial" w:eastAsia="Arial" w:hAnsi="Arial"/>
                <w:sz w:val="14"/>
                <w:szCs w:val="14"/>
                <w:color w:val="auto"/>
                <w:w w:val="97"/>
              </w:rPr>
              <w:t>Initiated</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75"/>
        </w:trPr>
        <w:tc>
          <w:tcPr>
            <w:tcW w:w="700" w:type="dxa"/>
            <w:vAlign w:val="bottom"/>
          </w:tcPr>
          <w:p>
            <w:pPr>
              <w:ind w:left="120"/>
              <w:spacing w:after="0"/>
              <w:rPr>
                <w:sz w:val="20"/>
                <w:szCs w:val="20"/>
                <w:color w:val="auto"/>
              </w:rPr>
            </w:pPr>
            <w:r>
              <w:rPr>
                <w:rFonts w:ascii="Arial" w:cs="Arial" w:eastAsia="Arial" w:hAnsi="Arial"/>
                <w:sz w:val="14"/>
                <w:szCs w:val="14"/>
                <w:color w:val="auto"/>
              </w:rPr>
              <w:t>Citation</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104(b)</w:t>
            </w:r>
          </w:p>
        </w:tc>
        <w:tc>
          <w:tcPr>
            <w:tcW w:w="660" w:type="dxa"/>
            <w:vAlign w:val="bottom"/>
          </w:tcPr>
          <w:p>
            <w:pPr>
              <w:jc w:val="center"/>
              <w:spacing w:after="0"/>
              <w:rPr>
                <w:sz w:val="20"/>
                <w:szCs w:val="20"/>
                <w:color w:val="auto"/>
              </w:rPr>
            </w:pPr>
            <w:r>
              <w:rPr>
                <w:rFonts w:ascii="Arial" w:cs="Arial" w:eastAsia="Arial" w:hAnsi="Arial"/>
                <w:sz w:val="14"/>
                <w:szCs w:val="14"/>
                <w:color w:val="auto"/>
                <w:w w:val="87"/>
              </w:rPr>
              <w:t>s and</w:t>
            </w:r>
          </w:p>
        </w:tc>
        <w:tc>
          <w:tcPr>
            <w:tcW w:w="740" w:type="dxa"/>
            <w:vAlign w:val="bottom"/>
          </w:tcPr>
          <w:p>
            <w:pPr>
              <w:jc w:val="center"/>
              <w:spacing w:after="0"/>
              <w:rPr>
                <w:sz w:val="20"/>
                <w:szCs w:val="20"/>
                <w:color w:val="auto"/>
              </w:rPr>
            </w:pPr>
            <w:r>
              <w:rPr>
                <w:rFonts w:ascii="Arial" w:cs="Arial" w:eastAsia="Arial" w:hAnsi="Arial"/>
                <w:sz w:val="14"/>
                <w:szCs w:val="14"/>
                <w:color w:val="auto"/>
              </w:rPr>
              <w:t>Violation</w:t>
            </w:r>
          </w:p>
        </w:tc>
        <w:tc>
          <w:tcPr>
            <w:tcW w:w="620" w:type="dxa"/>
            <w:vAlign w:val="bottom"/>
          </w:tcPr>
          <w:p>
            <w:pPr>
              <w:jc w:val="center"/>
              <w:spacing w:after="0"/>
              <w:rPr>
                <w:sz w:val="20"/>
                <w:szCs w:val="20"/>
                <w:color w:val="auto"/>
              </w:rPr>
            </w:pPr>
            <w:r>
              <w:rPr>
                <w:rFonts w:ascii="Arial" w:cs="Arial" w:eastAsia="Arial" w:hAnsi="Arial"/>
                <w:sz w:val="14"/>
                <w:szCs w:val="14"/>
                <w:color w:val="auto"/>
                <w:w w:val="93"/>
              </w:rPr>
              <w:t>107(a)</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9"/>
              </w:rPr>
              <w:t>Assessment</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Related</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104(e)</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3"/>
              </w:rPr>
              <w:t>104(e)</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Day of</w:t>
            </w:r>
          </w:p>
        </w:tc>
        <w:tc>
          <w:tcPr>
            <w:tcW w:w="700" w:type="dxa"/>
            <w:vAlign w:val="bottom"/>
          </w:tcPr>
          <w:p>
            <w:pPr>
              <w:jc w:val="center"/>
              <w:spacing w:after="0"/>
              <w:rPr>
                <w:sz w:val="20"/>
                <w:szCs w:val="20"/>
                <w:color w:val="auto"/>
              </w:rPr>
            </w:pPr>
            <w:r>
              <w:rPr>
                <w:rFonts w:ascii="Arial" w:cs="Arial" w:eastAsia="Arial" w:hAnsi="Arial"/>
                <w:sz w:val="14"/>
                <w:szCs w:val="14"/>
                <w:color w:val="auto"/>
                <w:w w:val="96"/>
              </w:rPr>
              <w:t>During</w:t>
            </w:r>
          </w:p>
        </w:tc>
        <w:tc>
          <w:tcPr>
            <w:tcW w:w="780" w:type="dxa"/>
            <w:vAlign w:val="bottom"/>
          </w:tcPr>
          <w:p>
            <w:pPr>
              <w:jc w:val="center"/>
              <w:spacing w:after="0"/>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70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7"/>
              </w:rPr>
              <w:t>s Proposed</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Fatalities</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0"/>
              </w:rPr>
              <w:t>(yes/no)</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291"/>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shd w:val="clear" w:color="auto" w:fill="DAEEF3"/>
          </w:tcPr>
          <w:p>
            <w:pPr>
              <w:ind w:left="120"/>
              <w:spacing w:after="0"/>
              <w:rPr>
                <w:sz w:val="20"/>
                <w:szCs w:val="20"/>
                <w:color w:val="auto"/>
              </w:rPr>
            </w:pPr>
            <w:r>
              <w:rPr>
                <w:rFonts w:ascii="Arial" w:cs="Arial" w:eastAsia="Arial" w:hAnsi="Arial"/>
                <w:sz w:val="14"/>
                <w:szCs w:val="14"/>
                <w:color w:val="auto"/>
              </w:rPr>
              <w:t>$   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900" w:type="dxa"/>
            <w:vAlign w:val="bottom"/>
            <w:gridSpan w:val="2"/>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   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shd w:val="clear" w:color="auto" w:fill="DAEEF3"/>
          </w:tcPr>
          <w:p>
            <w:pPr>
              <w:ind w:left="120"/>
              <w:spacing w:after="0"/>
              <w:rPr>
                <w:sz w:val="20"/>
                <w:szCs w:val="20"/>
                <w:color w:val="auto"/>
              </w:rPr>
            </w:pPr>
            <w:r>
              <w:rPr>
                <w:rFonts w:ascii="Arial" w:cs="Arial" w:eastAsia="Arial" w:hAnsi="Arial"/>
                <w:sz w:val="14"/>
                <w:szCs w:val="14"/>
                <w:color w:val="auto"/>
              </w:rPr>
              <w:t>$   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700" w:type="dxa"/>
            <w:vAlign w:val="bottom"/>
            <w:shd w:val="clear" w:color="auto" w:fill="DAEEF3"/>
          </w:tcPr>
          <w:p>
            <w:pPr>
              <w:spacing w:after="0"/>
              <w:rPr>
                <w:sz w:val="16"/>
                <w:szCs w:val="16"/>
                <w:color w:val="auto"/>
              </w:rPr>
            </w:pPr>
          </w:p>
        </w:tc>
        <w:tc>
          <w:tcPr>
            <w:tcW w:w="600" w:type="dxa"/>
            <w:vAlign w:val="bottom"/>
            <w:shd w:val="clear" w:color="auto" w:fill="DAEEF3"/>
          </w:tcPr>
          <w:p>
            <w:pPr>
              <w:spacing w:after="0"/>
              <w:rPr>
                <w:sz w:val="16"/>
                <w:szCs w:val="16"/>
                <w:color w:val="auto"/>
              </w:rPr>
            </w:pPr>
          </w:p>
        </w:tc>
        <w:tc>
          <w:tcPr>
            <w:tcW w:w="660" w:type="dxa"/>
            <w:vAlign w:val="bottom"/>
            <w:shd w:val="clear" w:color="auto" w:fill="DAEEF3"/>
          </w:tcPr>
          <w:p>
            <w:pPr>
              <w:spacing w:after="0"/>
              <w:rPr>
                <w:sz w:val="16"/>
                <w:szCs w:val="16"/>
                <w:color w:val="auto"/>
              </w:rPr>
            </w:pPr>
          </w:p>
        </w:tc>
        <w:tc>
          <w:tcPr>
            <w:tcW w:w="7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900" w:type="dxa"/>
            <w:vAlign w:val="bottom"/>
            <w:gridSpan w:val="2"/>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6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80" w:type="dxa"/>
            <w:vAlign w:val="bottom"/>
            <w:shd w:val="clear" w:color="auto" w:fill="DAEEF3"/>
          </w:tcPr>
          <w:p>
            <w:pPr>
              <w:spacing w:after="0"/>
              <w:rPr>
                <w:sz w:val="16"/>
                <w:szCs w:val="16"/>
                <w:color w:val="auto"/>
              </w:rPr>
            </w:pPr>
          </w:p>
        </w:tc>
        <w:tc>
          <w:tcPr>
            <w:tcW w:w="700" w:type="dxa"/>
            <w:vAlign w:val="bottom"/>
            <w:shd w:val="clear" w:color="auto" w:fill="DAEEF3"/>
          </w:tcPr>
          <w:p>
            <w:pPr>
              <w:spacing w:after="0"/>
              <w:rPr>
                <w:sz w:val="16"/>
                <w:szCs w:val="16"/>
                <w:color w:val="auto"/>
              </w:rPr>
            </w:pPr>
          </w:p>
        </w:tc>
        <w:tc>
          <w:tcPr>
            <w:tcW w:w="78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   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shd w:val="clear" w:color="auto" w:fill="DAEEF3"/>
          </w:tcPr>
          <w:p>
            <w:pPr>
              <w:ind w:left="120"/>
              <w:spacing w:after="0"/>
              <w:rPr>
                <w:sz w:val="20"/>
                <w:szCs w:val="20"/>
                <w:color w:val="auto"/>
              </w:rPr>
            </w:pPr>
            <w:r>
              <w:rPr>
                <w:rFonts w:ascii="Arial" w:cs="Arial" w:eastAsia="Arial" w:hAnsi="Arial"/>
                <w:sz w:val="14"/>
                <w:szCs w:val="14"/>
                <w:color w:val="auto"/>
              </w:rPr>
              <w:t>$   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700" w:type="dxa"/>
            <w:vAlign w:val="bottom"/>
            <w:shd w:val="clear" w:color="auto" w:fill="DAEEF3"/>
          </w:tcPr>
          <w:p>
            <w:pPr>
              <w:spacing w:after="0"/>
              <w:rPr>
                <w:sz w:val="16"/>
                <w:szCs w:val="16"/>
                <w:color w:val="auto"/>
              </w:rPr>
            </w:pPr>
          </w:p>
        </w:tc>
        <w:tc>
          <w:tcPr>
            <w:tcW w:w="600" w:type="dxa"/>
            <w:vAlign w:val="bottom"/>
            <w:shd w:val="clear" w:color="auto" w:fill="DAEEF3"/>
          </w:tcPr>
          <w:p>
            <w:pPr>
              <w:spacing w:after="0"/>
              <w:rPr>
                <w:sz w:val="16"/>
                <w:szCs w:val="16"/>
                <w:color w:val="auto"/>
              </w:rPr>
            </w:pPr>
          </w:p>
        </w:tc>
        <w:tc>
          <w:tcPr>
            <w:tcW w:w="660" w:type="dxa"/>
            <w:vAlign w:val="bottom"/>
            <w:shd w:val="clear" w:color="auto" w:fill="DAEEF3"/>
          </w:tcPr>
          <w:p>
            <w:pPr>
              <w:spacing w:after="0"/>
              <w:rPr>
                <w:sz w:val="16"/>
                <w:szCs w:val="16"/>
                <w:color w:val="auto"/>
              </w:rPr>
            </w:pPr>
          </w:p>
        </w:tc>
        <w:tc>
          <w:tcPr>
            <w:tcW w:w="7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900" w:type="dxa"/>
            <w:vAlign w:val="bottom"/>
            <w:gridSpan w:val="2"/>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6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80" w:type="dxa"/>
            <w:vAlign w:val="bottom"/>
            <w:shd w:val="clear" w:color="auto" w:fill="DAEEF3"/>
          </w:tcPr>
          <w:p>
            <w:pPr>
              <w:spacing w:after="0"/>
              <w:rPr>
                <w:sz w:val="16"/>
                <w:szCs w:val="16"/>
                <w:color w:val="auto"/>
              </w:rPr>
            </w:pPr>
          </w:p>
        </w:tc>
        <w:tc>
          <w:tcPr>
            <w:tcW w:w="700" w:type="dxa"/>
            <w:vAlign w:val="bottom"/>
            <w:shd w:val="clear" w:color="auto" w:fill="DAEEF3"/>
          </w:tcPr>
          <w:p>
            <w:pPr>
              <w:spacing w:after="0"/>
              <w:rPr>
                <w:sz w:val="16"/>
                <w:szCs w:val="16"/>
                <w:color w:val="auto"/>
              </w:rPr>
            </w:pPr>
          </w:p>
        </w:tc>
        <w:tc>
          <w:tcPr>
            <w:tcW w:w="78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   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jc w:val="right"/>
              <w:ind w:right="88"/>
              <w:spacing w:after="0"/>
              <w:rPr>
                <w:sz w:val="20"/>
                <w:szCs w:val="20"/>
                <w:color w:val="auto"/>
              </w:rPr>
            </w:pPr>
            <w:r>
              <w:rPr>
                <w:rFonts w:ascii="Arial" w:cs="Arial" w:eastAsia="Arial" w:hAnsi="Arial"/>
                <w:sz w:val="14"/>
                <w:szCs w:val="14"/>
                <w:color w:val="auto"/>
              </w:rPr>
              <w:t>2,358</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6"/>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900" w:type="dxa"/>
            <w:vAlign w:val="bottom"/>
            <w:gridSpan w:val="2"/>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   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spacing w:after="0"/>
              <w:rPr>
                <w:sz w:val="15"/>
                <w:szCs w:val="15"/>
                <w:color w:val="auto"/>
              </w:rPr>
            </w:pPr>
          </w:p>
        </w:tc>
        <w:tc>
          <w:tcPr>
            <w:tcW w:w="8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1"/>
        </w:trPr>
        <w:tc>
          <w:tcPr>
            <w:tcW w:w="700" w:type="dxa"/>
            <w:vAlign w:val="bottom"/>
            <w:vMerge w:val="continue"/>
            <w:shd w:val="clear" w:color="auto" w:fill="DAEEF3"/>
          </w:tcPr>
          <w:p>
            <w:pPr>
              <w:spacing w:after="0"/>
              <w:rPr>
                <w:sz w:val="8"/>
                <w:szCs w:val="8"/>
                <w:color w:val="auto"/>
              </w:rPr>
            </w:pPr>
          </w:p>
        </w:tc>
        <w:tc>
          <w:tcPr>
            <w:tcW w:w="600" w:type="dxa"/>
            <w:vAlign w:val="bottom"/>
            <w:vMerge w:val="continue"/>
            <w:shd w:val="clear" w:color="auto" w:fill="DAEEF3"/>
          </w:tcPr>
          <w:p>
            <w:pPr>
              <w:spacing w:after="0"/>
              <w:rPr>
                <w:sz w:val="8"/>
                <w:szCs w:val="8"/>
                <w:color w:val="auto"/>
              </w:rPr>
            </w:pPr>
          </w:p>
        </w:tc>
        <w:tc>
          <w:tcPr>
            <w:tcW w:w="660" w:type="dxa"/>
            <w:vAlign w:val="bottom"/>
            <w:vMerge w:val="continue"/>
            <w:shd w:val="clear" w:color="auto" w:fill="DAEEF3"/>
          </w:tcPr>
          <w:p>
            <w:pPr>
              <w:spacing w:after="0"/>
              <w:rPr>
                <w:sz w:val="8"/>
                <w:szCs w:val="8"/>
                <w:color w:val="auto"/>
              </w:rPr>
            </w:pPr>
          </w:p>
        </w:tc>
        <w:tc>
          <w:tcPr>
            <w:tcW w:w="740" w:type="dxa"/>
            <w:vAlign w:val="bottom"/>
            <w:vMerge w:val="continue"/>
            <w:shd w:val="clear" w:color="auto" w:fill="DAEEF3"/>
          </w:tcPr>
          <w:p>
            <w:pPr>
              <w:spacing w:after="0"/>
              <w:rPr>
                <w:sz w:val="8"/>
                <w:szCs w:val="8"/>
                <w:color w:val="auto"/>
              </w:rPr>
            </w:pPr>
          </w:p>
        </w:tc>
        <w:tc>
          <w:tcPr>
            <w:tcW w:w="620" w:type="dxa"/>
            <w:vAlign w:val="bottom"/>
            <w:vMerge w:val="continue"/>
            <w:shd w:val="clear" w:color="auto" w:fill="DAEEF3"/>
          </w:tcPr>
          <w:p>
            <w:pPr>
              <w:spacing w:after="0"/>
              <w:rPr>
                <w:sz w:val="8"/>
                <w:szCs w:val="8"/>
                <w:color w:val="auto"/>
              </w:rPr>
            </w:pPr>
          </w:p>
        </w:tc>
        <w:tc>
          <w:tcPr>
            <w:tcW w:w="900" w:type="dxa"/>
            <w:vAlign w:val="bottom"/>
            <w:gridSpan w:val="2"/>
            <w:vMerge w:val="restart"/>
            <w:shd w:val="clear" w:color="auto" w:fill="DAEEF3"/>
          </w:tcPr>
          <w:p>
            <w:pPr>
              <w:ind w:left="100"/>
              <w:spacing w:after="0"/>
              <w:rPr>
                <w:sz w:val="20"/>
                <w:szCs w:val="20"/>
                <w:color w:val="auto"/>
              </w:rPr>
            </w:pPr>
            <w:r>
              <w:rPr>
                <w:rFonts w:ascii="Arial" w:cs="Arial" w:eastAsia="Arial" w:hAnsi="Arial"/>
                <w:sz w:val="14"/>
                <w:szCs w:val="14"/>
                <w:color w:val="auto"/>
              </w:rPr>
              <w:t>500</w:t>
            </w:r>
          </w:p>
        </w:tc>
        <w:tc>
          <w:tcPr>
            <w:tcW w:w="820" w:type="dxa"/>
            <w:vAlign w:val="bottom"/>
            <w:vMerge w:val="continue"/>
            <w:shd w:val="clear" w:color="auto" w:fill="DAEEF3"/>
          </w:tcPr>
          <w:p>
            <w:pPr>
              <w:spacing w:after="0"/>
              <w:rPr>
                <w:sz w:val="8"/>
                <w:szCs w:val="8"/>
                <w:color w:val="auto"/>
              </w:rPr>
            </w:pPr>
          </w:p>
        </w:tc>
        <w:tc>
          <w:tcPr>
            <w:tcW w:w="860" w:type="dxa"/>
            <w:vAlign w:val="bottom"/>
            <w:vMerge w:val="continue"/>
            <w:shd w:val="clear" w:color="auto" w:fill="DAEEF3"/>
          </w:tcPr>
          <w:p>
            <w:pPr>
              <w:spacing w:after="0"/>
              <w:rPr>
                <w:sz w:val="8"/>
                <w:szCs w:val="8"/>
                <w:color w:val="auto"/>
              </w:rPr>
            </w:pPr>
          </w:p>
        </w:tc>
        <w:tc>
          <w:tcPr>
            <w:tcW w:w="820" w:type="dxa"/>
            <w:vAlign w:val="bottom"/>
            <w:vMerge w:val="continue"/>
            <w:shd w:val="clear" w:color="auto" w:fill="DAEEF3"/>
          </w:tcPr>
          <w:p>
            <w:pPr>
              <w:spacing w:after="0"/>
              <w:rPr>
                <w:sz w:val="8"/>
                <w:szCs w:val="8"/>
                <w:color w:val="auto"/>
              </w:rPr>
            </w:pPr>
          </w:p>
        </w:tc>
        <w:tc>
          <w:tcPr>
            <w:tcW w:w="880" w:type="dxa"/>
            <w:vAlign w:val="bottom"/>
            <w:vMerge w:val="continue"/>
            <w:shd w:val="clear" w:color="auto" w:fill="DAEEF3"/>
          </w:tcPr>
          <w:p>
            <w:pPr>
              <w:spacing w:after="0"/>
              <w:rPr>
                <w:sz w:val="8"/>
                <w:szCs w:val="8"/>
                <w:color w:val="auto"/>
              </w:rPr>
            </w:pPr>
          </w:p>
        </w:tc>
        <w:tc>
          <w:tcPr>
            <w:tcW w:w="700" w:type="dxa"/>
            <w:vAlign w:val="bottom"/>
            <w:vMerge w:val="continue"/>
            <w:shd w:val="clear" w:color="auto" w:fill="DAEEF3"/>
          </w:tcPr>
          <w:p>
            <w:pPr>
              <w:spacing w:after="0"/>
              <w:rPr>
                <w:sz w:val="8"/>
                <w:szCs w:val="8"/>
                <w:color w:val="auto"/>
              </w:rPr>
            </w:pPr>
          </w:p>
        </w:tc>
        <w:tc>
          <w:tcPr>
            <w:tcW w:w="780" w:type="dxa"/>
            <w:vAlign w:val="bottom"/>
            <w:vMerge w:val="continue"/>
            <w:shd w:val="clear" w:color="auto" w:fill="DAEEF3"/>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700" w:type="dxa"/>
            <w:vAlign w:val="bottom"/>
            <w:tcBorders>
              <w:bottom w:val="single" w:sz="8" w:color="DAEEF3"/>
            </w:tcBorders>
            <w:shd w:val="clear" w:color="auto" w:fill="DAEEF3"/>
          </w:tcPr>
          <w:p>
            <w:pPr>
              <w:spacing w:after="0"/>
              <w:rPr>
                <w:sz w:val="7"/>
                <w:szCs w:val="7"/>
                <w:color w:val="auto"/>
              </w:rPr>
            </w:pPr>
          </w:p>
        </w:tc>
        <w:tc>
          <w:tcPr>
            <w:tcW w:w="600" w:type="dxa"/>
            <w:vAlign w:val="bottom"/>
            <w:tcBorders>
              <w:bottom w:val="single" w:sz="8" w:color="DAEEF3"/>
            </w:tcBorders>
            <w:shd w:val="clear" w:color="auto" w:fill="DAEEF3"/>
          </w:tcPr>
          <w:p>
            <w:pPr>
              <w:spacing w:after="0"/>
              <w:rPr>
                <w:sz w:val="7"/>
                <w:szCs w:val="7"/>
                <w:color w:val="auto"/>
              </w:rPr>
            </w:pPr>
          </w:p>
        </w:tc>
        <w:tc>
          <w:tcPr>
            <w:tcW w:w="660" w:type="dxa"/>
            <w:vAlign w:val="bottom"/>
            <w:tcBorders>
              <w:bottom w:val="single" w:sz="8" w:color="DAEEF3"/>
            </w:tcBorders>
            <w:shd w:val="clear" w:color="auto" w:fill="DAEEF3"/>
          </w:tcPr>
          <w:p>
            <w:pPr>
              <w:spacing w:after="0"/>
              <w:rPr>
                <w:sz w:val="7"/>
                <w:szCs w:val="7"/>
                <w:color w:val="auto"/>
              </w:rPr>
            </w:pPr>
          </w:p>
        </w:tc>
        <w:tc>
          <w:tcPr>
            <w:tcW w:w="740" w:type="dxa"/>
            <w:vAlign w:val="bottom"/>
            <w:tcBorders>
              <w:bottom w:val="single" w:sz="8" w:color="DAEEF3"/>
            </w:tcBorders>
            <w:shd w:val="clear" w:color="auto" w:fill="DAEEF3"/>
          </w:tcPr>
          <w:p>
            <w:pPr>
              <w:spacing w:after="0"/>
              <w:rPr>
                <w:sz w:val="7"/>
                <w:szCs w:val="7"/>
                <w:color w:val="auto"/>
              </w:rPr>
            </w:pPr>
          </w:p>
        </w:tc>
        <w:tc>
          <w:tcPr>
            <w:tcW w:w="620" w:type="dxa"/>
            <w:vAlign w:val="bottom"/>
            <w:tcBorders>
              <w:bottom w:val="single" w:sz="8" w:color="DAEEF3"/>
            </w:tcBorders>
            <w:shd w:val="clear" w:color="auto" w:fill="DAEEF3"/>
          </w:tcPr>
          <w:p>
            <w:pPr>
              <w:spacing w:after="0"/>
              <w:rPr>
                <w:sz w:val="7"/>
                <w:szCs w:val="7"/>
                <w:color w:val="auto"/>
              </w:rPr>
            </w:pPr>
          </w:p>
        </w:tc>
        <w:tc>
          <w:tcPr>
            <w:tcW w:w="900" w:type="dxa"/>
            <w:vAlign w:val="bottom"/>
            <w:tcBorders>
              <w:bottom w:val="single" w:sz="8" w:color="DAEEF3"/>
            </w:tcBorders>
            <w:gridSpan w:val="2"/>
            <w:vMerge w:val="continue"/>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6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80" w:type="dxa"/>
            <w:vAlign w:val="bottom"/>
            <w:tcBorders>
              <w:bottom w:val="single" w:sz="8" w:color="DAEEF3"/>
            </w:tcBorders>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780" w:type="dxa"/>
            <w:vAlign w:val="bottom"/>
            <w:tcBorders>
              <w:bottom w:val="single" w:sz="8" w:color="DAEEF3"/>
            </w:tcBorders>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   0</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tcPr>
          <w:p>
            <w:pPr>
              <w:jc w:val="center"/>
              <w:spacing w:after="0"/>
              <w:rPr>
                <w:sz w:val="20"/>
                <w:szCs w:val="20"/>
                <w:color w:val="auto"/>
              </w:rPr>
            </w:pPr>
            <w:r>
              <w:rPr>
                <w:rFonts w:ascii="Arial" w:cs="Arial" w:eastAsia="Arial" w:hAnsi="Arial"/>
                <w:sz w:val="14"/>
                <w:szCs w:val="14"/>
                <w:color w:val="auto"/>
              </w:rPr>
              <w:t>0</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900" w:type="dxa"/>
            <w:vAlign w:val="bottom"/>
            <w:gridSpan w:val="2"/>
            <w:shd w:val="clear" w:color="auto" w:fill="DAEEF3"/>
          </w:tcPr>
          <w:p>
            <w:pPr>
              <w:ind w:left="120"/>
              <w:spacing w:after="0"/>
              <w:rPr>
                <w:sz w:val="20"/>
                <w:szCs w:val="20"/>
                <w:color w:val="auto"/>
              </w:rPr>
            </w:pPr>
            <w:r>
              <w:rPr>
                <w:rFonts w:ascii="Arial" w:cs="Arial" w:eastAsia="Arial" w:hAnsi="Arial"/>
                <w:sz w:val="14"/>
                <w:szCs w:val="14"/>
                <w:color w:val="auto"/>
              </w:rPr>
              <w:t>$   0</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6"/>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220" w:type="dxa"/>
            <w:vAlign w:val="bottom"/>
            <w:shd w:val="clear" w:color="auto" w:fill="DAEEF3"/>
          </w:tcPr>
          <w:p>
            <w:pPr>
              <w:spacing w:after="0"/>
              <w:rPr>
                <w:sz w:val="9"/>
                <w:szCs w:val="9"/>
                <w:color w:val="auto"/>
              </w:rPr>
            </w:pPr>
          </w:p>
        </w:tc>
        <w:tc>
          <w:tcPr>
            <w:tcW w:w="68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88"/>
              <w:spacing w:after="0"/>
              <w:rPr>
                <w:sz w:val="20"/>
                <w:szCs w:val="20"/>
                <w:color w:val="auto"/>
              </w:rPr>
            </w:pPr>
            <w:r>
              <w:rPr>
                <w:rFonts w:ascii="Arial" w:cs="Arial" w:eastAsia="Arial" w:hAnsi="Arial"/>
                <w:sz w:val="14"/>
                <w:szCs w:val="14"/>
                <w:color w:val="auto"/>
              </w:rPr>
              <w:t>4,484</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700" w:type="dxa"/>
            <w:vAlign w:val="bottom"/>
          </w:tcPr>
          <w:p>
            <w:pPr>
              <w:jc w:val="center"/>
              <w:spacing w:after="0"/>
              <w:rPr>
                <w:sz w:val="20"/>
                <w:szCs w:val="20"/>
                <w:color w:val="auto"/>
              </w:rPr>
            </w:pPr>
            <w:r>
              <w:rPr>
                <w:rFonts w:ascii="Arial" w:cs="Arial" w:eastAsia="Arial" w:hAnsi="Arial"/>
                <w:sz w:val="14"/>
                <w:szCs w:val="14"/>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jc w:val="right"/>
              <w:ind w:right="188"/>
              <w:spacing w:after="0"/>
              <w:rPr>
                <w:sz w:val="20"/>
                <w:szCs w:val="20"/>
                <w:color w:val="auto"/>
              </w:rPr>
            </w:pPr>
            <w:r>
              <w:rPr>
                <w:rFonts w:ascii="Arial" w:cs="Arial" w:eastAsia="Arial" w:hAnsi="Arial"/>
                <w:sz w:val="14"/>
                <w:szCs w:val="14"/>
                <w:color w:val="auto"/>
              </w:rPr>
              <w:t>125</w:t>
            </w:r>
          </w:p>
        </w:tc>
        <w:tc>
          <w:tcPr>
            <w:tcW w:w="82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70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06"/>
        </w:trPr>
        <w:tc>
          <w:tcPr>
            <w:tcW w:w="700" w:type="dxa"/>
            <w:vAlign w:val="bottom"/>
            <w:shd w:val="clear" w:color="auto" w:fill="DAEEF3"/>
          </w:tcPr>
          <w:p>
            <w:pPr>
              <w:spacing w:after="0"/>
              <w:rPr>
                <w:sz w:val="9"/>
                <w:szCs w:val="9"/>
                <w:color w:val="auto"/>
              </w:rPr>
            </w:pPr>
          </w:p>
        </w:tc>
        <w:tc>
          <w:tcPr>
            <w:tcW w:w="600" w:type="dxa"/>
            <w:vAlign w:val="bottom"/>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shd w:val="clear" w:color="auto" w:fill="DAEEF3"/>
          </w:tcPr>
          <w:p>
            <w:pPr>
              <w:spacing w:after="0"/>
              <w:rPr>
                <w:sz w:val="9"/>
                <w:szCs w:val="9"/>
                <w:color w:val="auto"/>
              </w:rPr>
            </w:pPr>
          </w:p>
        </w:tc>
        <w:tc>
          <w:tcPr>
            <w:tcW w:w="620" w:type="dxa"/>
            <w:vAlign w:val="bottom"/>
            <w:shd w:val="clear" w:color="auto" w:fill="DAEEF3"/>
          </w:tcPr>
          <w:p>
            <w:pPr>
              <w:spacing w:after="0"/>
              <w:rPr>
                <w:sz w:val="9"/>
                <w:szCs w:val="9"/>
                <w:color w:val="auto"/>
              </w:rPr>
            </w:pPr>
          </w:p>
        </w:tc>
        <w:tc>
          <w:tcPr>
            <w:tcW w:w="220" w:type="dxa"/>
            <w:vAlign w:val="bottom"/>
            <w:shd w:val="clear" w:color="auto" w:fill="DAEEF3"/>
          </w:tcPr>
          <w:p>
            <w:pPr>
              <w:spacing w:after="0"/>
              <w:rPr>
                <w:sz w:val="9"/>
                <w:szCs w:val="9"/>
                <w:color w:val="auto"/>
              </w:rPr>
            </w:pPr>
          </w:p>
        </w:tc>
        <w:tc>
          <w:tcPr>
            <w:tcW w:w="68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60" w:type="dxa"/>
            <w:vAlign w:val="bottom"/>
            <w:shd w:val="clear" w:color="auto" w:fill="DAEEF3"/>
          </w:tcPr>
          <w:p>
            <w:pPr>
              <w:spacing w:after="0"/>
              <w:rPr>
                <w:sz w:val="9"/>
                <w:szCs w:val="9"/>
                <w:color w:val="auto"/>
              </w:rPr>
            </w:pPr>
          </w:p>
        </w:tc>
        <w:tc>
          <w:tcPr>
            <w:tcW w:w="820" w:type="dxa"/>
            <w:vAlign w:val="bottom"/>
            <w:shd w:val="clear" w:color="auto" w:fill="DAEEF3"/>
          </w:tcPr>
          <w:p>
            <w:pPr>
              <w:spacing w:after="0"/>
              <w:rPr>
                <w:sz w:val="9"/>
                <w:szCs w:val="9"/>
                <w:color w:val="auto"/>
              </w:rPr>
            </w:pPr>
          </w:p>
        </w:tc>
        <w:tc>
          <w:tcPr>
            <w:tcW w:w="880" w:type="dxa"/>
            <w:vAlign w:val="bottom"/>
            <w:shd w:val="clear" w:color="auto" w:fill="DAEEF3"/>
          </w:tcPr>
          <w:p>
            <w:pPr>
              <w:spacing w:after="0"/>
              <w:rPr>
                <w:sz w:val="9"/>
                <w:szCs w:val="9"/>
                <w:color w:val="auto"/>
              </w:rPr>
            </w:pPr>
          </w:p>
        </w:tc>
        <w:tc>
          <w:tcPr>
            <w:tcW w:w="700" w:type="dxa"/>
            <w:vAlign w:val="bottom"/>
            <w:shd w:val="clear" w:color="auto" w:fill="DAEEF3"/>
          </w:tcPr>
          <w:p>
            <w:pPr>
              <w:spacing w:after="0"/>
              <w:rPr>
                <w:sz w:val="9"/>
                <w:szCs w:val="9"/>
                <w:color w:val="auto"/>
              </w:rPr>
            </w:pPr>
          </w:p>
        </w:tc>
        <w:tc>
          <w:tcPr>
            <w:tcW w:w="780" w:type="dxa"/>
            <w:vAlign w:val="bottom"/>
            <w:shd w:val="clear" w:color="auto" w:fill="DAEEF3"/>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-4542790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-4525645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-4508500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-4491355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-4474210</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-4457065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-4439920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-4422775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-4405630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-4388485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-4371340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-4354195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-4337050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-4319905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-4302760</wp:posOffset>
            </wp:positionV>
            <wp:extent cx="82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-4285615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-4268470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-4251325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-4234180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-4217035</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-4199890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-4182745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-4165600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-4148455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-4131310</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-4114165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-4097020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-4079875</wp:posOffset>
            </wp:positionV>
            <wp:extent cx="82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-4062730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-4045585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-4028440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-4011295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-3994150</wp:posOffset>
            </wp:positionV>
            <wp:extent cx="82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-3977005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-3959860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-3942715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-3925570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-3908425</wp:posOffset>
            </wp:positionV>
            <wp:extent cx="82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-3891280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-3874135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-3856990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-3839845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-3822700</wp:posOffset>
            </wp:positionV>
            <wp:extent cx="82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-3805555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-3788410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-3771265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-3754120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-3736975</wp:posOffset>
            </wp:positionV>
            <wp:extent cx="8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-3719830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-3702685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-3685540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-3668395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-3651250</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-3634105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-3616960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-3599815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-3582670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-3565525</wp:posOffset>
            </wp:positionV>
            <wp:extent cx="825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-3548380</wp:posOffset>
            </wp:positionV>
            <wp:extent cx="825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-3522345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-3505200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-3488055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-3470910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-3453765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-3436620</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-3419475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-3402330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-3385185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-3368040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-3350895</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-3333750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-3316605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-3299460</wp:posOffset>
            </wp:positionV>
            <wp:extent cx="825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-3274060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-3256915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-3239770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-3222625</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-3205480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-3188335</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-3171190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-3154045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-3136900</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-3119755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-3102610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-3085465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-3068320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-3051175</wp:posOffset>
            </wp:positionV>
            <wp:extent cx="825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-3025140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-3007995</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-2990850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-2973705</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-2956560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-2939415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-2922270</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-2905125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-2887980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-2870835</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-2853690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-2836545</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-2819400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-2802255</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-2785110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-2767965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-2750820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-2733675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-2716530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-2700020</wp:posOffset>
            </wp:positionV>
            <wp:extent cx="8255"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-2673985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-2656840</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-2639695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-2622550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-2605405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-2588260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-2571115</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-2553970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-2536825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-2519680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-2502535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-2485390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-2468245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-2451100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-2433955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-2416810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-2399665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-2382520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-2365375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-2348230</wp:posOffset>
            </wp:positionV>
            <wp:extent cx="825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-2322195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-2305050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-2287905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-2271395</wp:posOffset>
            </wp:positionV>
            <wp:extent cx="82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-2253615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-2236470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-2219325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-2202180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-2185670</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-2167890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-2150745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-2116455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-2099945</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-2082165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-2065020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-2047875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-2030730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-2014220</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-1996440</wp:posOffset>
            </wp:positionV>
            <wp:extent cx="825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-1971040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-1953895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-1936750</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-1919605</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-1902460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-1885315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-1868170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-1851025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-1833880</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-1816735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-1799590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-1782445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-1765300</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-1748155</wp:posOffset>
            </wp:positionV>
            <wp:extent cx="825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-1722120</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-1704975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-1687830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-1670685</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-1653540</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-1636395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-1602105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-1584960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-1567815</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-1550670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-1533525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-1516380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-1499235</wp:posOffset>
            </wp:positionV>
            <wp:extent cx="825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-1473835</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-1456690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-1439545</wp:posOffset>
            </wp:positionV>
            <wp:extent cx="825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-1422400</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-1405255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-1388110</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-1370965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-1353820</wp:posOffset>
            </wp:positionV>
            <wp:extent cx="82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-1336675</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-1319530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-1302385</wp:posOffset>
            </wp:positionV>
            <wp:extent cx="8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-1285240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-1268095</wp:posOffset>
            </wp:positionV>
            <wp:extent cx="82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-1250950</wp:posOffset>
            </wp:positionV>
            <wp:extent cx="825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-1224915</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-1207770</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-1190625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-1173480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-1156335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-1139190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-1122045</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-1104900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-1087755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-1070610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-1053465</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-1036320</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-1019175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-1002030</wp:posOffset>
            </wp:positionV>
            <wp:extent cx="825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-976630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-959485</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-942340</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-925195</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-908050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-890905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-873760</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-856615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-839470</wp:posOffset>
            </wp:positionV>
            <wp:extent cx="825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-822325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-805180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-788035</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-770890</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-753745</wp:posOffset>
            </wp:positionV>
            <wp:extent cx="825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-728345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-710565</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-693420</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-676275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-659130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-642620</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-624840</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-607695</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-590550</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-573405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-556895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-539115</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-521970</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-504825</wp:posOffset>
            </wp:positionV>
            <wp:extent cx="825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-479425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-462280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-445135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-427990</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-410845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-393700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-376555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-359410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-342265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-325120</wp:posOffset>
            </wp:positionV>
            <wp:extent cx="82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-307975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-290830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-273685</wp:posOffset>
            </wp:positionV>
            <wp:extent cx="8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-256540</wp:posOffset>
            </wp:positionV>
            <wp:extent cx="825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-231140</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-213995</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-196215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-179070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-161925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-145415</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-128270</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-110490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-93345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-59690</wp:posOffset>
            </wp:positionV>
            <wp:extent cx="825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-42545</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-7620</wp:posOffset>
            </wp:positionV>
            <wp:extent cx="5786120" cy="1454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5786120" cy="14541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-7620</wp:posOffset>
            </wp:positionV>
            <wp:extent cx="5786120" cy="1454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5786120" cy="14541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100"/>
            <w:col w:w="9080"/>
          </w:cols>
          <w:pgMar w:left="440" w:top="621" w:right="339" w:bottom="1440" w:gutter="0" w:footer="0" w:header="0"/>
          <w:type w:val="continuous"/>
        </w:sectPr>
      </w:pPr>
    </w:p>
    <w:bookmarkStart w:id="65" w:name="page66"/>
    <w:bookmarkEnd w:id="65"/>
    <w:p>
      <w:pPr>
        <w:ind w:left="318" w:hanging="318"/>
        <w:spacing w:after="0"/>
        <w:tabs>
          <w:tab w:leader="none" w:pos="318"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255905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539" w:right="1440"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21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lvl w:ilvl="1">
      <w:lvlJc w:val="left"/>
      <w:lvlText w:val="%2"/>
      <w:numFmt w:val="decimal"/>
      <w:start w:val="104"/>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8">
    <w:nsid w:val="7724C67E"/>
    <w:multiLevelType w:val="hybridMultilevel"/>
    <w:lvl w:ilvl="0">
      <w:lvlJc w:val="left"/>
      <w:lvlText w:val="%1."/>
      <w:numFmt w:val="decimal"/>
      <w:start w:val="5"/>
    </w:lvl>
    <w:lvl w:ilvl="1">
      <w:lvlJc w:val="left"/>
      <w:lvlText w:val="%2."/>
      <w:numFmt w:val="lowerLetter"/>
      <w:start w:val="1"/>
    </w:lvl>
  </w:abstractNum>
  <w:abstractNum w:abstractNumId="19">
    <w:nsid w:val="5C482A97"/>
    <w:multiLevelType w:val="hybridMultilevel"/>
    <w:lvl w:ilvl="0">
      <w:lvlJc w:val="left"/>
      <w:lvlText w:val="-"/>
      <w:numFmt w:val="bullet"/>
      <w:start w:val="1"/>
    </w:lvl>
    <w:lvl w:ilvl="1">
      <w:lvlJc w:val="left"/>
      <w:lvlText w:val="%2."/>
      <w:numFmt w:val="decimal"/>
      <w:start w:val="9"/>
    </w:lvl>
  </w:abstractNum>
  <w:abstractNum w:abstractNumId="20">
    <w:nsid w:val="2463B9EA"/>
    <w:multiLevelType w:val="hybridMultilevel"/>
    <w:lvl w:ilvl="0">
      <w:lvlJc w:val="left"/>
      <w:lvlText w:val="%1."/>
      <w:numFmt w:val="decimal"/>
      <w:start w:val="10"/>
    </w:lvl>
  </w:abstractNum>
  <w:abstractNum w:abstractNumId="21">
    <w:nsid w:val="5E884ADC"/>
    <w:multiLevelType w:val="hybridMultilevel"/>
    <w:lvl w:ilvl="0">
      <w:lvlJc w:val="left"/>
      <w:lvlText w:val="-"/>
      <w:numFmt w:val="bullet"/>
      <w:start w:val="1"/>
    </w:lvl>
    <w:lvl w:ilvl="1">
      <w:lvlJc w:val="left"/>
      <w:lvlText w:val="%2."/>
      <w:numFmt w:val="lowerLetter"/>
      <w:start w:val="1"/>
    </w:lvl>
  </w:abstractNum>
  <w:abstractNum w:abstractNumId="22">
    <w:nsid w:val="51EAD36B"/>
    <w:multiLevelType w:val="hybridMultilevel"/>
    <w:lvl w:ilvl="0">
      <w:lvlJc w:val="left"/>
      <w:lvlText w:val="-"/>
      <w:numFmt w:val="bullet"/>
      <w:start w:val="1"/>
    </w:lvl>
    <w:lvl w:ilvl="1">
      <w:lvlJc w:val="left"/>
      <w:lvlText w:val="(%2)"/>
      <w:numFmt w:val="lowerRoman"/>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1)"/>
      <w:numFmt w:val="lowerLetter"/>
      <w:start w:val="1"/>
    </w:lvl>
    <w:lvl w:ilvl="1">
      <w:lvlJc w:val="left"/>
      <w:lvlText w:val="(%2)"/>
      <w:numFmt w:val="lowerLetter"/>
      <w:start w:val="1"/>
    </w:lvl>
  </w:abstractNum>
  <w:abstractNum w:abstractNumId="26">
    <w:nsid w:val="3855585C"/>
    <w:multiLevelType w:val="hybridMultilevel"/>
    <w:lvl w:ilvl="0">
      <w:lvlJc w:val="left"/>
      <w:lvlText w:val="(%1)"/>
      <w:numFmt w:val="lowerLetter"/>
      <w:start w:val="3"/>
    </w:lvl>
  </w:abstractNum>
  <w:abstractNum w:abstractNumId="27">
    <w:nsid w:val="70A64E2A"/>
    <w:multiLevelType w:val="hybridMultilevel"/>
    <w:lvl w:ilvl="0">
      <w:lvlJc w:val="left"/>
      <w:lvlText w:val="%1."/>
      <w:numFmt w:val="decimal"/>
      <w:start w:val="3"/>
    </w:lvl>
  </w:abstractNum>
  <w:abstractNum w:abstractNumId="28">
    <w:nsid w:val="6A2342EC"/>
    <w:multiLevelType w:val="hybridMultilevel"/>
    <w:lvl w:ilvl="0">
      <w:lvlJc w:val="left"/>
      <w:lvlText w:val="%1"/>
      <w:numFmt w:val="decimal"/>
      <w:start w:val="1"/>
    </w:lvl>
    <w:lvl w:ilvl="1">
      <w:lvlJc w:val="left"/>
      <w:lvlText w:val="(%2)"/>
      <w:numFmt w:val="lowerLetter"/>
      <w:start w:val="2"/>
    </w:lvl>
  </w:abstractNum>
  <w:abstractNum w:abstractNumId="29">
    <w:nsid w:val="2A487CB0"/>
    <w:multiLevelType w:val="hybridMultilevel"/>
    <w:lvl w:ilvl="0">
      <w:lvlJc w:val="left"/>
      <w:lvlText w:val="%1."/>
      <w:numFmt w:val="decimal"/>
      <w:start w:val="4"/>
    </w:lvl>
    <w:lvl w:ilvl="1">
      <w:lvlJc w:val="left"/>
      <w:lvlText w:val="%2"/>
      <w:numFmt w:val="lowerLetter"/>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1."/>
      <w:numFmt w:val="decimal"/>
      <w:start w:val="6"/>
    </w:lvl>
  </w:abstractNum>
  <w:abstractNum w:abstractNumId="34">
    <w:nsid w:val="7A6D8D3C"/>
    <w:multiLevelType w:val="hybridMultilevel"/>
    <w:lvl w:ilvl="0">
      <w:lvlJc w:val="left"/>
      <w:lvlText w:val="%1."/>
      <w:numFmt w:val="decimal"/>
      <w:start w:val="7"/>
    </w:lvl>
  </w:abstractNum>
  <w:abstractNum w:abstractNumId="35">
    <w:nsid w:val="4B588F54"/>
    <w:multiLevelType w:val="hybridMultilevel"/>
    <w:lvl w:ilvl="0">
      <w:lvlJc w:val="left"/>
      <w:lvlText w:val="%1."/>
      <w:numFmt w:val="decimal"/>
      <w:start w:val="8"/>
    </w:lvl>
  </w:abstractNum>
  <w:abstractNum w:abstractNumId="36">
    <w:nsid w:val="542289EC"/>
    <w:multiLevelType w:val="hybridMultilevel"/>
    <w:lvl w:ilvl="0">
      <w:lvlJc w:val="left"/>
      <w:lvlText w:val="%1."/>
      <w:numFmt w:val="decimal"/>
      <w:start w:val="9"/>
    </w:lvl>
  </w:abstractNum>
  <w:abstractNum w:abstractNumId="37">
    <w:nsid w:val="6DE91B18"/>
    <w:multiLevelType w:val="hybridMultilevel"/>
    <w:lvl w:ilvl="0">
      <w:lvlJc w:val="left"/>
      <w:lvlText w:val="%1."/>
      <w:numFmt w:val="decimal"/>
      <w:start w:val="10"/>
    </w:lvl>
  </w:abstractNum>
  <w:abstractNum w:abstractNumId="38">
    <w:nsid w:val="38437FDB"/>
    <w:multiLevelType w:val="hybridMultilevel"/>
    <w:lvl w:ilvl="0">
      <w:lvlJc w:val="left"/>
      <w:lvlText w:val="%1."/>
      <w:numFmt w:val="decimal"/>
      <w:start w:val="11"/>
    </w:lvl>
  </w:abstractNum>
  <w:abstractNum w:abstractNumId="39">
    <w:nsid w:val="7644A45C"/>
    <w:multiLevelType w:val="hybridMultilevel"/>
    <w:lvl w:ilvl="0">
      <w:lvlJc w:val="left"/>
      <w:lvlText w:val="%1."/>
      <w:numFmt w:val="decimal"/>
      <w:start w:val="12"/>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lowerLetter"/>
      <w:start w:val="5"/>
    </w:lvl>
  </w:abstractNum>
  <w:abstractNum w:abstractNumId="42">
    <w:nsid w:val="579478FE"/>
    <w:multiLevelType w:val="hybridMultilevel"/>
    <w:lvl w:ilvl="0">
      <w:lvlJc w:val="left"/>
      <w:lvlText w:val="(%1)"/>
      <w:numFmt w:val="lowerRoman"/>
      <w:start w:val="1"/>
    </w:lvl>
    <w:lvl w:ilvl="1">
      <w:lvlJc w:val="left"/>
      <w:lvlText w:val="(%2)"/>
      <w:numFmt w:val="lowerRoman"/>
      <w:start w:val="3"/>
    </w:lvl>
  </w:abstractNum>
  <w:abstractNum w:abstractNumId="43">
    <w:nsid w:val="749ABB43"/>
    <w:multiLevelType w:val="hybridMultilevel"/>
    <w:lvl w:ilvl="0">
      <w:lvlJc w:val="left"/>
      <w:lvlText w:val="(%1)"/>
      <w:numFmt w:val="lowerRoman"/>
      <w:start w:val="8"/>
    </w:lvl>
  </w:abstractNum>
  <w:abstractNum w:abstractNumId="44">
    <w:nsid w:val="3DC240FB"/>
    <w:multiLevelType w:val="hybridMultilevel"/>
    <w:lvl w:ilvl="0">
      <w:lvlJc w:val="left"/>
      <w:lvlText w:val="(%1)"/>
      <w:numFmt w:val="lowerRoman"/>
      <w:start w:val="9"/>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5"/>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5"/>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Roman"/>
      <w:start w:val="1"/>
    </w:lvl>
  </w:abstractNum>
  <w:abstractNum w:abstractNumId="54">
    <w:nsid w:val="649BB77C"/>
    <w:multiLevelType w:val="hybridMultilevel"/>
    <w:lvl w:ilvl="0">
      <w:lvlJc w:val="left"/>
      <w:lvlText w:val="(%1)"/>
      <w:numFmt w:val="lowerRoman"/>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165" Type="http://schemas.openxmlformats.org/officeDocument/2006/relationships/hyperlink" Target="https://www.sec.gov/Archives/edgar/data/0000918646/000119312521206385/d6613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2021-10-28T15:31:54Z</dcterms:created>
  <dcterms:modified xsi:type="dcterms:W3CDTF">2021-10-28T15:31:54Z</dcterms:modified>
</cp:coreProperties>
</file>