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xp-20251231.htm"/>
      <w:bookmarkStart w:id="1" w:name="ksexp20251231"/>
      <w:bookmarkEnd w:id="0"/>
      <w:bookmarkEnd w:id="1"/>
      <w:r>
        <w:rPr/>
        <w:t> </w:t>
      </w:r>
    </w:p>
    <w:p>
      <w:pPr>
        <w:pStyle w:val="TextBody"/>
        <w:bidi w:val="0"/>
        <w:jc w:val="center"/>
        <w:rPr/>
      </w:pPr>
      <w:r>
        <w:rPr/>
        <w:t> </w:t>
      </w:r>
    </w:p>
    <w:p>
      <w:pPr>
        <w:pStyle w:val="TextBody"/>
        <w:bidi w:val="0"/>
        <w:jc w:val="center"/>
        <w:rPr/>
      </w:pPr>
      <w:r>
        <w:rPr/>
        <w:t> </w:t>
      </w:r>
    </w:p>
    <w:p>
      <w:pPr>
        <w:pStyle w:val="Heading2"/>
        <w:bidi w:val="0"/>
        <w:jc w:val="left"/>
        <w:rPr/>
      </w:pPr>
      <w:r>
        <w:rPr/>
        <w:t> </w:t>
      </w:r>
    </w:p>
    <w:p>
      <w:pPr>
        <w:pStyle w:val="Heading2"/>
        <w:bidi w:val="0"/>
        <w:jc w:val="left"/>
        <w:rPr/>
      </w:pPr>
      <w:r>
        <w:rPr/>
        <w:t> </w:t>
      </w:r>
    </w:p>
    <w:p>
      <w:pPr>
        <w:pStyle w:val="Heading2"/>
        <w:bidi w:val="0"/>
        <w:jc w:val="left"/>
        <w:rPr/>
      </w:pPr>
      <w:r>
        <w:rPr/>
        <w:t> </w:t>
      </w:r>
    </w:p>
    <w:p>
      <w:pPr>
        <w:pStyle w:val="Heading2"/>
        <w:bidi w:val="0"/>
        <w:jc w:val="left"/>
        <w:rPr/>
      </w:pPr>
      <w:r>
        <w:rPr/>
        <w:t> </w:t>
      </w:r>
    </w:p>
    <w:p>
      <w:pPr>
        <w:pStyle w:val="Heading2"/>
        <w:bidi w:val="0"/>
        <w:jc w:val="left"/>
        <w:rPr/>
      </w:pPr>
      <w:r>
        <w:rPr/>
        <w:t> </w:t>
      </w:r>
    </w:p>
    <w:p>
      <w:pPr>
        <w:pStyle w:val="Heading1"/>
        <w:pBdr>
          <w:top w:val="single" w:sz="24" w:space="1" w:color="000000"/>
        </w:pBdr>
        <w:bidi w:val="0"/>
        <w:jc w:val="center"/>
        <w:rPr/>
      </w:pPr>
      <w:r>
        <w:rPr/>
        <w:t> </w:t>
      </w:r>
    </w:p>
    <w:p>
      <w:pPr>
        <w:pStyle w:val="Heading2"/>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0"/>
        </w:rPr>
        <w:t>FORM 11-K</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ANNUAL REPORT PURSUANT TO SECTION 15 (d) OF THE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EXCHANGE ACT OF 1934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For the year ended December 31,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Commission file number 1-12984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EAGLE MATERIALS INC. RETIREMENT PLAN</w:t>
      </w:r>
    </w:p>
    <w:p>
      <w:pPr>
        <w:pStyle w:val="TextBody"/>
        <w:bidi w:val="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EAGLE MATERIALS INC.</w:t>
      </w:r>
    </w:p>
    <w:p>
      <w:pPr>
        <w:pStyle w:val="TextBody"/>
        <w:bidi w:val="0"/>
        <w:jc w:val="center"/>
        <w:rPr>
          <w:rFonts w:ascii="Times New Roman" w:hAnsi="Times New Roman"/>
          <w:color w:val="000000"/>
          <w:sz w:val="20"/>
        </w:rPr>
      </w:pPr>
      <w:r>
        <w:rPr>
          <w:rFonts w:ascii="Times New Roman" w:hAnsi="Times New Roman"/>
          <w:color w:val="000000"/>
          <w:sz w:val="20"/>
        </w:rPr>
        <w:t>5960 Berkshire Lane, Suite 900</w:t>
        <w:br/>
        <w:t xml:space="preserve">Dallas, Texas 75225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(Name of issuer and address of principal executive office) </w:t>
      </w:r>
    </w:p>
    <w:p>
      <w:pPr>
        <w:pStyle w:val="TextBody"/>
        <w:bidi w:val="0"/>
        <w:jc w:val="center"/>
        <w:rPr/>
      </w:pPr>
      <w:r>
        <w:rPr/>
        <w:t> </w:t>
      </w:r>
    </w:p>
    <w:p>
      <w:pPr>
        <w:pStyle w:val="TextBody"/>
        <w:bidi w:val="0"/>
        <w:jc w:val="left"/>
        <w:rPr/>
      </w:pPr>
      <w:r>
        <w:rPr/>
        <w:t> </w:t>
      </w:r>
    </w:p>
    <w:p>
      <w:pPr>
        <w:pStyle w:val="Heading1"/>
        <w:pBdr>
          <w:top w:val="single" w:sz="24" w:space="1" w:color="000000"/>
        </w:pBdr>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val="false"/>
          <w:color w:val="000000"/>
          <w:sz w:val="22"/>
        </w:rPr>
      </w:pPr>
      <w:r>
        <w:rPr>
          <w:rFonts w:ascii="Times New Roman" w:hAnsi="Times New Roman"/>
          <w:b w:val="false"/>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FINANCIAL STATEMENTS AND SUPPLEMENTAL SCHEDULE</w:t>
      </w:r>
    </w:p>
    <w:p>
      <w:pPr>
        <w:pStyle w:val="TextBody"/>
        <w:bidi w:val="0"/>
        <w:jc w:val="center"/>
        <w:rPr>
          <w:rFonts w:ascii="Times New Roman" w:hAnsi="Times New Roman"/>
          <w:color w:val="000000"/>
          <w:sz w:val="22"/>
        </w:rPr>
      </w:pPr>
      <w:r>
        <w:rPr>
          <w:rFonts w:ascii="Times New Roman" w:hAnsi="Times New Roman"/>
          <w:color w:val="000000"/>
          <w:sz w:val="22"/>
        </w:rPr>
        <w:t>AT DECEMBER 31, 2025 AND 2024,</w:t>
      </w:r>
    </w:p>
    <w:p>
      <w:pPr>
        <w:pStyle w:val="TextBody"/>
        <w:bidi w:val="0"/>
        <w:jc w:val="center"/>
        <w:rPr>
          <w:rFonts w:ascii="Times New Roman" w:hAnsi="Times New Roman"/>
          <w:color w:val="000000"/>
          <w:sz w:val="22"/>
        </w:rPr>
      </w:pPr>
      <w:r>
        <w:rPr>
          <w:rFonts w:ascii="Times New Roman" w:hAnsi="Times New Roman"/>
          <w:color w:val="000000"/>
          <w:sz w:val="22"/>
        </w:rPr>
        <w:t>AND FOR THE YEAR ENDED DECEMBER 31, 2025</w:t>
      </w:r>
    </w:p>
    <w:p>
      <w:pPr>
        <w:pStyle w:val="Heading1"/>
        <w:bidi w:val="0"/>
        <w:jc w:val="center"/>
        <w:rPr/>
      </w:pPr>
      <w:r>
        <w:rPr/>
        <w:t> </w:t>
      </w:r>
    </w:p>
    <w:p>
      <w:pPr>
        <w:pStyle w:val="TextBody"/>
        <w:bidi w:val="0"/>
        <w:jc w:val="left"/>
        <w:rPr/>
      </w:pPr>
      <w:r>
        <w:rPr/>
        <w:t> </w:t>
      </w:r>
    </w:p>
    <w:tbl>
      <w:tblPr>
        <w:tblW w:w="8567" w:type="dxa"/>
        <w:jc w:val="left"/>
        <w:tblInd w:w="0" w:type="dxa"/>
        <w:tblLayout w:type="fixed"/>
        <w:tblCellMar>
          <w:top w:w="28" w:type="dxa"/>
          <w:left w:w="28" w:type="dxa"/>
          <w:bottom w:w="28" w:type="dxa"/>
          <w:right w:w="28" w:type="dxa"/>
        </w:tblCellMar>
      </w:tblPr>
      <w:tblGrid>
        <w:gridCol w:w="7381"/>
        <w:gridCol w:w="1186"/>
      </w:tblGrid>
      <w:tr>
        <w:trPr/>
        <w:tc>
          <w:tcPr>
            <w:tcW w:w="738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u w:val="single"/>
              </w:rPr>
            </w:pPr>
            <w:r>
              <w:rPr>
                <w:rFonts w:ascii="Times New Roman" w:hAnsi="Times New Roman"/>
                <w:color w:val="000000"/>
                <w:sz w:val="22"/>
                <w:u w:val="single"/>
              </w:rPr>
              <w:t>PAGE NO.</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REPORT OF INDEPENDENT REGISTERED PUBLIC ACCOUNTING FIRM</w:t>
            </w:r>
          </w:p>
        </w:tc>
        <w:tc>
          <w:tcPr>
            <w:tcW w:w="1186" w:type="dxa"/>
            <w:tcBorders/>
            <w:tcMar>
              <w:top w:w="0" w:type="dxa"/>
              <w:left w:w="0" w:type="dxa"/>
              <w:bottom w:w="0" w:type="dxa"/>
              <w:right w:w="0" w:type="dxa"/>
            </w:tcMar>
            <w:vAlign w:val="center"/>
          </w:tcPr>
          <w:p>
            <w:pPr>
              <w:pStyle w:val="TableContents"/>
              <w:bidi w:val="0"/>
              <w:spacing w:before="120" w:after="283"/>
              <w:jc w:val="right"/>
              <w:rPr/>
            </w:pPr>
            <w:r>
              <w:rPr/>
              <w:t> </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AUDITED FINANCIAL STATEMENTS</w:t>
            </w:r>
          </w:p>
        </w:tc>
        <w:tc>
          <w:tcPr>
            <w:tcW w:w="1186" w:type="dxa"/>
            <w:tcBorders/>
            <w:tcMar>
              <w:top w:w="0" w:type="dxa"/>
              <w:left w:w="0" w:type="dxa"/>
              <w:bottom w:w="0" w:type="dxa"/>
              <w:right w:w="0" w:type="dxa"/>
            </w:tcMar>
            <w:vAlign w:val="center"/>
          </w:tcPr>
          <w:p>
            <w:pPr>
              <w:pStyle w:val="TableContents"/>
              <w:bidi w:val="0"/>
              <w:spacing w:before="120" w:after="283"/>
              <w:jc w:val="right"/>
              <w:rPr/>
            </w:pPr>
            <w:r>
              <w:rPr/>
              <w:t> </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pPr>
            <w:hyperlink w:anchor="statements_net_assets_available_for_bene">
              <w:r>
                <w:rPr>
                  <w:rStyle w:val="InternetLink"/>
                  <w:rFonts w:ascii="Times New Roman" w:hAnsi="Times New Roman"/>
                  <w:color w:val="000000"/>
                  <w:sz w:val="22"/>
                </w:rPr>
                <w:t>Statements of Net Assets Available for Benefits</w:t>
              </w:r>
            </w:hyperlink>
          </w:p>
        </w:tc>
        <w:tc>
          <w:tcPr>
            <w:tcW w:w="118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3</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pPr>
            <w:hyperlink w:anchor="statement_changes_in_net_assets_availabl">
              <w:r>
                <w:rPr>
                  <w:rStyle w:val="InternetLink"/>
                  <w:rFonts w:ascii="Times New Roman" w:hAnsi="Times New Roman"/>
                  <w:color w:val="000000"/>
                  <w:sz w:val="22"/>
                </w:rPr>
                <w:t>Statement of Changes in Net Assets Available for Benefits</w:t>
              </w:r>
            </w:hyperlink>
          </w:p>
        </w:tc>
        <w:tc>
          <w:tcPr>
            <w:tcW w:w="118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4</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pPr>
            <w:hyperlink w:anchor="footnotes">
              <w:r>
                <w:rPr>
                  <w:rStyle w:val="InternetLink"/>
                  <w:rFonts w:ascii="Times New Roman" w:hAnsi="Times New Roman"/>
                  <w:color w:val="000000"/>
                  <w:sz w:val="22"/>
                </w:rPr>
                <w:t>Notes to Financial Statements</w:t>
              </w:r>
            </w:hyperlink>
          </w:p>
        </w:tc>
        <w:tc>
          <w:tcPr>
            <w:tcW w:w="118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5</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SUPPLEMENTAL SCHEDULE</w:t>
            </w:r>
          </w:p>
        </w:tc>
        <w:tc>
          <w:tcPr>
            <w:tcW w:w="1186" w:type="dxa"/>
            <w:tcBorders/>
            <w:tcMar>
              <w:top w:w="0" w:type="dxa"/>
              <w:left w:w="0" w:type="dxa"/>
              <w:bottom w:w="0" w:type="dxa"/>
              <w:right w:w="0" w:type="dxa"/>
            </w:tcMar>
            <w:vAlign w:val="center"/>
          </w:tcPr>
          <w:p>
            <w:pPr>
              <w:pStyle w:val="TableContents"/>
              <w:bidi w:val="0"/>
              <w:spacing w:before="120" w:after="283"/>
              <w:jc w:val="right"/>
              <w:rPr/>
            </w:pPr>
            <w:r>
              <w:rPr/>
              <w:t> </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pPr>
            <w:hyperlink w:anchor="schedule_h_4i">
              <w:r>
                <w:rPr>
                  <w:rStyle w:val="InternetLink"/>
                  <w:rFonts w:ascii="Times New Roman" w:hAnsi="Times New Roman"/>
                  <w:color w:val="000000"/>
                  <w:sz w:val="22"/>
                </w:rPr>
                <w:t>Schedule H: Line 4i – Schedule of Assets (Held at Year End)</w:t>
              </w:r>
            </w:hyperlink>
          </w:p>
        </w:tc>
        <w:tc>
          <w:tcPr>
            <w:tcW w:w="118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14</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pPr>
            <w:hyperlink w:anchor="index_to_exhibit">
              <w:r>
                <w:rPr>
                  <w:rStyle w:val="InternetLink"/>
                  <w:rFonts w:ascii="Times New Roman" w:hAnsi="Times New Roman"/>
                  <w:color w:val="000000"/>
                  <w:sz w:val="22"/>
                </w:rPr>
                <w:t>Index to Exhibits</w:t>
              </w:r>
            </w:hyperlink>
          </w:p>
        </w:tc>
        <w:tc>
          <w:tcPr>
            <w:tcW w:w="118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15</w:t>
            </w:r>
          </w:p>
        </w:tc>
      </w:tr>
      <w:tr>
        <w:trPr/>
        <w:tc>
          <w:tcPr>
            <w:tcW w:w="7381" w:type="dxa"/>
            <w:tcBorders/>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00"/>
                  <w:sz w:val="22"/>
                </w:rPr>
                <w:t>Signatures</w:t>
              </w:r>
            </w:hyperlink>
          </w:p>
        </w:tc>
        <w:tc>
          <w:tcPr>
            <w:tcW w:w="118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Plan Administrator and Participants</w:t>
      </w:r>
    </w:p>
    <w:p>
      <w:pPr>
        <w:pStyle w:val="TextBody"/>
        <w:bidi w:val="0"/>
        <w:jc w:val="left"/>
        <w:rPr>
          <w:rFonts w:ascii="Times New Roman" w:hAnsi="Times New Roman"/>
          <w:sz w:val="20"/>
        </w:rPr>
      </w:pPr>
      <w:r>
        <w:rPr>
          <w:rFonts w:ascii="Times New Roman" w:hAnsi="Times New Roman"/>
          <w:color w:val="000000"/>
          <w:sz w:val="22"/>
        </w:rPr>
        <w:t>Eagle Materials Inc. Retirement Plan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Dallas, Texas</w:t>
      </w:r>
    </w:p>
    <w:p>
      <w:pPr>
        <w:pStyle w:val="TextBody"/>
        <w:bidi w:val="0"/>
        <w:jc w:val="both"/>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Opinion on the Financial Statements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We have audited the accompanying statements of net assets available for benefits of the Eagle Materials Inc. Retirement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Basis for Opinion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Supplemental Information</w:t>
      </w:r>
    </w:p>
    <w:p>
      <w:pPr>
        <w:pStyle w:val="TextBody"/>
        <w:bidi w:val="0"/>
        <w:spacing w:before="240" w:after="283"/>
        <w:jc w:val="left"/>
        <w:rPr>
          <w:rFonts w:ascii="Times New Roman" w:hAnsi="Times New Roman"/>
          <w:sz w:val="20"/>
        </w:rPr>
      </w:pPr>
      <w:r>
        <w:rPr>
          <w:rFonts w:ascii="Times New Roman" w:hAnsi="Times New Roman"/>
          <w:color w:val="000000"/>
          <w:sz w:val="22"/>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/s/ BDO USA, P.C.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have served as the Plan’s auditor since 2023.</w:t>
      </w:r>
    </w:p>
    <w:p>
      <w:pPr>
        <w:pStyle w:val="TextBody"/>
        <w:bidi w:val="0"/>
        <w:jc w:val="left"/>
        <w:rPr>
          <w:rFonts w:ascii="Times New Roman" w:hAnsi="Times New Roman"/>
          <w:color w:val="000000"/>
          <w:sz w:val="22"/>
        </w:rPr>
      </w:pPr>
      <w:r>
        <w:rPr>
          <w:rFonts w:ascii="Times New Roman" w:hAnsi="Times New Roman"/>
          <w:color w:val="000000"/>
          <w:sz w:val="22"/>
        </w:rPr>
        <w:t>Dallas, Texas</w:t>
      </w:r>
    </w:p>
    <w:p>
      <w:pPr>
        <w:pStyle w:val="TextBody"/>
        <w:bidi w:val="0"/>
        <w:jc w:val="left"/>
        <w:rPr>
          <w:rFonts w:ascii="Times New Roman" w:hAnsi="Times New Roman"/>
          <w:color w:val="000000"/>
          <w:sz w:val="22"/>
        </w:rPr>
      </w:pPr>
      <w:r>
        <w:rPr>
          <w:rFonts w:ascii="Times New Roman" w:hAnsi="Times New Roman"/>
          <w:color w:val="000000"/>
          <w:sz w:val="22"/>
        </w:rPr>
        <w:t>June 23, 2026</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Eagle Materials Inc. Retirement Plan</w:t>
      </w:r>
    </w:p>
    <w:p>
      <w:pPr>
        <w:pStyle w:val="TextBody"/>
        <w:bidi w:val="0"/>
        <w:jc w:val="center"/>
        <w:rPr>
          <w:rFonts w:ascii="Times New Roman" w:hAnsi="Times New Roman"/>
          <w:sz w:val="20"/>
        </w:rPr>
      </w:pPr>
      <w:bookmarkStart w:id="2" w:name="statements_net_assets_available_for_bene"/>
      <w:bookmarkEnd w:id="2"/>
      <w:r>
        <w:rPr>
          <w:rFonts w:ascii="Times New Roman" w:hAnsi="Times New Roman"/>
          <w:b/>
          <w:color w:val="000000"/>
          <w:sz w:val="28"/>
        </w:rPr>
        <w:t>Statements of Net Assets</w:t>
      </w:r>
      <w:r>
        <w:rPr>
          <w:rFonts w:ascii="Times New Roman" w:hAnsi="Times New Roman"/>
          <w:color w:val="000000"/>
          <w:sz w:val="20"/>
        </w:rPr>
        <w:t xml:space="preserve"> </w:t>
      </w:r>
      <w:r>
        <w:rPr>
          <w:rFonts w:ascii="Times New Roman" w:hAnsi="Times New Roman"/>
          <w:b/>
          <w:color w:val="000000"/>
          <w:sz w:val="28"/>
        </w:rPr>
        <w:t>Available for Benefits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At December 31, 2025 and 2024</w:t>
      </w:r>
    </w:p>
    <w:p>
      <w:pPr>
        <w:pStyle w:val="TextBody"/>
        <w:bidi w:val="0"/>
        <w:jc w:val="center"/>
        <w:rPr/>
      </w:pPr>
      <w:r>
        <w:rPr/>
        <w:t> </w:t>
      </w:r>
    </w:p>
    <w:p>
      <w:pPr>
        <w:pStyle w:val="TextBody"/>
        <w:bidi w:val="0"/>
        <w:jc w:val="center"/>
        <w:rPr/>
      </w:pPr>
      <w:r>
        <w:rPr/>
        <w:t> </w:t>
      </w:r>
    </w:p>
    <w:tbl>
      <w:tblPr>
        <w:tblW w:w="9079" w:type="dxa"/>
        <w:jc w:val="left"/>
        <w:tblInd w:w="0" w:type="dxa"/>
        <w:tblLayout w:type="fixed"/>
        <w:tblCellMar>
          <w:top w:w="28" w:type="dxa"/>
          <w:left w:w="28" w:type="dxa"/>
          <w:bottom w:w="28" w:type="dxa"/>
          <w:right w:w="28" w:type="dxa"/>
        </w:tblCellMar>
      </w:tblPr>
      <w:tblGrid>
        <w:gridCol w:w="5346"/>
        <w:gridCol w:w="146"/>
        <w:gridCol w:w="211"/>
        <w:gridCol w:w="1141"/>
        <w:gridCol w:w="146"/>
        <w:gridCol w:w="146"/>
        <w:gridCol w:w="211"/>
        <w:gridCol w:w="1141"/>
        <w:gridCol w:w="591"/>
      </w:tblGrid>
      <w:tr>
        <w:trPr/>
        <w:tc>
          <w:tcPr>
            <w:tcW w:w="5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shd w:fill="004483"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December 31,</w:t>
            </w:r>
          </w:p>
        </w:tc>
        <w:tc>
          <w:tcPr>
            <w:tcW w:w="591" w:type="dxa"/>
            <w:tcBorders/>
            <w:shd w:fill="004483"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Investments at fair value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316,241,332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271,518,670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Fully benefit-responsive investment contract at contract value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4,985,281</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5,474,511</w:t>
            </w:r>
          </w:p>
        </w:tc>
        <w:tc>
          <w:tcPr>
            <w:tcW w:w="591" w:type="dxa"/>
            <w:tcBorders>
              <w:bottom w:val="single" w:sz="30"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4483"/>
                <w:sz w:val="20"/>
              </w:rPr>
            </w:pPr>
            <w:r>
              <w:rPr>
                <w:rFonts w:ascii="Times New Roman" w:hAnsi="Times New Roman"/>
                <w:color w:val="004483"/>
                <w:sz w:val="20"/>
              </w:rPr>
              <w:t>Total Investments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321,226,613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276,993,181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Notes receivable from participants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6,582,869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Employer's contribution receivable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9,870,212</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9,689,041</w:t>
            </w:r>
          </w:p>
        </w:tc>
        <w:tc>
          <w:tcPr>
            <w:tcW w:w="591" w:type="dxa"/>
            <w:tcBorders>
              <w:bottom w:val="single" w:sz="30"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4483"/>
                <w:sz w:val="20"/>
              </w:rPr>
            </w:pPr>
            <w:r>
              <w:rPr>
                <w:rFonts w:ascii="Times New Roman" w:hAnsi="Times New Roman"/>
                <w:color w:val="004483"/>
                <w:sz w:val="20"/>
              </w:rPr>
              <w:t>Total Assets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338,484,512</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293,265,091</w:t>
            </w:r>
          </w:p>
        </w:tc>
        <w:tc>
          <w:tcPr>
            <w:tcW w:w="591" w:type="dxa"/>
            <w:tcBorders>
              <w:bottom w:val="single" w:sz="30"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4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Assets Available for Benefits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338,484,512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293,265,091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accompanying notes to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Eagle Materials Inc. Retirement Plan</w:t>
      </w:r>
    </w:p>
    <w:p>
      <w:pPr>
        <w:pStyle w:val="TextBody"/>
        <w:bidi w:val="0"/>
        <w:jc w:val="center"/>
        <w:rPr>
          <w:rFonts w:ascii="Times New Roman" w:hAnsi="Times New Roman"/>
          <w:b/>
          <w:color w:val="000000"/>
          <w:sz w:val="28"/>
        </w:rPr>
      </w:pPr>
      <w:bookmarkStart w:id="3" w:name="statement_changes_in_net_assets_availabl"/>
      <w:bookmarkEnd w:id="3"/>
      <w:r>
        <w:rPr>
          <w:rFonts w:ascii="Times New Roman" w:hAnsi="Times New Roman"/>
          <w:b/>
          <w:color w:val="000000"/>
          <w:sz w:val="28"/>
        </w:rPr>
        <w:t>Statement of Changes in Net Assets Available for Benefits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Year ended December 31, 2025</w:t>
      </w:r>
    </w:p>
    <w:p>
      <w:pPr>
        <w:pStyle w:val="TextBody"/>
        <w:bidi w:val="0"/>
        <w:jc w:val="center"/>
        <w:rPr/>
      </w:pPr>
      <w:r>
        <w:rPr/>
        <w:t> </w:t>
      </w:r>
    </w:p>
    <w:p>
      <w:pPr>
        <w:pStyle w:val="TextBody"/>
        <w:bidi w:val="0"/>
        <w:jc w:val="center"/>
        <w:rPr/>
      </w:pPr>
      <w:r>
        <w:rPr/>
        <w:t> </w:t>
      </w:r>
    </w:p>
    <w:tbl>
      <w:tblPr>
        <w:tblW w:w="6520" w:type="dxa"/>
        <w:jc w:val="left"/>
        <w:tblInd w:w="0" w:type="dxa"/>
        <w:tblLayout w:type="fixed"/>
        <w:tblCellMar>
          <w:top w:w="28" w:type="dxa"/>
          <w:left w:w="28" w:type="dxa"/>
          <w:bottom w:w="28" w:type="dxa"/>
          <w:right w:w="28" w:type="dxa"/>
        </w:tblCellMar>
      </w:tblPr>
      <w:tblGrid>
        <w:gridCol w:w="4611"/>
        <w:gridCol w:w="146"/>
        <w:gridCol w:w="211"/>
        <w:gridCol w:w="1141"/>
        <w:gridCol w:w="41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Additions: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Participating employers’ contributions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13,162,618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Participant contributions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16,726,501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Participant rollovers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3,359,917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Interest and dividends from investments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Net appreciation in fair value of investments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40,551,068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Interest income on notes receivable from participants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638,556</w:t>
            </w:r>
          </w:p>
        </w:tc>
        <w:tc>
          <w:tcPr>
            <w:tcW w:w="411"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additions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75,154,461</w:t>
            </w:r>
          </w:p>
        </w:tc>
        <w:tc>
          <w:tcPr>
            <w:tcW w:w="411"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Deductions: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Benefits paid to participants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(29,893,817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4483"/>
                <w:sz w:val="20"/>
              </w:rPr>
            </w:pPr>
            <w:r>
              <w:rPr>
                <w:rFonts w:ascii="Times New Roman" w:hAnsi="Times New Roman"/>
                <w:color w:val="004483"/>
                <w:sz w:val="20"/>
              </w:rPr>
              <w:t>Administrative expenses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(41,223</w:t>
            </w:r>
          </w:p>
        </w:tc>
        <w:tc>
          <w:tcPr>
            <w:tcW w:w="411"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deductions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(29,935,040</w:t>
            </w:r>
          </w:p>
        </w:tc>
        <w:tc>
          <w:tcPr>
            <w:tcW w:w="411"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Net increase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45,219,421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Net assets available for benefits at Beginning of Year</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293,265,091</w:t>
            </w:r>
          </w:p>
        </w:tc>
        <w:tc>
          <w:tcPr>
            <w:tcW w:w="411"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available for benefits at End of Year</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338,484,512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accompanying notes to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2"/>
          <w:u w:val="single"/>
        </w:rPr>
      </w:pPr>
      <w:bookmarkStart w:id="4" w:name="footnotes"/>
      <w:bookmarkEnd w:id="4"/>
      <w:r>
        <w:rPr>
          <w:rFonts w:ascii="Times New Roman" w:hAnsi="Times New Roman"/>
          <w:color w:val="000000"/>
          <w:sz w:val="22"/>
          <w:u w:val="single"/>
        </w:rPr>
        <w:t>NOTE 1. DESCRIPTION OF THE PLAN</w:t>
      </w:r>
    </w:p>
    <w:p>
      <w:pPr>
        <w:pStyle w:val="TextBody"/>
        <w:bidi w:val="0"/>
        <w:spacing w:before="120" w:after="283"/>
        <w:jc w:val="both"/>
        <w:rPr>
          <w:rFonts w:ascii="Times New Roman" w:hAnsi="Times New Roman"/>
          <w:sz w:val="20"/>
        </w:rPr>
      </w:pPr>
      <w:r>
        <w:rPr>
          <w:rFonts w:ascii="Times New Roman" w:hAnsi="Times New Roman"/>
          <w:color w:val="000000"/>
          <w:sz w:val="22"/>
        </w:rPr>
        <w:t>The following description</w:t>
      </w:r>
      <w:r>
        <w:rPr>
          <w:rFonts w:ascii="Times New Roman" w:hAnsi="Times New Roman"/>
          <w:color w:val="000000"/>
          <w:sz w:val="20"/>
        </w:rPr>
        <w:t xml:space="preserve"> </w:t>
      </w:r>
      <w:r>
        <w:rPr>
          <w:rFonts w:ascii="Times New Roman" w:hAnsi="Times New Roman"/>
          <w:color w:val="000000"/>
          <w:sz w:val="22"/>
        </w:rPr>
        <w:t>of the Eagle Materials Inc. Retirement Plan (the Plan) provides only general information. Participants should refer to the Plan document for a more complete description of the Plan’s provisions.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General</w:t>
      </w:r>
    </w:p>
    <w:p>
      <w:pPr>
        <w:pStyle w:val="TextBody"/>
        <w:bidi w:val="0"/>
        <w:spacing w:before="120" w:after="283"/>
        <w:jc w:val="both"/>
        <w:rPr>
          <w:rFonts w:ascii="Times New Roman" w:hAnsi="Times New Roman"/>
          <w:sz w:val="20"/>
        </w:rPr>
      </w:pPr>
      <w:r>
        <w:rPr>
          <w:rFonts w:ascii="Times New Roman" w:hAnsi="Times New Roman"/>
          <w:color w:val="000000"/>
          <w:sz w:val="22"/>
        </w:rPr>
        <w:t>The Plan, established April 1, 1994 and amended and restated effective January 1, 2026, is a defined contribution retirement plan covering eligible employees of Eagle Materials Inc. (the Company or Employer) and eligible employees of other related corporations which adopt the Plan with the Company’s consent. The Company and certain subsidiaries collectively comprise the “Participating Employers.” The Plan is administered by the Administrative Committee (the Committee) appointed by the Board of Directors of the Company. The Plan is subject to the provisions of the Employee Retirement Income Security Act of 1974, as amended (ERISA).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Acquisition of Subsidiaries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During August 2024, the Company purchased the Big Bend Quarry (BBQ). Employees of BBQ were eligible to participate in the Plan as employees of Battletown Materials LLC, at the date of acquisition. During January 2025, the Company purchased Bullskin Stone &amp; Lime (Bullskin). Employees of Bullskin were eligible to participate in the Plan at the date of acquisition.</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Eligibility</w:t>
      </w:r>
    </w:p>
    <w:p>
      <w:pPr>
        <w:pStyle w:val="TextBody"/>
        <w:bidi w:val="0"/>
        <w:spacing w:before="120" w:after="283"/>
        <w:jc w:val="both"/>
        <w:rPr>
          <w:rFonts w:ascii="Times New Roman" w:hAnsi="Times New Roman"/>
          <w:sz w:val="20"/>
        </w:rPr>
      </w:pPr>
      <w:r>
        <w:rPr>
          <w:rFonts w:ascii="Times New Roman" w:hAnsi="Times New Roman"/>
          <w:color w:val="000000"/>
          <w:sz w:val="22"/>
        </w:rPr>
        <w:t>The Plan has three</w:t>
      </w:r>
      <w:r>
        <w:rPr>
          <w:rFonts w:ascii="Times New Roman" w:hAnsi="Times New Roman"/>
          <w:color w:val="000000"/>
          <w:sz w:val="20"/>
        </w:rPr>
        <w:t xml:space="preserve"> </w:t>
      </w:r>
      <w:r>
        <w:rPr>
          <w:rFonts w:ascii="Times New Roman" w:hAnsi="Times New Roman"/>
          <w:color w:val="000000"/>
          <w:sz w:val="22"/>
        </w:rPr>
        <w:t>distinct types of eligible employees: (1) employees eligible to participate in the employer profit sharing contributions, (2) employees eligible to participate in employer matching contributions or (3) employees not eligible to participate in any employer contribution. Eligible employees may not participate in both employer profit sharing and matching contributions, except as provided in the Plan document. Eligible employees of the Participating Employers participate in profit sharing contributions on the earlier of January 1 or July 1 after completing one year of service, as defined. One year of service, for purposes of eligibility, is defined as a consecutive twelve month period during which the employee worked 1,000</w:t>
      </w:r>
      <w:r>
        <w:rPr>
          <w:rFonts w:ascii="Times New Roman" w:hAnsi="Times New Roman"/>
          <w:color w:val="000000"/>
          <w:sz w:val="20"/>
        </w:rPr>
        <w:t xml:space="preserve"> </w:t>
      </w:r>
      <w:r>
        <w:rPr>
          <w:rFonts w:ascii="Times New Roman" w:hAnsi="Times New Roman"/>
          <w:color w:val="000000"/>
          <w:sz w:val="22"/>
        </w:rPr>
        <w:t>hours, ending on the first anniversary of the employee’s date of hire. Hourly employees of Republic Paperboard Company, LLC, a subsidiary of the Company, may participate in matching contributions on the date the employee first performs an hour of service for the Employer, as defined. Hourly employees of Audubon Materials, Tulsa Cement Company, Illinois Cement Company, Fairborn Cement Company, Kosmos Cement Company, Battletown Materials LLC, Nevada Cement Company,Kansas City Readymix, Audubon Readymix, and Bullskin Stone &amp; Lime may also participate in matching contributions during the calendar year. Eligible employees are automatically enrolled in the Plan upon eligibility unless they opt out of the plan.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member of a group or class of employees covered by a collective bargaining agreement is not eligible to participate in the Plan unless such agreement extends the Plan to such group or class of employees.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Contributions</w:t>
      </w:r>
    </w:p>
    <w:p>
      <w:pPr>
        <w:pStyle w:val="TextBody"/>
        <w:bidi w:val="0"/>
        <w:spacing w:before="120" w:after="283"/>
        <w:jc w:val="both"/>
        <w:rPr>
          <w:rFonts w:ascii="Times New Roman" w:hAnsi="Times New Roman"/>
          <w:sz w:val="20"/>
        </w:rPr>
      </w:pPr>
      <w:r>
        <w:rPr>
          <w:rFonts w:ascii="Times New Roman" w:hAnsi="Times New Roman"/>
          <w:color w:val="000000"/>
          <w:sz w:val="22"/>
        </w:rPr>
        <w:t>The Plan permits participants to contribute pre-tax up to 70% of their compensation, up to a statutory limit, as defined, to a 401(k) account upon the date of hire. Participants may contribute a portion of their compensation, as defined by the Plan, limited to the maximum amount permitted under the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 1. DESCRIPTION OF THE PLAN (continued)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applicable Internal Revenue Code (the Code) regulations and the Plan document. Participants may also contribute amounts representing distributions from other qualified defined benefit and defined contribution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Participants who have been auto-enrolled in the Plan will be deemed to have elected to contribute 3% to the Plan, with a 1% automatic increase annually up to a maximum of 7%. An Automatic Enrollment Participant who elects not to make Automatic Contributions or elects to cease such contributions to the Plan may elect to defer a percentage of their Compensation as Pre</w:t>
        <w:noBreakHyphen/>
        <w:t>Tax Contributions, Roth Contributions, and/or After-Tax Contributions at any time.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Profit sharing contributions are made by the Participating Employers as determined by the Company’s Board of Directors. Profit sharing contributions are made to all eligible participants employed on December 31 of each year. The profit sharing contributions are classified as employer's contribution receivable on the Statements of Net Assets Available for Benefits, and are generally paid in February of the next year. Profit sharing contributions made to hourly employees are allocated to participant accounts on a pro rata basis determined by each participant’s number of hours worked. Eligible employees of certain subsidiaries receive Employer nondiscretionary matching contributions. These matching contributions are generally allocated to each employee’s participant account based on a certain percentage of each employee’s eligible contribution, up to a certain percentage or dollar amount annually, as defined by the Plan. Participating Employers, at their sole discretion, may make qualified non-elective contributions to the Plan. No such qualified non-elective contributions were made for the 2025 or 2024 Plan year. Forfeitures may be used to reduce employer contributions or administrative expenses of the Plan. Accrued discretionary employer profit sharing contributions to the Plan were reduced by assumed forfeitures of $300,000</w:t>
      </w:r>
      <w:r>
        <w:rPr>
          <w:rFonts w:ascii="Times New Roman" w:hAnsi="Times New Roman"/>
          <w:color w:val="000000"/>
          <w:sz w:val="20"/>
        </w:rPr>
        <w:t xml:space="preserve"> </w:t>
      </w:r>
      <w:r>
        <w:rPr>
          <w:rFonts w:ascii="Times New Roman" w:hAnsi="Times New Roman"/>
          <w:color w:val="000000"/>
          <w:sz w:val="22"/>
        </w:rPr>
        <w:t>at December 31, 2025, and December 31, 2024. Forfeitures available for future use totaled approximately $447,000</w:t>
      </w:r>
      <w:r>
        <w:rPr>
          <w:rFonts w:ascii="Times New Roman" w:hAnsi="Times New Roman"/>
          <w:color w:val="000000"/>
          <w:sz w:val="20"/>
        </w:rPr>
        <w:t xml:space="preserve"> </w:t>
      </w:r>
      <w:r>
        <w:rPr>
          <w:rFonts w:ascii="Times New Roman" w:hAnsi="Times New Roman"/>
          <w:color w:val="000000"/>
          <w:sz w:val="22"/>
        </w:rPr>
        <w:t>and $370,000</w:t>
      </w:r>
      <w:r>
        <w:rPr>
          <w:rFonts w:ascii="Times New Roman" w:hAnsi="Times New Roman"/>
          <w:color w:val="000000"/>
          <w:sz w:val="20"/>
        </w:rPr>
        <w:t xml:space="preserve"> </w:t>
      </w:r>
      <w:r>
        <w:rPr>
          <w:rFonts w:ascii="Times New Roman" w:hAnsi="Times New Roman"/>
          <w:color w:val="000000"/>
          <w:sz w:val="22"/>
        </w:rPr>
        <w:t>at December 31, 2025 and 2024, respectively.</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Participants direct the investment of their accounts into various mutual funds, collective trusts, a guaranteed investment contract, self-directed brokerage account, or the Eagle Materials Common Stock Fund (EXPSF). The EXPSF is a unitized stock fund.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Participants may allocate up to 15% of employer and participant contributions to the EXPSF, whereas up to 100% may be allocated to any other investment option offered by the Plan.</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Administrative Expenses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Certain administrative expenses of the Plan are paid by the Company and are excluded from these financial statements. The Plan is not required to reimburse the Company for any administrative expenses paid by the Company. Expenses not paid by the Company are paid by the Plan.</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Benefits Payable</w:t>
      </w:r>
    </w:p>
    <w:p>
      <w:pPr>
        <w:pStyle w:val="TextBody"/>
        <w:bidi w:val="0"/>
        <w:spacing w:before="120" w:after="283"/>
        <w:jc w:val="both"/>
        <w:rPr>
          <w:rFonts w:ascii="Times New Roman" w:hAnsi="Times New Roman"/>
          <w:sz w:val="20"/>
        </w:rPr>
      </w:pPr>
      <w:r>
        <w:rPr>
          <w:rFonts w:ascii="Times New Roman" w:hAnsi="Times New Roman"/>
          <w:color w:val="000000"/>
          <w:sz w:val="22"/>
        </w:rPr>
        <w:t>Benefits payable relate to claims for benefits that have been processed and approved prior to the end of the year, but not paid until the subsequent year. We had no</w:t>
      </w:r>
      <w:r>
        <w:rPr>
          <w:rFonts w:ascii="Times New Roman" w:hAnsi="Times New Roman"/>
          <w:color w:val="000000"/>
          <w:sz w:val="20"/>
        </w:rPr>
        <w:t xml:space="preserve"> </w:t>
      </w:r>
      <w:r>
        <w:rPr>
          <w:rFonts w:ascii="Times New Roman" w:hAnsi="Times New Roman"/>
          <w:color w:val="000000"/>
          <w:sz w:val="22"/>
        </w:rPr>
        <w:t>benefits payable at December 31, 2025 and 2024.</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 1. DESCRIPTION OF THE PLAN (continued)</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Vesting</w:t>
      </w:r>
    </w:p>
    <w:p>
      <w:pPr>
        <w:pStyle w:val="TextBody"/>
        <w:bidi w:val="0"/>
        <w:spacing w:before="120" w:after="283"/>
        <w:jc w:val="both"/>
        <w:rPr>
          <w:rFonts w:ascii="Times New Roman" w:hAnsi="Times New Roman"/>
          <w:sz w:val="20"/>
        </w:rPr>
      </w:pPr>
      <w:r>
        <w:rPr>
          <w:rFonts w:ascii="Times New Roman" w:hAnsi="Times New Roman"/>
          <w:i/>
          <w:color w:val="000000"/>
          <w:sz w:val="22"/>
        </w:rPr>
        <w:t xml:space="preserve">Matching Contributions </w:t>
      </w:r>
      <w:r>
        <w:rPr>
          <w:rFonts w:ascii="Times New Roman" w:hAnsi="Times New Roman"/>
          <w:color w:val="000000"/>
          <w:sz w:val="20"/>
        </w:rPr>
        <w:t xml:space="preserve">– </w:t>
      </w:r>
      <w:r>
        <w:rPr>
          <w:rFonts w:ascii="Times New Roman" w:hAnsi="Times New Roman"/>
          <w:color w:val="000000"/>
          <w:sz w:val="22"/>
        </w:rPr>
        <w:t>Participants’ Employer nondiscretionary matching contributions do not vest until the completion of four years</w:t>
      </w:r>
      <w:r>
        <w:rPr>
          <w:rFonts w:ascii="Times New Roman" w:hAnsi="Times New Roman"/>
          <w:color w:val="000000"/>
          <w:sz w:val="20"/>
        </w:rPr>
        <w:t xml:space="preserve"> </w:t>
      </w:r>
      <w:r>
        <w:rPr>
          <w:rFonts w:ascii="Times New Roman" w:hAnsi="Times New Roman"/>
          <w:color w:val="000000"/>
          <w:sz w:val="22"/>
        </w:rPr>
        <w:t>of vesting service, as defined, except as provided in the Plan document.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2"/>
        </w:rPr>
        <w:t>Profit Sharing Contributions</w:t>
      </w:r>
      <w:r>
        <w:rPr>
          <w:rFonts w:ascii="Times New Roman" w:hAnsi="Times New Roman"/>
          <w:color w:val="000000"/>
          <w:sz w:val="20"/>
        </w:rPr>
        <w:t xml:space="preserve"> – </w:t>
      </w:r>
      <w:r>
        <w:rPr>
          <w:rFonts w:ascii="Times New Roman" w:hAnsi="Times New Roman"/>
          <w:color w:val="000000"/>
          <w:sz w:val="22"/>
        </w:rPr>
        <w:t>Participants’ Employer profit sharing contributions do not fully vest until the completion of four years</w:t>
      </w:r>
      <w:r>
        <w:rPr>
          <w:rFonts w:ascii="Times New Roman" w:hAnsi="Times New Roman"/>
          <w:color w:val="000000"/>
          <w:sz w:val="20"/>
        </w:rPr>
        <w:t xml:space="preserve"> </w:t>
      </w:r>
      <w:r>
        <w:rPr>
          <w:rFonts w:ascii="Times New Roman" w:hAnsi="Times New Roman"/>
          <w:color w:val="000000"/>
          <w:sz w:val="22"/>
        </w:rPr>
        <w:t>of vesting service, as defined.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Participants are fully vested in all contributions upon retirement, full and permanent disability, or death.</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Plan provides for distributions when a participant terminates employment and the fair value of the participant’s vested accrued benefit is equal to or less than $7,000. A summary of such provisions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Upon termination of service, if the fair value of a participant’s vested accrued benefit is $7,000</w:t>
      </w:r>
      <w:r>
        <w:rPr>
          <w:color w:val="000000"/>
        </w:rPr>
        <w:t xml:space="preserve"> </w:t>
      </w:r>
      <w:r>
        <w:rPr>
          <w:rFonts w:ascii="Times New Roman" w:hAnsi="Times New Roman"/>
          <w:color w:val="000000"/>
          <w:sz w:val="22"/>
        </w:rPr>
        <w:t>or less, the Committee shall direct Fidelity Management Trust Company (Trustee) to distribute the fair value of the participant’s vested balance in a single sum. In the event of a mandatory distribution greater than $1,000</w:t>
      </w:r>
      <w:r>
        <w:rPr>
          <w:color w:val="000000"/>
        </w:rPr>
        <w:t xml:space="preserve"> </w:t>
      </w:r>
      <w:r>
        <w:rPr>
          <w:rFonts w:ascii="Times New Roman" w:hAnsi="Times New Roman"/>
          <w:color w:val="000000"/>
          <w:sz w:val="22"/>
        </w:rPr>
        <w:t xml:space="preserve">(but less than $7,000), if the participant does not elect to have such distribution paid directly to an eligible retirement plan or to receive the distribution, then the Committee will pay the distribution in a direct rollover to an individual retirement plan designated by the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If a participant terminates service when the participant’s vested accrued benefit is zero, the participant is deemed to receive a distribution of his entire vested accrued benefit as of the day of termination. </w:t>
      </w:r>
    </w:p>
    <w:p>
      <w:pPr>
        <w:pStyle w:val="TextBody"/>
        <w:bidi w:val="0"/>
        <w:spacing w:before="120" w:after="283"/>
        <w:jc w:val="both"/>
        <w:rPr>
          <w:rFonts w:ascii="Times New Roman" w:hAnsi="Times New Roman"/>
          <w:sz w:val="20"/>
        </w:rPr>
      </w:pPr>
      <w:r>
        <w:rPr>
          <w:rFonts w:ascii="Times New Roman" w:hAnsi="Times New Roman"/>
          <w:color w:val="000000"/>
          <w:sz w:val="22"/>
        </w:rPr>
        <w:t>Participants are always fully vested in their participant contributions, related earnings and participant rollovers.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Notes Receivable from Participants</w:t>
      </w:r>
    </w:p>
    <w:p>
      <w:pPr>
        <w:pStyle w:val="TextBody"/>
        <w:bidi w:val="0"/>
        <w:spacing w:before="120" w:after="283"/>
        <w:jc w:val="both"/>
        <w:rPr>
          <w:rFonts w:ascii="Times New Roman" w:hAnsi="Times New Roman"/>
          <w:sz w:val="20"/>
        </w:rPr>
      </w:pPr>
      <w:r>
        <w:rPr>
          <w:rFonts w:ascii="Times New Roman" w:hAnsi="Times New Roman"/>
          <w:color w:val="000000"/>
          <w:sz w:val="22"/>
        </w:rPr>
        <w:t>Notes receivable from participants represent loans that are recorded at their unpaid principal balance plus any accrued but unpaid interest. Plan participants may borrow from their accounts an amount generally not to exceed the lesser of $50,000</w:t>
      </w:r>
      <w:r>
        <w:rPr>
          <w:rFonts w:ascii="Times New Roman" w:hAnsi="Times New Roman"/>
          <w:color w:val="000000"/>
          <w:sz w:val="20"/>
        </w:rPr>
        <w:t xml:space="preserve"> </w:t>
      </w:r>
      <w:r>
        <w:rPr>
          <w:rFonts w:ascii="Times New Roman" w:hAnsi="Times New Roman"/>
          <w:color w:val="000000"/>
          <w:sz w:val="22"/>
        </w:rPr>
        <w:t>or 50% of their vested account balance. The repayment terms of loans may not exceed five years</w:t>
      </w:r>
      <w:r>
        <w:rPr>
          <w:rFonts w:ascii="Times New Roman" w:hAnsi="Times New Roman"/>
          <w:color w:val="000000"/>
          <w:sz w:val="20"/>
        </w:rPr>
        <w:t xml:space="preserve"> </w:t>
      </w:r>
      <w:r>
        <w:rPr>
          <w:rFonts w:ascii="Times New Roman" w:hAnsi="Times New Roman"/>
          <w:color w:val="000000"/>
          <w:sz w:val="22"/>
        </w:rPr>
        <w:t>except for loans used to acquire a principal residence. Each loan bears interest at a reasonable rate based on lending in similar situations. The current interest rate for new loans is set at the Wall Street Journal prime rate plus two</w:t>
      </w:r>
      <w:r>
        <w:rPr>
          <w:rFonts w:ascii="Times New Roman" w:hAnsi="Times New Roman"/>
          <w:color w:val="000000"/>
          <w:sz w:val="20"/>
        </w:rPr>
        <w:t xml:space="preserve"> </w:t>
      </w:r>
      <w:r>
        <w:rPr>
          <w:rFonts w:ascii="Times New Roman" w:hAnsi="Times New Roman"/>
          <w:color w:val="000000"/>
          <w:sz w:val="22"/>
        </w:rPr>
        <w:t>percent. Principal and interest are paid ratably through automatic payroll deductions. If a participant ceases to make loan repayments and the Plan administrator deems the loan to be a distribution, notes receivable from participants is reduced and a benefit payment is recorded.</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Distributions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accordance with the Plan document, distribution of a participant’s vested account is available upon the participant’s retirement, death, disability, termination of employment, or attainment of age 59½; or distribution is available to satisfy a financial hardship meeting the requirements of the Internal Revenue Service (IRS) regulations. Distributions are made in a lump-sum payment, a direct rollover distribution, or a combination thereof.</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Termination of the Plan</w:t>
      </w:r>
    </w:p>
    <w:p>
      <w:pPr>
        <w:pStyle w:val="TextBody"/>
        <w:bidi w:val="0"/>
        <w:spacing w:before="120" w:after="283"/>
        <w:jc w:val="both"/>
        <w:rPr>
          <w:rFonts w:ascii="Times New Roman" w:hAnsi="Times New Roman"/>
          <w:sz w:val="20"/>
        </w:rPr>
      </w:pPr>
      <w:r>
        <w:rPr>
          <w:rFonts w:ascii="Times New Roman" w:hAnsi="Times New Roman"/>
          <w:color w:val="000000"/>
          <w:sz w:val="22"/>
        </w:rPr>
        <w:t>Although the Employer has not expressed intent to terminate the Plan, it may do so at any time subject to the requirements of ERISA. If the Plan is terminated, participants will become fully vested in their Participating Employers’ contributions, and the method of distribution of assets will be in accordance with the provisions of ERISA.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 2. SIGNIFICANT ACCOUNTING POLICIES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Basis of Presentation</w:t>
      </w:r>
    </w:p>
    <w:p>
      <w:pPr>
        <w:pStyle w:val="TextBody"/>
        <w:bidi w:val="0"/>
        <w:spacing w:before="120" w:after="283"/>
        <w:jc w:val="both"/>
        <w:rPr>
          <w:rFonts w:ascii="Times New Roman" w:hAnsi="Times New Roman"/>
          <w:sz w:val="20"/>
        </w:rPr>
      </w:pPr>
      <w:r>
        <w:rPr>
          <w:rFonts w:ascii="Times New Roman" w:hAnsi="Times New Roman"/>
          <w:color w:val="000000"/>
          <w:sz w:val="22"/>
        </w:rPr>
        <w:t>The accompanying financial statements have been prepared on the accrual basis of accounting, in accordance with accounting principles generally accepted in the United States of America (U.S. GAAP).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Use of Estimates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preparation of financial statements in conformity with U.S. GAAP requires management to make estimates that affect the amounts reported in the financial statements and accompanying notes. Actual results could differ from those estimates.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Contributions and Contributions Receivable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contributions are recorded on the accrual method of accounting. Contributions receivable are obligations arising from amounts owed to the Plan from the Employer that have not been included in the Plan's investments at year end.</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Distributions to Participants</w:t>
      </w:r>
    </w:p>
    <w:p>
      <w:pPr>
        <w:pStyle w:val="TextBody"/>
        <w:bidi w:val="0"/>
        <w:spacing w:before="120" w:after="283"/>
        <w:jc w:val="both"/>
        <w:rPr>
          <w:rFonts w:ascii="Times New Roman" w:hAnsi="Times New Roman"/>
          <w:sz w:val="20"/>
        </w:rPr>
      </w:pPr>
      <w:r>
        <w:rPr>
          <w:rFonts w:ascii="Times New Roman" w:hAnsi="Times New Roman"/>
          <w:color w:val="000000"/>
          <w:sz w:val="22"/>
        </w:rPr>
        <w:t>Distributions to participants are recorded when paid.</w:t>
      </w:r>
      <w:r>
        <w:rPr>
          <w:rFonts w:ascii="Times New Roman" w:hAnsi="Times New Roman"/>
          <w:color w:val="000000"/>
          <w:sz w:val="20"/>
        </w:rPr>
        <w:t xml:space="preserve"> </w:t>
      </w:r>
    </w:p>
    <w:p>
      <w:pPr>
        <w:pStyle w:val="Heading2"/>
        <w:bidi w:val="0"/>
        <w:spacing w:before="120" w:after="283"/>
        <w:jc w:val="left"/>
        <w:rPr>
          <w:rFonts w:ascii="Times New Roman" w:hAnsi="Times New Roman"/>
          <w:b w:val="false"/>
          <w:color w:val="000000"/>
          <w:sz w:val="22"/>
          <w:u w:val="single"/>
        </w:rPr>
      </w:pPr>
      <w:r>
        <w:rPr>
          <w:rFonts w:ascii="Times New Roman" w:hAnsi="Times New Roman"/>
          <w:b w:val="false"/>
          <w:color w:val="000000"/>
          <w:sz w:val="22"/>
          <w:u w:val="single"/>
        </w:rPr>
        <w:t>Investment Valuation and Income Recognition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All of the Plan’s investments are included in a trust, and are governed by a trust agreement with the Trustee which is held accountable by and reports to the Committee.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Investments, except for the guaranteed investment contract, which is stated at contract value, are stated at fair value. Fair value is the price that would be received to sell an asset or paid to transfer a liability in an orderly transaction between market participants at the measurement date. The Plan presents the net change in fair value of common stock, mutual funds and collective trusts, which consists of realized gains or losses, unrealized appreciation (depreciation), and any income or capital gain distributions from such investments, in the accompanying statement of changes in net assets available for benefits.</w:t>
      </w:r>
    </w:p>
    <w:p>
      <w:pPr>
        <w:pStyle w:val="TextBody"/>
        <w:bidi w:val="0"/>
        <w:spacing w:before="120" w:after="283"/>
        <w:jc w:val="both"/>
        <w:rPr>
          <w:rFonts w:ascii="Times New Roman" w:hAnsi="Times New Roman"/>
          <w:sz w:val="20"/>
        </w:rPr>
      </w:pPr>
      <w:r>
        <w:rPr>
          <w:rFonts w:ascii="Times New Roman" w:hAnsi="Times New Roman"/>
          <w:color w:val="000000"/>
          <w:sz w:val="22"/>
        </w:rPr>
        <w:t>Under the Fair Value Measurements and Disclosures topic of the Codification, ASC 820, disclosures are required about how fair value is determined for assets and liabilities and a hierarchy for which these assets and liabilities must be grouped is established, based on significant levels of inputs as follows: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2"/>
        </w:rPr>
        <w:t>Level 1 - Quoted prices in active markets for identical assets or liabilities.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2"/>
        </w:rPr>
        <w:t>Level 2 -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u w:val="single"/>
        </w:rPr>
        <w:t>NOTE 2. SIGNIFICANT ACCOUNTING POLICIES (continued)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pStyle w:val="TextBody"/>
        <w:bidi w:val="0"/>
        <w:jc w:val="both"/>
        <w:rPr>
          <w:rFonts w:ascii="Times New Roman" w:hAnsi="Times New Roman"/>
          <w:sz w:val="20"/>
        </w:rPr>
      </w:pPr>
      <w:r>
        <w:rPr>
          <w:rFonts w:ascii="Times New Roman" w:hAnsi="Times New Roman"/>
          <w:color w:val="000000"/>
          <w:sz w:val="22"/>
        </w:rPr>
        <w:t>A financial instrument’s level within the fair value hierarchy is based on the lowest level of any input that is significant to the fair value measurement. The following is a description of the valuation methodologies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used for instruments measured at fair value, including the general classification of such instruments pursuant to the valuation hierarchy.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Common Stock</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Common stock is valued at the closing price reported on the New York Stock Exchange Composite Listing and is classified within level 1 of the valuation hierarchy.</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Mutual Funds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These investments are public investment vehicles valued using the Net Asset Value (“NAV”) provided by the administrator of the fund. The NAV is based on the value of the underlying assets owned by the fund, minus its liabilities, and then divided by the number of shares outstanding. The NAV is a quoted price in an active market.</w:t>
      </w:r>
    </w:p>
    <w:p>
      <w:pPr>
        <w:pStyle w:val="TextBody"/>
        <w:bidi w:val="0"/>
        <w:spacing w:before="120" w:after="283"/>
        <w:jc w:val="both"/>
        <w:rPr>
          <w:rFonts w:ascii="Times New Roman" w:hAnsi="Times New Roman"/>
          <w:sz w:val="20"/>
        </w:rPr>
      </w:pPr>
      <w:r>
        <w:rPr>
          <w:rFonts w:ascii="Times New Roman" w:hAnsi="Times New Roman"/>
          <w:color w:val="000000"/>
          <w:sz w:val="22"/>
        </w:rPr>
        <w:t>All security transactions are recorded on the trade date. Gains and losses on the disposal of investments are determined based on the average cost of all securities. Dividend income is recorded on the effective date of a declared dividend. Income from other investments is recorded as earned on an accrual basis.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Administrative expenses for the year ended December 31, 2025 include Trustee and record keeper fees. Fund management fees and administrative fees are charged directly to the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Self-Directed Brokerage Accounts</w:t>
      </w:r>
    </w:p>
    <w:p>
      <w:pPr>
        <w:pStyle w:val="TextBody"/>
        <w:bidi w:val="0"/>
        <w:spacing w:before="120" w:after="283"/>
        <w:jc w:val="both"/>
        <w:rPr>
          <w:rFonts w:ascii="Times New Roman" w:hAnsi="Times New Roman"/>
          <w:sz w:val="20"/>
        </w:rPr>
      </w:pPr>
      <w:r>
        <w:rPr>
          <w:rFonts w:ascii="Times New Roman" w:hAnsi="Times New Roman"/>
          <w:color w:val="000000"/>
          <w:sz w:val="22"/>
        </w:rPr>
        <w:t>Self-directed brokerage accounts include investments in various securities, primarily stocks, bonds, mutual funds and cash and cash equivalents. These investments are valued using quoted prices in active markets.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u w:val="single"/>
        </w:rPr>
        <w:t>Collective Trusts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The Plan holds investments in collective trusts which are managed by the fund manager which invest in various underlying investments, including equity securities, fixed income investments, and multi-asset class funds. The fair value of the units of these investments is valued at NAV per unit, as determined by the fund manager. The NAV is used as the practical expedient to estimate fair value. The Collective trusts are direct filing entities.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 2. SIGNIFICANT ACCOUNTING POLICIES (continued)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Below are the Plan’s investments at fair value on a recurring basis by the fair value hierarchy levels described above:</w:t>
      </w:r>
    </w:p>
    <w:tbl>
      <w:tblPr>
        <w:tblW w:w="7423" w:type="dxa"/>
        <w:jc w:val="left"/>
        <w:tblInd w:w="0" w:type="dxa"/>
        <w:tblLayout w:type="fixed"/>
        <w:tblCellMar>
          <w:top w:w="28" w:type="dxa"/>
          <w:left w:w="28" w:type="dxa"/>
          <w:bottom w:w="28" w:type="dxa"/>
          <w:right w:w="28" w:type="dxa"/>
        </w:tblCellMar>
      </w:tblPr>
      <w:tblGrid>
        <w:gridCol w:w="2911"/>
        <w:gridCol w:w="146"/>
        <w:gridCol w:w="211"/>
        <w:gridCol w:w="1036"/>
        <w:gridCol w:w="146"/>
        <w:gridCol w:w="146"/>
        <w:gridCol w:w="211"/>
        <w:gridCol w:w="781"/>
        <w:gridCol w:w="146"/>
        <w:gridCol w:w="146"/>
        <w:gridCol w:w="211"/>
        <w:gridCol w:w="114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5" w:type="dxa"/>
            <w:gridSpan w:val="10"/>
            <w:tcBorders/>
            <w:shd w:fill="004483"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Assets at Fair Value at December 31, 2025</w:t>
            </w:r>
          </w:p>
        </w:tc>
        <w:tc>
          <w:tcPr>
            <w:tcW w:w="191" w:type="dxa"/>
            <w:tcBorders/>
            <w:shd w:fill="004483"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Mutual funds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3,949,176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Self-directed brokerage account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3,854,545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Common stock</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11,308,083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Collective trusts measured at NAV</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297,129,528</w:t>
            </w:r>
          </w:p>
        </w:tc>
        <w:tc>
          <w:tcPr>
            <w:tcW w:w="191"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18,852,198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316,241,332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5" w:type="dxa"/>
            <w:gridSpan w:val="10"/>
            <w:tcBorders/>
            <w:shd w:fill="004483"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Assets at Fair Value at December 31, 2024</w:t>
            </w:r>
          </w:p>
        </w:tc>
        <w:tc>
          <w:tcPr>
            <w:tcW w:w="191" w:type="dxa"/>
            <w:tcBorders/>
            <w:shd w:fill="004483"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Mutual funds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Self-directed brokerage account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Common stock</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13,629,295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Collective trust measured at NAV</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250,012,620</w:t>
            </w:r>
          </w:p>
        </w:tc>
        <w:tc>
          <w:tcPr>
            <w:tcW w:w="191"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21,142,819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271,518,670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2"/>
        </w:rPr>
        <w:t>There were no new or pending Accounting Pronouncements that impacted the Plan in 2025 or 2024, or that are expected to impact the Plan in 2026.</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NOTE 3. NAV PER SHARE</w:t>
      </w:r>
    </w:p>
    <w:p>
      <w:pPr>
        <w:pStyle w:val="TextBody"/>
        <w:bidi w:val="0"/>
        <w:spacing w:before="120" w:after="120"/>
        <w:jc w:val="left"/>
        <w:rPr>
          <w:rFonts w:ascii="Times New Roman" w:hAnsi="Times New Roman"/>
          <w:sz w:val="20"/>
        </w:rPr>
      </w:pPr>
      <w:r>
        <w:rPr>
          <w:rFonts w:ascii="Times New Roman" w:hAnsi="Times New Roman"/>
          <w:color w:val="000000"/>
          <w:sz w:val="22"/>
        </w:rPr>
        <w:t>The following</w:t>
      </w:r>
      <w:r>
        <w:rPr>
          <w:rFonts w:ascii="Times New Roman" w:hAnsi="Times New Roman"/>
          <w:color w:val="000000"/>
          <w:sz w:val="20"/>
        </w:rPr>
        <w:t xml:space="preserve"> sets forth a summary of the Plan's investments with a reported NAV.</w:t>
      </w:r>
    </w:p>
    <w:tbl>
      <w:tblPr>
        <w:tblW w:w="9663" w:type="dxa"/>
        <w:jc w:val="left"/>
        <w:tblInd w:w="0" w:type="dxa"/>
        <w:tblLayout w:type="fixed"/>
        <w:tblCellMar>
          <w:top w:w="28" w:type="dxa"/>
          <w:left w:w="28" w:type="dxa"/>
          <w:bottom w:w="28" w:type="dxa"/>
          <w:right w:w="28" w:type="dxa"/>
        </w:tblCellMar>
      </w:tblPr>
      <w:tblGrid>
        <w:gridCol w:w="1756"/>
        <w:gridCol w:w="146"/>
        <w:gridCol w:w="181"/>
        <w:gridCol w:w="871"/>
        <w:gridCol w:w="146"/>
        <w:gridCol w:w="146"/>
        <w:gridCol w:w="181"/>
        <w:gridCol w:w="871"/>
        <w:gridCol w:w="146"/>
        <w:gridCol w:w="146"/>
        <w:gridCol w:w="319"/>
        <w:gridCol w:w="612"/>
        <w:gridCol w:w="146"/>
        <w:gridCol w:w="146"/>
        <w:gridCol w:w="886"/>
        <w:gridCol w:w="146"/>
        <w:gridCol w:w="1306"/>
        <w:gridCol w:w="146"/>
        <w:gridCol w:w="1366"/>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1" w:type="dxa"/>
            <w:gridSpan w:val="17"/>
            <w:tcBorders/>
            <w:shd w:fill="004483"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5"/>
              </w:rPr>
            </w:pPr>
            <w:r>
              <w:rPr>
                <w:rFonts w:ascii="Times New Roman" w:hAnsi="Times New Roman"/>
                <w:b/>
                <w:color w:val="FFFFFF"/>
                <w:sz w:val="15"/>
              </w:rPr>
              <w:t>Fair Value Estimated Using NAV per Share</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Redemption Notice</w:t>
            </w:r>
          </w:p>
        </w:tc>
      </w:tr>
      <w:tr>
        <w:trPr/>
        <w:tc>
          <w:tcPr>
            <w:tcW w:w="1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b/>
                <w:color w:val="000000"/>
                <w:sz w:val="15"/>
              </w:rPr>
              <w:t xml:space="preserve">Fair Value </w:t>
            </w:r>
            <w:r>
              <w:rPr>
                <w:rFonts w:ascii="Times New Roman" w:hAnsi="Times New Roman"/>
                <w:b/>
                <w:color w:val="000000"/>
                <w:sz w:val="10"/>
              </w:rPr>
              <w:t>(a)</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b/>
                <w:color w:val="000000"/>
                <w:sz w:val="15"/>
              </w:rPr>
              <w:t xml:space="preserve">Fair Value </w:t>
            </w:r>
            <w:r>
              <w:rPr>
                <w:rFonts w:ascii="Times New Roman" w:hAnsi="Times New Roman"/>
                <w:b/>
                <w:color w:val="000000"/>
                <w:sz w:val="10"/>
              </w:rPr>
              <w:t>(a)</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Commitment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Frequency</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Restrictions</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Period</w:t>
            </w:r>
          </w:p>
        </w:tc>
      </w:tr>
      <w:tr>
        <w:trPr/>
        <w:tc>
          <w:tcPr>
            <w:tcW w:w="175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4483"/>
                <w:sz w:val="15"/>
              </w:rPr>
              <w:t xml:space="preserve">Fixed Income Funds </w:t>
            </w:r>
            <w:r>
              <w:rPr>
                <w:rFonts w:ascii="Times New Roman" w:hAnsi="Times New Roman"/>
                <w:color w:val="004483"/>
                <w:sz w:val="10"/>
              </w:rPr>
              <w:t>(b)</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5,876,106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5,477,802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2"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Daily</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None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Daily</w:t>
            </w:r>
          </w:p>
        </w:tc>
      </w:tr>
      <w:tr>
        <w:trPr/>
        <w:tc>
          <w:tcPr>
            <w:tcW w:w="175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4483"/>
                <w:sz w:val="15"/>
              </w:rPr>
              <w:t>Equity Index Funds </w:t>
            </w:r>
            <w:r>
              <w:rPr>
                <w:rFonts w:ascii="Times New Roman" w:hAnsi="Times New Roman"/>
                <w:color w:val="004483"/>
                <w:sz w:val="10"/>
              </w:rPr>
              <w:t>(c)</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88,052,790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76,748,433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Daily</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None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Daily</w:t>
            </w:r>
          </w:p>
        </w:tc>
      </w:tr>
      <w:tr>
        <w:trPr/>
        <w:tc>
          <w:tcPr>
            <w:tcW w:w="175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4483"/>
                <w:sz w:val="15"/>
              </w:rPr>
              <w:t xml:space="preserve">Multi-asset Class Funds </w:t>
            </w:r>
            <w:r>
              <w:rPr>
                <w:rFonts w:ascii="Times New Roman" w:hAnsi="Times New Roman"/>
                <w:color w:val="004483"/>
                <w:sz w:val="10"/>
              </w:rPr>
              <w:t>(d)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203,200,632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167,786,385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Daily</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None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Daily</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(a)</w:t>
      </w:r>
      <w:r>
        <w:rPr>
          <w:rFonts w:ascii="Times New Roman" w:hAnsi="Times New Roman"/>
          <w:color w:val="000000"/>
          <w:sz w:val="20"/>
        </w:rPr>
        <w:t xml:space="preserve"> The fair values of investments have been estimated using the NAV of the investment.</w:t>
      </w:r>
    </w:p>
    <w:p>
      <w:pPr>
        <w:pStyle w:val="TextBody"/>
        <w:bidi w:val="0"/>
        <w:jc w:val="left"/>
        <w:rPr>
          <w:rFonts w:ascii="Times New Roman" w:hAnsi="Times New Roman"/>
          <w:sz w:val="20"/>
        </w:rPr>
      </w:pPr>
      <w:r>
        <w:rPr>
          <w:rFonts w:ascii="Times New Roman" w:hAnsi="Times New Roman"/>
          <w:color w:val="000000"/>
          <w:sz w:val="13"/>
        </w:rPr>
        <w:t>(b)</w:t>
      </w:r>
      <w:r>
        <w:rPr>
          <w:rFonts w:ascii="Times New Roman" w:hAnsi="Times New Roman"/>
          <w:color w:val="000000"/>
          <w:sz w:val="20"/>
        </w:rPr>
        <w:t xml:space="preserve"> The fixed income fund strategy seeks to provide capital preservation and income.</w:t>
      </w:r>
    </w:p>
    <w:p>
      <w:pPr>
        <w:pStyle w:val="TextBody"/>
        <w:bidi w:val="0"/>
        <w:jc w:val="left"/>
        <w:rPr>
          <w:rFonts w:ascii="Times New Roman" w:hAnsi="Times New Roman"/>
          <w:sz w:val="20"/>
        </w:rPr>
      </w:pPr>
      <w:r>
        <w:rPr>
          <w:rFonts w:ascii="Times New Roman" w:hAnsi="Times New Roman"/>
          <w:color w:val="000000"/>
          <w:sz w:val="13"/>
        </w:rPr>
        <w:t>(c)</w:t>
      </w:r>
      <w:r>
        <w:rPr>
          <w:rFonts w:ascii="Times New Roman" w:hAnsi="Times New Roman"/>
          <w:color w:val="000000"/>
          <w:sz w:val="20"/>
        </w:rPr>
        <w:t xml:space="preserve"> Equity index strategies seek to replicate the return of a specific financial market.</w:t>
      </w:r>
    </w:p>
    <w:p>
      <w:pPr>
        <w:pStyle w:val="TextBody"/>
        <w:bidi w:val="0"/>
        <w:jc w:val="left"/>
        <w:rPr>
          <w:rFonts w:ascii="Times New Roman" w:hAnsi="Times New Roman"/>
          <w:sz w:val="20"/>
        </w:rPr>
      </w:pPr>
      <w:r>
        <w:rPr>
          <w:rFonts w:ascii="Times New Roman" w:hAnsi="Times New Roman"/>
          <w:color w:val="000000"/>
          <w:sz w:val="13"/>
        </w:rPr>
        <w:t>(d)</w:t>
      </w:r>
      <w:r>
        <w:rPr>
          <w:rFonts w:ascii="Times New Roman" w:hAnsi="Times New Roman"/>
          <w:color w:val="000000"/>
          <w:sz w:val="20"/>
        </w:rPr>
        <w:t xml:space="preserve"> Multi-asset class funds are target date funds that seek to provide a diversified asset allocation consistent with the participants' current state of life.</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 4. GUARANTEED INVESTMENT CONTRACT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At December 31, 2025, the Plan holds an investment in the New York Life Anchor Account, which is a Guaranteed Investment Contract (GIC). New York Life maintains the contributions in a separate account. The account is credited with earnings on the underlying investments and charged for participant withdrawals and administrative expenses. The contract is included in the financial statements at contract value as reported by New York Life. The issuer of the GIC is contractually obligated to repay the principal and a specified interest rate that is guaranteed to the Plan.</w:t>
      </w:r>
    </w:p>
    <w:p>
      <w:pPr>
        <w:pStyle w:val="TextBody"/>
        <w:bidi w:val="0"/>
        <w:spacing w:before="120" w:after="283"/>
        <w:jc w:val="both"/>
        <w:rPr>
          <w:rFonts w:ascii="Times New Roman" w:hAnsi="Times New Roman"/>
          <w:sz w:val="20"/>
        </w:rPr>
      </w:pPr>
      <w:r>
        <w:rPr>
          <w:rFonts w:ascii="Times New Roman" w:hAnsi="Times New Roman"/>
          <w:color w:val="000000"/>
          <w:sz w:val="22"/>
        </w:rPr>
        <w:t>The GIC is fully benefit-responsive and contract value is the relevant measurement attribute for that portion of the net assets available for benefits attributable to the GIC.</w:t>
      </w:r>
      <w:r>
        <w:rPr>
          <w:rFonts w:ascii="Times New Roman" w:hAnsi="Times New Roman"/>
          <w:color w:val="000000"/>
          <w:sz w:val="20"/>
        </w:rPr>
        <w:t xml:space="preserve"> </w:t>
      </w:r>
      <w:r>
        <w:rPr>
          <w:rFonts w:ascii="Times New Roman" w:hAnsi="Times New Roman"/>
          <w:color w:val="000000"/>
          <w:sz w:val="22"/>
        </w:rPr>
        <w:t>Contract value, as reported to the Plan by New York Life, represents contributions made under the contract, plus earnings, less participant withdrawals, and administrative expenses. Participants may ordinarily direct the withdrawal or transfer of all or a portion of their investment at contract value.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There are generally no events that limit the availability of the Plan to transact at the contract value paid within 90 days or in rare circumstances, contract value paid over time. There are no events that allow the issuer to terminate the contract and which require the Plan administrator to settle at an amount different than contract value paid either within 90 days or over time.</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NOTE 5. INCOME TAX STATUS</w:t>
      </w:r>
    </w:p>
    <w:p>
      <w:pPr>
        <w:pStyle w:val="TextBody"/>
        <w:bidi w:val="0"/>
        <w:spacing w:before="120" w:after="283"/>
        <w:jc w:val="both"/>
        <w:rPr>
          <w:rFonts w:ascii="Times New Roman" w:hAnsi="Times New Roman"/>
          <w:sz w:val="20"/>
        </w:rPr>
      </w:pPr>
      <w:r>
        <w:rPr>
          <w:rFonts w:ascii="Times New Roman" w:hAnsi="Times New Roman"/>
          <w:color w:val="000000"/>
          <w:sz w:val="22"/>
        </w:rPr>
        <w:t>On April 28, 2015, the Plan received an updated determination letter</w:t>
      </w:r>
      <w:r>
        <w:rPr>
          <w:rFonts w:ascii="Times New Roman" w:hAnsi="Times New Roman"/>
          <w:color w:val="000000"/>
          <w:sz w:val="20"/>
        </w:rPr>
        <w:t xml:space="preserve"> </w:t>
      </w:r>
      <w:r>
        <w:rPr>
          <w:rFonts w:ascii="Times New Roman" w:hAnsi="Times New Roman"/>
          <w:color w:val="000000"/>
          <w:sz w:val="22"/>
        </w:rPr>
        <w:t xml:space="preserve">from the IRS stating that the Plan is qualified under Section 401(a) of the Code reaffirming that the related trust is exempt from taxation. Once qualified, the Plan is required to operate in conformity with the Code to maintain its qualification.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Internal Revenue Service. The Plan is subject to routine audits by taxing jurisdictions; however, there are currently no audits for any tax periods in progress.</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NOTE 6. RELATED PARTY TRANSACTIONS AND PARTY-IN-INTEREST TRANSACTIONS</w:t>
      </w:r>
    </w:p>
    <w:p>
      <w:pPr>
        <w:pStyle w:val="TextBody"/>
        <w:bidi w:val="0"/>
        <w:spacing w:before="120" w:after="283"/>
        <w:jc w:val="both"/>
        <w:rPr>
          <w:rFonts w:ascii="Times New Roman" w:hAnsi="Times New Roman"/>
          <w:sz w:val="20"/>
        </w:rPr>
      </w:pPr>
      <w:r>
        <w:rPr>
          <w:rFonts w:ascii="Times New Roman" w:hAnsi="Times New Roman"/>
          <w:color w:val="000000"/>
          <w:sz w:val="22"/>
        </w:rPr>
        <w:t>Certain Plan investments are shares of mutual funds managed by the Trustee and, therefore, these transactions qualify as party-in-interest transactions. Fees incurred by the Plan for the investment management services are included as a reduction of the return earned on each fund.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The Plan invests in common stock of Eagle Materials Inc. (Eagle Common Stock). During the years ended December 31, 2025 and 2024, the Plan purchased and sold shares of Eagle Common Stock for approximately $474,000</w:t>
      </w:r>
      <w:r>
        <w:rPr>
          <w:rFonts w:ascii="Times New Roman" w:hAnsi="Times New Roman"/>
          <w:color w:val="000000"/>
          <w:sz w:val="20"/>
        </w:rPr>
        <w:t xml:space="preserve"> </w:t>
      </w:r>
      <w:r>
        <w:rPr>
          <w:rFonts w:ascii="Times New Roman" w:hAnsi="Times New Roman"/>
          <w:color w:val="000000"/>
          <w:sz w:val="22"/>
        </w:rPr>
        <w:t>and $575,000, respectively. The stock held in the Plan experienced net loss of approximately $2,076,000</w:t>
      </w:r>
      <w:r>
        <w:rPr>
          <w:rFonts w:ascii="Times New Roman" w:hAnsi="Times New Roman"/>
          <w:color w:val="000000"/>
          <w:sz w:val="20"/>
        </w:rPr>
        <w:t xml:space="preserve"> </w:t>
      </w:r>
      <w:r>
        <w:rPr>
          <w:rFonts w:ascii="Times New Roman" w:hAnsi="Times New Roman"/>
          <w:color w:val="000000"/>
          <w:sz w:val="22"/>
        </w:rPr>
        <w:t>in 2025. At December 31, 2025 and 2024, the Plan held 54,713</w:t>
      </w:r>
      <w:r>
        <w:rPr>
          <w:rFonts w:ascii="Times New Roman" w:hAnsi="Times New Roman"/>
          <w:color w:val="000000"/>
          <w:sz w:val="20"/>
        </w:rPr>
        <w:t xml:space="preserve"> </w:t>
      </w:r>
      <w:r>
        <w:rPr>
          <w:rFonts w:ascii="Times New Roman" w:hAnsi="Times New Roman"/>
          <w:color w:val="000000"/>
          <w:sz w:val="22"/>
        </w:rPr>
        <w:t>and 55,233</w:t>
      </w:r>
      <w:r>
        <w:rPr>
          <w:rFonts w:ascii="Times New Roman" w:hAnsi="Times New Roman"/>
          <w:color w:val="000000"/>
          <w:sz w:val="20"/>
        </w:rPr>
        <w:t xml:space="preserve"> </w:t>
      </w:r>
      <w:r>
        <w:rPr>
          <w:rFonts w:ascii="Times New Roman" w:hAnsi="Times New Roman"/>
          <w:color w:val="000000"/>
          <w:sz w:val="22"/>
        </w:rPr>
        <w:t>shares respectively of the parent company’s common stock, with a cost basis of $3,502,131</w:t>
      </w:r>
      <w:r>
        <w:rPr>
          <w:rFonts w:ascii="Times New Roman" w:hAnsi="Times New Roman"/>
          <w:color w:val="000000"/>
          <w:sz w:val="20"/>
        </w:rPr>
        <w:t xml:space="preserve"> </w:t>
      </w:r>
      <w:r>
        <w:rPr>
          <w:rFonts w:ascii="Times New Roman" w:hAnsi="Times New Roman"/>
          <w:color w:val="000000"/>
          <w:sz w:val="22"/>
        </w:rPr>
        <w:t>and $2,976,800, respectively.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EAGLE MATERIALS INC. RETIREMENT PLAN</w:t>
      </w:r>
    </w:p>
    <w:p>
      <w:pPr>
        <w:pStyle w:val="TextBody"/>
        <w:bidi w:val="0"/>
        <w:jc w:val="center"/>
        <w:rPr>
          <w:rFonts w:ascii="Times New Roman" w:hAnsi="Times New Roman"/>
          <w:color w:val="000000"/>
          <w:sz w:val="22"/>
        </w:rPr>
      </w:pPr>
      <w:r>
        <w:rPr>
          <w:rFonts w:ascii="Times New Roman" w:hAnsi="Times New Roman"/>
          <w:color w:val="000000"/>
          <w:sz w:val="22"/>
        </w:rPr>
        <w:t>Notes to Financial Statements</w:t>
      </w:r>
    </w:p>
    <w:p>
      <w:pPr>
        <w:pStyle w:val="TextBody"/>
        <w:bidi w:val="0"/>
        <w:jc w:val="center"/>
        <w:rPr>
          <w:rFonts w:ascii="Times New Roman" w:hAnsi="Times New Roman"/>
          <w:color w:val="000000"/>
          <w:sz w:val="22"/>
        </w:rPr>
      </w:pPr>
      <w:r>
        <w:rPr>
          <w:rFonts w:ascii="Times New Roman" w:hAnsi="Times New Roman"/>
          <w:color w:val="000000"/>
          <w:sz w:val="22"/>
        </w:rPr>
        <w:t>December 31, 2025</w:t>
      </w:r>
    </w:p>
    <w:p>
      <w:pPr>
        <w:pStyle w:val="TextBody"/>
        <w:bidi w:val="0"/>
        <w:jc w:val="left"/>
        <w:rPr/>
      </w:pPr>
      <w:r>
        <w:rPr/>
        <w:t> </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NOTE 7. RECONCILIATION OF FINANCIAL STATEMENTS TO FORM 5500</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following is a reconciliation of net assets available for benefits per the financial statements to the Form 5500 at December 31, 2025 and 2024:</w:t>
      </w:r>
    </w:p>
    <w:tbl>
      <w:tblPr>
        <w:tblW w:w="9854" w:type="dxa"/>
        <w:jc w:val="left"/>
        <w:tblInd w:w="0" w:type="dxa"/>
        <w:tblLayout w:type="fixed"/>
        <w:tblCellMar>
          <w:top w:w="28" w:type="dxa"/>
          <w:left w:w="28" w:type="dxa"/>
          <w:bottom w:w="28" w:type="dxa"/>
          <w:right w:w="28" w:type="dxa"/>
        </w:tblCellMar>
      </w:tblPr>
      <w:tblGrid>
        <w:gridCol w:w="6481"/>
        <w:gridCol w:w="146"/>
        <w:gridCol w:w="211"/>
        <w:gridCol w:w="1141"/>
        <w:gridCol w:w="166"/>
        <w:gridCol w:w="146"/>
        <w:gridCol w:w="211"/>
        <w:gridCol w:w="1141"/>
        <w:gridCol w:w="211"/>
      </w:tblGrid>
      <w:tr>
        <w:trPr/>
        <w:tc>
          <w:tcPr>
            <w:tcW w:w="6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004483"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December 31,</w:t>
            </w:r>
          </w:p>
        </w:tc>
        <w:tc>
          <w:tcPr>
            <w:tcW w:w="211" w:type="dxa"/>
            <w:tcBorders/>
            <w:shd w:fill="004483"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2025</w:t>
            </w:r>
          </w:p>
        </w:tc>
        <w:tc>
          <w:tcPr>
            <w:tcW w:w="16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4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Net assets available for benefits per the financial statements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338,484,512</w:t>
            </w:r>
          </w:p>
        </w:tc>
        <w:tc>
          <w:tcPr>
            <w:tcW w:w="1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293,265,091</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Interest receivable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Employer's contribution receivable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(9,870,212</w:t>
            </w:r>
          </w:p>
        </w:tc>
        <w:tc>
          <w:tcPr>
            <w:tcW w:w="16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30"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(9,689,041</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available for benefits per the Form 5500</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328,614,295</w:t>
            </w:r>
          </w:p>
        </w:tc>
        <w:tc>
          <w:tcPr>
            <w:tcW w:w="16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283,575,909</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004483"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FFFFFF"/>
                <w:sz w:val="20"/>
              </w:rPr>
            </w:pPr>
            <w:r>
              <w:rPr>
                <w:rFonts w:ascii="Times New Roman" w:hAnsi="Times New Roman"/>
                <w:b/>
                <w:color w:val="FFFFFF"/>
                <w:sz w:val="20"/>
              </w:rPr>
              <w:t>December 31,</w:t>
            </w:r>
          </w:p>
        </w:tc>
        <w:tc>
          <w:tcPr>
            <w:tcW w:w="211" w:type="dxa"/>
            <w:tcBorders/>
            <w:shd w:fill="004483"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30"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2025</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4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Net increase in assets available for benefits reported in the financial statements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45,219,421</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4483"/>
                <w:sz w:val="20"/>
              </w:rPr>
            </w:pPr>
            <w:r>
              <w:rPr>
                <w:rFonts w:ascii="Times New Roman" w:hAnsi="Times New Roman"/>
                <w:color w:val="004483"/>
                <w:sz w:val="20"/>
              </w:rPr>
              <w:t>Change in contributions receivable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(181,035</w:t>
            </w:r>
          </w:p>
        </w:tc>
        <w:tc>
          <w:tcPr>
            <w:tcW w:w="211" w:type="dxa"/>
            <w:tcBorders>
              <w:bottom w:val="single" w:sz="30"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net assets available for benefits per the Form 5500</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45,038,386</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 8. RISKS AND UNCERTAINTIES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Plan assets are invested in funds and securities as directed by Plan participants. These investment securities, in general, are exposed to various risks, such as interest rate, credit, and overall market volatility. Accordingly, it is reasonably possible that changes in the values of investment securities will occur in the near term and that such changes could materially affect the amounts reported in the Statements of Net Assets Available for Benefits.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NOTE 9. SUBSEQUENT EVENTS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Subsequent events have been evaluated through the date the financial statements were issued and all necessary disclosures have been included.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SUPPLEMENTAL SCHEDULE</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2"/>
        </w:rPr>
      </w:pPr>
      <w:r>
        <w:rPr>
          <w:rFonts w:ascii="Times New Roman" w:hAnsi="Times New Roman"/>
          <w:b/>
          <w:color w:val="000000"/>
          <w:sz w:val="22"/>
        </w:rPr>
        <w:t xml:space="preserve">EAGLE MATERIALS INC. </w:t>
      </w:r>
      <w:bookmarkStart w:id="5" w:name="schedule_h_4i"/>
      <w:bookmarkEnd w:id="5"/>
      <w:r>
        <w:rPr>
          <w:rFonts w:ascii="Times New Roman" w:hAnsi="Times New Roman"/>
          <w:b/>
          <w:color w:val="000000"/>
          <w:sz w:val="22"/>
        </w:rPr>
        <w:t>RETIREMENT PLAN</w:t>
      </w:r>
    </w:p>
    <w:p>
      <w:pPr>
        <w:pStyle w:val="TextBody"/>
        <w:bidi w:val="0"/>
        <w:jc w:val="center"/>
        <w:rPr>
          <w:rFonts w:ascii="Times New Roman" w:hAnsi="Times New Roman"/>
          <w:sz w:val="20"/>
        </w:rPr>
      </w:pPr>
      <w:r>
        <w:rPr>
          <w:rFonts w:ascii="Times New Roman" w:hAnsi="Times New Roman"/>
          <w:b/>
          <w:caps/>
          <w:color w:val="000000"/>
          <w:sz w:val="22"/>
        </w:rPr>
        <w:t xml:space="preserve">schedule h; line </w:t>
      </w:r>
      <w:r>
        <w:rPr>
          <w:rFonts w:ascii="Times New Roman" w:hAnsi="Times New Roman"/>
          <w:b/>
          <w:color w:val="000000"/>
          <w:sz w:val="22"/>
        </w:rPr>
        <w:t>4i – SCHEDULE OF ASSETS (HELD AT END OF YEAR)</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EIN#: 75-2520779</w:t>
      </w:r>
    </w:p>
    <w:p>
      <w:pPr>
        <w:pStyle w:val="TextBody"/>
        <w:bidi w:val="0"/>
        <w:jc w:val="center"/>
        <w:rPr>
          <w:rFonts w:ascii="Times New Roman" w:hAnsi="Times New Roman"/>
          <w:b/>
          <w:color w:val="000000"/>
          <w:sz w:val="22"/>
        </w:rPr>
      </w:pPr>
      <w:r>
        <w:rPr>
          <w:rFonts w:ascii="Times New Roman" w:hAnsi="Times New Roman"/>
          <w:b/>
          <w:color w:val="000000"/>
          <w:sz w:val="22"/>
        </w:rPr>
        <w:t>PLAN #: 001</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DECEMBER 31, 2025</w:t>
      </w:r>
    </w:p>
    <w:p>
      <w:pPr>
        <w:pStyle w:val="TextBody"/>
        <w:bidi w:val="0"/>
        <w:jc w:val="center"/>
        <w:rPr/>
      </w:pPr>
      <w:r>
        <w:rPr/>
        <w:t> </w:t>
      </w:r>
    </w:p>
    <w:tbl>
      <w:tblPr>
        <w:tblW w:w="9863" w:type="dxa"/>
        <w:jc w:val="left"/>
        <w:tblInd w:w="0" w:type="dxa"/>
        <w:tblLayout w:type="fixed"/>
        <w:tblCellMar>
          <w:top w:w="28" w:type="dxa"/>
          <w:left w:w="28" w:type="dxa"/>
          <w:bottom w:w="28" w:type="dxa"/>
          <w:right w:w="28" w:type="dxa"/>
        </w:tblCellMar>
      </w:tblPr>
      <w:tblGrid>
        <w:gridCol w:w="346"/>
        <w:gridCol w:w="146"/>
        <w:gridCol w:w="1891"/>
        <w:gridCol w:w="146"/>
        <w:gridCol w:w="4861"/>
        <w:gridCol w:w="146"/>
        <w:gridCol w:w="146"/>
        <w:gridCol w:w="346"/>
        <w:gridCol w:w="146"/>
        <w:gridCol w:w="146"/>
        <w:gridCol w:w="211"/>
        <w:gridCol w:w="1141"/>
        <w:gridCol w:w="191"/>
      </w:tblGrid>
      <w:tr>
        <w:trPr/>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br/>
              <w:t>Identity of Issue,</w:t>
              <w:br/>
              <w:t>Borrower, Lessor, or</w:t>
              <w:br/>
              <w:t>Similar 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br/>
              <w:t>Description of Investment,</w:t>
              <w:br/>
              <w:t>Including Maturity Date,</w:t>
              <w:br/>
              <w:t>Rate of Interest, Collateral,</w:t>
              <w:br/>
              <w:t>Par, or Maturity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w:t>
              <w:br/>
              <w:t>Current</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Brokerage Link</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Participant Directed Investments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3,594,939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Eagle Materials Inc.</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Common Stock</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11,532,928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Fidelity</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Government MMKT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Great Grey Trust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Euro-Pacific Growth Trust Class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4,750,189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Harbor Capital</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Appreciation Fund CIT Class R</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15,100,429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Fidelity</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Core Plus Bond Fund Class I</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MFS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Large Cap Value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5,640,095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MFS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Mid Cap Value Fund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7,522,215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MFS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Mid Cap Growth Fund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8,050,136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Northern Trust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ACWI Ex-US Investable Market Index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2,274,145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Northern Trust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Aggregate Bond Index Fund Non-Lending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3,474,223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Northern Trust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Extended Equity Market Index Fund-DC Non-Lending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5,287,722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Northern Trust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S&amp;P 500 Index Fund-DC Non-Lending CT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39,427,859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NY Life</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Guaranteed Investment Contract at 3.25%</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4,985,334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Principal</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Principal SmallCap Growth I R6</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2,331,984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2020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11,172,548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2025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11,466,299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2030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46,802,048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2035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16,662,636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2040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50,888,572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2045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13,647,435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2050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20,763,083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2055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9,329,425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2060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10,717,562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2065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3,835,044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2070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1,485,486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Vanguard Target Retirement Income Fund</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6,430,494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Wells Fargo</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Special SmallCap Value Fund R6</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1,617,139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Participants</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4483"/>
                <w:sz w:val="20"/>
              </w:rPr>
            </w:pPr>
            <w:r>
              <w:rPr>
                <w:rFonts w:ascii="Times New Roman" w:hAnsi="Times New Roman"/>
                <w:color w:val="004483"/>
                <w:sz w:val="20"/>
              </w:rPr>
              <w:t>Notes receivable with interest rates from 5.25% to 10.50%.</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color w:val="004483"/>
              </w:rPr>
            </w:pPr>
            <w:r>
              <w:rPr>
                <w:color w:val="00448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7,387,687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486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BFBFB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328,614,300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*Party-in-interest.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**Cost omitted for participant directed investments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b/>
          <w:color w:val="000000"/>
          <w:sz w:val="22"/>
        </w:rPr>
      </w:pPr>
      <w:bookmarkStart w:id="6" w:name="index_to_exhibit"/>
      <w:bookmarkEnd w:id="6"/>
      <w:r>
        <w:rPr>
          <w:rFonts w:ascii="Times New Roman" w:hAnsi="Times New Roman"/>
          <w:b/>
          <w:color w:val="000000"/>
          <w:sz w:val="22"/>
        </w:rPr>
        <w:t>INDEX TO EXHIBITS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Eagle Materials Inc. Retirement Plan</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86"/>
        <w:gridCol w:w="9219"/>
      </w:tblGrid>
      <w:tr>
        <w:trPr/>
        <w:tc>
          <w:tcPr>
            <w:tcW w:w="986" w:type="dxa"/>
            <w:tcBorders/>
            <w:vAlign w:val="center"/>
          </w:tcPr>
          <w:p>
            <w:pPr>
              <w:pStyle w:val="TableContents"/>
              <w:bidi w:val="0"/>
              <w:spacing w:before="0" w:after="283"/>
              <w:jc w:val="left"/>
              <w:rPr>
                <w:sz w:val="4"/>
                <w:szCs w:val="4"/>
              </w:rPr>
            </w:pPr>
            <w:r>
              <w:rPr>
                <w:sz w:val="4"/>
                <w:szCs w:val="4"/>
              </w:rPr>
            </w:r>
          </w:p>
        </w:tc>
        <w:tc>
          <w:tcPr>
            <w:tcW w:w="9219" w:type="dxa"/>
            <w:tcBorders/>
            <w:vAlign w:val="center"/>
          </w:tcPr>
          <w:p>
            <w:pPr>
              <w:pStyle w:val="TableContents"/>
              <w:bidi w:val="0"/>
              <w:spacing w:before="0" w:after="283"/>
              <w:jc w:val="left"/>
              <w:rPr>
                <w:sz w:val="4"/>
                <w:szCs w:val="4"/>
              </w:rPr>
            </w:pPr>
            <w:r>
              <w:rPr>
                <w:sz w:val="4"/>
                <w:szCs w:val="4"/>
              </w:rPr>
            </w:r>
          </w:p>
        </w:tc>
      </w:tr>
      <w:tr>
        <w:trPr/>
        <w:tc>
          <w:tcPr>
            <w:tcW w:w="9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Exhibit</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Number</w:t>
            </w:r>
          </w:p>
        </w:tc>
        <w:tc>
          <w:tcPr>
            <w:tcW w:w="9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Exhibits</w:t>
            </w:r>
          </w:p>
        </w:tc>
      </w:tr>
      <w:tr>
        <w:trPr/>
        <w:tc>
          <w:tcPr>
            <w:tcW w:w="9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2"/>
              </w:rPr>
            </w:pPr>
            <w:r>
              <w:rPr>
                <w:rFonts w:ascii="Times New Roman" w:hAnsi="Times New Roman"/>
                <w:color w:val="000000"/>
                <w:sz w:val="22"/>
              </w:rPr>
              <w:t>23</w:t>
            </w:r>
            <w:r>
              <w:rPr>
                <w:rFonts w:ascii="Times New Roman" w:hAnsi="Times New Roman"/>
                <w:color w:val="000000"/>
                <w:sz w:val="15"/>
              </w:rPr>
              <w:t>*</w:t>
            </w:r>
          </w:p>
        </w:tc>
        <w:tc>
          <w:tcPr>
            <w:tcW w:w="9219" w:type="dxa"/>
            <w:tcBorders/>
            <w:tcMar>
              <w:top w:w="0" w:type="dxa"/>
              <w:left w:w="0" w:type="dxa"/>
              <w:bottom w:w="0" w:type="dxa"/>
              <w:right w:w="0" w:type="dxa"/>
            </w:tcMar>
            <w:vAlign w:val="center"/>
          </w:tcPr>
          <w:p>
            <w:pPr>
              <w:pStyle w:val="TableContents"/>
              <w:bidi w:val="0"/>
              <w:spacing w:before="120" w:after="283"/>
              <w:jc w:val="left"/>
              <w:rPr/>
            </w:pPr>
            <w:hyperlink w:anchor="exp-ex23.htm">
              <w:r>
                <w:rPr>
                  <w:rStyle w:val="InternetLink"/>
                  <w:rFonts w:ascii="Times New Roman" w:hAnsi="Times New Roman"/>
                  <w:color w:val="000000"/>
                  <w:sz w:val="22"/>
                </w:rPr>
                <w:t>Consent of BDO USA, P.C.</w:t>
              </w:r>
            </w:hyperlink>
          </w:p>
        </w:tc>
      </w:tr>
      <w:tr>
        <w:trPr/>
        <w:tc>
          <w:tcPr>
            <w:tcW w:w="9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2"/>
              </w:rPr>
            </w:pPr>
            <w:r>
              <w:rPr>
                <w:rFonts w:ascii="Times New Roman" w:hAnsi="Times New Roman"/>
                <w:color w:val="000000"/>
                <w:sz w:val="22"/>
              </w:rPr>
              <w:t>101.INS</w:t>
            </w:r>
            <w:r>
              <w:rPr>
                <w:rFonts w:ascii="Times New Roman" w:hAnsi="Times New Roman"/>
                <w:color w:val="000000"/>
                <w:sz w:val="15"/>
              </w:rPr>
              <w:t>*</w:t>
            </w:r>
          </w:p>
        </w:tc>
        <w:tc>
          <w:tcPr>
            <w:tcW w:w="92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Inline XBRL Instance Document - The instance document does not appear in the Interactive Data File because its XBRL tags are embedded within the Inline XBRL Document</w:t>
            </w:r>
          </w:p>
        </w:tc>
      </w:tr>
      <w:tr>
        <w:trPr/>
        <w:tc>
          <w:tcPr>
            <w:tcW w:w="9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2"/>
              </w:rPr>
            </w:pPr>
            <w:r>
              <w:rPr>
                <w:rFonts w:ascii="Times New Roman" w:hAnsi="Times New Roman"/>
                <w:color w:val="000000"/>
                <w:sz w:val="22"/>
              </w:rPr>
              <w:t>101.SCH</w:t>
            </w:r>
            <w:r>
              <w:rPr>
                <w:rFonts w:ascii="Times New Roman" w:hAnsi="Times New Roman"/>
                <w:color w:val="000000"/>
                <w:sz w:val="15"/>
              </w:rPr>
              <w:t>*</w:t>
            </w:r>
          </w:p>
        </w:tc>
        <w:tc>
          <w:tcPr>
            <w:tcW w:w="92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Inline XBRL Taxonomy Extension Schema Document with Embedded Linkbase Documents.</w:t>
            </w:r>
          </w:p>
        </w:tc>
      </w:tr>
      <w:tr>
        <w:trPr/>
        <w:tc>
          <w:tcPr>
            <w:tcW w:w="9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104</w:t>
            </w:r>
          </w:p>
        </w:tc>
        <w:tc>
          <w:tcPr>
            <w:tcW w:w="921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Cover Page Interactive File - (formatted as Inline XBRL and Contained in Exhibit 101)</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 xml:space="preserve">* </w:t>
      </w:r>
      <w:r>
        <w:rPr>
          <w:rFonts w:ascii="Times New Roman" w:hAnsi="Times New Roman"/>
          <w:color w:val="000000"/>
          <w:sz w:val="22"/>
        </w:rPr>
        <w:t>Filed herewith.</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7" w:name="signatures"/>
      <w:bookmarkEnd w:id="7"/>
      <w:r>
        <w:rPr>
          <w:rFonts w:ascii="Times New Roman" w:hAnsi="Times New Roman"/>
          <w:b/>
          <w:color w:val="000000"/>
          <w:sz w:val="22"/>
        </w:rPr>
        <w:t>SIGNATURES</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Administrative Committee which administers the Eagle Materials Inc. Retirement Plan has duly caused this Annual Report to be signed on its behalf by the undersigned, thereunto duly authorized.</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EAGLE MATERIALS INC. RETIREMENT PLAN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7219" w:type="dxa"/>
        <w:jc w:val="left"/>
        <w:tblInd w:w="0" w:type="dxa"/>
        <w:tblLayout w:type="fixed"/>
        <w:tblCellMar>
          <w:top w:w="28" w:type="dxa"/>
          <w:left w:w="28" w:type="dxa"/>
          <w:bottom w:w="28" w:type="dxa"/>
          <w:right w:w="28" w:type="dxa"/>
        </w:tblCellMar>
      </w:tblPr>
      <w:tblGrid>
        <w:gridCol w:w="976"/>
        <w:gridCol w:w="1801"/>
        <w:gridCol w:w="796"/>
        <w:gridCol w:w="3646"/>
      </w:tblGrid>
      <w:tr>
        <w:trPr/>
        <w:tc>
          <w:tcPr>
            <w:tcW w:w="97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2"/>
              </w:rPr>
            </w:pPr>
            <w:r>
              <w:rPr>
                <w:rFonts w:ascii="Times New Roman" w:hAnsi="Times New Roman"/>
                <w:color w:val="000000"/>
                <w:sz w:val="22"/>
              </w:rPr>
              <w:t>Date:</w:t>
            </w:r>
          </w:p>
        </w:tc>
        <w:tc>
          <w:tcPr>
            <w:tcW w:w="1801"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2"/>
              </w:rPr>
            </w:pPr>
            <w:r>
              <w:rPr>
                <w:rFonts w:ascii="Times New Roman" w:hAnsi="Times New Roman"/>
                <w:color w:val="000000"/>
                <w:sz w:val="22"/>
              </w:rPr>
              <w:t>June 23, 2026</w:t>
            </w:r>
          </w:p>
        </w:tc>
        <w:tc>
          <w:tcPr>
            <w:tcW w:w="796"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2"/>
              </w:rPr>
            </w:pPr>
            <w:r>
              <w:rPr>
                <w:rFonts w:ascii="Times New Roman" w:hAnsi="Times New Roman"/>
                <w:color w:val="000000"/>
                <w:sz w:val="22"/>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both"/>
              <w:rPr>
                <w:rFonts w:ascii="Times New Roman" w:hAnsi="Times New Roman"/>
                <w:color w:val="000000"/>
                <w:sz w:val="22"/>
              </w:rPr>
            </w:pPr>
            <w:r>
              <w:rPr>
                <w:rFonts w:ascii="Times New Roman" w:hAnsi="Times New Roman"/>
                <w:color w:val="000000"/>
                <w:sz w:val="22"/>
              </w:rPr>
              <w:t>/s/ D. Craig Kesler</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364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D. Craig Kesler,</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Administrative Committee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color w:val="000000"/>
          <w:sz w:val="22"/>
        </w:rPr>
      </w:pPr>
      <w:bookmarkStart w:id="8" w:name="exp-ex23.htm"/>
      <w:bookmarkStart w:id="9" w:name="ksexpex23"/>
      <w:bookmarkEnd w:id="8"/>
      <w:bookmarkEnd w:id="9"/>
      <w:r>
        <w:rPr>
          <w:rFonts w:ascii="Times New Roman" w:hAnsi="Times New Roman"/>
          <w:color w:val="000000"/>
          <w:sz w:val="22"/>
        </w:rPr>
        <w:t>Exhibit 23</w:t>
      </w:r>
      <w:r>
        <w:br w:type="page"/>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Consent of Independent Registered Public Accounting Firm</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Eagle Materials Inc. Retirement Plan</w:t>
      </w:r>
    </w:p>
    <w:p>
      <w:pPr>
        <w:pStyle w:val="TextBody"/>
        <w:bidi w:val="0"/>
        <w:jc w:val="left"/>
        <w:rPr>
          <w:rFonts w:ascii="Times New Roman" w:hAnsi="Times New Roman"/>
          <w:color w:val="000000"/>
          <w:sz w:val="22"/>
        </w:rPr>
      </w:pPr>
      <w:r>
        <w:rPr>
          <w:rFonts w:ascii="Times New Roman" w:hAnsi="Times New Roman"/>
          <w:color w:val="000000"/>
          <w:sz w:val="22"/>
        </w:rPr>
        <w:t>Dallas, Texas</w:t>
      </w:r>
    </w:p>
    <w:p>
      <w:pPr>
        <w:pStyle w:val="TextBody"/>
        <w:bidi w:val="0"/>
        <w:jc w:val="left"/>
        <w:rPr/>
      </w:pPr>
      <w:r>
        <w:rPr/>
        <w:t> </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We hereby consent to the incorporation by reference in the Registration Statement on Form </w:t>
        <w:br/>
        <w:t>S-8 (33-82928 and 33-84394) of Eagle Materials Inc. of our report dated June 23, 2026, relating to the financial statements and supplemental schedules of Eagle Materials Inc. Retirement Plan which appear in this Form 11-K for the year ended December 31, 2025.</w:t>
      </w:r>
    </w:p>
    <w:p>
      <w:pPr>
        <w:pStyle w:val="TextBody"/>
        <w:bidi w:val="0"/>
        <w:spacing w:before="0" w:after="12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BDO USA, P.C.</w:t>
      </w:r>
    </w:p>
    <w:p>
      <w:pPr>
        <w:pStyle w:val="TextBody"/>
        <w:bidi w:val="0"/>
        <w:jc w:val="left"/>
        <w:rPr>
          <w:rFonts w:ascii="Times New Roman" w:hAnsi="Times New Roman"/>
          <w:color w:val="000000"/>
          <w:sz w:val="22"/>
        </w:rPr>
      </w:pPr>
      <w:r>
        <w:rPr>
          <w:rFonts w:ascii="Times New Roman" w:hAnsi="Times New Roman"/>
          <w:color w:val="000000"/>
          <w:sz w:val="22"/>
        </w:rPr>
        <w:t>Dallas, Texas</w:t>
      </w:r>
    </w:p>
    <w:p>
      <w:pPr>
        <w:pStyle w:val="TextBody"/>
        <w:bidi w:val="0"/>
        <w:jc w:val="left"/>
        <w:rPr>
          <w:rFonts w:ascii="Times New Roman" w:hAnsi="Times New Roman"/>
          <w:color w:val="000000"/>
          <w:sz w:val="22"/>
        </w:rPr>
      </w:pPr>
      <w:r>
        <w:rPr>
          <w:rFonts w:ascii="Times New Roman" w:hAnsi="Times New Roman"/>
          <w:color w:val="000000"/>
          <w:sz w:val="22"/>
        </w:rPr>
        <w:t>June 23,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4814</Words>
  <Characters>27050</Characters>
  <CharactersWithSpaces>32102</CharactersWithSpaces>
  <Paragraphs>1293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