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0"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143510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8"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QUARTERLY REPORT</w:t>
      </w:r>
    </w:p>
    <w:p>
      <w:pPr>
        <w:spacing w:after="0" w:line="77"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September 30, 2022</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1-12984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174625</wp:posOffset>
            </wp:positionV>
            <wp:extent cx="1423035"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color w:val="auto"/>
        </w:rPr>
        <w:t>EAGLE MATERIALS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143510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16"/>
          <w:szCs w:val="16"/>
          <w:color w:val="auto"/>
        </w:rPr>
        <w:t>(State of Incorporation)</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75-2520779 </w:t>
      </w:r>
      <w:r>
        <w:rPr>
          <w:rFonts w:ascii="Arial" w:cs="Arial" w:eastAsia="Arial" w:hAnsi="Arial"/>
          <w:sz w:val="16"/>
          <w:szCs w:val="16"/>
          <w:color w:val="auto"/>
        </w:rPr>
        <w:t>(I.R.S. Employer Identification No.)</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5960 Berkshire Lane, Suite 900, Dallas, Texas 75225 </w:t>
      </w:r>
      <w:r>
        <w:rPr>
          <w:rFonts w:ascii="Arial" w:cs="Arial" w:eastAsia="Arial" w:hAnsi="Arial"/>
          <w:sz w:val="16"/>
          <w:szCs w:val="16"/>
          <w:color w:val="auto"/>
        </w:rPr>
        <w:t>(Address of principal executive offices)</w:t>
      </w:r>
    </w:p>
    <w:p>
      <w:pPr>
        <w:spacing w:after="0" w:line="50" w:lineRule="exact"/>
        <w:rPr>
          <w:sz w:val="24"/>
          <w:szCs w:val="24"/>
          <w:color w:val="auto"/>
        </w:rPr>
      </w:pPr>
    </w:p>
    <w:p>
      <w:pPr>
        <w:ind w:left="3540" w:hanging="477"/>
        <w:spacing w:after="0"/>
        <w:tabs>
          <w:tab w:leader="none" w:pos="35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432-2000 </w:t>
      </w: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200025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9"/>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00" w:type="dxa"/>
            <w:vAlign w:val="bottom"/>
          </w:tcPr>
          <w:p>
            <w:pPr>
              <w:jc w:val="center"/>
              <w:spacing w:after="0"/>
              <w:rPr>
                <w:sz w:val="20"/>
                <w:szCs w:val="20"/>
                <w:color w:val="auto"/>
              </w:rPr>
            </w:pPr>
            <w:r>
              <w:rPr>
                <w:rFonts w:ascii="Arial" w:cs="Arial" w:eastAsia="Arial" w:hAnsi="Arial"/>
                <w:sz w:val="16"/>
                <w:szCs w:val="16"/>
                <w:color w:val="auto"/>
              </w:rPr>
              <w:t>Common Stock (par value $.01 per share)</w:t>
            </w:r>
          </w:p>
        </w:tc>
        <w:tc>
          <w:tcPr>
            <w:tcW w:w="1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9"/>
              </w:rPr>
              <w:t>EXP</w:t>
            </w:r>
          </w:p>
        </w:tc>
        <w:tc>
          <w:tcPr>
            <w:tcW w:w="120" w:type="dxa"/>
            <w:vAlign w:val="bottom"/>
          </w:tcPr>
          <w:p>
            <w:pPr>
              <w:spacing w:after="0"/>
              <w:rPr>
                <w:sz w:val="16"/>
                <w:szCs w:val="16"/>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bl>
    <w:p>
      <w:pPr>
        <w:spacing w:after="0" w:line="262" w:lineRule="exact"/>
        <w:rPr>
          <w:sz w:val="24"/>
          <w:szCs w:val="24"/>
          <w:color w:val="auto"/>
        </w:rPr>
      </w:pPr>
    </w:p>
    <w:p>
      <w:pPr>
        <w:jc w:val="both"/>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jc w:val="both"/>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ind w:right="340"/>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84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Non-accelerated filer</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184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8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6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95"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5000" w:right="2240" w:hanging="4991"/>
        <w:spacing w:after="0" w:line="2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As of October 24, 2022, the number of outstanding shares of common stock was:</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Class</w:t>
            </w:r>
          </w:p>
        </w:tc>
        <w:tc>
          <w:tcPr>
            <w:tcW w:w="100" w:type="dxa"/>
            <w:vAlign w:val="bottom"/>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Outstanding Shares</w:t>
            </w:r>
          </w:p>
        </w:tc>
      </w:tr>
      <w:tr>
        <w:trPr>
          <w:trHeight w:val="398"/>
        </w:trPr>
        <w:tc>
          <w:tcPr>
            <w:tcW w:w="5640" w:type="dxa"/>
            <w:vAlign w:val="bottom"/>
          </w:tcPr>
          <w:p>
            <w:pPr>
              <w:jc w:val="center"/>
              <w:spacing w:after="0"/>
              <w:rPr>
                <w:sz w:val="20"/>
                <w:szCs w:val="20"/>
                <w:color w:val="auto"/>
              </w:rPr>
            </w:pPr>
            <w:r>
              <w:rPr>
                <w:rFonts w:ascii="Arial" w:cs="Arial" w:eastAsia="Arial" w:hAnsi="Arial"/>
                <w:sz w:val="18"/>
                <w:szCs w:val="18"/>
                <w:color w:val="auto"/>
                <w:w w:val="99"/>
              </w:rPr>
              <w:t>Common Stock, $.01 Par Value</w:t>
            </w:r>
          </w:p>
        </w:tc>
        <w:tc>
          <w:tcPr>
            <w:tcW w:w="5600" w:type="dxa"/>
            <w:vAlign w:val="bottom"/>
            <w:gridSpan w:val="2"/>
          </w:tcPr>
          <w:p>
            <w:pPr>
              <w:jc w:val="right"/>
              <w:ind w:right="2210"/>
              <w:spacing w:after="0"/>
              <w:rPr>
                <w:sz w:val="20"/>
                <w:szCs w:val="20"/>
                <w:color w:val="auto"/>
              </w:rPr>
            </w:pPr>
            <w:r>
              <w:rPr>
                <w:rFonts w:ascii="Arial" w:cs="Arial" w:eastAsia="Arial" w:hAnsi="Arial"/>
                <w:sz w:val="18"/>
                <w:szCs w:val="18"/>
                <w:color w:val="auto"/>
              </w:rPr>
              <w:t>36,844,662</w:t>
            </w:r>
          </w:p>
        </w:tc>
      </w:tr>
      <w:tr>
        <w:trPr>
          <w:trHeight w:val="230"/>
        </w:trPr>
        <w:tc>
          <w:tcPr>
            <w:tcW w:w="5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r>
      <w:tr>
        <w:trPr>
          <w:trHeight w:val="514"/>
        </w:trPr>
        <w:tc>
          <w:tcPr>
            <w:tcW w:w="5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u w:val="single" w:color="auto"/>
          <w:color w:val="auto"/>
        </w:rPr>
        <w:t>TABLE OF CONTENTS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PART I. FINANCIAL INFORMATION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9520" w:type="dxa"/>
            <w:vAlign w:val="bottom"/>
            <w:gridSpan w:val="17"/>
            <w:vMerge w:val="restart"/>
          </w:tcPr>
          <w:p>
            <w:pPr>
              <w:spacing w:after="0"/>
              <w:rPr>
                <w:sz w:val="20"/>
                <w:szCs w:val="20"/>
                <w:color w:val="auto"/>
              </w:rPr>
            </w:pPr>
            <w:r>
              <w:rPr>
                <w:rFonts w:ascii="Arial" w:cs="Arial" w:eastAsia="Arial" w:hAnsi="Arial"/>
                <w:sz w:val="18"/>
                <w:szCs w:val="18"/>
                <w:color w:val="auto"/>
              </w:rPr>
              <w:t>Consolidated Financial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9520" w:type="dxa"/>
            <w:vAlign w:val="bottom"/>
            <w:gridSpan w:val="17"/>
            <w:vMerge w:val="continue"/>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20" w:type="dxa"/>
            <w:vAlign w:val="bottom"/>
            <w:gridSpan w:val="17"/>
          </w:tcPr>
          <w:p>
            <w:pPr>
              <w:spacing w:after="0"/>
              <w:rPr>
                <w:sz w:val="20"/>
                <w:szCs w:val="20"/>
                <w:color w:val="auto"/>
              </w:rPr>
            </w:pPr>
            <w:r>
              <w:rPr>
                <w:rFonts w:ascii="Arial" w:cs="Arial" w:eastAsia="Arial" w:hAnsi="Arial"/>
                <w:sz w:val="18"/>
                <w:szCs w:val="18"/>
                <w:color w:val="auto"/>
              </w:rPr>
              <w:t>Consolidated Statements of Earnings for the Three and Six Months Ended September 30, 2022 and 2021</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20" w:type="dxa"/>
            <w:vAlign w:val="bottom"/>
            <w:gridSpan w:val="17"/>
          </w:tcPr>
          <w:p>
            <w:pPr>
              <w:spacing w:after="0"/>
              <w:rPr>
                <w:sz w:val="20"/>
                <w:szCs w:val="20"/>
                <w:color w:val="auto"/>
              </w:rPr>
            </w:pPr>
            <w:r>
              <w:rPr>
                <w:rFonts w:ascii="Arial" w:cs="Arial" w:eastAsia="Arial" w:hAnsi="Arial"/>
                <w:sz w:val="18"/>
                <w:szCs w:val="18"/>
                <w:color w:val="auto"/>
              </w:rPr>
              <w:t>Consolidated Statements of Comprehensive Earnings for the Three and Six Months Ended September 30, 2022 and</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2021</w:t>
            </w:r>
          </w:p>
        </w:tc>
        <w:tc>
          <w:tcPr>
            <w:tcW w:w="3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38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8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30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20" w:type="dxa"/>
            <w:vAlign w:val="bottom"/>
            <w:gridSpan w:val="17"/>
          </w:tcPr>
          <w:p>
            <w:pPr>
              <w:spacing w:after="0"/>
              <w:rPr>
                <w:sz w:val="20"/>
                <w:szCs w:val="20"/>
                <w:color w:val="auto"/>
              </w:rPr>
            </w:pPr>
            <w:r>
              <w:rPr>
                <w:rFonts w:ascii="Arial" w:cs="Arial" w:eastAsia="Arial" w:hAnsi="Arial"/>
                <w:sz w:val="18"/>
                <w:szCs w:val="18"/>
                <w:color w:val="auto"/>
              </w:rPr>
              <w:t>Consolidated Balance Sheets as of September 30, 2022, and March 31, 2022</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20" w:type="dxa"/>
            <w:vAlign w:val="bottom"/>
            <w:gridSpan w:val="17"/>
          </w:tcPr>
          <w:p>
            <w:pPr>
              <w:spacing w:after="0"/>
              <w:rPr>
                <w:sz w:val="20"/>
                <w:szCs w:val="20"/>
                <w:color w:val="auto"/>
              </w:rPr>
            </w:pPr>
            <w:r>
              <w:rPr>
                <w:rFonts w:ascii="Arial" w:cs="Arial" w:eastAsia="Arial" w:hAnsi="Arial"/>
                <w:sz w:val="18"/>
                <w:szCs w:val="18"/>
                <w:color w:val="auto"/>
              </w:rPr>
              <w:t>Consolidated Statements of Cash Flows for the Six Months Ended September 30, 2022 and 2021</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520" w:type="dxa"/>
            <w:vAlign w:val="bottom"/>
            <w:gridSpan w:val="17"/>
          </w:tcPr>
          <w:p>
            <w:pPr>
              <w:spacing w:after="0"/>
              <w:rPr>
                <w:sz w:val="20"/>
                <w:szCs w:val="20"/>
                <w:color w:val="auto"/>
              </w:rPr>
            </w:pPr>
            <w:r>
              <w:rPr>
                <w:rFonts w:ascii="Arial" w:cs="Arial" w:eastAsia="Arial" w:hAnsi="Arial"/>
                <w:sz w:val="18"/>
                <w:szCs w:val="18"/>
                <w:color w:val="auto"/>
              </w:rPr>
              <w:t>Consolidated Statements of Stockholders' Equity for the Three and Six Months Ended September 30, 2022 and 2021</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8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auto"/>
                <w:w w:val="99"/>
              </w:rPr>
              <w:t>Notes to Unaudited Consolidated Financial Statements</w:t>
            </w:r>
          </w:p>
        </w:tc>
        <w:tc>
          <w:tcPr>
            <w:tcW w:w="4740" w:type="dxa"/>
            <w:vAlign w:val="bottom"/>
            <w:tcBorders>
              <w:top w:val="single" w:sz="8" w:color="0000EE"/>
            </w:tcBorders>
            <w:gridSpan w:val="8"/>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520" w:type="dxa"/>
            <w:vAlign w:val="bottom"/>
            <w:gridSpan w:val="17"/>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72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auto"/>
                <w:w w:val="99"/>
              </w:rPr>
              <w:t>Quantitative and Qualitative Disclosures About Market Risk</w:t>
            </w:r>
          </w:p>
        </w:tc>
        <w:tc>
          <w:tcPr>
            <w:tcW w:w="2360" w:type="dxa"/>
            <w:vAlign w:val="bottom"/>
            <w:tcBorders>
              <w:top w:val="single" w:sz="8" w:color="0000EE"/>
            </w:tcBorders>
            <w:gridSpan w:val="4"/>
          </w:tcPr>
          <w:p>
            <w:pPr>
              <w:spacing w:after="0"/>
              <w:rPr>
                <w:sz w:val="24"/>
                <w:szCs w:val="24"/>
                <w:color w:val="auto"/>
              </w:rPr>
            </w:pPr>
          </w:p>
        </w:tc>
        <w:tc>
          <w:tcPr>
            <w:tcW w:w="244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0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auto"/>
                <w:w w:val="99"/>
              </w:rPr>
              <w:t>Controls and Procedures</w:t>
            </w:r>
          </w:p>
        </w:tc>
        <w:tc>
          <w:tcPr>
            <w:tcW w:w="752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533"/>
        </w:trPr>
        <w:tc>
          <w:tcPr>
            <w:tcW w:w="20" w:type="dxa"/>
            <w:vAlign w:val="bottom"/>
          </w:tcPr>
          <w:p>
            <w:pPr>
              <w:spacing w:after="0"/>
              <w:rPr>
                <w:sz w:val="24"/>
                <w:szCs w:val="24"/>
                <w:color w:val="auto"/>
              </w:rPr>
            </w:pPr>
          </w:p>
        </w:tc>
        <w:tc>
          <w:tcPr>
            <w:tcW w:w="2940" w:type="dxa"/>
            <w:vAlign w:val="bottom"/>
            <w:tcBorders>
              <w:bottom w:val="single" w:sz="8" w:color="auto"/>
            </w:tcBorders>
            <w:gridSpan w:val="7"/>
          </w:tcPr>
          <w:p>
            <w:pPr>
              <w:spacing w:after="0"/>
              <w:rPr>
                <w:sz w:val="20"/>
                <w:szCs w:val="20"/>
                <w:color w:val="auto"/>
              </w:rPr>
            </w:pPr>
            <w:r>
              <w:rPr>
                <w:rFonts w:ascii="Arial" w:cs="Arial" w:eastAsia="Arial" w:hAnsi="Arial"/>
                <w:sz w:val="20"/>
                <w:szCs w:val="20"/>
                <w:b w:val="1"/>
                <w:bCs w:val="1"/>
                <w:color w:val="auto"/>
                <w:w w:val="97"/>
              </w:rPr>
              <w:t>PART II. OTHER INFORMATION</w:t>
            </w:r>
          </w:p>
        </w:tc>
        <w:tc>
          <w:tcPr>
            <w:tcW w:w="7600" w:type="dxa"/>
            <w:vAlign w:val="bottom"/>
            <w:gridSpan w:val="11"/>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5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auto"/>
                <w:w w:val="99"/>
              </w:rPr>
              <w:t>Legal Proceedings</w:t>
            </w:r>
          </w:p>
        </w:tc>
        <w:tc>
          <w:tcPr>
            <w:tcW w:w="8020" w:type="dxa"/>
            <w:vAlign w:val="bottom"/>
            <w:gridSpan w:val="1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520" w:type="dxa"/>
            <w:vAlign w:val="bottom"/>
            <w:gridSpan w:val="17"/>
          </w:tcPr>
          <w:p>
            <w:pPr>
              <w:spacing w:after="0"/>
              <w:rPr>
                <w:sz w:val="20"/>
                <w:szCs w:val="20"/>
                <w:color w:val="auto"/>
              </w:rPr>
            </w:pPr>
            <w:r>
              <w:rPr>
                <w:rFonts w:ascii="Arial" w:cs="Arial" w:eastAsia="Arial" w:hAnsi="Arial"/>
                <w:sz w:val="18"/>
                <w:szCs w:val="18"/>
                <w:color w:val="auto"/>
              </w:rPr>
              <w:t>Risk Factors</w:t>
            </w: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48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auto"/>
                <w:w w:val="99"/>
              </w:rPr>
              <w:t>Unregistered Sales of Equity Securities and Use of Proceeds</w:t>
            </w:r>
          </w:p>
        </w:tc>
        <w:tc>
          <w:tcPr>
            <w:tcW w:w="466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520" w:type="dxa"/>
            <w:vAlign w:val="bottom"/>
            <w:gridSpan w:val="17"/>
          </w:tcPr>
          <w:p>
            <w:pPr>
              <w:spacing w:after="0"/>
              <w:rPr>
                <w:sz w:val="20"/>
                <w:szCs w:val="20"/>
                <w:color w:val="auto"/>
              </w:rPr>
            </w:pPr>
            <w:r>
              <w:rPr>
                <w:rFonts w:ascii="Arial" w:cs="Arial" w:eastAsia="Arial" w:hAnsi="Arial"/>
                <w:sz w:val="18"/>
                <w:szCs w:val="18"/>
                <w:color w:val="auto"/>
              </w:rPr>
              <w:t>Mine Safety Information</w:t>
            </w: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auto"/>
                <w:w w:val="98"/>
              </w:rPr>
              <w:t>Exhibits</w:t>
            </w:r>
          </w:p>
        </w:tc>
        <w:tc>
          <w:tcPr>
            <w:tcW w:w="1260" w:type="dxa"/>
            <w:vAlign w:val="bottom"/>
            <w:tcBorders>
              <w:top w:val="single" w:sz="8" w:color="0000EE"/>
            </w:tcBorders>
            <w:gridSpan w:val="3"/>
          </w:tcPr>
          <w:p>
            <w:pPr>
              <w:spacing w:after="0"/>
              <w:rPr>
                <w:sz w:val="24"/>
                <w:szCs w:val="24"/>
                <w:color w:val="auto"/>
              </w:rPr>
            </w:pPr>
          </w:p>
        </w:tc>
        <w:tc>
          <w:tcPr>
            <w:tcW w:w="762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0540" w:type="dxa"/>
            <w:vAlign w:val="bottom"/>
            <w:gridSpan w:val="18"/>
          </w:tcPr>
          <w:p>
            <w:pPr>
              <w:spacing w:after="0"/>
              <w:rPr>
                <w:sz w:val="20"/>
                <w:szCs w:val="20"/>
                <w:color w:val="auto"/>
              </w:rPr>
            </w:pPr>
            <w:r>
              <w:rPr>
                <w:rFonts w:ascii="Arial" w:cs="Arial" w:eastAsia="Arial" w:hAnsi="Arial"/>
                <w:sz w:val="18"/>
                <w:szCs w:val="18"/>
                <w:b w:val="1"/>
                <w:bCs w:val="1"/>
                <w:color w:val="auto"/>
              </w:rPr>
              <w:t>SIGNATURES</w:t>
            </w: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188"/>
        </w:trPr>
        <w:tc>
          <w:tcPr>
            <w:tcW w:w="20" w:type="dxa"/>
            <w:vAlign w:val="bottom"/>
            <w:tcBorders>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auto"/>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EAGLE MATERIALS INC. AND SUBSIDIARIES CONSOLIDATED STATEMENTS OF EARNINGS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2880" w:type="dxa"/>
            <w:vAlign w:val="bottom"/>
            <w:gridSpan w:val="8"/>
            <w:shd w:val="clear" w:color="auto" w:fill="004483"/>
          </w:tcPr>
          <w:p>
            <w:pPr>
              <w:jc w:val="right"/>
              <w:ind w:right="200"/>
              <w:spacing w:after="0"/>
              <w:rPr>
                <w:sz w:val="20"/>
                <w:szCs w:val="20"/>
                <w:color w:val="auto"/>
              </w:rPr>
            </w:pPr>
            <w:r>
              <w:rPr>
                <w:rFonts w:ascii="Arial" w:cs="Arial" w:eastAsia="Arial" w:hAnsi="Arial"/>
                <w:sz w:val="13"/>
                <w:szCs w:val="13"/>
                <w:b w:val="1"/>
                <w:bCs w:val="1"/>
                <w:color w:val="FFFFFF"/>
                <w:w w:val="98"/>
              </w:rPr>
              <w:t>For the Three Months Ended September 30,</w:t>
            </w:r>
          </w:p>
        </w:tc>
        <w:tc>
          <w:tcPr>
            <w:tcW w:w="140" w:type="dxa"/>
            <w:vAlign w:val="bottom"/>
          </w:tcPr>
          <w:p>
            <w:pPr>
              <w:spacing w:after="0"/>
              <w:rPr>
                <w:sz w:val="15"/>
                <w:szCs w:val="15"/>
                <w:color w:val="auto"/>
              </w:rPr>
            </w:pPr>
          </w:p>
        </w:tc>
        <w:tc>
          <w:tcPr>
            <w:tcW w:w="120" w:type="dxa"/>
            <w:vAlign w:val="bottom"/>
            <w:shd w:val="clear" w:color="auto" w:fill="004483"/>
          </w:tcPr>
          <w:p>
            <w:pPr>
              <w:spacing w:after="0"/>
              <w:rPr>
                <w:sz w:val="15"/>
                <w:szCs w:val="15"/>
                <w:color w:val="auto"/>
              </w:rPr>
            </w:pPr>
          </w:p>
        </w:tc>
        <w:tc>
          <w:tcPr>
            <w:tcW w:w="2700" w:type="dxa"/>
            <w:vAlign w:val="bottom"/>
            <w:gridSpan w:val="6"/>
            <w:shd w:val="clear" w:color="auto" w:fill="004483"/>
          </w:tcPr>
          <w:p>
            <w:pPr>
              <w:jc w:val="right"/>
              <w:ind w:right="240"/>
              <w:spacing w:after="0"/>
              <w:rPr>
                <w:sz w:val="20"/>
                <w:szCs w:val="20"/>
                <w:color w:val="auto"/>
              </w:rPr>
            </w:pPr>
            <w:r>
              <w:rPr>
                <w:rFonts w:ascii="Arial" w:cs="Arial" w:eastAsia="Arial" w:hAnsi="Arial"/>
                <w:sz w:val="13"/>
                <w:szCs w:val="13"/>
                <w:b w:val="1"/>
                <w:bCs w:val="1"/>
                <w:color w:val="FFFFFF"/>
                <w:w w:val="96"/>
              </w:rPr>
              <w:t>For the Six Months Ended September 30,</w:t>
            </w:r>
          </w:p>
        </w:tc>
        <w:tc>
          <w:tcPr>
            <w:tcW w:w="0" w:type="dxa"/>
            <w:vAlign w:val="bottom"/>
          </w:tcPr>
          <w:p>
            <w:pPr>
              <w:spacing w:after="0"/>
              <w:rPr>
                <w:sz w:val="1"/>
                <w:szCs w:val="1"/>
                <w:color w:val="auto"/>
              </w:rPr>
            </w:pPr>
          </w:p>
        </w:tc>
      </w:tr>
      <w:tr>
        <w:trPr>
          <w:trHeight w:val="168"/>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400" w:type="dxa"/>
            <w:vAlign w:val="bottom"/>
            <w:tcBorders>
              <w:bottom w:val="single" w:sz="8" w:color="004483"/>
            </w:tcBorders>
          </w:tcPr>
          <w:p>
            <w:pPr>
              <w:spacing w:after="0"/>
              <w:rPr>
                <w:sz w:val="16"/>
                <w:szCs w:val="16"/>
                <w:color w:val="auto"/>
              </w:rPr>
            </w:pPr>
          </w:p>
        </w:tc>
        <w:tc>
          <w:tcPr>
            <w:tcW w:w="260" w:type="dxa"/>
            <w:vAlign w:val="bottom"/>
            <w:tcBorders>
              <w:bottom w:val="single" w:sz="8" w:color="004483"/>
            </w:tcBorders>
          </w:tcPr>
          <w:p>
            <w:pPr>
              <w:spacing w:after="0"/>
              <w:rPr>
                <w:sz w:val="16"/>
                <w:szCs w:val="16"/>
                <w:color w:val="auto"/>
              </w:rPr>
            </w:pPr>
          </w:p>
        </w:tc>
        <w:tc>
          <w:tcPr>
            <w:tcW w:w="980" w:type="dxa"/>
            <w:vAlign w:val="bottom"/>
            <w:tcBorders>
              <w:bottom w:val="single" w:sz="8" w:color="004483"/>
            </w:tcBorders>
          </w:tcPr>
          <w:p>
            <w:pPr>
              <w:spacing w:after="0"/>
              <w:rPr>
                <w:sz w:val="16"/>
                <w:szCs w:val="16"/>
                <w:color w:val="auto"/>
              </w:rPr>
            </w:pPr>
          </w:p>
        </w:tc>
        <w:tc>
          <w:tcPr>
            <w:tcW w:w="80" w:type="dxa"/>
            <w:vAlign w:val="bottom"/>
            <w:tcBorders>
              <w:bottom w:val="single" w:sz="8" w:color="004483"/>
            </w:tcBorders>
          </w:tcPr>
          <w:p>
            <w:pPr>
              <w:spacing w:after="0"/>
              <w:rPr>
                <w:sz w:val="16"/>
                <w:szCs w:val="16"/>
                <w:color w:val="auto"/>
              </w:rPr>
            </w:pPr>
          </w:p>
        </w:tc>
        <w:tc>
          <w:tcPr>
            <w:tcW w:w="3160" w:type="dxa"/>
            <w:vAlign w:val="bottom"/>
            <w:tcBorders>
              <w:bottom w:val="single" w:sz="8" w:color="004483"/>
            </w:tcBorders>
            <w:gridSpan w:val="10"/>
          </w:tcPr>
          <w:p>
            <w:pPr>
              <w:spacing w:after="0"/>
              <w:rPr>
                <w:sz w:val="20"/>
                <w:szCs w:val="20"/>
                <w:color w:val="auto"/>
              </w:rPr>
            </w:pPr>
            <w:r>
              <w:rPr>
                <w:rFonts w:ascii="Arial" w:cs="Arial" w:eastAsia="Arial" w:hAnsi="Arial"/>
                <w:sz w:val="13"/>
                <w:szCs w:val="13"/>
                <w:color w:val="auto"/>
                <w:w w:val="98"/>
              </w:rPr>
              <w:t>(dollars in thousands, except share and per share data)</w:t>
            </w:r>
          </w:p>
        </w:tc>
        <w:tc>
          <w:tcPr>
            <w:tcW w:w="280" w:type="dxa"/>
            <w:vAlign w:val="bottom"/>
            <w:tcBorders>
              <w:bottom w:val="single" w:sz="8" w:color="004483"/>
            </w:tcBorders>
          </w:tcPr>
          <w:p>
            <w:pPr>
              <w:spacing w:after="0"/>
              <w:rPr>
                <w:sz w:val="16"/>
                <w:szCs w:val="16"/>
                <w:color w:val="auto"/>
              </w:rPr>
            </w:pPr>
          </w:p>
        </w:tc>
        <w:tc>
          <w:tcPr>
            <w:tcW w:w="98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400" w:type="dxa"/>
            <w:vAlign w:val="bottom"/>
          </w:tcPr>
          <w:p>
            <w:pPr>
              <w:ind w:left="200"/>
              <w:spacing w:after="0"/>
              <w:rPr>
                <w:sz w:val="20"/>
                <w:szCs w:val="20"/>
                <w:color w:val="auto"/>
              </w:rPr>
            </w:pPr>
            <w:r>
              <w:rPr>
                <w:rFonts w:ascii="Arial" w:cs="Arial" w:eastAsia="Arial" w:hAnsi="Arial"/>
                <w:sz w:val="16"/>
                <w:szCs w:val="16"/>
                <w:color w:val="004483"/>
              </w:rPr>
              <w:t>Revenue</w:t>
            </w:r>
          </w:p>
        </w:tc>
        <w:tc>
          <w:tcPr>
            <w:tcW w:w="260" w:type="dxa"/>
            <w:vAlign w:val="bottom"/>
          </w:tcPr>
          <w:p>
            <w:pPr>
              <w:jc w:val="right"/>
              <w:ind w:right="84"/>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605,068</w:t>
            </w:r>
          </w:p>
        </w:tc>
        <w:tc>
          <w:tcPr>
            <w:tcW w:w="80" w:type="dxa"/>
            <w:vAlign w:val="bottom"/>
          </w:tcPr>
          <w:p>
            <w:pPr>
              <w:spacing w:after="0"/>
              <w:rPr>
                <w:sz w:val="18"/>
                <w:szCs w:val="18"/>
                <w:color w:val="auto"/>
              </w:rPr>
            </w:pPr>
          </w:p>
        </w:tc>
        <w:tc>
          <w:tcPr>
            <w:tcW w:w="46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509,694</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1,166,455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985,464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40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Cost of Goods Sold</w:t>
            </w:r>
          </w:p>
        </w:tc>
        <w:tc>
          <w:tcPr>
            <w:tcW w:w="260" w:type="dxa"/>
            <w:vAlign w:val="bottom"/>
            <w:tcBorders>
              <w:top w:val="single" w:sz="8" w:color="A6A6A6"/>
              <w:bottom w:val="single" w:sz="8" w:color="004483"/>
            </w:tcBorders>
          </w:tcPr>
          <w:p>
            <w:pPr>
              <w:spacing w:after="0"/>
              <w:rPr>
                <w:sz w:val="19"/>
                <w:szCs w:val="19"/>
                <w:color w:val="auto"/>
              </w:rPr>
            </w:pPr>
          </w:p>
        </w:tc>
        <w:tc>
          <w:tcPr>
            <w:tcW w:w="9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410,829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260" w:type="dxa"/>
            <w:vAlign w:val="bottom"/>
            <w:tcBorders>
              <w:top w:val="single" w:sz="8" w:color="A6A6A6"/>
              <w:bottom w:val="single" w:sz="8" w:color="004483"/>
            </w:tcBorders>
          </w:tcPr>
          <w:p>
            <w:pPr>
              <w:spacing w:after="0"/>
              <w:rPr>
                <w:sz w:val="19"/>
                <w:szCs w:val="19"/>
                <w:color w:val="auto"/>
              </w:rPr>
            </w:pPr>
          </w:p>
        </w:tc>
        <w:tc>
          <w:tcPr>
            <w:tcW w:w="10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354,353</w:t>
            </w:r>
          </w:p>
        </w:tc>
        <w:tc>
          <w:tcPr>
            <w:tcW w:w="100" w:type="dxa"/>
            <w:vAlign w:val="bottom"/>
          </w:tcPr>
          <w:p>
            <w:pPr>
              <w:spacing w:after="0"/>
              <w:rPr>
                <w:sz w:val="19"/>
                <w:szCs w:val="19"/>
                <w:color w:val="auto"/>
              </w:rPr>
            </w:pPr>
          </w:p>
        </w:tc>
        <w:tc>
          <w:tcPr>
            <w:tcW w:w="140" w:type="dxa"/>
            <w:vAlign w:val="bottom"/>
            <w:tcBorders>
              <w:top w:val="single" w:sz="8" w:color="A6A6A6"/>
              <w:bottom w:val="single" w:sz="8" w:color="A6A6A6"/>
            </w:tcBorders>
          </w:tcPr>
          <w:p>
            <w:pPr>
              <w:spacing w:after="0"/>
              <w:rPr>
                <w:sz w:val="19"/>
                <w:szCs w:val="19"/>
                <w:color w:val="auto"/>
              </w:rPr>
            </w:pPr>
          </w:p>
        </w:tc>
        <w:tc>
          <w:tcPr>
            <w:tcW w:w="120" w:type="dxa"/>
            <w:vAlign w:val="bottom"/>
            <w:tcBorders>
              <w:top w:val="single" w:sz="8" w:color="A6A6A6"/>
              <w:bottom w:val="single" w:sz="8" w:color="004483"/>
            </w:tcBorders>
          </w:tcPr>
          <w:p>
            <w:pPr>
              <w:spacing w:after="0"/>
              <w:rPr>
                <w:sz w:val="19"/>
                <w:szCs w:val="19"/>
                <w:color w:val="auto"/>
              </w:rPr>
            </w:pPr>
          </w:p>
        </w:tc>
        <w:tc>
          <w:tcPr>
            <w:tcW w:w="11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821,350</w:t>
            </w:r>
          </w:p>
        </w:tc>
        <w:tc>
          <w:tcPr>
            <w:tcW w:w="12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280" w:type="dxa"/>
            <w:vAlign w:val="bottom"/>
            <w:tcBorders>
              <w:top w:val="single" w:sz="8" w:color="A6A6A6"/>
              <w:bottom w:val="single" w:sz="8" w:color="004483"/>
            </w:tcBorders>
          </w:tcPr>
          <w:p>
            <w:pPr>
              <w:spacing w:after="0"/>
              <w:rPr>
                <w:sz w:val="19"/>
                <w:szCs w:val="19"/>
                <w:color w:val="auto"/>
              </w:rPr>
            </w:pPr>
          </w:p>
        </w:tc>
        <w:tc>
          <w:tcPr>
            <w:tcW w:w="9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703,612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40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Gross Profit</w:t>
            </w:r>
          </w:p>
        </w:tc>
        <w:tc>
          <w:tcPr>
            <w:tcW w:w="26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194,239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2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155,341</w:t>
            </w: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345,105</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8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281,852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Equity in Earnings of Unconsolidated Joint Venture</w:t>
            </w:r>
          </w:p>
        </w:tc>
        <w:tc>
          <w:tcPr>
            <w:tcW w:w="26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7,156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8,260</w:t>
            </w: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12,254</w:t>
            </w: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ind w:left="200"/>
              <w:spacing w:after="0"/>
              <w:rPr>
                <w:sz w:val="20"/>
                <w:szCs w:val="20"/>
                <w:color w:val="auto"/>
              </w:rPr>
            </w:pPr>
            <w:r>
              <w:rPr>
                <w:rFonts w:ascii="Arial" w:cs="Arial" w:eastAsia="Arial" w:hAnsi="Arial"/>
                <w:sz w:val="16"/>
                <w:szCs w:val="16"/>
                <w:color w:val="004483"/>
              </w:rPr>
              <w:t>Corporate General and Administrative Expense</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(13,627 )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(10,667 )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(25,447 )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(20,135 )</w:t>
            </w:r>
          </w:p>
        </w:tc>
        <w:tc>
          <w:tcPr>
            <w:tcW w:w="0" w:type="dxa"/>
            <w:vAlign w:val="bottom"/>
          </w:tcPr>
          <w:p>
            <w:pPr>
              <w:spacing w:after="0"/>
              <w:rPr>
                <w:sz w:val="1"/>
                <w:szCs w:val="1"/>
                <w:color w:val="auto"/>
              </w:rPr>
            </w:pPr>
          </w:p>
        </w:tc>
      </w:tr>
      <w:tr>
        <w:trPr>
          <w:trHeight w:val="20"/>
        </w:trPr>
        <w:tc>
          <w:tcPr>
            <w:tcW w:w="540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tcPr>
          <w:p>
            <w:pPr>
              <w:ind w:left="200"/>
              <w:spacing w:after="0"/>
              <w:rPr>
                <w:sz w:val="20"/>
                <w:szCs w:val="20"/>
                <w:color w:val="auto"/>
              </w:rPr>
            </w:pPr>
            <w:r>
              <w:rPr>
                <w:rFonts w:ascii="Arial" w:cs="Arial" w:eastAsia="Arial" w:hAnsi="Arial"/>
                <w:sz w:val="16"/>
                <w:szCs w:val="16"/>
                <w:color w:val="004483"/>
              </w:rPr>
              <w:t>Loss on Early Retirement of Senior Notes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(8,407 )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(8,407 )</w:t>
            </w:r>
          </w:p>
        </w:tc>
        <w:tc>
          <w:tcPr>
            <w:tcW w:w="0" w:type="dxa"/>
            <w:vAlign w:val="bottom"/>
          </w:tcPr>
          <w:p>
            <w:pPr>
              <w:spacing w:after="0"/>
              <w:rPr>
                <w:sz w:val="1"/>
                <w:szCs w:val="1"/>
                <w:color w:val="auto"/>
              </w:rPr>
            </w:pPr>
          </w:p>
        </w:tc>
      </w:tr>
      <w:tr>
        <w:trPr>
          <w:trHeight w:val="20"/>
        </w:trPr>
        <w:tc>
          <w:tcPr>
            <w:tcW w:w="540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tcPr>
          <w:p>
            <w:pPr>
              <w:ind w:left="200"/>
              <w:spacing w:after="0"/>
              <w:rPr>
                <w:sz w:val="20"/>
                <w:szCs w:val="20"/>
                <w:color w:val="auto"/>
              </w:rPr>
            </w:pPr>
            <w:r>
              <w:rPr>
                <w:rFonts w:ascii="Arial" w:cs="Arial" w:eastAsia="Arial" w:hAnsi="Arial"/>
                <w:sz w:val="16"/>
                <w:szCs w:val="16"/>
                <w:color w:val="004483"/>
              </w:rPr>
              <w:t>Other Non-Operating Income (Loss)</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(664 )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(944 )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(1,299 )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10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9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400" w:type="dxa"/>
            <w:vAlign w:val="bottom"/>
          </w:tcPr>
          <w:p>
            <w:pPr>
              <w:ind w:left="200"/>
              <w:spacing w:after="0"/>
              <w:rPr>
                <w:sz w:val="20"/>
                <w:szCs w:val="20"/>
                <w:color w:val="auto"/>
              </w:rPr>
            </w:pPr>
            <w:r>
              <w:rPr>
                <w:rFonts w:ascii="Arial" w:cs="Arial" w:eastAsia="Arial" w:hAnsi="Arial"/>
                <w:sz w:val="16"/>
                <w:szCs w:val="16"/>
                <w:color w:val="004483"/>
              </w:rPr>
              <w:t>Interest Expense, net</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(8,580 )</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(12,268 )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(15,910 )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(19,240 )</w:t>
            </w:r>
          </w:p>
        </w:tc>
        <w:tc>
          <w:tcPr>
            <w:tcW w:w="0" w:type="dxa"/>
            <w:vAlign w:val="bottom"/>
          </w:tcPr>
          <w:p>
            <w:pPr>
              <w:spacing w:after="0"/>
              <w:rPr>
                <w:sz w:val="1"/>
                <w:szCs w:val="1"/>
                <w:color w:val="auto"/>
              </w:rPr>
            </w:pPr>
          </w:p>
        </w:tc>
      </w:tr>
      <w:tr>
        <w:trPr>
          <w:trHeight w:val="207"/>
        </w:trPr>
        <w:tc>
          <w:tcPr>
            <w:tcW w:w="5400" w:type="dxa"/>
            <w:vAlign w:val="bottom"/>
            <w:tcBorders>
              <w:top w:val="single" w:sz="8" w:color="A6A6A6"/>
              <w:bottom w:val="single" w:sz="8" w:color="A6A6A6"/>
            </w:tcBorders>
          </w:tcPr>
          <w:p>
            <w:pPr>
              <w:ind w:left="380"/>
              <w:spacing w:after="0"/>
              <w:rPr>
                <w:sz w:val="20"/>
                <w:szCs w:val="20"/>
                <w:color w:val="auto"/>
              </w:rPr>
            </w:pPr>
            <w:r>
              <w:rPr>
                <w:rFonts w:ascii="Arial" w:cs="Arial" w:eastAsia="Arial" w:hAnsi="Arial"/>
                <w:sz w:val="16"/>
                <w:szCs w:val="16"/>
                <w:color w:val="004483"/>
              </w:rPr>
              <w:t>Earnings before Income Taxes</w:t>
            </w:r>
          </w:p>
        </w:tc>
        <w:tc>
          <w:tcPr>
            <w:tcW w:w="260" w:type="dxa"/>
            <w:vAlign w:val="bottom"/>
            <w:tcBorders>
              <w:top w:val="single" w:sz="8" w:color="004483"/>
              <w:bottom w:val="single" w:sz="8" w:color="A6A6A6"/>
            </w:tcBorders>
          </w:tcPr>
          <w:p>
            <w:pPr>
              <w:spacing w:after="0"/>
              <w:rPr>
                <w:sz w:val="17"/>
                <w:szCs w:val="17"/>
                <w:color w:val="auto"/>
              </w:rPr>
            </w:pPr>
          </w:p>
        </w:tc>
        <w:tc>
          <w:tcPr>
            <w:tcW w:w="9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178,524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260" w:type="dxa"/>
            <w:vAlign w:val="bottom"/>
            <w:tcBorders>
              <w:top w:val="single" w:sz="8" w:color="004483"/>
              <w:bottom w:val="single" w:sz="8" w:color="A6A6A6"/>
            </w:tcBorders>
          </w:tcPr>
          <w:p>
            <w:pPr>
              <w:spacing w:after="0"/>
              <w:rPr>
                <w:sz w:val="17"/>
                <w:szCs w:val="17"/>
                <w:color w:val="auto"/>
              </w:rPr>
            </w:pPr>
          </w:p>
        </w:tc>
        <w:tc>
          <w:tcPr>
            <w:tcW w:w="10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131,315</w:t>
            </w:r>
          </w:p>
        </w:tc>
        <w:tc>
          <w:tcPr>
            <w:tcW w:w="100" w:type="dxa"/>
            <w:vAlign w:val="bottom"/>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120" w:type="dxa"/>
            <w:vAlign w:val="bottom"/>
            <w:tcBorders>
              <w:top w:val="single" w:sz="8" w:color="004483"/>
              <w:bottom w:val="single" w:sz="8" w:color="A6A6A6"/>
            </w:tcBorders>
          </w:tcPr>
          <w:p>
            <w:pPr>
              <w:spacing w:after="0"/>
              <w:rPr>
                <w:sz w:val="17"/>
                <w:szCs w:val="17"/>
                <w:color w:val="auto"/>
              </w:rPr>
            </w:pPr>
          </w:p>
        </w:tc>
        <w:tc>
          <w:tcPr>
            <w:tcW w:w="11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314,703</w:t>
            </w:r>
          </w:p>
        </w:tc>
        <w:tc>
          <w:tcPr>
            <w:tcW w:w="12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280" w:type="dxa"/>
            <w:vAlign w:val="bottom"/>
            <w:tcBorders>
              <w:top w:val="single" w:sz="8" w:color="004483"/>
              <w:bottom w:val="single" w:sz="8" w:color="A6A6A6"/>
            </w:tcBorders>
          </w:tcPr>
          <w:p>
            <w:pPr>
              <w:spacing w:after="0"/>
              <w:rPr>
                <w:sz w:val="17"/>
                <w:szCs w:val="17"/>
                <w:color w:val="auto"/>
              </w:rPr>
            </w:pPr>
          </w:p>
        </w:tc>
        <w:tc>
          <w:tcPr>
            <w:tcW w:w="9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253,034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400" w:type="dxa"/>
            <w:vAlign w:val="bottom"/>
          </w:tcPr>
          <w:p>
            <w:pPr>
              <w:ind w:left="200"/>
              <w:spacing w:after="0"/>
              <w:rPr>
                <w:sz w:val="20"/>
                <w:szCs w:val="20"/>
                <w:color w:val="auto"/>
              </w:rPr>
            </w:pPr>
            <w:r>
              <w:rPr>
                <w:rFonts w:ascii="Arial" w:cs="Arial" w:eastAsia="Arial" w:hAnsi="Arial"/>
                <w:sz w:val="16"/>
                <w:szCs w:val="16"/>
                <w:color w:val="004483"/>
              </w:rPr>
              <w:t>Income Taxes</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(39,529 )</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(29,190 )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(70,703 )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(55,582 )</w:t>
            </w:r>
          </w:p>
        </w:tc>
        <w:tc>
          <w:tcPr>
            <w:tcW w:w="0" w:type="dxa"/>
            <w:vAlign w:val="bottom"/>
          </w:tcPr>
          <w:p>
            <w:pPr>
              <w:spacing w:after="0"/>
              <w:rPr>
                <w:sz w:val="1"/>
                <w:szCs w:val="1"/>
                <w:color w:val="auto"/>
              </w:rPr>
            </w:pPr>
          </w:p>
        </w:tc>
      </w:tr>
      <w:tr>
        <w:trPr>
          <w:trHeight w:val="196"/>
        </w:trPr>
        <w:tc>
          <w:tcPr>
            <w:tcW w:w="5400" w:type="dxa"/>
            <w:vAlign w:val="bottom"/>
            <w:tcBorders>
              <w:top w:val="single" w:sz="8" w:color="A6A6A6"/>
            </w:tcBorders>
          </w:tcPr>
          <w:p>
            <w:pPr>
              <w:ind w:left="380"/>
              <w:spacing w:after="0"/>
              <w:rPr>
                <w:sz w:val="20"/>
                <w:szCs w:val="20"/>
                <w:color w:val="auto"/>
              </w:rPr>
            </w:pPr>
            <w:r>
              <w:rPr>
                <w:rFonts w:ascii="Arial" w:cs="Arial" w:eastAsia="Arial" w:hAnsi="Arial"/>
                <w:sz w:val="16"/>
                <w:szCs w:val="16"/>
                <w:b w:val="1"/>
                <w:bCs w:val="1"/>
                <w:color w:val="auto"/>
              </w:rPr>
              <w:t>Net Earnings</w:t>
            </w:r>
          </w:p>
        </w:tc>
        <w:tc>
          <w:tcPr>
            <w:tcW w:w="260" w:type="dxa"/>
            <w:vAlign w:val="bottom"/>
            <w:tcBorders>
              <w:top w:val="single" w:sz="8" w:color="004483"/>
              <w:bottom w:val="single" w:sz="8" w:color="004483"/>
            </w:tcBorders>
          </w:tcPr>
          <w:p>
            <w:pPr>
              <w:spacing w:after="0"/>
              <w:rPr>
                <w:sz w:val="17"/>
                <w:szCs w:val="17"/>
                <w:color w:val="auto"/>
              </w:rPr>
            </w:pPr>
          </w:p>
        </w:tc>
        <w:tc>
          <w:tcPr>
            <w:tcW w:w="9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138,995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6A6A6"/>
            </w:tcBorders>
          </w:tcPr>
          <w:p>
            <w:pPr>
              <w:spacing w:after="0"/>
              <w:rPr>
                <w:sz w:val="17"/>
                <w:szCs w:val="17"/>
                <w:color w:val="auto"/>
              </w:rPr>
            </w:pPr>
          </w:p>
        </w:tc>
        <w:tc>
          <w:tcPr>
            <w:tcW w:w="260" w:type="dxa"/>
            <w:vAlign w:val="bottom"/>
            <w:tcBorders>
              <w:top w:val="single" w:sz="8" w:color="004483"/>
              <w:bottom w:val="single" w:sz="8" w:color="004483"/>
            </w:tcBorders>
          </w:tcPr>
          <w:p>
            <w:pPr>
              <w:spacing w:after="0"/>
              <w:rPr>
                <w:sz w:val="17"/>
                <w:szCs w:val="17"/>
                <w:color w:val="auto"/>
              </w:rPr>
            </w:pPr>
          </w:p>
        </w:tc>
        <w:tc>
          <w:tcPr>
            <w:tcW w:w="10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102,125</w:t>
            </w:r>
          </w:p>
        </w:tc>
        <w:tc>
          <w:tcPr>
            <w:tcW w:w="100" w:type="dxa"/>
            <w:vAlign w:val="bottom"/>
          </w:tcPr>
          <w:p>
            <w:pPr>
              <w:spacing w:after="0"/>
              <w:rPr>
                <w:sz w:val="17"/>
                <w:szCs w:val="17"/>
                <w:color w:val="auto"/>
              </w:rPr>
            </w:pPr>
          </w:p>
        </w:tc>
        <w:tc>
          <w:tcPr>
            <w:tcW w:w="140" w:type="dxa"/>
            <w:vAlign w:val="bottom"/>
            <w:tcBorders>
              <w:top w:val="single" w:sz="8" w:color="A6A6A6"/>
            </w:tcBorders>
          </w:tcPr>
          <w:p>
            <w:pPr>
              <w:spacing w:after="0"/>
              <w:rPr>
                <w:sz w:val="17"/>
                <w:szCs w:val="17"/>
                <w:color w:val="auto"/>
              </w:rPr>
            </w:pPr>
          </w:p>
        </w:tc>
        <w:tc>
          <w:tcPr>
            <w:tcW w:w="120" w:type="dxa"/>
            <w:vAlign w:val="bottom"/>
            <w:tcBorders>
              <w:top w:val="single" w:sz="8" w:color="004483"/>
              <w:bottom w:val="single" w:sz="8" w:color="004483"/>
            </w:tcBorders>
          </w:tcPr>
          <w:p>
            <w:pPr>
              <w:spacing w:after="0"/>
              <w:rPr>
                <w:sz w:val="17"/>
                <w:szCs w:val="17"/>
                <w:color w:val="auto"/>
              </w:rPr>
            </w:pPr>
          </w:p>
        </w:tc>
        <w:tc>
          <w:tcPr>
            <w:tcW w:w="110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244,000</w:t>
            </w:r>
          </w:p>
        </w:tc>
        <w:tc>
          <w:tcPr>
            <w:tcW w:w="120" w:type="dxa"/>
            <w:vAlign w:val="bottom"/>
          </w:tcPr>
          <w:p>
            <w:pPr>
              <w:spacing w:after="0"/>
              <w:rPr>
                <w:sz w:val="17"/>
                <w:szCs w:val="17"/>
                <w:color w:val="auto"/>
              </w:rPr>
            </w:pPr>
          </w:p>
        </w:tc>
        <w:tc>
          <w:tcPr>
            <w:tcW w:w="120" w:type="dxa"/>
            <w:vAlign w:val="bottom"/>
            <w:tcBorders>
              <w:top w:val="single" w:sz="8" w:color="A6A6A6"/>
            </w:tcBorders>
          </w:tcPr>
          <w:p>
            <w:pPr>
              <w:spacing w:after="0"/>
              <w:rPr>
                <w:sz w:val="17"/>
                <w:szCs w:val="17"/>
                <w:color w:val="auto"/>
              </w:rPr>
            </w:pPr>
          </w:p>
        </w:tc>
        <w:tc>
          <w:tcPr>
            <w:tcW w:w="280" w:type="dxa"/>
            <w:vAlign w:val="bottom"/>
            <w:tcBorders>
              <w:top w:val="single" w:sz="8" w:color="004483"/>
              <w:bottom w:val="single" w:sz="8" w:color="004483"/>
            </w:tcBorders>
          </w:tcPr>
          <w:p>
            <w:pPr>
              <w:spacing w:after="0"/>
              <w:rPr>
                <w:sz w:val="17"/>
                <w:szCs w:val="17"/>
                <w:color w:val="auto"/>
              </w:rPr>
            </w:pPr>
          </w:p>
        </w:tc>
        <w:tc>
          <w:tcPr>
            <w:tcW w:w="9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color w:val="auto"/>
              </w:rPr>
              <w:t>197,452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tcBorders>
              <w:bottom w:val="single" w:sz="8" w:color="A6A6A6"/>
            </w:tcBorders>
          </w:tcPr>
          <w:p>
            <w:pPr>
              <w:spacing w:after="0"/>
              <w:rPr>
                <w:sz w:val="17"/>
                <w:szCs w:val="17"/>
                <w:color w:val="auto"/>
              </w:rPr>
            </w:pPr>
          </w:p>
        </w:tc>
        <w:tc>
          <w:tcPr>
            <w:tcW w:w="26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2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8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4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6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00" w:type="dxa"/>
            <w:vAlign w:val="bottom"/>
          </w:tcPr>
          <w:p>
            <w:pPr>
              <w:ind w:left="200"/>
              <w:spacing w:after="0"/>
              <w:rPr>
                <w:sz w:val="20"/>
                <w:szCs w:val="20"/>
                <w:color w:val="auto"/>
              </w:rPr>
            </w:pPr>
            <w:r>
              <w:rPr>
                <w:rFonts w:ascii="Arial" w:cs="Arial" w:eastAsia="Arial" w:hAnsi="Arial"/>
                <w:sz w:val="16"/>
                <w:szCs w:val="16"/>
                <w:color w:val="004483"/>
              </w:rPr>
              <w:t>Basic</w:t>
            </w:r>
          </w:p>
        </w:tc>
        <w:tc>
          <w:tcPr>
            <w:tcW w:w="260" w:type="dxa"/>
            <w:vAlign w:val="bottom"/>
          </w:tcPr>
          <w:p>
            <w:pPr>
              <w:jc w:val="right"/>
              <w:ind w:right="84"/>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3.74</w:t>
            </w:r>
          </w:p>
        </w:tc>
        <w:tc>
          <w:tcPr>
            <w:tcW w:w="80" w:type="dxa"/>
            <w:vAlign w:val="bottom"/>
          </w:tcPr>
          <w:p>
            <w:pPr>
              <w:spacing w:after="0"/>
              <w:rPr>
                <w:sz w:val="18"/>
                <w:szCs w:val="18"/>
                <w:color w:val="auto"/>
              </w:rPr>
            </w:pPr>
          </w:p>
        </w:tc>
        <w:tc>
          <w:tcPr>
            <w:tcW w:w="46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Diluted</w:t>
            </w:r>
          </w:p>
        </w:tc>
        <w:tc>
          <w:tcPr>
            <w:tcW w:w="260" w:type="dxa"/>
            <w:vAlign w:val="bottom"/>
            <w:tcBorders>
              <w:top w:val="single" w:sz="8" w:color="A6A6A6"/>
              <w:bottom w:val="single" w:sz="8" w:color="A6A6A6"/>
            </w:tcBorders>
          </w:tcPr>
          <w:p>
            <w:pPr>
              <w:spacing w:after="0"/>
              <w:rPr>
                <w:sz w:val="18"/>
                <w:szCs w:val="18"/>
                <w:color w:val="auto"/>
              </w:rPr>
            </w:pPr>
          </w:p>
        </w:tc>
        <w:tc>
          <w:tcPr>
            <w:tcW w:w="9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3.72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260" w:type="dxa"/>
            <w:vAlign w:val="bottom"/>
            <w:tcBorders>
              <w:top w:val="single" w:sz="8" w:color="A6A6A6"/>
              <w:bottom w:val="single" w:sz="8" w:color="A6A6A6"/>
            </w:tcBorders>
          </w:tcPr>
          <w:p>
            <w:pPr>
              <w:spacing w:after="0"/>
              <w:rPr>
                <w:sz w:val="18"/>
                <w:szCs w:val="18"/>
                <w:color w:val="auto"/>
              </w:rPr>
            </w:pP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11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18"/>
                <w:szCs w:val="18"/>
                <w:color w:val="auto"/>
              </w:rPr>
            </w:pPr>
          </w:p>
        </w:tc>
        <w:tc>
          <w:tcPr>
            <w:tcW w:w="120" w:type="dxa"/>
            <w:vAlign w:val="bottom"/>
            <w:tcBorders>
              <w:top w:val="single" w:sz="8" w:color="A6A6A6"/>
              <w:bottom w:val="single" w:sz="8" w:color="A6A6A6"/>
            </w:tcBorders>
          </w:tcPr>
          <w:p>
            <w:pPr>
              <w:spacing w:after="0"/>
              <w:rPr>
                <w:sz w:val="18"/>
                <w:szCs w:val="18"/>
                <w:color w:val="auto"/>
              </w:rPr>
            </w:pPr>
          </w:p>
        </w:tc>
        <w:tc>
          <w:tcPr>
            <w:tcW w:w="280" w:type="dxa"/>
            <w:vAlign w:val="bottom"/>
            <w:tcBorders>
              <w:top w:val="single" w:sz="8" w:color="A6A6A6"/>
              <w:bottom w:val="single" w:sz="8" w:color="A6A6A6"/>
            </w:tcBorders>
          </w:tcPr>
          <w:p>
            <w:pPr>
              <w:spacing w:after="0"/>
              <w:rPr>
                <w:sz w:val="18"/>
                <w:szCs w:val="18"/>
                <w:color w:val="auto"/>
              </w:rPr>
            </w:pPr>
          </w:p>
        </w:tc>
        <w:tc>
          <w:tcPr>
            <w:tcW w:w="9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AVERAGE SHARES OUTSTANDING</w:t>
            </w:r>
          </w:p>
        </w:tc>
        <w:tc>
          <w:tcPr>
            <w:tcW w:w="26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260" w:type="dxa"/>
            <w:vAlign w:val="bottom"/>
            <w:tcBorders>
              <w:bottom w:val="single" w:sz="8" w:color="A6A6A6"/>
            </w:tcBorders>
          </w:tcPr>
          <w:p>
            <w:pPr>
              <w:spacing w:after="0"/>
              <w:rPr>
                <w:sz w:val="18"/>
                <w:szCs w:val="18"/>
                <w:color w:val="auto"/>
              </w:rPr>
            </w:pPr>
          </w:p>
        </w:tc>
        <w:tc>
          <w:tcPr>
            <w:tcW w:w="100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6A6A6"/>
            </w:tcBorders>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110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6A6A6"/>
            </w:tcBorders>
          </w:tcPr>
          <w:p>
            <w:pPr>
              <w:spacing w:after="0"/>
              <w:rPr>
                <w:sz w:val="18"/>
                <w:szCs w:val="18"/>
                <w:color w:val="auto"/>
              </w:rPr>
            </w:pPr>
          </w:p>
        </w:tc>
        <w:tc>
          <w:tcPr>
            <w:tcW w:w="280" w:type="dxa"/>
            <w:vAlign w:val="bottom"/>
            <w:tcBorders>
              <w:bottom w:val="single" w:sz="8" w:color="A6A6A6"/>
            </w:tcBorders>
          </w:tcPr>
          <w:p>
            <w:pPr>
              <w:spacing w:after="0"/>
              <w:rPr>
                <w:sz w:val="18"/>
                <w:szCs w:val="18"/>
                <w:color w:val="auto"/>
              </w:rPr>
            </w:pPr>
          </w:p>
        </w:tc>
        <w:tc>
          <w:tcPr>
            <w:tcW w:w="9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00" w:type="dxa"/>
            <w:vAlign w:val="bottom"/>
          </w:tcPr>
          <w:p>
            <w:pPr>
              <w:ind w:left="200"/>
              <w:spacing w:after="0"/>
              <w:rPr>
                <w:sz w:val="20"/>
                <w:szCs w:val="20"/>
                <w:color w:val="auto"/>
              </w:rPr>
            </w:pPr>
            <w:r>
              <w:rPr>
                <w:rFonts w:ascii="Arial" w:cs="Arial" w:eastAsia="Arial" w:hAnsi="Arial"/>
                <w:sz w:val="16"/>
                <w:szCs w:val="16"/>
                <w:color w:val="004483"/>
              </w:rPr>
              <w:t>Basic</w:t>
            </w:r>
          </w:p>
        </w:tc>
        <w:tc>
          <w:tcPr>
            <w:tcW w:w="260" w:type="dxa"/>
            <w:vAlign w:val="bottom"/>
            <w:tcBorders>
              <w:bottom w:val="single" w:sz="8" w:color="004483"/>
            </w:tcBorders>
          </w:tcPr>
          <w:p>
            <w:pPr>
              <w:spacing w:after="0"/>
              <w:rPr>
                <w:sz w:val="16"/>
                <w:szCs w:val="16"/>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37,140,197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004483"/>
            </w:tcBorders>
          </w:tcPr>
          <w:p>
            <w:pPr>
              <w:spacing w:after="0"/>
              <w:rPr>
                <w:sz w:val="16"/>
                <w:szCs w:val="16"/>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41,222,161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37,559,087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004483"/>
            </w:tcBorders>
          </w:tcPr>
          <w:p>
            <w:pPr>
              <w:spacing w:after="0"/>
              <w:rPr>
                <w:sz w:val="16"/>
                <w:szCs w:val="16"/>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41,623,187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tcPr>
          <w:p>
            <w:pPr>
              <w:ind w:left="200"/>
              <w:spacing w:after="0"/>
              <w:rPr>
                <w:sz w:val="20"/>
                <w:szCs w:val="20"/>
                <w:color w:val="auto"/>
              </w:rPr>
            </w:pPr>
            <w:r>
              <w:rPr>
                <w:rFonts w:ascii="Arial" w:cs="Arial" w:eastAsia="Arial" w:hAnsi="Arial"/>
                <w:sz w:val="16"/>
                <w:szCs w:val="16"/>
                <w:color w:val="004483"/>
              </w:rPr>
              <w:t>Diluted</w:t>
            </w:r>
          </w:p>
        </w:tc>
        <w:tc>
          <w:tcPr>
            <w:tcW w:w="26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37,366,879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004483"/>
            </w:tcBorders>
          </w:tcPr>
          <w:p>
            <w:pPr>
              <w:spacing w:after="0"/>
              <w:rPr>
                <w:sz w:val="15"/>
                <w:szCs w:val="15"/>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41,594,733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37,792,613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004483"/>
            </w:tcBorders>
          </w:tcPr>
          <w:p>
            <w:pPr>
              <w:spacing w:after="0"/>
              <w:rPr>
                <w:sz w:val="15"/>
                <w:szCs w:val="15"/>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42,013,847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CASH DIVIDENDS PER SHARE</w:t>
            </w:r>
          </w:p>
        </w:tc>
        <w:tc>
          <w:tcPr>
            <w:tcW w:w="260" w:type="dxa"/>
            <w:vAlign w:val="bottom"/>
          </w:tcPr>
          <w:p>
            <w:pPr>
              <w:jc w:val="right"/>
              <w:ind w:right="84"/>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0.25</w:t>
            </w:r>
          </w:p>
        </w:tc>
        <w:tc>
          <w:tcPr>
            <w:tcW w:w="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0.25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0.50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-6985</wp:posOffset>
            </wp:positionV>
            <wp:extent cx="36429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637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EAGLE MATERIALS INC. AND SUBSIDIARIES CONSOLIDATED STATEMENTS OF COMPREHENSIVE EARNINGS (unaudited)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400" w:type="dxa"/>
            <w:vAlign w:val="bottom"/>
          </w:tcPr>
          <w:p>
            <w:pPr>
              <w:spacing w:after="0"/>
              <w:rPr>
                <w:sz w:val="14"/>
                <w:szCs w:val="14"/>
                <w:color w:val="auto"/>
              </w:rPr>
            </w:pPr>
          </w:p>
        </w:tc>
        <w:tc>
          <w:tcPr>
            <w:tcW w:w="2880" w:type="dxa"/>
            <w:vAlign w:val="bottom"/>
            <w:gridSpan w:val="7"/>
            <w:shd w:val="clear" w:color="auto" w:fill="004483"/>
          </w:tcPr>
          <w:p>
            <w:pPr>
              <w:jc w:val="right"/>
              <w:ind w:right="200"/>
              <w:spacing w:after="0"/>
              <w:rPr>
                <w:sz w:val="20"/>
                <w:szCs w:val="20"/>
                <w:color w:val="auto"/>
              </w:rPr>
            </w:pPr>
            <w:r>
              <w:rPr>
                <w:rFonts w:ascii="Arial" w:cs="Arial" w:eastAsia="Arial" w:hAnsi="Arial"/>
                <w:sz w:val="13"/>
                <w:szCs w:val="13"/>
                <w:b w:val="1"/>
                <w:bCs w:val="1"/>
                <w:color w:val="FFFFFF"/>
                <w:w w:val="98"/>
              </w:rPr>
              <w:t>For the Three Months Ended September 30,</w:t>
            </w:r>
          </w:p>
        </w:tc>
        <w:tc>
          <w:tcPr>
            <w:tcW w:w="14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00" w:type="dxa"/>
            <w:vAlign w:val="bottom"/>
            <w:gridSpan w:val="6"/>
            <w:shd w:val="clear" w:color="auto" w:fill="004483"/>
          </w:tcPr>
          <w:p>
            <w:pPr>
              <w:jc w:val="right"/>
              <w:ind w:right="240"/>
              <w:spacing w:after="0"/>
              <w:rPr>
                <w:sz w:val="20"/>
                <w:szCs w:val="20"/>
                <w:color w:val="auto"/>
              </w:rPr>
            </w:pPr>
            <w:r>
              <w:rPr>
                <w:rFonts w:ascii="Arial" w:cs="Arial" w:eastAsia="Arial" w:hAnsi="Arial"/>
                <w:sz w:val="13"/>
                <w:szCs w:val="13"/>
                <w:b w:val="1"/>
                <w:bCs w:val="1"/>
                <w:color w:val="FFFFFF"/>
                <w:w w:val="96"/>
              </w:rPr>
              <w:t>For the Six Months Ended September 30,</w:t>
            </w:r>
          </w:p>
        </w:tc>
      </w:tr>
      <w:tr>
        <w:trPr>
          <w:trHeight w:val="156"/>
        </w:trPr>
        <w:tc>
          <w:tcPr>
            <w:tcW w:w="5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r>
      <w:tr>
        <w:trPr>
          <w:trHeight w:val="188"/>
        </w:trPr>
        <w:tc>
          <w:tcPr>
            <w:tcW w:w="5400" w:type="dxa"/>
            <w:vAlign w:val="bottom"/>
            <w:tcBorders>
              <w:bottom w:val="single" w:sz="8" w:color="004483"/>
            </w:tcBorders>
          </w:tcPr>
          <w:p>
            <w:pPr>
              <w:spacing w:after="0"/>
              <w:rPr>
                <w:sz w:val="16"/>
                <w:szCs w:val="16"/>
                <w:color w:val="auto"/>
              </w:rPr>
            </w:pPr>
          </w:p>
        </w:tc>
        <w:tc>
          <w:tcPr>
            <w:tcW w:w="380" w:type="dxa"/>
            <w:vAlign w:val="bottom"/>
            <w:tcBorders>
              <w:bottom w:val="single" w:sz="8" w:color="004483"/>
            </w:tcBorders>
          </w:tcPr>
          <w:p>
            <w:pPr>
              <w:spacing w:after="0"/>
              <w:rPr>
                <w:sz w:val="16"/>
                <w:szCs w:val="16"/>
                <w:color w:val="auto"/>
              </w:rPr>
            </w:pPr>
          </w:p>
        </w:tc>
        <w:tc>
          <w:tcPr>
            <w:tcW w:w="86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380" w:type="dxa"/>
            <w:vAlign w:val="bottom"/>
            <w:tcBorders>
              <w:bottom w:val="single" w:sz="8" w:color="004483"/>
            </w:tcBorders>
          </w:tcPr>
          <w:p>
            <w:pPr>
              <w:spacing w:after="0"/>
              <w:rPr>
                <w:sz w:val="16"/>
                <w:szCs w:val="16"/>
                <w:color w:val="auto"/>
              </w:rPr>
            </w:pPr>
          </w:p>
        </w:tc>
        <w:tc>
          <w:tcPr>
            <w:tcW w:w="2460" w:type="dxa"/>
            <w:vAlign w:val="bottom"/>
            <w:tcBorders>
              <w:bottom w:val="single" w:sz="8" w:color="004483"/>
            </w:tcBorders>
            <w:gridSpan w:val="6"/>
          </w:tcPr>
          <w:p>
            <w:pPr>
              <w:jc w:val="right"/>
              <w:ind w:right="900"/>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6"/>
                <w:szCs w:val="16"/>
                <w:color w:val="auto"/>
              </w:rPr>
            </w:pPr>
          </w:p>
        </w:tc>
        <w:tc>
          <w:tcPr>
            <w:tcW w:w="380" w:type="dxa"/>
            <w:vAlign w:val="bottom"/>
            <w:tcBorders>
              <w:bottom w:val="single" w:sz="8" w:color="004483"/>
            </w:tcBorders>
          </w:tcPr>
          <w:p>
            <w:pPr>
              <w:spacing w:after="0"/>
              <w:rPr>
                <w:sz w:val="16"/>
                <w:szCs w:val="16"/>
                <w:color w:val="auto"/>
              </w:rPr>
            </w:pPr>
          </w:p>
        </w:tc>
        <w:tc>
          <w:tcPr>
            <w:tcW w:w="88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00"/>
        </w:trPr>
        <w:tc>
          <w:tcPr>
            <w:tcW w:w="54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380" w:type="dxa"/>
            <w:vAlign w:val="bottom"/>
            <w:tcBorders>
              <w:bottom w:val="single" w:sz="8" w:color="A6A6A6"/>
            </w:tcBorders>
          </w:tcPr>
          <w:p>
            <w:pPr>
              <w:jc w:val="right"/>
              <w:ind w:right="205"/>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138,995</w:t>
            </w:r>
          </w:p>
        </w:tc>
        <w:tc>
          <w:tcPr>
            <w:tcW w:w="140" w:type="dxa"/>
            <w:vAlign w:val="bottom"/>
          </w:tcPr>
          <w:p>
            <w:pPr>
              <w:spacing w:after="0"/>
              <w:rPr>
                <w:sz w:val="17"/>
                <w:szCs w:val="17"/>
                <w:color w:val="auto"/>
              </w:rPr>
            </w:pPr>
          </w:p>
        </w:tc>
        <w:tc>
          <w:tcPr>
            <w:tcW w:w="520" w:type="dxa"/>
            <w:vAlign w:val="bottom"/>
            <w:tcBorders>
              <w:bottom w:val="single" w:sz="8" w:color="A6A6A6"/>
            </w:tcBorders>
            <w:gridSpan w:val="2"/>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102,125</w:t>
            </w:r>
          </w:p>
        </w:tc>
        <w:tc>
          <w:tcPr>
            <w:tcW w:w="100" w:type="dxa"/>
            <w:vAlign w:val="bottom"/>
          </w:tcPr>
          <w:p>
            <w:pPr>
              <w:spacing w:after="0"/>
              <w:rPr>
                <w:sz w:val="17"/>
                <w:szCs w:val="17"/>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244,000</w:t>
            </w:r>
          </w:p>
        </w:tc>
        <w:tc>
          <w:tcPr>
            <w:tcW w:w="120" w:type="dxa"/>
            <w:vAlign w:val="bottom"/>
          </w:tcPr>
          <w:p>
            <w:pPr>
              <w:spacing w:after="0"/>
              <w:rPr>
                <w:sz w:val="17"/>
                <w:szCs w:val="17"/>
                <w:color w:val="auto"/>
              </w:rPr>
            </w:pPr>
          </w:p>
        </w:tc>
        <w:tc>
          <w:tcPr>
            <w:tcW w:w="500" w:type="dxa"/>
            <w:vAlign w:val="bottom"/>
            <w:tcBorders>
              <w:bottom w:val="single" w:sz="8" w:color="A6A6A6"/>
            </w:tcBorders>
            <w:gridSpan w:val="2"/>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197,452</w:t>
            </w:r>
          </w:p>
        </w:tc>
        <w:tc>
          <w:tcPr>
            <w:tcW w:w="100" w:type="dxa"/>
            <w:vAlign w:val="bottom"/>
          </w:tcPr>
          <w:p>
            <w:pPr>
              <w:spacing w:after="0"/>
              <w:rPr>
                <w:sz w:val="17"/>
                <w:szCs w:val="17"/>
                <w:color w:val="auto"/>
              </w:rPr>
            </w:pPr>
          </w:p>
        </w:tc>
      </w:tr>
      <w:tr>
        <w:trPr>
          <w:trHeight w:val="196"/>
        </w:trPr>
        <w:tc>
          <w:tcPr>
            <w:tcW w:w="54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Net Actuarial Change in Defined Benefit Plans</w:t>
            </w:r>
          </w:p>
        </w:tc>
        <w:tc>
          <w:tcPr>
            <w:tcW w:w="38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38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8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4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Amortization of Net Actuarial Loss</w:t>
            </w:r>
          </w:p>
        </w:tc>
        <w:tc>
          <w:tcPr>
            <w:tcW w:w="38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38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8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r>
      <w:tr>
        <w:trPr>
          <w:trHeight w:val="196"/>
        </w:trPr>
        <w:tc>
          <w:tcPr>
            <w:tcW w:w="5400" w:type="dxa"/>
            <w:vAlign w:val="bottom"/>
          </w:tcPr>
          <w:p>
            <w:pPr>
              <w:ind w:left="200"/>
              <w:spacing w:after="0"/>
              <w:rPr>
                <w:sz w:val="20"/>
                <w:szCs w:val="20"/>
                <w:color w:val="auto"/>
              </w:rPr>
            </w:pPr>
            <w:r>
              <w:rPr>
                <w:rFonts w:ascii="Arial" w:cs="Arial" w:eastAsia="Arial" w:hAnsi="Arial"/>
                <w:sz w:val="16"/>
                <w:szCs w:val="16"/>
                <w:color w:val="004483"/>
              </w:rPr>
              <w:t>Tax Expense</w:t>
            </w:r>
          </w:p>
        </w:tc>
        <w:tc>
          <w:tcPr>
            <w:tcW w:w="3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(6 )</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(9 )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(18 )</w:t>
            </w:r>
          </w:p>
        </w:tc>
      </w:tr>
      <w:tr>
        <w:trPr>
          <w:trHeight w:val="211"/>
        </w:trPr>
        <w:tc>
          <w:tcPr>
            <w:tcW w:w="540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Comprehensive Earnings</w:t>
            </w:r>
          </w:p>
        </w:tc>
        <w:tc>
          <w:tcPr>
            <w:tcW w:w="380" w:type="dxa"/>
            <w:vAlign w:val="bottom"/>
            <w:tcBorders>
              <w:top w:val="single" w:sz="8" w:color="004483"/>
            </w:tcBorders>
          </w:tcPr>
          <w:p>
            <w:pPr>
              <w:jc w:val="right"/>
              <w:ind w:right="205"/>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004483"/>
            </w:tcBorders>
          </w:tcPr>
          <w:p>
            <w:pPr>
              <w:jc w:val="right"/>
              <w:spacing w:after="0"/>
              <w:rPr>
                <w:sz w:val="20"/>
                <w:szCs w:val="20"/>
                <w:color w:val="auto"/>
              </w:rPr>
            </w:pPr>
            <w:r>
              <w:rPr>
                <w:rFonts w:ascii="Arial" w:cs="Arial" w:eastAsia="Arial" w:hAnsi="Arial"/>
                <w:sz w:val="16"/>
                <w:szCs w:val="16"/>
                <w:b w:val="1"/>
                <w:bCs w:val="1"/>
                <w:color w:val="auto"/>
              </w:rPr>
              <w:t>139,019</w:t>
            </w:r>
          </w:p>
        </w:tc>
        <w:tc>
          <w:tcPr>
            <w:tcW w:w="14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380" w:type="dxa"/>
            <w:vAlign w:val="bottom"/>
            <w:tcBorders>
              <w:top w:val="single" w:sz="8" w:color="004483"/>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004483"/>
            </w:tcBorders>
          </w:tcPr>
          <w:p>
            <w:pPr>
              <w:jc w:val="right"/>
              <w:spacing w:after="0"/>
              <w:rPr>
                <w:sz w:val="20"/>
                <w:szCs w:val="20"/>
                <w:color w:val="auto"/>
              </w:rPr>
            </w:pPr>
            <w:r>
              <w:rPr>
                <w:rFonts w:ascii="Arial" w:cs="Arial" w:eastAsia="Arial" w:hAnsi="Arial"/>
                <w:sz w:val="16"/>
                <w:szCs w:val="16"/>
                <w:b w:val="1"/>
                <w:bCs w:val="1"/>
                <w:color w:val="auto"/>
              </w:rPr>
              <w:t>102,152</w:t>
            </w:r>
          </w:p>
        </w:tc>
        <w:tc>
          <w:tcPr>
            <w:tcW w:w="100" w:type="dxa"/>
            <w:vAlign w:val="bottom"/>
          </w:tcPr>
          <w:p>
            <w:pPr>
              <w:spacing w:after="0"/>
              <w:rPr>
                <w:sz w:val="18"/>
                <w:szCs w:val="18"/>
                <w:color w:val="auto"/>
              </w:rPr>
            </w:pPr>
          </w:p>
        </w:tc>
        <w:tc>
          <w:tcPr>
            <w:tcW w:w="140" w:type="dxa"/>
            <w:vAlign w:val="bottom"/>
            <w:tcBorders>
              <w:top w:val="single" w:sz="8" w:color="A6A6A6"/>
            </w:tcBorders>
          </w:tcPr>
          <w:p>
            <w:pPr>
              <w:spacing w:after="0"/>
              <w:rPr>
                <w:sz w:val="18"/>
                <w:szCs w:val="18"/>
                <w:color w:val="auto"/>
              </w:rPr>
            </w:pPr>
          </w:p>
        </w:tc>
        <w:tc>
          <w:tcPr>
            <w:tcW w:w="120" w:type="dxa"/>
            <w:vAlign w:val="bottom"/>
            <w:tcBorders>
              <w:top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004483"/>
            </w:tcBorders>
          </w:tcPr>
          <w:p>
            <w:pPr>
              <w:jc w:val="right"/>
              <w:spacing w:after="0"/>
              <w:rPr>
                <w:sz w:val="20"/>
                <w:szCs w:val="20"/>
                <w:color w:val="auto"/>
              </w:rPr>
            </w:pPr>
            <w:r>
              <w:rPr>
                <w:rFonts w:ascii="Arial" w:cs="Arial" w:eastAsia="Arial" w:hAnsi="Arial"/>
                <w:sz w:val="16"/>
                <w:szCs w:val="16"/>
                <w:b w:val="1"/>
                <w:bCs w:val="1"/>
                <w:color w:val="auto"/>
              </w:rPr>
              <w:t>244,047</w:t>
            </w:r>
          </w:p>
        </w:tc>
        <w:tc>
          <w:tcPr>
            <w:tcW w:w="120" w:type="dxa"/>
            <w:vAlign w:val="bottom"/>
          </w:tcPr>
          <w:p>
            <w:pPr>
              <w:spacing w:after="0"/>
              <w:rPr>
                <w:sz w:val="18"/>
                <w:szCs w:val="18"/>
                <w:color w:val="auto"/>
              </w:rPr>
            </w:pPr>
          </w:p>
        </w:tc>
        <w:tc>
          <w:tcPr>
            <w:tcW w:w="120" w:type="dxa"/>
            <w:vAlign w:val="bottom"/>
            <w:tcBorders>
              <w:top w:val="single" w:sz="8" w:color="A6A6A6"/>
            </w:tcBorders>
          </w:tcPr>
          <w:p>
            <w:pPr>
              <w:spacing w:after="0"/>
              <w:rPr>
                <w:sz w:val="18"/>
                <w:szCs w:val="18"/>
                <w:color w:val="auto"/>
              </w:rPr>
            </w:pPr>
          </w:p>
        </w:tc>
        <w:tc>
          <w:tcPr>
            <w:tcW w:w="380" w:type="dxa"/>
            <w:vAlign w:val="bottom"/>
            <w:tcBorders>
              <w:top w:val="single" w:sz="8" w:color="004483"/>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004483"/>
            </w:tcBorders>
          </w:tcPr>
          <w:p>
            <w:pPr>
              <w:jc w:val="right"/>
              <w:spacing w:after="0"/>
              <w:rPr>
                <w:sz w:val="20"/>
                <w:szCs w:val="20"/>
                <w:color w:val="auto"/>
              </w:rPr>
            </w:pPr>
            <w:r>
              <w:rPr>
                <w:rFonts w:ascii="Arial" w:cs="Arial" w:eastAsia="Arial" w:hAnsi="Arial"/>
                <w:sz w:val="16"/>
                <w:szCs w:val="16"/>
                <w:b w:val="1"/>
                <w:bCs w:val="1"/>
                <w:color w:val="auto"/>
              </w:rPr>
              <w:t>197,506</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-6985</wp:posOffset>
            </wp:positionV>
            <wp:extent cx="36429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-127635</wp:posOffset>
            </wp:positionV>
            <wp:extent cx="36429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EAGLE MATERIALS INC. AND SUBSIDIARIES CONSOLIDATED BALANCE SHEETS (unaudited)</w:t>
      </w:r>
    </w:p>
    <w:p>
      <w:pPr>
        <w:spacing w:after="0" w:line="282" w:lineRule="exact"/>
        <w:rPr>
          <w:sz w:val="20"/>
          <w:szCs w:val="20"/>
          <w:color w:val="auto"/>
        </w:rPr>
      </w:pPr>
    </w:p>
    <w:tbl>
      <w:tblPr>
        <w:tblLayout w:type="fixed"/>
        <w:tblInd w:w="8160" w:type="dxa"/>
        <w:tblCellMar>
          <w:top w:w="0" w:type="dxa"/>
          <w:left w:w="0" w:type="dxa"/>
          <w:bottom w:w="0" w:type="dxa"/>
          <w:right w:w="0" w:type="dxa"/>
        </w:tblCellMar>
      </w:tblPr>
      <w:tr>
        <w:trPr>
          <w:trHeight w:val="168"/>
        </w:trPr>
        <w:tc>
          <w:tcPr>
            <w:tcW w:w="2240" w:type="dxa"/>
            <w:vAlign w:val="bottom"/>
            <w:shd w:val="clear" w:color="auto" w:fill="004483"/>
          </w:tcPr>
          <w:p>
            <w:pPr>
              <w:jc w:val="right"/>
              <w:ind w:right="837"/>
              <w:spacing w:after="0"/>
              <w:rPr>
                <w:sz w:val="20"/>
                <w:szCs w:val="20"/>
                <w:color w:val="auto"/>
              </w:rPr>
            </w:pPr>
            <w:r>
              <w:rPr>
                <w:rFonts w:ascii="Arial" w:cs="Arial" w:eastAsia="Arial" w:hAnsi="Arial"/>
                <w:sz w:val="13"/>
                <w:szCs w:val="13"/>
                <w:b w:val="1"/>
                <w:bCs w:val="1"/>
                <w:color w:val="FFFFFF"/>
              </w:rPr>
              <w:t>September 30,</w:t>
            </w:r>
          </w:p>
        </w:tc>
        <w:tc>
          <w:tcPr>
            <w:tcW w:w="840" w:type="dxa"/>
            <w:vAlign w:val="bottom"/>
            <w:shd w:val="clear" w:color="auto" w:fill="004483"/>
          </w:tcPr>
          <w:p>
            <w:pPr>
              <w:jc w:val="right"/>
              <w:ind w:right="57"/>
              <w:spacing w:after="0"/>
              <w:rPr>
                <w:sz w:val="20"/>
                <w:szCs w:val="20"/>
                <w:color w:val="auto"/>
              </w:rPr>
            </w:pPr>
            <w:r>
              <w:rPr>
                <w:rFonts w:ascii="Arial" w:cs="Arial" w:eastAsia="Arial" w:hAnsi="Arial"/>
                <w:sz w:val="13"/>
                <w:szCs w:val="13"/>
                <w:b w:val="1"/>
                <w:bCs w:val="1"/>
                <w:color w:val="FFFFFF"/>
              </w:rPr>
              <w:t>March 31,</w:t>
            </w:r>
          </w:p>
        </w:tc>
      </w:tr>
      <w:tr>
        <w:trPr>
          <w:trHeight w:val="156"/>
        </w:trPr>
        <w:tc>
          <w:tcPr>
            <w:tcW w:w="2240" w:type="dxa"/>
            <w:vAlign w:val="bottom"/>
          </w:tcPr>
          <w:p>
            <w:pPr>
              <w:jc w:val="right"/>
              <w:ind w:right="837"/>
              <w:spacing w:after="0"/>
              <w:rPr>
                <w:sz w:val="20"/>
                <w:szCs w:val="20"/>
                <w:color w:val="auto"/>
              </w:rPr>
            </w:pPr>
            <w:r>
              <w:rPr>
                <w:rFonts w:ascii="Arial" w:cs="Arial" w:eastAsia="Arial" w:hAnsi="Arial"/>
                <w:sz w:val="13"/>
                <w:szCs w:val="13"/>
                <w:b w:val="1"/>
                <w:bCs w:val="1"/>
                <w:color w:val="auto"/>
              </w:rPr>
              <w:t>2022</w:t>
            </w:r>
          </w:p>
        </w:tc>
        <w:tc>
          <w:tcPr>
            <w:tcW w:w="840" w:type="dxa"/>
            <w:vAlign w:val="bottom"/>
          </w:tcPr>
          <w:p>
            <w:pPr>
              <w:jc w:val="right"/>
              <w:ind w:right="57"/>
              <w:spacing w:after="0"/>
              <w:rPr>
                <w:sz w:val="20"/>
                <w:szCs w:val="20"/>
                <w:color w:val="auto"/>
              </w:rPr>
            </w:pPr>
            <w:r>
              <w:rPr>
                <w:rFonts w:ascii="Arial" w:cs="Arial" w:eastAsia="Arial" w:hAnsi="Arial"/>
                <w:sz w:val="13"/>
                <w:szCs w:val="13"/>
                <w:b w:val="1"/>
                <w:bCs w:val="1"/>
                <w:color w:val="auto"/>
              </w:rPr>
              <w:t>2022</w:t>
            </w:r>
          </w:p>
        </w:tc>
      </w:tr>
      <w:tr>
        <w:trPr>
          <w:trHeight w:val="152"/>
        </w:trPr>
        <w:tc>
          <w:tcPr>
            <w:tcW w:w="2240" w:type="dxa"/>
            <w:vAlign w:val="bottom"/>
          </w:tcPr>
          <w:p>
            <w:pPr>
              <w:jc w:val="right"/>
              <w:ind w:right="97"/>
              <w:spacing w:after="0"/>
              <w:rPr>
                <w:sz w:val="20"/>
                <w:szCs w:val="20"/>
                <w:color w:val="auto"/>
              </w:rPr>
            </w:pPr>
            <w:r>
              <w:rPr>
                <w:rFonts w:ascii="Arial" w:cs="Arial" w:eastAsia="Arial" w:hAnsi="Arial"/>
                <w:sz w:val="13"/>
                <w:szCs w:val="13"/>
                <w:color w:val="auto"/>
              </w:rPr>
              <w:t>(dollars in thousands)</w:t>
            </w:r>
          </w:p>
        </w:tc>
        <w:tc>
          <w:tcPr>
            <w:tcW w:w="8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06374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63740" cy="2540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0350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Current Assets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0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Cash and Cash Equivalents</w:t>
            </w:r>
          </w:p>
        </w:tc>
        <w:tc>
          <w:tcPr>
            <w:tcW w:w="3080" w:type="dxa"/>
            <w:vAlign w:val="bottom"/>
            <w:tcBorders>
              <w:top w:val="single" w:sz="8" w:color="A6A6A6"/>
              <w:bottom w:val="single" w:sz="8" w:color="A6A6A6"/>
            </w:tcBorders>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84,140</w:t>
            </w:r>
          </w:p>
        </w:tc>
      </w:tr>
      <w:tr>
        <w:trPr>
          <w:trHeight w:val="196"/>
        </w:trPr>
        <w:tc>
          <w:tcPr>
            <w:tcW w:w="5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Accounts and Notes Receivable, net</w:t>
            </w:r>
          </w:p>
        </w:tc>
        <w:tc>
          <w:tcPr>
            <w:tcW w:w="308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232,595</w:t>
            </w:r>
          </w:p>
        </w:tc>
      </w:tr>
      <w:tr>
        <w:trPr>
          <w:trHeight w:val="196"/>
        </w:trPr>
        <w:tc>
          <w:tcPr>
            <w:tcW w:w="550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Inventories</w:t>
            </w:r>
          </w:p>
        </w:tc>
        <w:tc>
          <w:tcPr>
            <w:tcW w:w="308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225,835</w:t>
            </w:r>
          </w:p>
        </w:tc>
      </w:tr>
      <w:tr>
        <w:trPr>
          <w:trHeight w:val="193"/>
        </w:trPr>
        <w:tc>
          <w:tcPr>
            <w:tcW w:w="5500" w:type="dxa"/>
            <w:vAlign w:val="bottom"/>
          </w:tcPr>
          <w:p>
            <w:pPr>
              <w:ind w:left="200"/>
              <w:spacing w:after="0"/>
              <w:rPr>
                <w:sz w:val="20"/>
                <w:szCs w:val="20"/>
                <w:color w:val="auto"/>
              </w:rPr>
            </w:pPr>
            <w:r>
              <w:rPr>
                <w:rFonts w:ascii="Arial" w:cs="Arial" w:eastAsia="Arial" w:hAnsi="Arial"/>
                <w:sz w:val="16"/>
                <w:szCs w:val="16"/>
                <w:color w:val="004483"/>
              </w:rPr>
              <w:t>Income Tax Receivable</w:t>
            </w:r>
          </w:p>
        </w:tc>
        <w:tc>
          <w:tcPr>
            <w:tcW w:w="30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60350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600" w:type="dxa"/>
            <w:vAlign w:val="bottom"/>
            <w:tcBorders>
              <w:top w:val="single" w:sz="8" w:color="A6A6A6"/>
              <w:bottom w:val="single" w:sz="8" w:color="A6A6A6"/>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19,416</w:t>
            </w:r>
          </w:p>
        </w:tc>
      </w:tr>
      <w:tr>
        <w:trPr>
          <w:trHeight w:val="196"/>
        </w:trPr>
        <w:tc>
          <w:tcPr>
            <w:tcW w:w="600" w:type="dxa"/>
            <w:vAlign w:val="bottom"/>
            <w:tcBorders>
              <w:bottom w:val="single" w:sz="8" w:color="A6A6A6"/>
            </w:tcBorders>
          </w:tcPr>
          <w:p>
            <w:pPr>
              <w:spacing w:after="0"/>
              <w:rPr>
                <w:sz w:val="17"/>
                <w:szCs w:val="17"/>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176,276</w:t>
            </w:r>
          </w:p>
        </w:tc>
      </w:tr>
      <w:tr>
        <w:trPr>
          <w:trHeight w:val="196"/>
        </w:trPr>
        <w:tc>
          <w:tcPr>
            <w:tcW w:w="600" w:type="dxa"/>
            <w:vAlign w:val="bottom"/>
            <w:tcBorders>
              <w:bottom w:val="single" w:sz="8" w:color="A6A6A6"/>
            </w:tcBorders>
          </w:tcPr>
          <w:p>
            <w:pPr>
              <w:spacing w:after="0"/>
              <w:rPr>
                <w:sz w:val="17"/>
                <w:szCs w:val="17"/>
                <w:color w:val="auto"/>
              </w:rPr>
            </w:pPr>
          </w:p>
        </w:tc>
        <w:tc>
          <w:tcPr>
            <w:tcW w:w="9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236,661</w:t>
            </w:r>
          </w:p>
        </w:tc>
      </w:tr>
      <w:tr>
        <w:trPr>
          <w:trHeight w:val="193"/>
        </w:trPr>
        <w:tc>
          <w:tcPr>
            <w:tcW w:w="6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-681355</wp:posOffset>
            </wp:positionV>
            <wp:extent cx="9601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3810</wp:posOffset>
            </wp:positionV>
            <wp:extent cx="9601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9520" w:space="100"/>
            <w:col w:w="1620"/>
          </w:cols>
          <w:pgMar w:left="320" w:top="333" w:right="339" w:bottom="1440" w:gutter="0" w:footer="0" w:header="0"/>
          <w:type w:val="continuous"/>
        </w:sectPr>
      </w:pPr>
    </w:p>
    <w:p>
      <w:pPr>
        <w:ind w:left="200"/>
        <w:spacing w:after="0"/>
        <w:rPr>
          <w:sz w:val="20"/>
          <w:szCs w:val="20"/>
          <w:color w:val="auto"/>
        </w:rPr>
      </w:pPr>
      <w:r>
        <w:rPr>
          <w:rFonts w:ascii="Arial" w:cs="Arial" w:eastAsia="Arial" w:hAnsi="Arial"/>
          <w:sz w:val="16"/>
          <w:szCs w:val="16"/>
          <w:color w:val="004483"/>
        </w:rPr>
        <w:t>Prepaid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51777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51777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77790"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0350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0350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Investment in Joint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0350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0350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Goodwill and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0350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004483"/>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51777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77790" cy="825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color w:val="004483"/>
        </w:rPr>
        <w:t>Total Assets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1777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77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60350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5,933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10795</wp:posOffset>
            </wp:positionV>
            <wp:extent cx="8572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0" cy="26035"/>
                    </a:xfrm>
                    <a:prstGeom prst="rect">
                      <a:avLst/>
                    </a:prstGeom>
                    <a:noFill/>
                  </pic:spPr>
                </pic:pic>
              </a:graphicData>
            </a:graphic>
          </wp:anchor>
        </w:drawing>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552,874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10795</wp:posOffset>
            </wp:positionV>
            <wp:extent cx="8572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0" cy="26035"/>
                    </a:xfrm>
                    <a:prstGeom prst="rect">
                      <a:avLst/>
                    </a:prstGeom>
                    <a:noFill/>
                  </pic:spPr>
                </pic:pic>
              </a:graphicData>
            </a:graphic>
          </wp:anchor>
        </w:drawing>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1,655,616</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8,501</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85,391</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22,126</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469,491</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10795</wp:posOffset>
            </wp:positionV>
            <wp:extent cx="8572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0" cy="26035"/>
                    </a:xfrm>
                    <a:prstGeom prst="rect">
                      <a:avLst/>
                    </a:prstGeom>
                    <a:noFill/>
                  </pic:spPr>
                </pic:pic>
              </a:graphicData>
            </a:graphic>
          </wp:anchor>
        </w:drawing>
      </w:r>
    </w:p>
    <w:p>
      <w:pPr>
        <w:spacing w:after="0" w:line="19" w:lineRule="exact"/>
        <w:rPr>
          <w:sz w:val="20"/>
          <w:szCs w:val="20"/>
          <w:color w:val="auto"/>
        </w:rPr>
      </w:pPr>
    </w:p>
    <w:p>
      <w:pPr>
        <w:ind w:left="605" w:hanging="605"/>
        <w:spacing w:after="0"/>
        <w:tabs>
          <w:tab w:leader="none" w:pos="605"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2,809,149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23495</wp:posOffset>
            </wp:positionV>
            <wp:extent cx="8572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40640</wp:posOffset>
            </wp:positionV>
            <wp:extent cx="8572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20"/>
        <w:spacing w:after="0"/>
        <w:rPr>
          <w:sz w:val="20"/>
          <w:szCs w:val="20"/>
          <w:color w:val="auto"/>
        </w:rPr>
      </w:pPr>
      <w:r>
        <w:rPr>
          <w:rFonts w:ascii="Arial" w:cs="Arial" w:eastAsia="Arial" w:hAnsi="Arial"/>
          <w:sz w:val="16"/>
          <w:szCs w:val="16"/>
          <w:color w:val="auto"/>
        </w:rPr>
        <w:t>3,172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10795</wp:posOffset>
            </wp:positionV>
            <wp:extent cx="9601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60120" cy="26035"/>
                    </a:xfrm>
                    <a:prstGeom prst="rect">
                      <a:avLst/>
                    </a:prstGeom>
                    <a:noFill/>
                  </pic:spPr>
                </pic:pic>
              </a:graphicData>
            </a:graphic>
          </wp:anchor>
        </w:drawing>
      </w:r>
    </w:p>
    <w:p>
      <w:pPr>
        <w:spacing w:after="0" w:line="39"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442,727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10795</wp:posOffset>
            </wp:positionV>
            <wp:extent cx="9601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60120" cy="26035"/>
                    </a:xfrm>
                    <a:prstGeom prst="rect">
                      <a:avLst/>
                    </a:prstGeom>
                    <a:noFill/>
                  </pic:spPr>
                </pic:pic>
              </a:graphicData>
            </a:graphic>
          </wp:anchor>
        </w:drawing>
      </w:r>
    </w:p>
    <w:p>
      <w:pPr>
        <w:spacing w:after="0" w:line="39"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1,616,539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10795</wp:posOffset>
            </wp:positionV>
            <wp:extent cx="9601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8,485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10795</wp:posOffset>
            </wp:positionV>
            <wp:extent cx="9601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80,637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10795</wp:posOffset>
            </wp:positionV>
            <wp:extent cx="9601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23,856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10795</wp:posOffset>
            </wp:positionV>
            <wp:extent cx="9601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387,898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10795</wp:posOffset>
            </wp:positionV>
            <wp:extent cx="9601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19,510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84836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48360" cy="26035"/>
                    </a:xfrm>
                    <a:prstGeom prst="rect">
                      <a:avLst/>
                    </a:prstGeom>
                    <a:noFill/>
                  </pic:spPr>
                </pic:pic>
              </a:graphicData>
            </a:graphic>
          </wp:anchor>
        </w:drawing>
      </w:r>
    </w:p>
    <w:p>
      <w:pPr>
        <w:spacing w:after="0" w:line="19" w:lineRule="exact"/>
        <w:rPr>
          <w:sz w:val="20"/>
          <w:szCs w:val="20"/>
          <w:color w:val="auto"/>
        </w:rPr>
      </w:pPr>
    </w:p>
    <w:p>
      <w:pPr>
        <w:ind w:left="600" w:hanging="591"/>
        <w:spacing w:after="0"/>
        <w:tabs>
          <w:tab w:leader="none" w:pos="6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2,579,652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-113030</wp:posOffset>
            </wp:positionV>
            <wp:extent cx="1111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23495</wp:posOffset>
            </wp:positionV>
            <wp:extent cx="9601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60120" cy="2603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177800</wp:posOffset>
            </wp:positionV>
            <wp:extent cx="9601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95" w:lineRule="exact"/>
        <w:rPr>
          <w:sz w:val="20"/>
          <w:szCs w:val="20"/>
          <w:color w:val="auto"/>
        </w:rPr>
      </w:pPr>
    </w:p>
    <w:p>
      <w:pPr>
        <w:sectPr>
          <w:pgSz w:w="11900" w:h="16838" w:orient="portrait"/>
          <w:cols w:equalWidth="0" w:num="3">
            <w:col w:w="7455" w:space="720"/>
            <w:col w:w="1325" w:space="300"/>
            <w:col w:w="1440"/>
          </w:cols>
          <w:pgMar w:left="320" w:top="333" w:right="339" w:bottom="1440" w:gutter="0" w:footer="0" w:header="0"/>
          <w:type w:val="continuous"/>
        </w:sectPr>
      </w:pPr>
    </w:p>
    <w:p>
      <w:pPr>
        <w:ind w:left="20"/>
        <w:spacing w:after="0"/>
        <w:rPr>
          <w:sz w:val="20"/>
          <w:szCs w:val="20"/>
          <w:color w:val="auto"/>
        </w:rPr>
      </w:pPr>
      <w:r>
        <w:rPr>
          <w:rFonts w:ascii="Arial" w:cs="Arial" w:eastAsia="Arial" w:hAnsi="Arial"/>
          <w:sz w:val="16"/>
          <w:szCs w:val="16"/>
          <w:color w:val="004483"/>
        </w:rPr>
        <w:t>Current Liabilities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160" w:type="dxa"/>
            <w:vAlign w:val="bottom"/>
            <w:tcBorders>
              <w:top w:val="single" w:sz="8" w:color="A6A6A6"/>
              <w:bottom w:val="single" w:sz="8" w:color="A6A6A6"/>
            </w:tcBorders>
            <w:gridSpan w:val="2"/>
          </w:tcPr>
          <w:p>
            <w:pPr>
              <w:ind w:left="200"/>
              <w:spacing w:after="0"/>
              <w:rPr>
                <w:sz w:val="20"/>
                <w:szCs w:val="20"/>
                <w:color w:val="auto"/>
              </w:rPr>
            </w:pPr>
            <w:r>
              <w:rPr>
                <w:rFonts w:ascii="Arial" w:cs="Arial" w:eastAsia="Arial" w:hAnsi="Arial"/>
                <w:sz w:val="16"/>
                <w:szCs w:val="16"/>
                <w:color w:val="004483"/>
              </w:rPr>
              <w:t>Accounts Payable</w:t>
            </w:r>
          </w:p>
        </w:tc>
        <w:tc>
          <w:tcPr>
            <w:tcW w:w="360" w:type="dxa"/>
            <w:vAlign w:val="bottom"/>
            <w:tcBorders>
              <w:top w:val="single" w:sz="8" w:color="A6A6A6"/>
              <w:bottom w:val="single" w:sz="8" w:color="A6A6A6"/>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113,722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Accrued Liabilities</w:t>
            </w:r>
          </w:p>
        </w:tc>
        <w:tc>
          <w:tcPr>
            <w:tcW w:w="3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91,515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Operating Lease Liabilities</w:t>
            </w:r>
          </w:p>
        </w:tc>
        <w:tc>
          <w:tcPr>
            <w:tcW w:w="3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6,736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Income Taxes Payable</w:t>
            </w:r>
          </w:p>
        </w:tc>
        <w:tc>
          <w:tcPr>
            <w:tcW w:w="3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1,348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160" w:type="dxa"/>
            <w:vAlign w:val="bottom"/>
            <w:tcBorders>
              <w:bottom w:val="single" w:sz="8" w:color="A3A3A3"/>
            </w:tcBorders>
            <w:gridSpan w:val="2"/>
          </w:tcPr>
          <w:p>
            <w:pPr>
              <w:ind w:left="200"/>
              <w:spacing w:after="0"/>
              <w:rPr>
                <w:sz w:val="20"/>
                <w:szCs w:val="20"/>
                <w:color w:val="auto"/>
              </w:rPr>
            </w:pPr>
            <w:r>
              <w:rPr>
                <w:rFonts w:ascii="Arial" w:cs="Arial" w:eastAsia="Arial" w:hAnsi="Arial"/>
                <w:sz w:val="16"/>
                <w:szCs w:val="16"/>
                <w:color w:val="004483"/>
              </w:rPr>
              <w:t>Current Portion of Long-term Debt</w:t>
            </w:r>
          </w:p>
        </w:tc>
        <w:tc>
          <w:tcPr>
            <w:tcW w:w="360" w:type="dxa"/>
            <w:vAlign w:val="bottom"/>
            <w:tcBorders>
              <w:bottom w:val="single" w:sz="8" w:color="004483"/>
            </w:tcBorders>
          </w:tcPr>
          <w:p>
            <w:pPr>
              <w:spacing w:after="0"/>
              <w:rPr>
                <w:sz w:val="19"/>
                <w:szCs w:val="19"/>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160" w:type="dxa"/>
            <w:vAlign w:val="bottom"/>
            <w:tcBorders>
              <w:bottom w:val="single" w:sz="8" w:color="A6A6A6"/>
            </w:tcBorders>
            <w:gridSpan w:val="2"/>
          </w:tcPr>
          <w:p>
            <w:pPr>
              <w:ind w:left="380"/>
              <w:spacing w:after="0"/>
              <w:rPr>
                <w:sz w:val="20"/>
                <w:szCs w:val="20"/>
                <w:color w:val="auto"/>
              </w:rPr>
            </w:pPr>
            <w:r>
              <w:rPr>
                <w:rFonts w:ascii="Arial" w:cs="Arial" w:eastAsia="Arial" w:hAnsi="Arial"/>
                <w:sz w:val="16"/>
                <w:szCs w:val="16"/>
                <w:color w:val="004483"/>
              </w:rPr>
              <w:t>Total Current Liabilities</w:t>
            </w:r>
          </w:p>
        </w:tc>
        <w:tc>
          <w:tcPr>
            <w:tcW w:w="360" w:type="dxa"/>
            <w:vAlign w:val="bottom"/>
            <w:tcBorders>
              <w:bottom w:val="single" w:sz="8" w:color="A6A6A6"/>
            </w:tcBorders>
          </w:tcPr>
          <w:p>
            <w:pPr>
              <w:spacing w:after="0"/>
              <w:rPr>
                <w:sz w:val="16"/>
                <w:szCs w:val="16"/>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223,321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Long-term Debt</w:t>
            </w:r>
          </w:p>
        </w:tc>
        <w:tc>
          <w:tcPr>
            <w:tcW w:w="3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1,126,398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Noncurrent Operating Lease Liabilities</w:t>
            </w:r>
          </w:p>
        </w:tc>
        <w:tc>
          <w:tcPr>
            <w:tcW w:w="3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26,736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6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Other Long-term Liabilities</w:t>
            </w:r>
          </w:p>
        </w:tc>
        <w:tc>
          <w:tcPr>
            <w:tcW w:w="360" w:type="dxa"/>
            <w:vAlign w:val="bottom"/>
            <w:tcBorders>
              <w:bottom w:val="single" w:sz="8" w:color="A6A6A6"/>
            </w:tcBorders>
          </w:tcPr>
          <w:p>
            <w:pPr>
              <w:spacing w:after="0"/>
              <w:rPr>
                <w:sz w:val="17"/>
                <w:szCs w:val="17"/>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37,423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16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Deferred Income Taxes</w:t>
            </w:r>
          </w:p>
        </w:tc>
        <w:tc>
          <w:tcPr>
            <w:tcW w:w="360" w:type="dxa"/>
            <w:vAlign w:val="bottom"/>
            <w:tcBorders>
              <w:bottom w:val="single" w:sz="8" w:color="004483"/>
            </w:tcBorders>
          </w:tcPr>
          <w:p>
            <w:pPr>
              <w:spacing w:after="0"/>
              <w:rPr>
                <w:sz w:val="19"/>
                <w:szCs w:val="19"/>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238,567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60" w:type="dxa"/>
            <w:vAlign w:val="bottom"/>
            <w:tcBorders>
              <w:bottom w:val="single" w:sz="8" w:color="A6A6A6"/>
            </w:tcBorders>
            <w:gridSpan w:val="2"/>
          </w:tcPr>
          <w:p>
            <w:pPr>
              <w:ind w:left="380"/>
              <w:spacing w:after="0"/>
              <w:rPr>
                <w:sz w:val="20"/>
                <w:szCs w:val="20"/>
                <w:color w:val="auto"/>
              </w:rPr>
            </w:pPr>
            <w:r>
              <w:rPr>
                <w:rFonts w:ascii="Arial" w:cs="Arial" w:eastAsia="Arial" w:hAnsi="Arial"/>
                <w:sz w:val="16"/>
                <w:szCs w:val="16"/>
                <w:color w:val="004483"/>
              </w:rPr>
              <w:t>Total Liabilities</w:t>
            </w:r>
          </w:p>
        </w:tc>
        <w:tc>
          <w:tcPr>
            <w:tcW w:w="360" w:type="dxa"/>
            <w:vAlign w:val="bottom"/>
            <w:tcBorders>
              <w:bottom w:val="single" w:sz="8" w:color="004483"/>
            </w:tcBorders>
          </w:tcPr>
          <w:p>
            <w:pPr>
              <w:spacing w:after="0"/>
              <w:rPr>
                <w:sz w:val="19"/>
                <w:szCs w:val="19"/>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1,652,445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16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Stockholders’ Equity</w:t>
            </w:r>
          </w:p>
        </w:tc>
        <w:tc>
          <w:tcPr>
            <w:tcW w:w="360" w:type="dxa"/>
            <w:vAlign w:val="bottom"/>
            <w:tcBorders>
              <w:bottom w:val="single" w:sz="8" w:color="A6A6A6"/>
            </w:tcBorders>
          </w:tcPr>
          <w:p>
            <w:pPr>
              <w:spacing w:after="0"/>
              <w:rPr>
                <w:sz w:val="16"/>
                <w:szCs w:val="16"/>
                <w:color w:val="auto"/>
              </w:rPr>
            </w:pPr>
          </w:p>
        </w:tc>
        <w:tc>
          <w:tcPr>
            <w:tcW w:w="1000" w:type="dxa"/>
            <w:vAlign w:val="bottom"/>
            <w:tcBorders>
              <w:bottom w:val="single" w:sz="8" w:color="A6A6A6"/>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60" w:type="dxa"/>
            <w:vAlign w:val="bottom"/>
            <w:gridSpan w:val="2"/>
          </w:tcPr>
          <w:p>
            <w:pPr>
              <w:ind w:left="200"/>
              <w:spacing w:after="0"/>
              <w:rPr>
                <w:sz w:val="20"/>
                <w:szCs w:val="20"/>
                <w:color w:val="auto"/>
              </w:rPr>
            </w:pPr>
            <w:r>
              <w:rPr>
                <w:rFonts w:ascii="Arial" w:cs="Arial" w:eastAsia="Arial" w:hAnsi="Arial"/>
                <w:sz w:val="16"/>
                <w:szCs w:val="16"/>
                <w:color w:val="004483"/>
              </w:rPr>
              <w:t>Preferred Stock, Par Value $0.01; Authorized 5,000,000 Shares; None Issued</w:t>
            </w:r>
          </w:p>
        </w:tc>
        <w:tc>
          <w:tcPr>
            <w:tcW w:w="36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8160" w:type="dxa"/>
            <w:vAlign w:val="bottom"/>
            <w:tcBorders>
              <w:top w:val="single" w:sz="8" w:color="A6A6A6"/>
            </w:tcBorders>
            <w:gridSpan w:val="2"/>
          </w:tcPr>
          <w:p>
            <w:pPr>
              <w:ind w:left="200"/>
              <w:spacing w:after="0" w:line="174" w:lineRule="exact"/>
              <w:rPr>
                <w:sz w:val="20"/>
                <w:szCs w:val="20"/>
                <w:color w:val="auto"/>
              </w:rPr>
            </w:pPr>
            <w:r>
              <w:rPr>
                <w:rFonts w:ascii="Arial" w:cs="Arial" w:eastAsia="Arial" w:hAnsi="Arial"/>
                <w:sz w:val="16"/>
                <w:szCs w:val="16"/>
                <w:color w:val="004483"/>
              </w:rPr>
              <w:t>Common Stock, Par Value $0.01; Authorized 100,000,000 Shares;</w:t>
            </w:r>
          </w:p>
        </w:tc>
        <w:tc>
          <w:tcPr>
            <w:tcW w:w="360" w:type="dxa"/>
            <w:vAlign w:val="bottom"/>
            <w:tcBorders>
              <w:top w:val="single" w:sz="8" w:color="A6A6A6"/>
            </w:tcBorders>
          </w:tcPr>
          <w:p>
            <w:pPr>
              <w:spacing w:after="0"/>
              <w:rPr>
                <w:sz w:val="15"/>
                <w:szCs w:val="15"/>
                <w:color w:val="auto"/>
              </w:rPr>
            </w:pPr>
          </w:p>
        </w:tc>
        <w:tc>
          <w:tcPr>
            <w:tcW w:w="1000" w:type="dxa"/>
            <w:vAlign w:val="bottom"/>
            <w:tcBorders>
              <w:top w:val="single" w:sz="8" w:color="A6A6A6"/>
            </w:tcBorders>
            <w:vMerge w:val="restart"/>
          </w:tcPr>
          <w:p>
            <w:pPr>
              <w:jc w:val="right"/>
              <w:spacing w:after="0"/>
              <w:rPr>
                <w:sz w:val="20"/>
                <w:szCs w:val="20"/>
                <w:color w:val="auto"/>
              </w:rPr>
            </w:pPr>
            <w:r>
              <w:rPr>
                <w:rFonts w:ascii="Arial" w:cs="Arial" w:eastAsia="Arial" w:hAnsi="Arial"/>
                <w:sz w:val="16"/>
                <w:szCs w:val="16"/>
                <w:color w:val="auto"/>
              </w:rPr>
              <w:t>371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160" w:type="dxa"/>
            <w:vAlign w:val="bottom"/>
            <w:tcBorders>
              <w:bottom w:val="single" w:sz="8" w:color="A6A6A6"/>
            </w:tcBorders>
            <w:gridSpan w:val="2"/>
          </w:tcPr>
          <w:p>
            <w:pPr>
              <w:ind w:left="340"/>
              <w:spacing w:after="0"/>
              <w:rPr>
                <w:sz w:val="20"/>
                <w:szCs w:val="20"/>
                <w:color w:val="auto"/>
              </w:rPr>
            </w:pPr>
            <w:r>
              <w:rPr>
                <w:rFonts w:ascii="Arial" w:cs="Arial" w:eastAsia="Arial" w:hAnsi="Arial"/>
                <w:sz w:val="16"/>
                <w:szCs w:val="16"/>
                <w:color w:val="004483"/>
              </w:rPr>
              <w:t>Issued and Outstanding 37,064,662 and 38,710,929 Shares, respectively</w:t>
            </w:r>
          </w:p>
        </w:tc>
        <w:tc>
          <w:tcPr>
            <w:tcW w:w="360" w:type="dxa"/>
            <w:vAlign w:val="bottom"/>
            <w:tcBorders>
              <w:bottom w:val="single" w:sz="8" w:color="A6A6A6"/>
            </w:tcBorders>
          </w:tcPr>
          <w:p>
            <w:pPr>
              <w:spacing w:after="0"/>
              <w:rPr>
                <w:sz w:val="16"/>
                <w:szCs w:val="16"/>
                <w:color w:val="auto"/>
              </w:rPr>
            </w:pPr>
          </w:p>
        </w:tc>
        <w:tc>
          <w:tcPr>
            <w:tcW w:w="1000" w:type="dxa"/>
            <w:vAlign w:val="bottom"/>
            <w:tcBorders>
              <w:bottom w:val="single" w:sz="8" w:color="A6A6A6"/>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16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color w:val="004483"/>
              </w:rPr>
              <w:t>Capital in Excess of Par Value</w:t>
            </w:r>
          </w:p>
        </w:tc>
        <w:tc>
          <w:tcPr>
            <w:tcW w:w="360" w:type="dxa"/>
            <w:vAlign w:val="bottom"/>
            <w:tcBorders>
              <w:bottom w:val="single" w:sz="8" w:color="A6A6A6"/>
            </w:tcBorders>
          </w:tcPr>
          <w:p>
            <w:pPr>
              <w:spacing w:after="0"/>
              <w:rPr>
                <w:sz w:val="16"/>
                <w:szCs w:val="16"/>
                <w:color w:val="auto"/>
              </w:rPr>
            </w:pP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160" w:type="dxa"/>
            <w:vAlign w:val="bottom"/>
            <w:gridSpan w:val="2"/>
          </w:tcPr>
          <w:p>
            <w:pPr>
              <w:ind w:left="20"/>
              <w:spacing w:after="0"/>
              <w:rPr>
                <w:sz w:val="20"/>
                <w:szCs w:val="20"/>
                <w:color w:val="auto"/>
              </w:rPr>
            </w:pPr>
            <w:r>
              <w:rPr>
                <w:rFonts w:ascii="Arial" w:cs="Arial" w:eastAsia="Arial" w:hAnsi="Arial"/>
                <w:sz w:val="16"/>
                <w:szCs w:val="16"/>
                <w:color w:val="004483"/>
              </w:rPr>
              <w:t>Accumulated Other Comprehensive Losses</w:t>
            </w:r>
          </w:p>
        </w:tc>
        <w:tc>
          <w:tcPr>
            <w:tcW w:w="3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(3,128 )</w:t>
            </w:r>
          </w:p>
        </w:tc>
        <w:tc>
          <w:tcPr>
            <w:tcW w:w="0" w:type="dxa"/>
            <w:vAlign w:val="bottom"/>
          </w:tcPr>
          <w:p>
            <w:pPr>
              <w:spacing w:after="0"/>
              <w:rPr>
                <w:sz w:val="1"/>
                <w:szCs w:val="1"/>
                <w:color w:val="auto"/>
              </w:rPr>
            </w:pPr>
          </w:p>
        </w:tc>
      </w:tr>
      <w:tr>
        <w:trPr>
          <w:trHeight w:val="226"/>
        </w:trPr>
        <w:tc>
          <w:tcPr>
            <w:tcW w:w="8160" w:type="dxa"/>
            <w:vAlign w:val="bottom"/>
            <w:tcBorders>
              <w:top w:val="single" w:sz="8" w:color="A6A6A6"/>
              <w:bottom w:val="single" w:sz="8" w:color="A6A6A6"/>
            </w:tcBorders>
            <w:gridSpan w:val="2"/>
          </w:tcPr>
          <w:p>
            <w:pPr>
              <w:ind w:left="20"/>
              <w:spacing w:after="0"/>
              <w:rPr>
                <w:sz w:val="20"/>
                <w:szCs w:val="20"/>
                <w:color w:val="auto"/>
              </w:rPr>
            </w:pPr>
            <w:r>
              <w:rPr>
                <w:rFonts w:ascii="Arial" w:cs="Arial" w:eastAsia="Arial" w:hAnsi="Arial"/>
                <w:sz w:val="16"/>
                <w:szCs w:val="16"/>
                <w:color w:val="004483"/>
              </w:rPr>
              <w:t>Retained Earnings</w:t>
            </w:r>
          </w:p>
        </w:tc>
        <w:tc>
          <w:tcPr>
            <w:tcW w:w="360" w:type="dxa"/>
            <w:vAlign w:val="bottom"/>
            <w:tcBorders>
              <w:top w:val="single" w:sz="8" w:color="A6A6A6"/>
              <w:bottom w:val="single" w:sz="8" w:color="004483"/>
            </w:tcBorders>
          </w:tcPr>
          <w:p>
            <w:pPr>
              <w:spacing w:after="0"/>
              <w:rPr>
                <w:sz w:val="19"/>
                <w:szCs w:val="19"/>
                <w:color w:val="auto"/>
              </w:rPr>
            </w:pPr>
          </w:p>
        </w:tc>
        <w:tc>
          <w:tcPr>
            <w:tcW w:w="10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1,159,461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160" w:type="dxa"/>
            <w:vAlign w:val="bottom"/>
            <w:gridSpan w:val="2"/>
          </w:tcPr>
          <w:p>
            <w:pPr>
              <w:ind w:left="380"/>
              <w:spacing w:after="0"/>
              <w:rPr>
                <w:sz w:val="20"/>
                <w:szCs w:val="20"/>
                <w:color w:val="auto"/>
              </w:rPr>
            </w:pPr>
            <w:r>
              <w:rPr>
                <w:rFonts w:ascii="Arial" w:cs="Arial" w:eastAsia="Arial" w:hAnsi="Arial"/>
                <w:sz w:val="16"/>
                <w:szCs w:val="16"/>
                <w:color w:val="004483"/>
              </w:rPr>
              <w:t>Total Stockholders’ Equity</w:t>
            </w: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1,156,704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7980" w:type="dxa"/>
            <w:vAlign w:val="bottom"/>
            <w:tcBorders>
              <w:bottom w:val="single" w:sz="8" w:color="A6A6A6"/>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004483"/>
            </w:tcBorders>
            <w:shd w:val="clear" w:color="auto" w:fill="004483"/>
          </w:tcPr>
          <w:p>
            <w:pPr>
              <w:spacing w:after="0"/>
              <w:rPr>
                <w:sz w:val="2"/>
                <w:szCs w:val="2"/>
                <w:color w:val="auto"/>
              </w:rPr>
            </w:pPr>
          </w:p>
        </w:tc>
        <w:tc>
          <w:tcPr>
            <w:tcW w:w="1000" w:type="dxa"/>
            <w:vAlign w:val="bottom"/>
            <w:tcBorders>
              <w:bottom w:val="single" w:sz="8" w:color="004483"/>
            </w:tcBorders>
            <w:shd w:val="clear" w:color="auto" w:fill="004483"/>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8160" w:type="dxa"/>
            <w:vAlign w:val="bottom"/>
            <w:gridSpan w:val="2"/>
          </w:tcPr>
          <w:p>
            <w:pPr>
              <w:ind w:left="380"/>
              <w:spacing w:after="0"/>
              <w:rPr>
                <w:sz w:val="20"/>
                <w:szCs w:val="20"/>
                <w:color w:val="auto"/>
              </w:rPr>
            </w:pPr>
            <w:r>
              <w:rPr>
                <w:rFonts w:ascii="Arial" w:cs="Arial" w:eastAsia="Arial" w:hAnsi="Arial"/>
                <w:sz w:val="16"/>
                <w:szCs w:val="16"/>
                <w:color w:val="004483"/>
              </w:rPr>
              <w:t>Total Liabilities and Stockholders’ Equity</w:t>
            </w: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2,809,149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-6985</wp:posOffset>
            </wp:positionV>
            <wp:extent cx="8572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See notes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-127635</wp:posOffset>
            </wp:positionV>
            <wp:extent cx="8572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740" w:hanging="731"/>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113,679</w:t>
      </w:r>
    </w:p>
    <w:p>
      <w:pPr>
        <w:spacing w:after="0" w:line="32"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86,754</w:t>
      </w:r>
    </w:p>
    <w:p>
      <w:pPr>
        <w:spacing w:after="0" w:line="32"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7,118</w:t>
      </w:r>
    </w:p>
    <w:p>
      <w:pPr>
        <w:spacing w:after="0" w:line="3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-674370</wp:posOffset>
            </wp:positionV>
            <wp:extent cx="9601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-537210</wp:posOffset>
            </wp:positionV>
            <wp:extent cx="9601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-400050</wp:posOffset>
            </wp:positionV>
            <wp:extent cx="9601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-262890</wp:posOffset>
            </wp:positionV>
            <wp:extent cx="9601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-125730</wp:posOffset>
            </wp:positionV>
            <wp:extent cx="8483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10795</wp:posOffset>
            </wp:positionV>
            <wp:extent cx="96012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60120" cy="25400"/>
                    </a:xfrm>
                    <a:prstGeom prst="rect">
                      <a:avLst/>
                    </a:prstGeom>
                    <a:noFill/>
                  </pic:spPr>
                </pic:pic>
              </a:graphicData>
            </a:graphic>
          </wp:anchor>
        </w:drawing>
      </w:r>
    </w:p>
    <w:p>
      <w:pPr>
        <w:spacing w:after="0" w:line="39"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207,551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10795</wp:posOffset>
            </wp:positionV>
            <wp:extent cx="9601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938,265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10795</wp:posOffset>
            </wp:positionV>
            <wp:extent cx="9601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29,212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10795</wp:posOffset>
            </wp:positionV>
            <wp:extent cx="9601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1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38,699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10795</wp:posOffset>
            </wp:positionV>
            <wp:extent cx="9601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2"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232,369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10795</wp:posOffset>
            </wp:positionV>
            <wp:extent cx="96012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60120" cy="25400"/>
                    </a:xfrm>
                    <a:prstGeom prst="rect">
                      <a:avLst/>
                    </a:prstGeom>
                    <a:noFill/>
                  </pic:spPr>
                </pic:pic>
              </a:graphicData>
            </a:graphic>
          </wp:anchor>
        </w:drawing>
      </w:r>
    </w:p>
    <w:p>
      <w:pPr>
        <w:spacing w:after="0" w:line="3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1,446,096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10795</wp:posOffset>
            </wp:positionV>
            <wp:extent cx="96012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60120" cy="25400"/>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165100</wp:posOffset>
            </wp:positionV>
            <wp:extent cx="9601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10795</wp:posOffset>
            </wp:positionV>
            <wp:extent cx="9601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7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10795</wp:posOffset>
            </wp:positionV>
            <wp:extent cx="9601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10795</wp:posOffset>
            </wp:positionV>
            <wp:extent cx="9601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(3,175 )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10795</wp:posOffset>
            </wp:positionV>
            <wp:extent cx="9601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1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1,136,344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10795</wp:posOffset>
            </wp:positionV>
            <wp:extent cx="96012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60120" cy="25400"/>
                    </a:xfrm>
                    <a:prstGeom prst="rect">
                      <a:avLst/>
                    </a:prstGeom>
                    <a:noFill/>
                  </pic:spPr>
                </pic:pic>
              </a:graphicData>
            </a:graphic>
          </wp:anchor>
        </w:drawing>
      </w:r>
    </w:p>
    <w:p>
      <w:pPr>
        <w:spacing w:after="0" w:line="3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1,133,556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84836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48360" cy="25400"/>
                    </a:xfrm>
                    <a:prstGeom prst="rect">
                      <a:avLst/>
                    </a:prstGeom>
                    <a:noFill/>
                  </pic:spPr>
                </pic:pic>
              </a:graphicData>
            </a:graphic>
          </wp:anchor>
        </w:drawing>
      </w:r>
    </w:p>
    <w:p>
      <w:pPr>
        <w:spacing w:after="0" w:line="19" w:lineRule="exact"/>
        <w:rPr>
          <w:sz w:val="20"/>
          <w:szCs w:val="20"/>
          <w:color w:val="auto"/>
        </w:rPr>
      </w:pPr>
    </w:p>
    <w:p>
      <w:pPr>
        <w:ind w:left="600" w:hanging="591"/>
        <w:spacing w:after="0"/>
        <w:tabs>
          <w:tab w:leader="none" w:pos="6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2,579,652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8483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40640</wp:posOffset>
            </wp:positionV>
            <wp:extent cx="8483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465" w:lineRule="exact"/>
        <w:rPr>
          <w:sz w:val="20"/>
          <w:szCs w:val="20"/>
          <w:color w:val="auto"/>
        </w:rPr>
      </w:pPr>
    </w:p>
    <w:p>
      <w:pPr>
        <w:sectPr>
          <w:pgSz w:w="11900" w:h="16838" w:orient="portrait"/>
          <w:cols w:equalWidth="0" w:num="2">
            <w:col w:w="9580" w:space="220"/>
            <w:col w:w="1440"/>
          </w:cols>
          <w:pgMar w:left="320" w:top="333" w:right="339" w:bottom="1440" w:gutter="0" w:footer="0" w:header="0"/>
          <w:type w:val="continuous"/>
        </w:sectPr>
      </w:pP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EAGLE MATERIALS INC. AND SUBSIDIARIES CONSOLIDATED STATEMENTS OF CASH FLOWS (unaudited)</w:t>
      </w:r>
    </w:p>
    <w:p>
      <w:pPr>
        <w:spacing w:after="0" w:line="212" w:lineRule="exact"/>
        <w:rPr>
          <w:sz w:val="20"/>
          <w:szCs w:val="20"/>
          <w:color w:val="auto"/>
        </w:rPr>
      </w:pPr>
    </w:p>
    <w:p>
      <w:pPr>
        <w:ind w:left="8120"/>
        <w:spacing w:after="0"/>
        <w:rPr>
          <w:sz w:val="20"/>
          <w:szCs w:val="20"/>
          <w:color w:val="auto"/>
        </w:rPr>
      </w:pPr>
      <w:r>
        <w:rPr>
          <w:rFonts w:ascii="Arial" w:cs="Arial" w:eastAsia="Arial" w:hAnsi="Arial"/>
          <w:sz w:val="13"/>
          <w:szCs w:val="13"/>
          <w:b w:val="1"/>
          <w:bCs w:val="1"/>
          <w:color w:val="FFFFFF"/>
        </w:rPr>
        <w:t>For the Six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-80645</wp:posOffset>
            </wp:positionV>
            <wp:extent cx="2348865" cy="102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48865" cy="102870"/>
                    </a:xfrm>
                    <a:prstGeom prst="rect">
                      <a:avLst/>
                    </a:prstGeom>
                    <a:noFill/>
                  </pic:spPr>
                </pic:pic>
              </a:graphicData>
            </a:graphic>
          </wp:anchor>
        </w:drawing>
      </w:r>
    </w:p>
    <w:p>
      <w:pPr>
        <w:ind w:left="8900"/>
        <w:spacing w:after="0"/>
        <w:tabs>
          <w:tab w:leader="none" w:pos="10820" w:val="left"/>
        </w:tabs>
        <w:rPr>
          <w:sz w:val="20"/>
          <w:szCs w:val="20"/>
          <w:color w:val="auto"/>
        </w:rPr>
      </w:pPr>
      <w:r>
        <w:rPr>
          <w:rFonts w:ascii="Arial" w:cs="Arial" w:eastAsia="Arial" w:hAnsi="Arial"/>
          <w:sz w:val="12"/>
          <w:szCs w:val="12"/>
          <w:b w:val="1"/>
          <w:bCs w:val="1"/>
          <w:color w:val="auto"/>
        </w:rPr>
        <w:t>2022</w:t>
      </w:r>
      <w:r>
        <w:rPr>
          <w:sz w:val="20"/>
          <w:szCs w:val="20"/>
          <w:color w:val="auto"/>
        </w:rPr>
        <w:tab/>
      </w:r>
      <w:r>
        <w:rPr>
          <w:rFonts w:ascii="Arial" w:cs="Arial" w:eastAsia="Arial" w:hAnsi="Arial"/>
          <w:sz w:val="12"/>
          <w:szCs w:val="12"/>
          <w:b w:val="1"/>
          <w:bCs w:val="1"/>
          <w:color w:val="auto"/>
        </w:rPr>
        <w:t>2021</w:t>
      </w:r>
    </w:p>
    <w:p>
      <w:pPr>
        <w:spacing w:after="0" w:line="34" w:lineRule="exact"/>
        <w:rPr>
          <w:sz w:val="20"/>
          <w:szCs w:val="20"/>
          <w:color w:val="auto"/>
        </w:rPr>
      </w:pPr>
    </w:p>
    <w:p>
      <w:pPr>
        <w:ind w:left="874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06374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63740" cy="25400"/>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5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560" w:type="dxa"/>
            <w:vAlign w:val="bottom"/>
            <w:tcBorders>
              <w:top w:val="single" w:sz="8" w:color="A6A6A6"/>
              <w:bottom w:val="single" w:sz="8" w:color="A6A6A6"/>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244,000</w:t>
            </w:r>
          </w:p>
        </w:tc>
        <w:tc>
          <w:tcPr>
            <w:tcW w:w="60" w:type="dxa"/>
            <w:vAlign w:val="bottom"/>
          </w:tcPr>
          <w:p>
            <w:pPr>
              <w:spacing w:after="0"/>
              <w:rPr>
                <w:sz w:val="17"/>
                <w:szCs w:val="17"/>
                <w:color w:val="auto"/>
              </w:rPr>
            </w:pPr>
          </w:p>
        </w:tc>
      </w:tr>
      <w:tr>
        <w:trPr>
          <w:trHeight w:val="174"/>
        </w:trPr>
        <w:tc>
          <w:tcPr>
            <w:tcW w:w="7540" w:type="dxa"/>
            <w:vAlign w:val="bottom"/>
          </w:tcPr>
          <w:p>
            <w:pPr>
              <w:ind w:left="20"/>
              <w:spacing w:after="0" w:line="174" w:lineRule="exact"/>
              <w:rPr>
                <w:sz w:val="20"/>
                <w:szCs w:val="20"/>
                <w:color w:val="auto"/>
              </w:rPr>
            </w:pPr>
            <w:r>
              <w:rPr>
                <w:rFonts w:ascii="Arial" w:cs="Arial" w:eastAsia="Arial" w:hAnsi="Arial"/>
                <w:sz w:val="16"/>
                <w:szCs w:val="16"/>
                <w:color w:val="004483"/>
              </w:rPr>
              <w:t>Adjustments to Reconcile Net Earnings to Net Cash Provided</w:t>
            </w: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75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by Operating Activities, Net of Effect of Non-Cash Activity</w:t>
            </w:r>
          </w:p>
        </w:tc>
        <w:tc>
          <w:tcPr>
            <w:tcW w:w="560" w:type="dxa"/>
            <w:vAlign w:val="bottom"/>
            <w:tcBorders>
              <w:bottom w:val="single" w:sz="8" w:color="A6A6A6"/>
            </w:tcBorders>
          </w:tcPr>
          <w:p>
            <w:pPr>
              <w:spacing w:after="0"/>
              <w:rPr>
                <w:sz w:val="16"/>
                <w:szCs w:val="16"/>
                <w:color w:val="auto"/>
              </w:rPr>
            </w:pPr>
          </w:p>
        </w:tc>
        <w:tc>
          <w:tcPr>
            <w:tcW w:w="1100" w:type="dxa"/>
            <w:vAlign w:val="bottom"/>
            <w:tcBorders>
              <w:bottom w:val="single" w:sz="8" w:color="A6A6A6"/>
            </w:tcBorders>
          </w:tcPr>
          <w:p>
            <w:pPr>
              <w:spacing w:after="0"/>
              <w:rPr>
                <w:sz w:val="16"/>
                <w:szCs w:val="16"/>
                <w:color w:val="auto"/>
              </w:rPr>
            </w:pPr>
          </w:p>
        </w:tc>
        <w:tc>
          <w:tcPr>
            <w:tcW w:w="60" w:type="dxa"/>
            <w:vAlign w:val="bottom"/>
          </w:tcPr>
          <w:p>
            <w:pPr>
              <w:spacing w:after="0"/>
              <w:rPr>
                <w:sz w:val="16"/>
                <w:szCs w:val="16"/>
                <w:color w:val="auto"/>
              </w:rPr>
            </w:pPr>
          </w:p>
        </w:tc>
      </w:tr>
      <w:tr>
        <w:trPr>
          <w:trHeight w:val="193"/>
        </w:trPr>
        <w:tc>
          <w:tcPr>
            <w:tcW w:w="75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Depreciation, Depletion, and Amortization</w:t>
            </w:r>
          </w:p>
        </w:tc>
        <w:tc>
          <w:tcPr>
            <w:tcW w:w="560" w:type="dxa"/>
            <w:vAlign w:val="bottom"/>
            <w:tcBorders>
              <w:bottom w:val="single" w:sz="8" w:color="A6A6A6"/>
            </w:tcBorders>
          </w:tcPr>
          <w:p>
            <w:pPr>
              <w:spacing w:after="0"/>
              <w:rPr>
                <w:sz w:val="16"/>
                <w:szCs w:val="16"/>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68,874</w:t>
            </w:r>
          </w:p>
        </w:tc>
        <w:tc>
          <w:tcPr>
            <w:tcW w:w="60" w:type="dxa"/>
            <w:vAlign w:val="bottom"/>
          </w:tcPr>
          <w:p>
            <w:pPr>
              <w:spacing w:after="0"/>
              <w:rPr>
                <w:sz w:val="16"/>
                <w:szCs w:val="16"/>
                <w:color w:val="auto"/>
              </w:rPr>
            </w:pPr>
          </w:p>
        </w:tc>
      </w:tr>
      <w:tr>
        <w:trPr>
          <w:trHeight w:val="196"/>
        </w:trPr>
        <w:tc>
          <w:tcPr>
            <w:tcW w:w="7540" w:type="dxa"/>
            <w:vAlign w:val="bottom"/>
          </w:tcPr>
          <w:p>
            <w:pPr>
              <w:ind w:left="200"/>
              <w:spacing w:after="0"/>
              <w:rPr>
                <w:sz w:val="20"/>
                <w:szCs w:val="20"/>
                <w:color w:val="auto"/>
              </w:rPr>
            </w:pPr>
            <w:r>
              <w:rPr>
                <w:rFonts w:ascii="Arial" w:cs="Arial" w:eastAsia="Arial" w:hAnsi="Arial"/>
                <w:sz w:val="16"/>
                <w:szCs w:val="16"/>
                <w:color w:val="004483"/>
              </w:rPr>
              <w:t>Write-off of Debt Issuance Costs</w:t>
            </w:r>
          </w:p>
        </w:tc>
        <w:tc>
          <w:tcPr>
            <w:tcW w:w="56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96"/>
        </w:trPr>
        <w:tc>
          <w:tcPr>
            <w:tcW w:w="754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Deferred Income Tax Provision</w:t>
            </w:r>
          </w:p>
        </w:tc>
        <w:tc>
          <w:tcPr>
            <w:tcW w:w="560" w:type="dxa"/>
            <w:vAlign w:val="bottom"/>
            <w:tcBorders>
              <w:top w:val="single" w:sz="8" w:color="A6A6A6"/>
              <w:bottom w:val="single" w:sz="8" w:color="A6A6A6"/>
            </w:tcBorders>
          </w:tcPr>
          <w:p>
            <w:pPr>
              <w:spacing w:after="0"/>
              <w:rPr>
                <w:sz w:val="17"/>
                <w:szCs w:val="17"/>
                <w:color w:val="auto"/>
              </w:rPr>
            </w:pPr>
          </w:p>
        </w:tc>
        <w:tc>
          <w:tcPr>
            <w:tcW w:w="11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6,198</w:t>
            </w:r>
          </w:p>
        </w:tc>
        <w:tc>
          <w:tcPr>
            <w:tcW w:w="60" w:type="dxa"/>
            <w:vAlign w:val="bottom"/>
          </w:tcPr>
          <w:p>
            <w:pPr>
              <w:spacing w:after="0"/>
              <w:rPr>
                <w:sz w:val="17"/>
                <w:szCs w:val="17"/>
                <w:color w:val="auto"/>
              </w:rPr>
            </w:pPr>
          </w:p>
        </w:tc>
      </w:tr>
      <w:tr>
        <w:trPr>
          <w:trHeight w:val="196"/>
        </w:trPr>
        <w:tc>
          <w:tcPr>
            <w:tcW w:w="75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Stock Compensation Expense</w:t>
            </w:r>
          </w:p>
        </w:tc>
        <w:tc>
          <w:tcPr>
            <w:tcW w:w="56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9,548</w:t>
            </w:r>
          </w:p>
        </w:tc>
        <w:tc>
          <w:tcPr>
            <w:tcW w:w="60" w:type="dxa"/>
            <w:vAlign w:val="bottom"/>
          </w:tcPr>
          <w:p>
            <w:pPr>
              <w:spacing w:after="0"/>
              <w:rPr>
                <w:sz w:val="17"/>
                <w:szCs w:val="17"/>
                <w:color w:val="auto"/>
              </w:rPr>
            </w:pPr>
          </w:p>
        </w:tc>
      </w:tr>
      <w:tr>
        <w:trPr>
          <w:trHeight w:val="196"/>
        </w:trPr>
        <w:tc>
          <w:tcPr>
            <w:tcW w:w="7540" w:type="dxa"/>
            <w:vAlign w:val="bottom"/>
          </w:tcPr>
          <w:p>
            <w:pPr>
              <w:ind w:left="200"/>
              <w:spacing w:after="0"/>
              <w:rPr>
                <w:sz w:val="20"/>
                <w:szCs w:val="20"/>
                <w:color w:val="auto"/>
              </w:rPr>
            </w:pPr>
            <w:r>
              <w:rPr>
                <w:rFonts w:ascii="Arial" w:cs="Arial" w:eastAsia="Arial" w:hAnsi="Arial"/>
                <w:sz w:val="16"/>
                <w:szCs w:val="16"/>
                <w:color w:val="004483"/>
              </w:rPr>
              <w:t>Equity in Earnings of Unconsolidated Joint Venture</w:t>
            </w:r>
          </w:p>
        </w:tc>
        <w:tc>
          <w:tcPr>
            <w:tcW w:w="5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(12,254 )</w:t>
            </w:r>
          </w:p>
        </w:tc>
      </w:tr>
      <w:tr>
        <w:trPr>
          <w:trHeight w:val="196"/>
        </w:trPr>
        <w:tc>
          <w:tcPr>
            <w:tcW w:w="75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Distributions from Joint Venture</w:t>
            </w:r>
          </w:p>
        </w:tc>
        <w:tc>
          <w:tcPr>
            <w:tcW w:w="560" w:type="dxa"/>
            <w:vAlign w:val="bottom"/>
            <w:tcBorders>
              <w:top w:val="single" w:sz="8" w:color="A6A6A6"/>
              <w:bottom w:val="single" w:sz="8" w:color="A6A6A6"/>
            </w:tcBorders>
          </w:tcPr>
          <w:p>
            <w:pPr>
              <w:spacing w:after="0"/>
              <w:rPr>
                <w:sz w:val="17"/>
                <w:szCs w:val="17"/>
                <w:color w:val="auto"/>
              </w:rPr>
            </w:pPr>
          </w:p>
        </w:tc>
        <w:tc>
          <w:tcPr>
            <w:tcW w:w="11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7,500</w:t>
            </w:r>
          </w:p>
        </w:tc>
        <w:tc>
          <w:tcPr>
            <w:tcW w:w="60" w:type="dxa"/>
            <w:vAlign w:val="bottom"/>
          </w:tcPr>
          <w:p>
            <w:pPr>
              <w:spacing w:after="0"/>
              <w:rPr>
                <w:sz w:val="17"/>
                <w:szCs w:val="17"/>
                <w:color w:val="auto"/>
              </w:rPr>
            </w:pPr>
          </w:p>
        </w:tc>
      </w:tr>
      <w:tr>
        <w:trPr>
          <w:trHeight w:val="196"/>
        </w:trPr>
        <w:tc>
          <w:tcPr>
            <w:tcW w:w="75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Changes in Operating Assets and Liabilities</w:t>
            </w:r>
          </w:p>
        </w:tc>
        <w:tc>
          <w:tcPr>
            <w:tcW w:w="56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7540" w:type="dxa"/>
            <w:vAlign w:val="bottom"/>
          </w:tcPr>
          <w:p>
            <w:pPr>
              <w:ind w:left="200"/>
              <w:spacing w:after="0"/>
              <w:rPr>
                <w:sz w:val="20"/>
                <w:szCs w:val="20"/>
                <w:color w:val="auto"/>
              </w:rPr>
            </w:pPr>
            <w:r>
              <w:rPr>
                <w:rFonts w:ascii="Arial" w:cs="Arial" w:eastAsia="Arial" w:hAnsi="Arial"/>
                <w:sz w:val="16"/>
                <w:szCs w:val="16"/>
                <w:color w:val="004483"/>
              </w:rPr>
              <w:t>Accounts and Notes Receivable</w:t>
            </w:r>
          </w:p>
        </w:tc>
        <w:tc>
          <w:tcPr>
            <w:tcW w:w="5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(50,697 )</w:t>
            </w:r>
          </w:p>
        </w:tc>
      </w:tr>
      <w:tr>
        <w:trPr>
          <w:trHeight w:val="196"/>
        </w:trPr>
        <w:tc>
          <w:tcPr>
            <w:tcW w:w="754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Inventories</w:t>
            </w:r>
          </w:p>
        </w:tc>
        <w:tc>
          <w:tcPr>
            <w:tcW w:w="560" w:type="dxa"/>
            <w:vAlign w:val="bottom"/>
            <w:tcBorders>
              <w:top w:val="single" w:sz="8" w:color="A6A6A6"/>
              <w:bottom w:val="single" w:sz="8" w:color="A6A6A6"/>
            </w:tcBorders>
          </w:tcPr>
          <w:p>
            <w:pPr>
              <w:spacing w:after="0"/>
              <w:rPr>
                <w:sz w:val="17"/>
                <w:szCs w:val="17"/>
                <w:color w:val="auto"/>
              </w:rPr>
            </w:pPr>
          </w:p>
        </w:tc>
        <w:tc>
          <w:tcPr>
            <w:tcW w:w="11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18,101</w:t>
            </w:r>
          </w:p>
        </w:tc>
        <w:tc>
          <w:tcPr>
            <w:tcW w:w="60" w:type="dxa"/>
            <w:vAlign w:val="bottom"/>
          </w:tcPr>
          <w:p>
            <w:pPr>
              <w:spacing w:after="0"/>
              <w:rPr>
                <w:sz w:val="17"/>
                <w:szCs w:val="17"/>
                <w:color w:val="auto"/>
              </w:rPr>
            </w:pPr>
          </w:p>
        </w:tc>
      </w:tr>
      <w:tr>
        <w:trPr>
          <w:trHeight w:val="196"/>
        </w:trPr>
        <w:tc>
          <w:tcPr>
            <w:tcW w:w="75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Accounts Payable and Accrued Liabilities</w:t>
            </w:r>
          </w:p>
        </w:tc>
        <w:tc>
          <w:tcPr>
            <w:tcW w:w="56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1,634</w:t>
            </w:r>
          </w:p>
        </w:tc>
        <w:tc>
          <w:tcPr>
            <w:tcW w:w="60" w:type="dxa"/>
            <w:vAlign w:val="bottom"/>
          </w:tcPr>
          <w:p>
            <w:pPr>
              <w:spacing w:after="0"/>
              <w:rPr>
                <w:sz w:val="17"/>
                <w:szCs w:val="17"/>
                <w:color w:val="auto"/>
              </w:rPr>
            </w:pPr>
          </w:p>
        </w:tc>
      </w:tr>
      <w:tr>
        <w:trPr>
          <w:trHeight w:val="196"/>
        </w:trPr>
        <w:tc>
          <w:tcPr>
            <w:tcW w:w="75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Other Assets</w:t>
            </w:r>
          </w:p>
        </w:tc>
        <w:tc>
          <w:tcPr>
            <w:tcW w:w="56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4,589</w:t>
            </w:r>
          </w:p>
        </w:tc>
        <w:tc>
          <w:tcPr>
            <w:tcW w:w="60" w:type="dxa"/>
            <w:vAlign w:val="bottom"/>
          </w:tcPr>
          <w:p>
            <w:pPr>
              <w:spacing w:after="0"/>
              <w:rPr>
                <w:sz w:val="17"/>
                <w:szCs w:val="17"/>
                <w:color w:val="auto"/>
              </w:rPr>
            </w:pPr>
          </w:p>
        </w:tc>
      </w:tr>
      <w:tr>
        <w:trPr>
          <w:trHeight w:val="226"/>
        </w:trPr>
        <w:tc>
          <w:tcPr>
            <w:tcW w:w="75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Income Taxes Payable (Receivable)</w:t>
            </w:r>
          </w:p>
        </w:tc>
        <w:tc>
          <w:tcPr>
            <w:tcW w:w="560" w:type="dxa"/>
            <w:vAlign w:val="bottom"/>
            <w:tcBorders>
              <w:bottom w:val="single" w:sz="8" w:color="004483"/>
            </w:tcBorders>
          </w:tcPr>
          <w:p>
            <w:pPr>
              <w:spacing w:after="0"/>
              <w:rPr>
                <w:sz w:val="19"/>
                <w:szCs w:val="19"/>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2,952</w:t>
            </w:r>
          </w:p>
        </w:tc>
        <w:tc>
          <w:tcPr>
            <w:tcW w:w="60" w:type="dxa"/>
            <w:vAlign w:val="bottom"/>
          </w:tcPr>
          <w:p>
            <w:pPr>
              <w:spacing w:after="0"/>
              <w:rPr>
                <w:sz w:val="19"/>
                <w:szCs w:val="19"/>
                <w:color w:val="auto"/>
              </w:rPr>
            </w:pPr>
          </w:p>
        </w:tc>
      </w:tr>
      <w:tr>
        <w:trPr>
          <w:trHeight w:val="223"/>
        </w:trPr>
        <w:tc>
          <w:tcPr>
            <w:tcW w:w="7540" w:type="dxa"/>
            <w:vAlign w:val="bottom"/>
            <w:tcBorders>
              <w:bottom w:val="single" w:sz="8" w:color="A6A6A6"/>
            </w:tcBorders>
          </w:tcPr>
          <w:p>
            <w:pPr>
              <w:ind w:left="380"/>
              <w:spacing w:after="0"/>
              <w:rPr>
                <w:sz w:val="20"/>
                <w:szCs w:val="20"/>
                <w:color w:val="auto"/>
              </w:rPr>
            </w:pPr>
            <w:r>
              <w:rPr>
                <w:rFonts w:ascii="Arial" w:cs="Arial" w:eastAsia="Arial" w:hAnsi="Arial"/>
                <w:sz w:val="16"/>
                <w:szCs w:val="16"/>
                <w:color w:val="004483"/>
              </w:rPr>
              <w:t>Net Cash Provided by Operating Activities</w:t>
            </w:r>
          </w:p>
        </w:tc>
        <w:tc>
          <w:tcPr>
            <w:tcW w:w="560" w:type="dxa"/>
            <w:vAlign w:val="bottom"/>
            <w:tcBorders>
              <w:bottom w:val="single" w:sz="8" w:color="004483"/>
            </w:tcBorders>
          </w:tcPr>
          <w:p>
            <w:pPr>
              <w:spacing w:after="0"/>
              <w:rPr>
                <w:sz w:val="19"/>
                <w:szCs w:val="19"/>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300,445</w:t>
            </w:r>
          </w:p>
        </w:tc>
        <w:tc>
          <w:tcPr>
            <w:tcW w:w="60" w:type="dxa"/>
            <w:vAlign w:val="bottom"/>
          </w:tcPr>
          <w:p>
            <w:pPr>
              <w:spacing w:after="0"/>
              <w:rPr>
                <w:sz w:val="19"/>
                <w:szCs w:val="19"/>
                <w:color w:val="auto"/>
              </w:rPr>
            </w:pPr>
          </w:p>
        </w:tc>
      </w:tr>
      <w:tr>
        <w:trPr>
          <w:trHeight w:val="196"/>
        </w:trPr>
        <w:tc>
          <w:tcPr>
            <w:tcW w:w="75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56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spacing w:after="0"/>
              <w:rPr>
                <w:sz w:val="17"/>
                <w:szCs w:val="17"/>
                <w:color w:val="auto"/>
              </w:rPr>
            </w:pPr>
          </w:p>
        </w:tc>
        <w:tc>
          <w:tcPr>
            <w:tcW w:w="60" w:type="dxa"/>
            <w:vAlign w:val="bottom"/>
          </w:tcPr>
          <w:p>
            <w:pPr>
              <w:spacing w:after="0"/>
              <w:rPr>
                <w:sz w:val="17"/>
                <w:szCs w:val="17"/>
                <w:color w:val="auto"/>
              </w:rPr>
            </w:pPr>
          </w:p>
        </w:tc>
      </w:tr>
      <w:tr>
        <w:trPr>
          <w:trHeight w:val="193"/>
        </w:trPr>
        <w:tc>
          <w:tcPr>
            <w:tcW w:w="7540" w:type="dxa"/>
            <w:vAlign w:val="bottom"/>
          </w:tcPr>
          <w:p>
            <w:pPr>
              <w:ind w:left="200"/>
              <w:spacing w:after="0"/>
              <w:rPr>
                <w:sz w:val="20"/>
                <w:szCs w:val="20"/>
                <w:color w:val="auto"/>
              </w:rPr>
            </w:pPr>
            <w:r>
              <w:rPr>
                <w:rFonts w:ascii="Arial" w:cs="Arial" w:eastAsia="Arial" w:hAnsi="Arial"/>
                <w:sz w:val="16"/>
                <w:szCs w:val="16"/>
                <w:color w:val="004483"/>
              </w:rPr>
              <w:t>Additions to Property, Plant, and Equipment</w:t>
            </w:r>
          </w:p>
        </w:tc>
        <w:tc>
          <w:tcPr>
            <w:tcW w:w="56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(43,249 )</w:t>
            </w:r>
          </w:p>
        </w:tc>
      </w:tr>
      <w:tr>
        <w:trPr>
          <w:trHeight w:val="20"/>
        </w:trPr>
        <w:tc>
          <w:tcPr>
            <w:tcW w:w="754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7540" w:type="dxa"/>
            <w:vAlign w:val="bottom"/>
          </w:tcPr>
          <w:p>
            <w:pPr>
              <w:ind w:left="200"/>
              <w:spacing w:after="0"/>
              <w:rPr>
                <w:sz w:val="20"/>
                <w:szCs w:val="20"/>
                <w:color w:val="auto"/>
              </w:rPr>
            </w:pPr>
            <w:r>
              <w:rPr>
                <w:rFonts w:ascii="Arial" w:cs="Arial" w:eastAsia="Arial" w:hAnsi="Arial"/>
                <w:sz w:val="16"/>
                <w:szCs w:val="16"/>
                <w:color w:val="004483"/>
              </w:rPr>
              <w:t>Acquisition Spending</w:t>
            </w:r>
          </w:p>
        </w:tc>
        <w:tc>
          <w:tcPr>
            <w:tcW w:w="5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(158,451 )</w:t>
            </w:r>
          </w:p>
        </w:tc>
      </w:tr>
      <w:tr>
        <w:trPr>
          <w:trHeight w:val="20"/>
        </w:trPr>
        <w:tc>
          <w:tcPr>
            <w:tcW w:w="7540" w:type="dxa"/>
            <w:vAlign w:val="bottom"/>
            <w:shd w:val="clear" w:color="auto" w:fill="A6A6A6"/>
          </w:tcPr>
          <w:p>
            <w:pPr>
              <w:spacing w:after="0" w:line="20" w:lineRule="exact"/>
              <w:rPr>
                <w:sz w:val="1"/>
                <w:szCs w:val="1"/>
                <w:color w:val="auto"/>
              </w:rPr>
            </w:pPr>
          </w:p>
        </w:tc>
        <w:tc>
          <w:tcPr>
            <w:tcW w:w="560" w:type="dxa"/>
            <w:vAlign w:val="bottom"/>
            <w:tcBorders>
              <w:top w:val="single" w:sz="8" w:color="004483"/>
            </w:tcBorders>
            <w:shd w:val="clear" w:color="auto" w:fill="004483"/>
          </w:tcPr>
          <w:p>
            <w:pPr>
              <w:spacing w:after="0" w:line="20" w:lineRule="exact"/>
              <w:rPr>
                <w:sz w:val="1"/>
                <w:szCs w:val="1"/>
                <w:color w:val="auto"/>
              </w:rPr>
            </w:pPr>
          </w:p>
        </w:tc>
        <w:tc>
          <w:tcPr>
            <w:tcW w:w="1100" w:type="dxa"/>
            <w:vAlign w:val="bottom"/>
            <w:tcBorders>
              <w:top w:val="single" w:sz="8" w:color="004483"/>
            </w:tcBorders>
            <w:shd w:val="clear" w:color="auto" w:fill="00448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7540" w:type="dxa"/>
            <w:vAlign w:val="bottom"/>
          </w:tcPr>
          <w:p>
            <w:pPr>
              <w:ind w:left="380"/>
              <w:spacing w:after="0"/>
              <w:rPr>
                <w:sz w:val="20"/>
                <w:szCs w:val="20"/>
                <w:color w:val="auto"/>
              </w:rPr>
            </w:pPr>
            <w:r>
              <w:rPr>
                <w:rFonts w:ascii="Arial" w:cs="Arial" w:eastAsia="Arial" w:hAnsi="Arial"/>
                <w:sz w:val="16"/>
                <w:szCs w:val="16"/>
                <w:color w:val="004483"/>
              </w:rPr>
              <w:t>Net Cash Used in Investing Activities</w:t>
            </w:r>
          </w:p>
        </w:tc>
        <w:tc>
          <w:tcPr>
            <w:tcW w:w="5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(201,700 )</w:t>
            </w:r>
          </w:p>
        </w:tc>
      </w:tr>
      <w:tr>
        <w:trPr>
          <w:trHeight w:val="196"/>
        </w:trPr>
        <w:tc>
          <w:tcPr>
            <w:tcW w:w="75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560" w:type="dxa"/>
            <w:vAlign w:val="bottom"/>
            <w:tcBorders>
              <w:top w:val="single" w:sz="8" w:color="004483"/>
              <w:bottom w:val="single" w:sz="8" w:color="A6A6A6"/>
            </w:tcBorders>
          </w:tcPr>
          <w:p>
            <w:pPr>
              <w:spacing w:after="0"/>
              <w:rPr>
                <w:sz w:val="17"/>
                <w:szCs w:val="17"/>
                <w:color w:val="auto"/>
              </w:rPr>
            </w:pPr>
          </w:p>
        </w:tc>
        <w:tc>
          <w:tcPr>
            <w:tcW w:w="1100" w:type="dxa"/>
            <w:vAlign w:val="bottom"/>
            <w:tcBorders>
              <w:top w:val="single" w:sz="8" w:color="004483"/>
              <w:bottom w:val="single" w:sz="8" w:color="A6A6A6"/>
            </w:tcBorders>
          </w:tcPr>
          <w:p>
            <w:pPr>
              <w:spacing w:after="0"/>
              <w:rPr>
                <w:sz w:val="17"/>
                <w:szCs w:val="17"/>
                <w:color w:val="auto"/>
              </w:rPr>
            </w:pPr>
          </w:p>
        </w:tc>
        <w:tc>
          <w:tcPr>
            <w:tcW w:w="60" w:type="dxa"/>
            <w:vAlign w:val="bottom"/>
          </w:tcPr>
          <w:p>
            <w:pPr>
              <w:spacing w:after="0"/>
              <w:rPr>
                <w:sz w:val="17"/>
                <w:szCs w:val="17"/>
                <w:color w:val="auto"/>
              </w:rPr>
            </w:pPr>
          </w:p>
        </w:tc>
      </w:tr>
      <w:tr>
        <w:trPr>
          <w:trHeight w:val="193"/>
        </w:trPr>
        <w:tc>
          <w:tcPr>
            <w:tcW w:w="75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Increase in Credit Facility</w:t>
            </w:r>
          </w:p>
        </w:tc>
        <w:tc>
          <w:tcPr>
            <w:tcW w:w="560" w:type="dxa"/>
            <w:vAlign w:val="bottom"/>
            <w:tcBorders>
              <w:bottom w:val="single" w:sz="8" w:color="A6A6A6"/>
            </w:tcBorders>
          </w:tcPr>
          <w:p>
            <w:pPr>
              <w:spacing w:after="0"/>
              <w:rPr>
                <w:sz w:val="16"/>
                <w:szCs w:val="16"/>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200,000</w:t>
            </w:r>
          </w:p>
        </w:tc>
        <w:tc>
          <w:tcPr>
            <w:tcW w:w="60" w:type="dxa"/>
            <w:vAlign w:val="bottom"/>
          </w:tcPr>
          <w:p>
            <w:pPr>
              <w:spacing w:after="0"/>
              <w:rPr>
                <w:sz w:val="16"/>
                <w:szCs w:val="16"/>
                <w:color w:val="auto"/>
              </w:rPr>
            </w:pPr>
          </w:p>
        </w:tc>
      </w:tr>
      <w:tr>
        <w:trPr>
          <w:trHeight w:val="196"/>
        </w:trPr>
        <w:tc>
          <w:tcPr>
            <w:tcW w:w="75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Proceeds from 2.500% Senior Unsecured Notes</w:t>
            </w:r>
          </w:p>
        </w:tc>
        <w:tc>
          <w:tcPr>
            <w:tcW w:w="56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196"/>
        </w:trPr>
        <w:tc>
          <w:tcPr>
            <w:tcW w:w="75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Repayment of 4.500% Senior Unsecured Notes</w:t>
            </w:r>
          </w:p>
        </w:tc>
        <w:tc>
          <w:tcPr>
            <w:tcW w:w="56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196"/>
        </w:trPr>
        <w:tc>
          <w:tcPr>
            <w:tcW w:w="7540" w:type="dxa"/>
            <w:vAlign w:val="bottom"/>
          </w:tcPr>
          <w:p>
            <w:pPr>
              <w:ind w:left="200"/>
              <w:spacing w:after="0"/>
              <w:rPr>
                <w:sz w:val="20"/>
                <w:szCs w:val="20"/>
                <w:color w:val="auto"/>
              </w:rPr>
            </w:pPr>
            <w:r>
              <w:rPr>
                <w:rFonts w:ascii="Arial" w:cs="Arial" w:eastAsia="Arial" w:hAnsi="Arial"/>
                <w:sz w:val="16"/>
                <w:szCs w:val="16"/>
                <w:color w:val="004483"/>
              </w:rPr>
              <w:t>Repayment of Term Loan and Term Loan Credit Agreement</w:t>
            </w:r>
          </w:p>
        </w:tc>
        <w:tc>
          <w:tcPr>
            <w:tcW w:w="5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(2,500 )</w:t>
            </w:r>
          </w:p>
        </w:tc>
      </w:tr>
      <w:tr>
        <w:trPr>
          <w:trHeight w:val="20"/>
        </w:trPr>
        <w:tc>
          <w:tcPr>
            <w:tcW w:w="754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540" w:type="dxa"/>
            <w:vAlign w:val="bottom"/>
          </w:tcPr>
          <w:p>
            <w:pPr>
              <w:ind w:left="200"/>
              <w:spacing w:after="0"/>
              <w:rPr>
                <w:sz w:val="20"/>
                <w:szCs w:val="20"/>
                <w:color w:val="auto"/>
              </w:rPr>
            </w:pPr>
            <w:r>
              <w:rPr>
                <w:rFonts w:ascii="Arial" w:cs="Arial" w:eastAsia="Arial" w:hAnsi="Arial"/>
                <w:sz w:val="16"/>
                <w:szCs w:val="16"/>
                <w:color w:val="004483"/>
              </w:rPr>
              <w:t>Dividends Paid to Stockholders</w:t>
            </w:r>
          </w:p>
        </w:tc>
        <w:tc>
          <w:tcPr>
            <w:tcW w:w="5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(19,149 )</w:t>
            </w:r>
          </w:p>
        </w:tc>
      </w:tr>
      <w:tr>
        <w:trPr>
          <w:trHeight w:val="20"/>
        </w:trPr>
        <w:tc>
          <w:tcPr>
            <w:tcW w:w="754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540" w:type="dxa"/>
            <w:vAlign w:val="bottom"/>
          </w:tcPr>
          <w:p>
            <w:pPr>
              <w:ind w:left="200"/>
              <w:spacing w:after="0"/>
              <w:rPr>
                <w:sz w:val="20"/>
                <w:szCs w:val="20"/>
                <w:color w:val="auto"/>
              </w:rPr>
            </w:pPr>
            <w:r>
              <w:rPr>
                <w:rFonts w:ascii="Arial" w:cs="Arial" w:eastAsia="Arial" w:hAnsi="Arial"/>
                <w:sz w:val="16"/>
                <w:szCs w:val="16"/>
                <w:color w:val="004483"/>
              </w:rPr>
              <w:t>Purchase and Retirement of Common Stock</w:t>
            </w:r>
          </w:p>
        </w:tc>
        <w:tc>
          <w:tcPr>
            <w:tcW w:w="5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(210,398 )</w:t>
            </w:r>
          </w:p>
        </w:tc>
      </w:tr>
      <w:tr>
        <w:trPr>
          <w:trHeight w:val="196"/>
        </w:trPr>
        <w:tc>
          <w:tcPr>
            <w:tcW w:w="754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Proceeds from Stock Option Exercises</w:t>
            </w:r>
          </w:p>
        </w:tc>
        <w:tc>
          <w:tcPr>
            <w:tcW w:w="560" w:type="dxa"/>
            <w:vAlign w:val="bottom"/>
            <w:tcBorders>
              <w:top w:val="single" w:sz="8" w:color="A6A6A6"/>
              <w:bottom w:val="single" w:sz="8" w:color="A6A6A6"/>
            </w:tcBorders>
          </w:tcPr>
          <w:p>
            <w:pPr>
              <w:spacing w:after="0"/>
              <w:rPr>
                <w:sz w:val="17"/>
                <w:szCs w:val="17"/>
                <w:color w:val="auto"/>
              </w:rPr>
            </w:pPr>
          </w:p>
        </w:tc>
        <w:tc>
          <w:tcPr>
            <w:tcW w:w="11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735</w:t>
            </w:r>
          </w:p>
        </w:tc>
        <w:tc>
          <w:tcPr>
            <w:tcW w:w="60" w:type="dxa"/>
            <w:vAlign w:val="bottom"/>
          </w:tcPr>
          <w:p>
            <w:pPr>
              <w:spacing w:after="0"/>
              <w:rPr>
                <w:sz w:val="17"/>
                <w:szCs w:val="17"/>
                <w:color w:val="auto"/>
              </w:rPr>
            </w:pPr>
          </w:p>
        </w:tc>
      </w:tr>
      <w:tr>
        <w:trPr>
          <w:trHeight w:val="196"/>
        </w:trPr>
        <w:tc>
          <w:tcPr>
            <w:tcW w:w="75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Loss on Early Retirement of Senior Notes</w:t>
            </w:r>
          </w:p>
        </w:tc>
        <w:tc>
          <w:tcPr>
            <w:tcW w:w="56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196"/>
        </w:trPr>
        <w:tc>
          <w:tcPr>
            <w:tcW w:w="7540" w:type="dxa"/>
            <w:vAlign w:val="bottom"/>
          </w:tcPr>
          <w:p>
            <w:pPr>
              <w:ind w:left="200"/>
              <w:spacing w:after="0"/>
              <w:rPr>
                <w:sz w:val="20"/>
                <w:szCs w:val="20"/>
                <w:color w:val="auto"/>
              </w:rPr>
            </w:pPr>
            <w:r>
              <w:rPr>
                <w:rFonts w:ascii="Arial" w:cs="Arial" w:eastAsia="Arial" w:hAnsi="Arial"/>
                <w:sz w:val="16"/>
                <w:szCs w:val="16"/>
                <w:color w:val="004483"/>
              </w:rPr>
              <w:t>Payment of Debt Issuance Costs</w:t>
            </w:r>
          </w:p>
        </w:tc>
        <w:tc>
          <w:tcPr>
            <w:tcW w:w="5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(903 )</w:t>
            </w:r>
          </w:p>
        </w:tc>
      </w:tr>
      <w:tr>
        <w:trPr>
          <w:trHeight w:val="20"/>
        </w:trPr>
        <w:tc>
          <w:tcPr>
            <w:tcW w:w="754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7540" w:type="dxa"/>
            <w:vAlign w:val="bottom"/>
          </w:tcPr>
          <w:p>
            <w:pPr>
              <w:ind w:left="200"/>
              <w:spacing w:after="0"/>
              <w:rPr>
                <w:sz w:val="20"/>
                <w:szCs w:val="20"/>
                <w:color w:val="auto"/>
              </w:rPr>
            </w:pPr>
            <w:r>
              <w:rPr>
                <w:rFonts w:ascii="Arial" w:cs="Arial" w:eastAsia="Arial" w:hAnsi="Arial"/>
                <w:sz w:val="16"/>
                <w:szCs w:val="16"/>
                <w:color w:val="004483"/>
              </w:rPr>
              <w:t>Shares Redeemed to Settle Employee Taxes on Stock Compensation</w:t>
            </w:r>
          </w:p>
        </w:tc>
        <w:tc>
          <w:tcPr>
            <w:tcW w:w="5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(1,806 )</w:t>
            </w:r>
          </w:p>
        </w:tc>
      </w:tr>
      <w:tr>
        <w:trPr>
          <w:trHeight w:val="20"/>
        </w:trPr>
        <w:tc>
          <w:tcPr>
            <w:tcW w:w="7540" w:type="dxa"/>
            <w:vAlign w:val="bottom"/>
            <w:shd w:val="clear" w:color="auto" w:fill="A6A6A6"/>
          </w:tcPr>
          <w:p>
            <w:pPr>
              <w:spacing w:after="0" w:line="20" w:lineRule="exact"/>
              <w:rPr>
                <w:sz w:val="1"/>
                <w:szCs w:val="1"/>
                <w:color w:val="auto"/>
              </w:rPr>
            </w:pPr>
          </w:p>
        </w:tc>
        <w:tc>
          <w:tcPr>
            <w:tcW w:w="560" w:type="dxa"/>
            <w:vAlign w:val="bottom"/>
            <w:tcBorders>
              <w:top w:val="single" w:sz="8" w:color="004483"/>
            </w:tcBorders>
            <w:shd w:val="clear" w:color="auto" w:fill="004483"/>
          </w:tcPr>
          <w:p>
            <w:pPr>
              <w:spacing w:after="0" w:line="20" w:lineRule="exact"/>
              <w:rPr>
                <w:sz w:val="1"/>
                <w:szCs w:val="1"/>
                <w:color w:val="auto"/>
              </w:rPr>
            </w:pPr>
          </w:p>
        </w:tc>
        <w:tc>
          <w:tcPr>
            <w:tcW w:w="1100" w:type="dxa"/>
            <w:vAlign w:val="bottom"/>
            <w:tcBorders>
              <w:top w:val="single" w:sz="8" w:color="004483"/>
            </w:tcBorders>
            <w:shd w:val="clear" w:color="auto" w:fill="00448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7540" w:type="dxa"/>
            <w:vAlign w:val="bottom"/>
          </w:tcPr>
          <w:p>
            <w:pPr>
              <w:ind w:left="380"/>
              <w:spacing w:after="0"/>
              <w:rPr>
                <w:sz w:val="20"/>
                <w:szCs w:val="20"/>
                <w:color w:val="auto"/>
              </w:rPr>
            </w:pPr>
            <w:r>
              <w:rPr>
                <w:rFonts w:ascii="Arial" w:cs="Arial" w:eastAsia="Arial" w:hAnsi="Arial"/>
                <w:sz w:val="16"/>
                <w:szCs w:val="16"/>
                <w:color w:val="004483"/>
              </w:rPr>
              <w:t>Net Cash Used in Financing Activities</w:t>
            </w:r>
          </w:p>
        </w:tc>
        <w:tc>
          <w:tcPr>
            <w:tcW w:w="5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(34,021 )</w:t>
            </w:r>
          </w:p>
        </w:tc>
      </w:tr>
      <w:tr>
        <w:trPr>
          <w:trHeight w:val="196"/>
        </w:trPr>
        <w:tc>
          <w:tcPr>
            <w:tcW w:w="75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560" w:type="dxa"/>
            <w:vAlign w:val="bottom"/>
            <w:tcBorders>
              <w:top w:val="single" w:sz="8" w:color="004483"/>
              <w:bottom w:val="single" w:sz="8" w:color="A6A6A6"/>
            </w:tcBorders>
          </w:tcPr>
          <w:p>
            <w:pPr>
              <w:spacing w:after="0"/>
              <w:rPr>
                <w:sz w:val="17"/>
                <w:szCs w:val="17"/>
                <w:color w:val="auto"/>
              </w:rPr>
            </w:pPr>
          </w:p>
        </w:tc>
        <w:tc>
          <w:tcPr>
            <w:tcW w:w="110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64,724</w:t>
            </w:r>
          </w:p>
        </w:tc>
        <w:tc>
          <w:tcPr>
            <w:tcW w:w="60" w:type="dxa"/>
            <w:vAlign w:val="bottom"/>
          </w:tcPr>
          <w:p>
            <w:pPr>
              <w:spacing w:after="0"/>
              <w:rPr>
                <w:sz w:val="17"/>
                <w:szCs w:val="17"/>
                <w:color w:val="auto"/>
              </w:rPr>
            </w:pPr>
          </w:p>
        </w:tc>
      </w:tr>
      <w:tr>
        <w:trPr>
          <w:trHeight w:val="196"/>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5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19,416</w:t>
            </w:r>
          </w:p>
        </w:tc>
        <w:tc>
          <w:tcPr>
            <w:tcW w:w="60" w:type="dxa"/>
            <w:vAlign w:val="bottom"/>
          </w:tcPr>
          <w:p>
            <w:pPr>
              <w:spacing w:after="0"/>
              <w:rPr>
                <w:sz w:val="17"/>
                <w:szCs w:val="17"/>
                <w:color w:val="auto"/>
              </w:rPr>
            </w:pPr>
          </w:p>
        </w:tc>
      </w:tr>
      <w:tr>
        <w:trPr>
          <w:trHeight w:val="27"/>
        </w:trPr>
        <w:tc>
          <w:tcPr>
            <w:tcW w:w="7540" w:type="dxa"/>
            <w:vAlign w:val="bottom"/>
            <w:tcBorders>
              <w:bottom w:val="single" w:sz="8" w:color="A6A6A6"/>
            </w:tcBorders>
          </w:tcPr>
          <w:p>
            <w:pPr>
              <w:spacing w:after="0"/>
              <w:rPr>
                <w:sz w:val="2"/>
                <w:szCs w:val="2"/>
                <w:color w:val="auto"/>
              </w:rPr>
            </w:pPr>
          </w:p>
        </w:tc>
        <w:tc>
          <w:tcPr>
            <w:tcW w:w="560" w:type="dxa"/>
            <w:vAlign w:val="bottom"/>
            <w:tcBorders>
              <w:bottom w:val="single" w:sz="8" w:color="004483"/>
            </w:tcBorders>
            <w:shd w:val="clear" w:color="auto" w:fill="004483"/>
          </w:tcPr>
          <w:p>
            <w:pPr>
              <w:spacing w:after="0"/>
              <w:rPr>
                <w:sz w:val="2"/>
                <w:szCs w:val="2"/>
                <w:color w:val="auto"/>
              </w:rPr>
            </w:pPr>
          </w:p>
        </w:tc>
        <w:tc>
          <w:tcPr>
            <w:tcW w:w="1100" w:type="dxa"/>
            <w:vAlign w:val="bottom"/>
            <w:tcBorders>
              <w:bottom w:val="single" w:sz="8" w:color="004483"/>
            </w:tcBorders>
            <w:shd w:val="clear" w:color="auto" w:fill="004483"/>
          </w:tcPr>
          <w:p>
            <w:pPr>
              <w:spacing w:after="0"/>
              <w:rPr>
                <w:sz w:val="2"/>
                <w:szCs w:val="2"/>
                <w:color w:val="auto"/>
              </w:rPr>
            </w:pPr>
          </w:p>
        </w:tc>
        <w:tc>
          <w:tcPr>
            <w:tcW w:w="60" w:type="dxa"/>
            <w:vAlign w:val="bottom"/>
          </w:tcPr>
          <w:p>
            <w:pPr>
              <w:spacing w:after="0"/>
              <w:rPr>
                <w:sz w:val="2"/>
                <w:szCs w:val="2"/>
                <w:color w:val="auto"/>
              </w:rPr>
            </w:pPr>
          </w:p>
        </w:tc>
      </w:tr>
      <w:tr>
        <w:trPr>
          <w:trHeight w:val="208"/>
        </w:trPr>
        <w:tc>
          <w:tcPr>
            <w:tcW w:w="75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56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84,140</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-6985</wp:posOffset>
            </wp:positionV>
            <wp:extent cx="10541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See notes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-127635</wp:posOffset>
            </wp:positionV>
            <wp:extent cx="10541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left="1042" w:hanging="1042"/>
        <w:spacing w:after="0"/>
        <w:tabs>
          <w:tab w:leader="none" w:pos="1042" w:val="left"/>
        </w:tabs>
        <w:numPr>
          <w:ilvl w:val="0"/>
          <w:numId w:val="6"/>
        </w:numPr>
        <w:rPr>
          <w:rFonts w:ascii="Arial" w:cs="Arial" w:eastAsia="Arial" w:hAnsi="Arial"/>
          <w:sz w:val="16"/>
          <w:szCs w:val="16"/>
          <w:color w:val="auto"/>
        </w:rPr>
      </w:pPr>
      <w:r>
        <w:rPr>
          <w:rFonts w:ascii="Arial" w:cs="Arial" w:eastAsia="Arial" w:hAnsi="Arial"/>
          <w:sz w:val="16"/>
          <w:szCs w:val="16"/>
          <w:color w:val="auto"/>
        </w:rPr>
        <w:t>197,452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-125730</wp:posOffset>
            </wp:positionV>
            <wp:extent cx="11569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56970" cy="889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5697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250825</wp:posOffset>
            </wp:positionV>
            <wp:extent cx="11569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390" w:lineRule="exact"/>
        <w:rPr>
          <w:sz w:val="20"/>
          <w:szCs w:val="20"/>
          <w:color w:val="auto"/>
        </w:rPr>
      </w:pPr>
    </w:p>
    <w:p>
      <w:pPr>
        <w:ind w:left="1122"/>
        <w:spacing w:after="0"/>
        <w:rPr>
          <w:sz w:val="20"/>
          <w:szCs w:val="20"/>
          <w:color w:val="auto"/>
        </w:rPr>
      </w:pPr>
      <w:r>
        <w:rPr>
          <w:rFonts w:ascii="Arial" w:cs="Arial" w:eastAsia="Arial" w:hAnsi="Arial"/>
          <w:sz w:val="16"/>
          <w:szCs w:val="16"/>
          <w:color w:val="auto"/>
        </w:rPr>
        <w:t>64,284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12" w:lineRule="exact"/>
        <w:rPr>
          <w:sz w:val="20"/>
          <w:szCs w:val="20"/>
          <w:color w:val="auto"/>
        </w:rPr>
      </w:pPr>
    </w:p>
    <w:p>
      <w:pPr>
        <w:ind w:left="1222"/>
        <w:spacing w:after="0"/>
        <w:rPr>
          <w:sz w:val="20"/>
          <w:szCs w:val="20"/>
          <w:color w:val="auto"/>
        </w:rPr>
      </w:pPr>
      <w:r>
        <w:rPr>
          <w:rFonts w:ascii="Arial" w:cs="Arial" w:eastAsia="Arial" w:hAnsi="Arial"/>
          <w:sz w:val="16"/>
          <w:szCs w:val="16"/>
          <w:color w:val="auto"/>
        </w:rPr>
        <w:t>6,101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56970" cy="8890"/>
                    </a:xfrm>
                    <a:prstGeom prst="rect">
                      <a:avLst/>
                    </a:prstGeom>
                    <a:noFill/>
                  </pic:spPr>
                </pic:pic>
              </a:graphicData>
            </a:graphic>
          </wp:anchor>
        </w:drawing>
      </w:r>
    </w:p>
    <w:p>
      <w:pPr>
        <w:spacing w:after="0" w:line="12" w:lineRule="exact"/>
        <w:rPr>
          <w:sz w:val="20"/>
          <w:szCs w:val="20"/>
          <w:color w:val="auto"/>
        </w:rPr>
      </w:pPr>
    </w:p>
    <w:p>
      <w:pPr>
        <w:ind w:left="1222"/>
        <w:spacing w:after="0"/>
        <w:rPr>
          <w:sz w:val="20"/>
          <w:szCs w:val="20"/>
          <w:color w:val="auto"/>
        </w:rPr>
      </w:pPr>
      <w:r>
        <w:rPr>
          <w:rFonts w:ascii="Arial" w:cs="Arial" w:eastAsia="Arial" w:hAnsi="Arial"/>
          <w:sz w:val="16"/>
          <w:szCs w:val="16"/>
          <w:color w:val="auto"/>
        </w:rPr>
        <w:t>8,295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12" w:lineRule="exact"/>
        <w:rPr>
          <w:sz w:val="20"/>
          <w:szCs w:val="20"/>
          <w:color w:val="auto"/>
        </w:rPr>
      </w:pPr>
    </w:p>
    <w:p>
      <w:pPr>
        <w:ind w:left="1222"/>
        <w:spacing w:after="0"/>
        <w:rPr>
          <w:sz w:val="20"/>
          <w:szCs w:val="20"/>
          <w:color w:val="auto"/>
        </w:rPr>
      </w:pPr>
      <w:r>
        <w:rPr>
          <w:rFonts w:ascii="Arial" w:cs="Arial" w:eastAsia="Arial" w:hAnsi="Arial"/>
          <w:sz w:val="16"/>
          <w:szCs w:val="16"/>
          <w:color w:val="auto"/>
        </w:rPr>
        <w:t>6,376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(16,230 )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12" w:lineRule="exact"/>
        <w:rPr>
          <w:sz w:val="20"/>
          <w:szCs w:val="20"/>
          <w:color w:val="auto"/>
        </w:rPr>
      </w:pPr>
    </w:p>
    <w:p>
      <w:pPr>
        <w:ind w:left="1122"/>
        <w:spacing w:after="0"/>
        <w:rPr>
          <w:sz w:val="20"/>
          <w:szCs w:val="20"/>
          <w:color w:val="auto"/>
        </w:rPr>
      </w:pPr>
      <w:r>
        <w:rPr>
          <w:rFonts w:ascii="Arial" w:cs="Arial" w:eastAsia="Arial" w:hAnsi="Arial"/>
          <w:sz w:val="16"/>
          <w:szCs w:val="16"/>
          <w:color w:val="auto"/>
        </w:rPr>
        <w:t>14,000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56970" cy="825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147955</wp:posOffset>
            </wp:positionV>
            <wp:extent cx="11569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56970" cy="8890"/>
                    </a:xfrm>
                    <a:prstGeom prst="rect">
                      <a:avLst/>
                    </a:prstGeom>
                    <a:noFill/>
                  </pic:spPr>
                </pic:pic>
              </a:graphicData>
            </a:graphic>
          </wp:anchor>
        </w:drawing>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(49,597 )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12" w:lineRule="exact"/>
        <w:rPr>
          <w:sz w:val="20"/>
          <w:szCs w:val="20"/>
          <w:color w:val="auto"/>
        </w:rPr>
      </w:pPr>
    </w:p>
    <w:p>
      <w:pPr>
        <w:ind w:left="1122"/>
        <w:spacing w:after="0"/>
        <w:rPr>
          <w:sz w:val="20"/>
          <w:szCs w:val="20"/>
          <w:color w:val="auto"/>
        </w:rPr>
      </w:pPr>
      <w:r>
        <w:rPr>
          <w:rFonts w:ascii="Arial" w:cs="Arial" w:eastAsia="Arial" w:hAnsi="Arial"/>
          <w:sz w:val="16"/>
          <w:szCs w:val="16"/>
          <w:color w:val="auto"/>
        </w:rPr>
        <w:t>32,004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12" w:lineRule="exact"/>
        <w:rPr>
          <w:sz w:val="20"/>
          <w:szCs w:val="20"/>
          <w:color w:val="auto"/>
        </w:rPr>
      </w:pPr>
    </w:p>
    <w:p>
      <w:pPr>
        <w:ind w:left="1122"/>
        <w:spacing w:after="0"/>
        <w:rPr>
          <w:sz w:val="20"/>
          <w:szCs w:val="20"/>
          <w:color w:val="auto"/>
        </w:rPr>
      </w:pPr>
      <w:r>
        <w:rPr>
          <w:rFonts w:ascii="Arial" w:cs="Arial" w:eastAsia="Arial" w:hAnsi="Arial"/>
          <w:sz w:val="16"/>
          <w:szCs w:val="16"/>
          <w:color w:val="auto"/>
        </w:rPr>
        <w:t>16,776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(2,883 )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(15,116 )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56970" cy="26035"/>
                    </a:xfrm>
                    <a:prstGeom prst="rect">
                      <a:avLst/>
                    </a:prstGeom>
                    <a:noFill/>
                  </pic:spPr>
                </pic:pic>
              </a:graphicData>
            </a:graphic>
          </wp:anchor>
        </w:drawing>
      </w:r>
    </w:p>
    <w:p>
      <w:pPr>
        <w:spacing w:after="0" w:line="39" w:lineRule="exact"/>
        <w:rPr>
          <w:sz w:val="20"/>
          <w:szCs w:val="20"/>
          <w:color w:val="auto"/>
        </w:rPr>
      </w:pPr>
    </w:p>
    <w:p>
      <w:pPr>
        <w:ind w:left="1042"/>
        <w:spacing w:after="0"/>
        <w:rPr>
          <w:sz w:val="20"/>
          <w:szCs w:val="20"/>
          <w:color w:val="auto"/>
        </w:rPr>
      </w:pPr>
      <w:r>
        <w:rPr>
          <w:rFonts w:ascii="Arial" w:cs="Arial" w:eastAsia="Arial" w:hAnsi="Arial"/>
          <w:sz w:val="16"/>
          <w:szCs w:val="16"/>
          <w:color w:val="auto"/>
        </w:rPr>
        <w:t>261,462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56970" cy="25400"/>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165100</wp:posOffset>
            </wp:positionV>
            <wp:extent cx="11569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56970" cy="889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(26,777 )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12" w:lineRule="exact"/>
        <w:rPr>
          <w:sz w:val="20"/>
          <w:szCs w:val="20"/>
          <w:color w:val="auto"/>
        </w:rPr>
      </w:pPr>
    </w:p>
    <w:p>
      <w:pPr>
        <w:ind w:left="1462"/>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56970" cy="25400"/>
                    </a:xfrm>
                    <a:prstGeom prst="rect">
                      <a:avLst/>
                    </a:prstGeom>
                    <a:noFill/>
                  </pic:spPr>
                </pic:pic>
              </a:graphicData>
            </a:graphic>
          </wp:anchor>
        </w:drawing>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(26,777 )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56970" cy="26035"/>
                    </a:xfrm>
                    <a:prstGeom prst="rect">
                      <a:avLst/>
                    </a:prstGeom>
                    <a:noFill/>
                  </pic:spPr>
                </pic:pic>
              </a:graphicData>
            </a:graphic>
          </wp:anchor>
        </w:drawing>
        <w:drawing>
          <wp:anchor simplePos="0" relativeHeight="251657728" behindDoc="1" locked="0" layoutInCell="0" allowOverlap="1">
            <wp:simplePos x="0" y="0"/>
            <wp:positionH relativeFrom="column">
              <wp:posOffset>-119380</wp:posOffset>
            </wp:positionH>
            <wp:positionV relativeFrom="paragraph">
              <wp:posOffset>165100</wp:posOffset>
            </wp:positionV>
            <wp:extent cx="11569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255" w:lineRule="exact"/>
        <w:rPr>
          <w:sz w:val="20"/>
          <w:szCs w:val="20"/>
          <w:color w:val="auto"/>
        </w:rPr>
      </w:pPr>
    </w:p>
    <w:p>
      <w:pPr>
        <w:ind w:left="1122"/>
        <w:spacing w:after="0"/>
        <w:rPr>
          <w:sz w:val="20"/>
          <w:szCs w:val="20"/>
          <w:color w:val="auto"/>
        </w:rPr>
      </w:pPr>
      <w:r>
        <w:rPr>
          <w:rFonts w:ascii="Arial" w:cs="Arial" w:eastAsia="Arial" w:hAnsi="Arial"/>
          <w:sz w:val="16"/>
          <w:szCs w:val="16"/>
          <w:color w:val="auto"/>
        </w:rPr>
        <w:t>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12" w:lineRule="exact"/>
        <w:rPr>
          <w:sz w:val="20"/>
          <w:szCs w:val="20"/>
          <w:color w:val="auto"/>
        </w:rPr>
      </w:pPr>
    </w:p>
    <w:p>
      <w:pPr>
        <w:ind w:left="1042"/>
        <w:spacing w:after="0"/>
        <w:rPr>
          <w:sz w:val="20"/>
          <w:szCs w:val="20"/>
          <w:color w:val="auto"/>
        </w:rPr>
      </w:pPr>
      <w:r>
        <w:rPr>
          <w:rFonts w:ascii="Arial" w:cs="Arial" w:eastAsia="Arial" w:hAnsi="Arial"/>
          <w:sz w:val="16"/>
          <w:szCs w:val="16"/>
          <w:color w:val="auto"/>
        </w:rPr>
        <w:t>743,692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(350,000 )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(665,000 )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56970" cy="8890"/>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(10,547 )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(247,845 )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12" w:lineRule="exact"/>
        <w:rPr>
          <w:sz w:val="20"/>
          <w:szCs w:val="20"/>
          <w:color w:val="auto"/>
        </w:rPr>
      </w:pPr>
    </w:p>
    <w:p>
      <w:pPr>
        <w:ind w:left="1122"/>
        <w:spacing w:after="0"/>
        <w:rPr>
          <w:sz w:val="20"/>
          <w:szCs w:val="20"/>
          <w:color w:val="auto"/>
        </w:rPr>
      </w:pPr>
      <w:r>
        <w:rPr>
          <w:rFonts w:ascii="Arial" w:cs="Arial" w:eastAsia="Arial" w:hAnsi="Arial"/>
          <w:sz w:val="16"/>
          <w:szCs w:val="16"/>
          <w:color w:val="auto"/>
        </w:rPr>
        <w:t>14,460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56970" cy="8890"/>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(8,407 )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(7,985 )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56970" cy="26035"/>
                    </a:xfrm>
                    <a:prstGeom prst="rect">
                      <a:avLst/>
                    </a:prstGeom>
                    <a:noFill/>
                  </pic:spPr>
                </pic:pic>
              </a:graphicData>
            </a:graphic>
          </wp:anchor>
        </w:drawing>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(457,991 )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56970" cy="25400"/>
                    </a:xfrm>
                    <a:prstGeom prst="rect">
                      <a:avLst/>
                    </a:prstGeom>
                    <a:noFill/>
                  </pic:spPr>
                </pic:pic>
              </a:graphicData>
            </a:graphic>
          </wp:anchor>
        </w:drawing>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(223,306 )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10795</wp:posOffset>
            </wp:positionV>
            <wp:extent cx="11569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12" w:lineRule="exact"/>
        <w:rPr>
          <w:sz w:val="20"/>
          <w:szCs w:val="20"/>
          <w:color w:val="auto"/>
        </w:rPr>
      </w:pPr>
    </w:p>
    <w:p>
      <w:pPr>
        <w:ind w:left="1042"/>
        <w:spacing w:after="0"/>
        <w:rPr>
          <w:sz w:val="20"/>
          <w:szCs w:val="20"/>
          <w:color w:val="auto"/>
        </w:rPr>
      </w:pPr>
      <w:r>
        <w:rPr>
          <w:rFonts w:ascii="Arial" w:cs="Arial" w:eastAsia="Arial" w:hAnsi="Arial"/>
          <w:sz w:val="16"/>
          <w:szCs w:val="16"/>
          <w:color w:val="auto"/>
        </w:rPr>
        <w:t>268,520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10795</wp:posOffset>
            </wp:positionV>
            <wp:extent cx="104584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45845" cy="25400"/>
                    </a:xfrm>
                    <a:prstGeom prst="rect">
                      <a:avLst/>
                    </a:prstGeom>
                    <a:noFill/>
                  </pic:spPr>
                </pic:pic>
              </a:graphicData>
            </a:graphic>
          </wp:anchor>
        </w:drawing>
      </w:r>
    </w:p>
    <w:p>
      <w:pPr>
        <w:spacing w:after="0" w:line="19" w:lineRule="exact"/>
        <w:rPr>
          <w:sz w:val="20"/>
          <w:szCs w:val="20"/>
          <w:color w:val="auto"/>
        </w:rPr>
      </w:pPr>
    </w:p>
    <w:p>
      <w:pPr>
        <w:ind w:left="1122" w:hanging="1122"/>
        <w:spacing w:after="0"/>
        <w:tabs>
          <w:tab w:leader="none" w:pos="1122"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45,214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-113030</wp:posOffset>
            </wp:positionV>
            <wp:extent cx="1111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23495</wp:posOffset>
            </wp:positionV>
            <wp:extent cx="10458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4584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40640</wp:posOffset>
            </wp:positionV>
            <wp:extent cx="10458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465" w:lineRule="exact"/>
        <w:rPr>
          <w:sz w:val="20"/>
          <w:szCs w:val="20"/>
          <w:color w:val="auto"/>
        </w:rPr>
      </w:pPr>
    </w:p>
    <w:p>
      <w:pPr>
        <w:sectPr>
          <w:pgSz w:w="11900" w:h="16838" w:orient="portrait"/>
          <w:cols w:equalWidth="0" w:num="2">
            <w:col w:w="9260" w:space="238"/>
            <w:col w:w="1702"/>
          </w:cols>
          <w:pgMar w:left="320" w:top="319" w:right="379" w:bottom="1440" w:gutter="0" w:footer="0" w:header="0"/>
          <w:type w:val="continuous"/>
        </w:sect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EAGLE MATERIALS INC. AND SUBSIDIARIES CONSOLIDATED STATEMENTS OF STOCKHOLDERS’ EQUITY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39"/>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Excess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4"/>
                <w:szCs w:val="14"/>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5"/>
                <w:szCs w:val="15"/>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980" w:type="dxa"/>
            <w:vAlign w:val="bottom"/>
            <w:tcBorders>
              <w:bottom w:val="single" w:sz="8" w:color="004483"/>
            </w:tcBorders>
          </w:tcPr>
          <w:p>
            <w:pPr>
              <w:spacing w:after="0"/>
              <w:rPr>
                <w:sz w:val="16"/>
                <w:szCs w:val="16"/>
                <w:color w:val="auto"/>
              </w:rPr>
            </w:pPr>
          </w:p>
        </w:tc>
        <w:tc>
          <w:tcPr>
            <w:tcW w:w="280" w:type="dxa"/>
            <w:vAlign w:val="bottom"/>
            <w:tcBorders>
              <w:bottom w:val="single" w:sz="8" w:color="004483"/>
            </w:tcBorders>
          </w:tcPr>
          <w:p>
            <w:pPr>
              <w:spacing w:after="0"/>
              <w:rPr>
                <w:sz w:val="16"/>
                <w:szCs w:val="16"/>
                <w:color w:val="auto"/>
              </w:rPr>
            </w:pPr>
          </w:p>
        </w:tc>
        <w:tc>
          <w:tcPr>
            <w:tcW w:w="80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200" w:type="dxa"/>
            <w:vAlign w:val="bottom"/>
            <w:tcBorders>
              <w:bottom w:val="single" w:sz="8" w:color="004483"/>
            </w:tcBorders>
          </w:tcPr>
          <w:p>
            <w:pPr>
              <w:spacing w:after="0"/>
              <w:rPr>
                <w:sz w:val="16"/>
                <w:szCs w:val="16"/>
                <w:color w:val="auto"/>
              </w:rPr>
            </w:pPr>
          </w:p>
        </w:tc>
        <w:tc>
          <w:tcPr>
            <w:tcW w:w="780" w:type="dxa"/>
            <w:vAlign w:val="bottom"/>
            <w:tcBorders>
              <w:bottom w:val="single" w:sz="8" w:color="004483"/>
            </w:tcBorders>
          </w:tcPr>
          <w:p>
            <w:pPr>
              <w:spacing w:after="0"/>
              <w:rPr>
                <w:sz w:val="16"/>
                <w:szCs w:val="16"/>
                <w:color w:val="auto"/>
              </w:rPr>
            </w:pPr>
          </w:p>
        </w:tc>
        <w:tc>
          <w:tcPr>
            <w:tcW w:w="100" w:type="dxa"/>
            <w:vAlign w:val="bottom"/>
            <w:tcBorders>
              <w:bottom w:val="single" w:sz="8" w:color="004483"/>
            </w:tcBorders>
          </w:tcPr>
          <w:p>
            <w:pPr>
              <w:spacing w:after="0"/>
              <w:rPr>
                <w:sz w:val="16"/>
                <w:szCs w:val="16"/>
                <w:color w:val="auto"/>
              </w:rPr>
            </w:pPr>
          </w:p>
        </w:tc>
        <w:tc>
          <w:tcPr>
            <w:tcW w:w="1300" w:type="dxa"/>
            <w:vAlign w:val="bottom"/>
            <w:tcBorders>
              <w:bottom w:val="single" w:sz="8" w:color="004483"/>
            </w:tcBorders>
            <w:gridSpan w:val="5"/>
          </w:tcPr>
          <w:p>
            <w:pPr>
              <w:ind w:left="60"/>
              <w:spacing w:after="0"/>
              <w:rPr>
                <w:sz w:val="20"/>
                <w:szCs w:val="20"/>
                <w:color w:val="auto"/>
              </w:rPr>
            </w:pPr>
            <w:r>
              <w:rPr>
                <w:rFonts w:ascii="Arial" w:cs="Arial" w:eastAsia="Arial" w:hAnsi="Arial"/>
                <w:sz w:val="13"/>
                <w:szCs w:val="13"/>
                <w:color w:val="auto"/>
                <w:w w:val="98"/>
              </w:rPr>
              <w:t>(dollars in thousands)</w:t>
            </w:r>
          </w:p>
        </w:tc>
        <w:tc>
          <w:tcPr>
            <w:tcW w:w="140" w:type="dxa"/>
            <w:vAlign w:val="bottom"/>
            <w:tcBorders>
              <w:bottom w:val="single" w:sz="8" w:color="004483"/>
            </w:tcBorders>
          </w:tcPr>
          <w:p>
            <w:pPr>
              <w:spacing w:after="0"/>
              <w:rPr>
                <w:sz w:val="16"/>
                <w:szCs w:val="16"/>
                <w:color w:val="auto"/>
              </w:rPr>
            </w:pPr>
          </w:p>
        </w:tc>
        <w:tc>
          <w:tcPr>
            <w:tcW w:w="1120" w:type="dxa"/>
            <w:vAlign w:val="bottom"/>
            <w:tcBorders>
              <w:bottom w:val="single" w:sz="8" w:color="004483"/>
            </w:tcBorders>
          </w:tcPr>
          <w:p>
            <w:pPr>
              <w:spacing w:after="0"/>
              <w:rPr>
                <w:sz w:val="16"/>
                <w:szCs w:val="16"/>
                <w:color w:val="auto"/>
              </w:rPr>
            </w:pPr>
          </w:p>
        </w:tc>
        <w:tc>
          <w:tcPr>
            <w:tcW w:w="10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800" w:type="dxa"/>
            <w:vAlign w:val="bottom"/>
            <w:tcBorders>
              <w:bottom w:val="single" w:sz="8" w:color="004483"/>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424</w:t>
            </w:r>
          </w:p>
        </w:tc>
        <w:tc>
          <w:tcPr>
            <w:tcW w:w="140" w:type="dxa"/>
            <w:vAlign w:val="bottom"/>
          </w:tcPr>
          <w:p>
            <w:pPr>
              <w:spacing w:after="0"/>
              <w:rPr>
                <w:sz w:val="17"/>
                <w:szCs w:val="17"/>
                <w:color w:val="auto"/>
              </w:rPr>
            </w:pP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62,497</w:t>
            </w:r>
          </w:p>
        </w:tc>
        <w:tc>
          <w:tcPr>
            <w:tcW w:w="1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1,299,509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(3,440 )</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1,358,990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80" w:type="dxa"/>
            <w:vAlign w:val="bottom"/>
            <w:tcBorders>
              <w:top w:val="single" w:sz="8" w:color="A6A6A6"/>
              <w:bottom w:val="single" w:sz="8" w:color="A6A6A6"/>
            </w:tcBorders>
          </w:tcPr>
          <w:p>
            <w:pPr>
              <w:spacing w:after="0"/>
              <w:rPr>
                <w:sz w:val="16"/>
                <w:szCs w:val="16"/>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 w:type="dxa"/>
            <w:vAlign w:val="bottom"/>
            <w:tcBorders>
              <w:top w:val="single" w:sz="8" w:color="A6A6A6"/>
              <w:bottom w:val="single" w:sz="8" w:color="A6A6A6"/>
            </w:tcBorders>
          </w:tcPr>
          <w:p>
            <w:pPr>
              <w:spacing w:after="0"/>
              <w:rPr>
                <w:sz w:val="16"/>
                <w:szCs w:val="16"/>
                <w:color w:val="auto"/>
              </w:rPr>
            </w:pPr>
          </w:p>
        </w:tc>
        <w:tc>
          <w:tcPr>
            <w:tcW w:w="200" w:type="dxa"/>
            <w:vAlign w:val="bottom"/>
            <w:tcBorders>
              <w:top w:val="single" w:sz="8" w:color="A6A6A6"/>
              <w:bottom w:val="single" w:sz="8" w:color="A6A6A6"/>
            </w:tcBorders>
          </w:tcPr>
          <w:p>
            <w:pPr>
              <w:spacing w:after="0"/>
              <w:rPr>
                <w:sz w:val="16"/>
                <w:szCs w:val="16"/>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6A6A6"/>
              <w:bottom w:val="single" w:sz="8" w:color="A6A6A6"/>
            </w:tcBorders>
          </w:tcPr>
          <w:p>
            <w:pPr>
              <w:spacing w:after="0"/>
              <w:rPr>
                <w:sz w:val="16"/>
                <w:szCs w:val="16"/>
                <w:color w:val="auto"/>
              </w:rPr>
            </w:pPr>
          </w:p>
        </w:tc>
        <w:tc>
          <w:tcPr>
            <w:tcW w:w="160" w:type="dxa"/>
            <w:vAlign w:val="bottom"/>
            <w:tcBorders>
              <w:top w:val="single" w:sz="8" w:color="A6A6A6"/>
              <w:bottom w:val="single" w:sz="8" w:color="A6A6A6"/>
            </w:tcBorders>
          </w:tcPr>
          <w:p>
            <w:pPr>
              <w:spacing w:after="0"/>
              <w:rPr>
                <w:sz w:val="16"/>
                <w:szCs w:val="16"/>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95,327</w:t>
            </w:r>
          </w:p>
        </w:tc>
        <w:tc>
          <w:tcPr>
            <w:tcW w:w="100" w:type="dxa"/>
            <w:vAlign w:val="bottom"/>
          </w:tcPr>
          <w:p>
            <w:pPr>
              <w:spacing w:after="0"/>
              <w:rPr>
                <w:sz w:val="16"/>
                <w:szCs w:val="16"/>
                <w:color w:val="auto"/>
              </w:rPr>
            </w:pPr>
          </w:p>
        </w:tc>
        <w:tc>
          <w:tcPr>
            <w:tcW w:w="120" w:type="dxa"/>
            <w:vAlign w:val="bottom"/>
            <w:tcBorders>
              <w:top w:val="single" w:sz="8" w:color="A6A6A6"/>
              <w:bottom w:val="single" w:sz="8" w:color="A6A6A6"/>
            </w:tcBorders>
          </w:tcPr>
          <w:p>
            <w:pPr>
              <w:spacing w:after="0"/>
              <w:rPr>
                <w:sz w:val="16"/>
                <w:szCs w:val="16"/>
                <w:color w:val="auto"/>
              </w:rPr>
            </w:pPr>
          </w:p>
        </w:tc>
        <w:tc>
          <w:tcPr>
            <w:tcW w:w="140" w:type="dxa"/>
            <w:vAlign w:val="bottom"/>
            <w:tcBorders>
              <w:top w:val="single" w:sz="8" w:color="A6A6A6"/>
              <w:bottom w:val="single" w:sz="8" w:color="A6A6A6"/>
            </w:tcBorders>
          </w:tcPr>
          <w:p>
            <w:pPr>
              <w:spacing w:after="0"/>
              <w:rPr>
                <w:sz w:val="16"/>
                <w:szCs w:val="16"/>
                <w:color w:val="auto"/>
              </w:rPr>
            </w:pPr>
          </w:p>
        </w:tc>
        <w:tc>
          <w:tcPr>
            <w:tcW w:w="11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6A6A6"/>
              <w:bottom w:val="single" w:sz="8" w:color="A6A6A6"/>
            </w:tcBorders>
          </w:tcPr>
          <w:p>
            <w:pPr>
              <w:spacing w:after="0"/>
              <w:rPr>
                <w:sz w:val="16"/>
                <w:szCs w:val="16"/>
                <w:color w:val="auto"/>
              </w:rPr>
            </w:pPr>
          </w:p>
        </w:tc>
        <w:tc>
          <w:tcPr>
            <w:tcW w:w="160" w:type="dxa"/>
            <w:vAlign w:val="bottom"/>
            <w:tcBorders>
              <w:top w:val="single" w:sz="8" w:color="A6A6A6"/>
              <w:bottom w:val="single" w:sz="8" w:color="A6A6A6"/>
            </w:tcBorders>
          </w:tcPr>
          <w:p>
            <w:pPr>
              <w:spacing w:after="0"/>
              <w:rPr>
                <w:sz w:val="16"/>
                <w:szCs w:val="16"/>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95,327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8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2,455</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Exercises and Restricted Share Issuances</w:t>
            </w:r>
          </w:p>
        </w:tc>
        <w:tc>
          <w:tcPr>
            <w:tcW w:w="28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8,222</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8,222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(1,214 )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(1,214 )</w:t>
            </w:r>
          </w:p>
        </w:tc>
        <w:tc>
          <w:tcPr>
            <w:tcW w:w="0" w:type="dxa"/>
            <w:vAlign w:val="bottom"/>
          </w:tcPr>
          <w:p>
            <w:pPr>
              <w:spacing w:after="0"/>
              <w:rPr>
                <w:sz w:val="1"/>
                <w:szCs w:val="1"/>
                <w:color w:val="auto"/>
              </w:rPr>
            </w:pPr>
          </w:p>
        </w:tc>
      </w:tr>
      <w:tr>
        <w:trPr>
          <w:trHeight w:val="20"/>
        </w:trPr>
        <w:tc>
          <w:tcPr>
            <w:tcW w:w="498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(61,925 )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(61,929 )</w:t>
            </w:r>
          </w:p>
        </w:tc>
        <w:tc>
          <w:tcPr>
            <w:tcW w:w="0" w:type="dxa"/>
            <w:vAlign w:val="bottom"/>
          </w:tcPr>
          <w:p>
            <w:pPr>
              <w:spacing w:after="0"/>
              <w:rPr>
                <w:sz w:val="1"/>
                <w:szCs w:val="1"/>
                <w:color w:val="auto"/>
              </w:rPr>
            </w:pPr>
          </w:p>
        </w:tc>
      </w:tr>
      <w:tr>
        <w:trPr>
          <w:trHeight w:val="20"/>
        </w:trPr>
        <w:tc>
          <w:tcPr>
            <w:tcW w:w="498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Pr>
          <w:p>
            <w:pPr>
              <w:ind w:left="20"/>
              <w:spacing w:after="0"/>
              <w:rPr>
                <w:sz w:val="20"/>
                <w:szCs w:val="20"/>
                <w:color w:val="auto"/>
              </w:rPr>
            </w:pPr>
            <w:r>
              <w:rPr>
                <w:rFonts w:ascii="Arial" w:cs="Arial" w:eastAsia="Arial" w:hAnsi="Arial"/>
                <w:sz w:val="16"/>
                <w:szCs w:val="16"/>
                <w:color w:val="004483"/>
              </w:rPr>
              <w:t>Dividends to Shareholders</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(10,547 )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(10,547 )</w:t>
            </w:r>
          </w:p>
        </w:tc>
        <w:tc>
          <w:tcPr>
            <w:tcW w:w="0" w:type="dxa"/>
            <w:vAlign w:val="bottom"/>
          </w:tcPr>
          <w:p>
            <w:pPr>
              <w:spacing w:after="0"/>
              <w:rPr>
                <w:sz w:val="1"/>
                <w:szCs w:val="1"/>
                <w:color w:val="auto"/>
              </w:rPr>
            </w:pPr>
          </w:p>
        </w:tc>
      </w:tr>
      <w:tr>
        <w:trPr>
          <w:trHeight w:val="196"/>
        </w:trPr>
        <w:tc>
          <w:tcPr>
            <w:tcW w:w="4980" w:type="dxa"/>
            <w:vAlign w:val="bottom"/>
            <w:tcBorders>
              <w:top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80" w:type="dxa"/>
            <w:vAlign w:val="bottom"/>
            <w:tcBorders>
              <w:top w:val="single" w:sz="8" w:color="A6A6A6"/>
            </w:tcBorders>
          </w:tcPr>
          <w:p>
            <w:pPr>
              <w:spacing w:after="0"/>
              <w:rPr>
                <w:sz w:val="17"/>
                <w:szCs w:val="17"/>
                <w:color w:val="auto"/>
              </w:rPr>
            </w:pPr>
          </w:p>
        </w:tc>
        <w:tc>
          <w:tcPr>
            <w:tcW w:w="80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Borders>
              <w:top w:val="single" w:sz="8" w:color="A6A6A6"/>
            </w:tcBorders>
          </w:tcPr>
          <w:p>
            <w:pPr>
              <w:spacing w:after="0"/>
              <w:rPr>
                <w:sz w:val="17"/>
                <w:szCs w:val="17"/>
                <w:color w:val="auto"/>
              </w:rPr>
            </w:pPr>
          </w:p>
        </w:tc>
        <w:tc>
          <w:tcPr>
            <w:tcW w:w="200" w:type="dxa"/>
            <w:vAlign w:val="bottom"/>
            <w:tcBorders>
              <w:top w:val="single" w:sz="8" w:color="A6A6A6"/>
            </w:tcBorders>
          </w:tcPr>
          <w:p>
            <w:pPr>
              <w:spacing w:after="0"/>
              <w:rPr>
                <w:sz w:val="17"/>
                <w:szCs w:val="17"/>
                <w:color w:val="auto"/>
              </w:rPr>
            </w:pPr>
          </w:p>
        </w:tc>
        <w:tc>
          <w:tcPr>
            <w:tcW w:w="78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6A6A6"/>
            </w:tcBorders>
          </w:tcPr>
          <w:p>
            <w:pPr>
              <w:spacing w:after="0"/>
              <w:rPr>
                <w:sz w:val="17"/>
                <w:szCs w:val="17"/>
                <w:color w:val="auto"/>
              </w:rPr>
            </w:pPr>
          </w:p>
        </w:tc>
        <w:tc>
          <w:tcPr>
            <w:tcW w:w="160" w:type="dxa"/>
            <w:vAlign w:val="bottom"/>
            <w:tcBorders>
              <w:top w:val="single" w:sz="8" w:color="A6A6A6"/>
            </w:tcBorders>
          </w:tcPr>
          <w:p>
            <w:pPr>
              <w:spacing w:after="0"/>
              <w:rPr>
                <w:sz w:val="17"/>
                <w:szCs w:val="17"/>
                <w:color w:val="auto"/>
              </w:rPr>
            </w:pPr>
          </w:p>
        </w:tc>
        <w:tc>
          <w:tcPr>
            <w:tcW w:w="80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6A6A6"/>
            </w:tcBorders>
          </w:tcPr>
          <w:p>
            <w:pPr>
              <w:spacing w:after="0"/>
              <w:rPr>
                <w:sz w:val="17"/>
                <w:szCs w:val="17"/>
                <w:color w:val="auto"/>
              </w:rPr>
            </w:pPr>
          </w:p>
        </w:tc>
        <w:tc>
          <w:tcPr>
            <w:tcW w:w="140" w:type="dxa"/>
            <w:vAlign w:val="bottom"/>
            <w:tcBorders>
              <w:top w:val="single" w:sz="8" w:color="A6A6A6"/>
            </w:tcBorders>
          </w:tcPr>
          <w:p>
            <w:pPr>
              <w:spacing w:after="0"/>
              <w:rPr>
                <w:sz w:val="17"/>
                <w:szCs w:val="17"/>
                <w:color w:val="auto"/>
              </w:rPr>
            </w:pPr>
          </w:p>
        </w:tc>
        <w:tc>
          <w:tcPr>
            <w:tcW w:w="112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120" w:type="dxa"/>
            <w:vAlign w:val="bottom"/>
            <w:tcBorders>
              <w:top w:val="single" w:sz="8" w:color="A6A6A6"/>
            </w:tcBorders>
          </w:tcPr>
          <w:p>
            <w:pPr>
              <w:spacing w:after="0"/>
              <w:rPr>
                <w:sz w:val="17"/>
                <w:szCs w:val="17"/>
                <w:color w:val="auto"/>
              </w:rPr>
            </w:pPr>
          </w:p>
        </w:tc>
        <w:tc>
          <w:tcPr>
            <w:tcW w:w="160" w:type="dxa"/>
            <w:vAlign w:val="bottom"/>
            <w:tcBorders>
              <w:top w:val="single" w:sz="8" w:color="A6A6A6"/>
            </w:tcBorders>
          </w:tcPr>
          <w:p>
            <w:pPr>
              <w:spacing w:after="0"/>
              <w:rPr>
                <w:sz w:val="17"/>
                <w:szCs w:val="17"/>
                <w:color w:val="auto"/>
              </w:rPr>
            </w:pPr>
          </w:p>
        </w:tc>
        <w:tc>
          <w:tcPr>
            <w:tcW w:w="80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4980" w:type="dxa"/>
            <w:vAlign w:val="bottom"/>
            <w:tcBorders>
              <w:bottom w:val="single" w:sz="8" w:color="A6A6A6"/>
            </w:tcBorders>
          </w:tcPr>
          <w:p>
            <w:pPr>
              <w:spacing w:after="0"/>
              <w:rPr>
                <w:sz w:val="2"/>
                <w:szCs w:val="2"/>
                <w:color w:val="auto"/>
              </w:rPr>
            </w:pPr>
          </w:p>
        </w:tc>
        <w:tc>
          <w:tcPr>
            <w:tcW w:w="28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7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6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40" w:type="dxa"/>
            <w:vAlign w:val="bottom"/>
            <w:tcBorders>
              <w:bottom w:val="single" w:sz="8" w:color="004483"/>
            </w:tcBorders>
            <w:shd w:val="clear" w:color="auto" w:fill="004483"/>
          </w:tcPr>
          <w:p>
            <w:pPr>
              <w:spacing w:after="0"/>
              <w:rPr>
                <w:sz w:val="2"/>
                <w:szCs w:val="2"/>
                <w:color w:val="auto"/>
              </w:rPr>
            </w:pPr>
          </w:p>
        </w:tc>
        <w:tc>
          <w:tcPr>
            <w:tcW w:w="112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6A6A6"/>
            </w:tcBorders>
          </w:tcPr>
          <w:p>
            <w:pPr>
              <w:spacing w:after="0"/>
              <w:rPr>
                <w:sz w:val="2"/>
                <w:szCs w:val="2"/>
                <w:color w:val="auto"/>
              </w:rPr>
            </w:pPr>
          </w:p>
        </w:tc>
        <w:tc>
          <w:tcPr>
            <w:tcW w:w="16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280" w:type="dxa"/>
            <w:vAlign w:val="bottom"/>
            <w:tcBorders>
              <w:bottom w:val="single" w:sz="8" w:color="004483"/>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421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004483"/>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10,035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1,384,289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(3,413</w:t>
            </w: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1,391,332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980" w:type="dxa"/>
            <w:vAlign w:val="bottom"/>
            <w:tcBorders>
              <w:bottom w:val="single" w:sz="8" w:color="A6A6A6"/>
            </w:tcBorders>
          </w:tcPr>
          <w:p>
            <w:pPr>
              <w:ind w:left="20"/>
              <w:spacing w:after="0" w:line="180" w:lineRule="exact"/>
              <w:rPr>
                <w:sz w:val="20"/>
                <w:szCs w:val="20"/>
                <w:color w:val="auto"/>
              </w:rPr>
            </w:pPr>
            <w:r>
              <w:rPr>
                <w:rFonts w:ascii="Arial" w:cs="Arial" w:eastAsia="Arial" w:hAnsi="Arial"/>
                <w:sz w:val="16"/>
                <w:szCs w:val="16"/>
                <w:color w:val="004483"/>
              </w:rPr>
              <w:t>Net Earnings</w:t>
            </w:r>
          </w:p>
        </w:tc>
        <w:tc>
          <w:tcPr>
            <w:tcW w:w="28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0"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0" w:lineRule="exact"/>
              <w:rPr>
                <w:sz w:val="20"/>
                <w:szCs w:val="20"/>
                <w:color w:val="auto"/>
              </w:rPr>
            </w:pPr>
            <w:r>
              <w:rPr>
                <w:rFonts w:ascii="Arial" w:cs="Arial" w:eastAsia="Arial" w:hAnsi="Arial"/>
                <w:sz w:val="16"/>
                <w:szCs w:val="16"/>
                <w:color w:val="auto"/>
              </w:rPr>
              <w:t>102,125</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0"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0" w:lineRule="exact"/>
              <w:rPr>
                <w:sz w:val="20"/>
                <w:szCs w:val="20"/>
                <w:color w:val="auto"/>
              </w:rPr>
            </w:pPr>
            <w:r>
              <w:rPr>
                <w:rFonts w:ascii="Arial" w:cs="Arial" w:eastAsia="Arial" w:hAnsi="Arial"/>
                <w:sz w:val="16"/>
                <w:szCs w:val="16"/>
                <w:color w:val="auto"/>
              </w:rPr>
              <w:t>102,125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8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3,920</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 and Restricted Share Issuances</w:t>
            </w:r>
          </w:p>
        </w:tc>
        <w:tc>
          <w:tcPr>
            <w:tcW w:w="28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6,238</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6,238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(145 )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(145 )</w:t>
            </w:r>
          </w:p>
        </w:tc>
        <w:tc>
          <w:tcPr>
            <w:tcW w:w="0" w:type="dxa"/>
            <w:vAlign w:val="bottom"/>
          </w:tcPr>
          <w:p>
            <w:pPr>
              <w:spacing w:after="0"/>
              <w:rPr>
                <w:sz w:val="1"/>
                <w:szCs w:val="1"/>
                <w:color w:val="auto"/>
              </w:rPr>
            </w:pPr>
          </w:p>
        </w:tc>
      </w:tr>
      <w:tr>
        <w:trPr>
          <w:trHeight w:val="20"/>
        </w:trPr>
        <w:tc>
          <w:tcPr>
            <w:tcW w:w="498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(20,048 )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(165,856 )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(185,916 )</w:t>
            </w:r>
          </w:p>
        </w:tc>
        <w:tc>
          <w:tcPr>
            <w:tcW w:w="0" w:type="dxa"/>
            <w:vAlign w:val="bottom"/>
          </w:tcPr>
          <w:p>
            <w:pPr>
              <w:spacing w:after="0"/>
              <w:rPr>
                <w:sz w:val="1"/>
                <w:szCs w:val="1"/>
                <w:color w:val="auto"/>
              </w:rPr>
            </w:pPr>
          </w:p>
        </w:tc>
      </w:tr>
      <w:tr>
        <w:trPr>
          <w:trHeight w:val="20"/>
        </w:trPr>
        <w:tc>
          <w:tcPr>
            <w:tcW w:w="498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Pr>
          <w:p>
            <w:pPr>
              <w:ind w:left="20"/>
              <w:spacing w:after="0"/>
              <w:rPr>
                <w:sz w:val="20"/>
                <w:szCs w:val="20"/>
                <w:color w:val="auto"/>
              </w:rPr>
            </w:pPr>
            <w:r>
              <w:rPr>
                <w:rFonts w:ascii="Arial" w:cs="Arial" w:eastAsia="Arial" w:hAnsi="Arial"/>
                <w:sz w:val="16"/>
                <w:szCs w:val="16"/>
                <w:color w:val="004483"/>
              </w:rPr>
              <w:t>Dividends to Shareholders</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(10,272 )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(10,272 )</w:t>
            </w:r>
          </w:p>
        </w:tc>
        <w:tc>
          <w:tcPr>
            <w:tcW w:w="0" w:type="dxa"/>
            <w:vAlign w:val="bottom"/>
          </w:tcPr>
          <w:p>
            <w:pPr>
              <w:spacing w:after="0"/>
              <w:rPr>
                <w:sz w:val="1"/>
                <w:szCs w:val="1"/>
                <w:color w:val="auto"/>
              </w:rPr>
            </w:pPr>
          </w:p>
        </w:tc>
      </w:tr>
      <w:tr>
        <w:trPr>
          <w:trHeight w:val="196"/>
        </w:trPr>
        <w:tc>
          <w:tcPr>
            <w:tcW w:w="4980" w:type="dxa"/>
            <w:vAlign w:val="bottom"/>
            <w:tcBorders>
              <w:top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80" w:type="dxa"/>
            <w:vAlign w:val="bottom"/>
            <w:tcBorders>
              <w:top w:val="single" w:sz="8" w:color="A6A6A6"/>
            </w:tcBorders>
          </w:tcPr>
          <w:p>
            <w:pPr>
              <w:spacing w:after="0"/>
              <w:rPr>
                <w:sz w:val="17"/>
                <w:szCs w:val="17"/>
                <w:color w:val="auto"/>
              </w:rPr>
            </w:pPr>
          </w:p>
        </w:tc>
        <w:tc>
          <w:tcPr>
            <w:tcW w:w="80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Borders>
              <w:top w:val="single" w:sz="8" w:color="A6A6A6"/>
            </w:tcBorders>
          </w:tcPr>
          <w:p>
            <w:pPr>
              <w:spacing w:after="0"/>
              <w:rPr>
                <w:sz w:val="17"/>
                <w:szCs w:val="17"/>
                <w:color w:val="auto"/>
              </w:rPr>
            </w:pPr>
          </w:p>
        </w:tc>
        <w:tc>
          <w:tcPr>
            <w:tcW w:w="200" w:type="dxa"/>
            <w:vAlign w:val="bottom"/>
            <w:tcBorders>
              <w:top w:val="single" w:sz="8" w:color="A6A6A6"/>
            </w:tcBorders>
          </w:tcPr>
          <w:p>
            <w:pPr>
              <w:spacing w:after="0"/>
              <w:rPr>
                <w:sz w:val="17"/>
                <w:szCs w:val="17"/>
                <w:color w:val="auto"/>
              </w:rPr>
            </w:pPr>
          </w:p>
        </w:tc>
        <w:tc>
          <w:tcPr>
            <w:tcW w:w="78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6A6A6"/>
            </w:tcBorders>
          </w:tcPr>
          <w:p>
            <w:pPr>
              <w:spacing w:after="0"/>
              <w:rPr>
                <w:sz w:val="17"/>
                <w:szCs w:val="17"/>
                <w:color w:val="auto"/>
              </w:rPr>
            </w:pPr>
          </w:p>
        </w:tc>
        <w:tc>
          <w:tcPr>
            <w:tcW w:w="160" w:type="dxa"/>
            <w:vAlign w:val="bottom"/>
            <w:tcBorders>
              <w:top w:val="single" w:sz="8" w:color="A6A6A6"/>
            </w:tcBorders>
          </w:tcPr>
          <w:p>
            <w:pPr>
              <w:spacing w:after="0"/>
              <w:rPr>
                <w:sz w:val="17"/>
                <w:szCs w:val="17"/>
                <w:color w:val="auto"/>
              </w:rPr>
            </w:pPr>
          </w:p>
        </w:tc>
        <w:tc>
          <w:tcPr>
            <w:tcW w:w="80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6A6A6"/>
            </w:tcBorders>
          </w:tcPr>
          <w:p>
            <w:pPr>
              <w:spacing w:after="0"/>
              <w:rPr>
                <w:sz w:val="17"/>
                <w:szCs w:val="17"/>
                <w:color w:val="auto"/>
              </w:rPr>
            </w:pPr>
          </w:p>
        </w:tc>
        <w:tc>
          <w:tcPr>
            <w:tcW w:w="140" w:type="dxa"/>
            <w:vAlign w:val="bottom"/>
            <w:tcBorders>
              <w:top w:val="single" w:sz="8" w:color="A6A6A6"/>
            </w:tcBorders>
          </w:tcPr>
          <w:p>
            <w:pPr>
              <w:spacing w:after="0"/>
              <w:rPr>
                <w:sz w:val="17"/>
                <w:szCs w:val="17"/>
                <w:color w:val="auto"/>
              </w:rPr>
            </w:pPr>
          </w:p>
        </w:tc>
        <w:tc>
          <w:tcPr>
            <w:tcW w:w="112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120" w:type="dxa"/>
            <w:vAlign w:val="bottom"/>
            <w:tcBorders>
              <w:top w:val="single" w:sz="8" w:color="A6A6A6"/>
            </w:tcBorders>
          </w:tcPr>
          <w:p>
            <w:pPr>
              <w:spacing w:after="0"/>
              <w:rPr>
                <w:sz w:val="17"/>
                <w:szCs w:val="17"/>
                <w:color w:val="auto"/>
              </w:rPr>
            </w:pPr>
          </w:p>
        </w:tc>
        <w:tc>
          <w:tcPr>
            <w:tcW w:w="160" w:type="dxa"/>
            <w:vAlign w:val="bottom"/>
            <w:tcBorders>
              <w:top w:val="single" w:sz="8" w:color="A6A6A6"/>
            </w:tcBorders>
          </w:tcPr>
          <w:p>
            <w:pPr>
              <w:spacing w:after="0"/>
              <w:rPr>
                <w:sz w:val="17"/>
                <w:szCs w:val="17"/>
                <w:color w:val="auto"/>
              </w:rPr>
            </w:pPr>
          </w:p>
        </w:tc>
        <w:tc>
          <w:tcPr>
            <w:tcW w:w="80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4980" w:type="dxa"/>
            <w:vAlign w:val="bottom"/>
            <w:tcBorders>
              <w:bottom w:val="single" w:sz="8" w:color="A6A6A6"/>
            </w:tcBorders>
          </w:tcPr>
          <w:p>
            <w:pPr>
              <w:spacing w:after="0"/>
              <w:rPr>
                <w:sz w:val="2"/>
                <w:szCs w:val="2"/>
                <w:color w:val="auto"/>
              </w:rPr>
            </w:pPr>
          </w:p>
        </w:tc>
        <w:tc>
          <w:tcPr>
            <w:tcW w:w="28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78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6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40" w:type="dxa"/>
            <w:vAlign w:val="bottom"/>
            <w:tcBorders>
              <w:bottom w:val="single" w:sz="8" w:color="004483"/>
            </w:tcBorders>
            <w:shd w:val="clear" w:color="auto" w:fill="004483"/>
          </w:tcPr>
          <w:p>
            <w:pPr>
              <w:spacing w:after="0"/>
              <w:rPr>
                <w:sz w:val="2"/>
                <w:szCs w:val="2"/>
                <w:color w:val="auto"/>
              </w:rPr>
            </w:pPr>
          </w:p>
        </w:tc>
        <w:tc>
          <w:tcPr>
            <w:tcW w:w="112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6A6A6"/>
            </w:tcBorders>
          </w:tcPr>
          <w:p>
            <w:pPr>
              <w:spacing w:after="0"/>
              <w:rPr>
                <w:sz w:val="2"/>
                <w:szCs w:val="2"/>
                <w:color w:val="auto"/>
              </w:rPr>
            </w:pPr>
          </w:p>
        </w:tc>
        <w:tc>
          <w:tcPr>
            <w:tcW w:w="16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280" w:type="dxa"/>
            <w:vAlign w:val="bottom"/>
            <w:tcBorders>
              <w:bottom w:val="single" w:sz="8" w:color="004483"/>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409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004483"/>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1,310,286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(3,386</w:t>
            </w: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1,307,309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39"/>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Excess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4"/>
                <w:szCs w:val="14"/>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5"/>
                <w:szCs w:val="15"/>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980" w:type="dxa"/>
            <w:vAlign w:val="bottom"/>
            <w:tcBorders>
              <w:bottom w:val="single" w:sz="8" w:color="004483"/>
            </w:tcBorders>
          </w:tcPr>
          <w:p>
            <w:pPr>
              <w:spacing w:after="0"/>
              <w:rPr>
                <w:sz w:val="16"/>
                <w:szCs w:val="16"/>
                <w:color w:val="auto"/>
              </w:rPr>
            </w:pPr>
          </w:p>
        </w:tc>
        <w:tc>
          <w:tcPr>
            <w:tcW w:w="280" w:type="dxa"/>
            <w:vAlign w:val="bottom"/>
            <w:tcBorders>
              <w:bottom w:val="single" w:sz="8" w:color="004483"/>
            </w:tcBorders>
          </w:tcPr>
          <w:p>
            <w:pPr>
              <w:spacing w:after="0"/>
              <w:rPr>
                <w:sz w:val="16"/>
                <w:szCs w:val="16"/>
                <w:color w:val="auto"/>
              </w:rPr>
            </w:pPr>
          </w:p>
        </w:tc>
        <w:tc>
          <w:tcPr>
            <w:tcW w:w="80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200" w:type="dxa"/>
            <w:vAlign w:val="bottom"/>
            <w:tcBorders>
              <w:bottom w:val="single" w:sz="8" w:color="004483"/>
            </w:tcBorders>
          </w:tcPr>
          <w:p>
            <w:pPr>
              <w:spacing w:after="0"/>
              <w:rPr>
                <w:sz w:val="16"/>
                <w:szCs w:val="16"/>
                <w:color w:val="auto"/>
              </w:rPr>
            </w:pPr>
          </w:p>
        </w:tc>
        <w:tc>
          <w:tcPr>
            <w:tcW w:w="780" w:type="dxa"/>
            <w:vAlign w:val="bottom"/>
            <w:tcBorders>
              <w:bottom w:val="single" w:sz="8" w:color="004483"/>
            </w:tcBorders>
          </w:tcPr>
          <w:p>
            <w:pPr>
              <w:spacing w:after="0"/>
              <w:rPr>
                <w:sz w:val="16"/>
                <w:szCs w:val="16"/>
                <w:color w:val="auto"/>
              </w:rPr>
            </w:pPr>
          </w:p>
        </w:tc>
        <w:tc>
          <w:tcPr>
            <w:tcW w:w="100" w:type="dxa"/>
            <w:vAlign w:val="bottom"/>
            <w:tcBorders>
              <w:bottom w:val="single" w:sz="8" w:color="004483"/>
            </w:tcBorders>
          </w:tcPr>
          <w:p>
            <w:pPr>
              <w:spacing w:after="0"/>
              <w:rPr>
                <w:sz w:val="16"/>
                <w:szCs w:val="16"/>
                <w:color w:val="auto"/>
              </w:rPr>
            </w:pPr>
          </w:p>
        </w:tc>
        <w:tc>
          <w:tcPr>
            <w:tcW w:w="1300" w:type="dxa"/>
            <w:vAlign w:val="bottom"/>
            <w:tcBorders>
              <w:bottom w:val="single" w:sz="8" w:color="004483"/>
            </w:tcBorders>
            <w:gridSpan w:val="5"/>
          </w:tcPr>
          <w:p>
            <w:pPr>
              <w:ind w:left="60"/>
              <w:spacing w:after="0"/>
              <w:rPr>
                <w:sz w:val="20"/>
                <w:szCs w:val="20"/>
                <w:color w:val="auto"/>
              </w:rPr>
            </w:pPr>
            <w:r>
              <w:rPr>
                <w:rFonts w:ascii="Arial" w:cs="Arial" w:eastAsia="Arial" w:hAnsi="Arial"/>
                <w:sz w:val="13"/>
                <w:szCs w:val="13"/>
                <w:color w:val="auto"/>
                <w:w w:val="98"/>
              </w:rPr>
              <w:t>(dollars in thousands)</w:t>
            </w:r>
          </w:p>
        </w:tc>
        <w:tc>
          <w:tcPr>
            <w:tcW w:w="140" w:type="dxa"/>
            <w:vAlign w:val="bottom"/>
            <w:tcBorders>
              <w:bottom w:val="single" w:sz="8" w:color="004483"/>
            </w:tcBorders>
          </w:tcPr>
          <w:p>
            <w:pPr>
              <w:spacing w:after="0"/>
              <w:rPr>
                <w:sz w:val="16"/>
                <w:szCs w:val="16"/>
                <w:color w:val="auto"/>
              </w:rPr>
            </w:pPr>
          </w:p>
        </w:tc>
        <w:tc>
          <w:tcPr>
            <w:tcW w:w="1120" w:type="dxa"/>
            <w:vAlign w:val="bottom"/>
            <w:tcBorders>
              <w:bottom w:val="single" w:sz="8" w:color="004483"/>
            </w:tcBorders>
          </w:tcPr>
          <w:p>
            <w:pPr>
              <w:spacing w:after="0"/>
              <w:rPr>
                <w:sz w:val="16"/>
                <w:szCs w:val="16"/>
                <w:color w:val="auto"/>
              </w:rPr>
            </w:pPr>
          </w:p>
        </w:tc>
        <w:tc>
          <w:tcPr>
            <w:tcW w:w="10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800" w:type="dxa"/>
            <w:vAlign w:val="bottom"/>
            <w:tcBorders>
              <w:bottom w:val="single" w:sz="8" w:color="004483"/>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387</w:t>
            </w:r>
          </w:p>
        </w:tc>
        <w:tc>
          <w:tcPr>
            <w:tcW w:w="140" w:type="dxa"/>
            <w:vAlign w:val="bottom"/>
          </w:tcPr>
          <w:p>
            <w:pPr>
              <w:spacing w:after="0"/>
              <w:rPr>
                <w:sz w:val="17"/>
                <w:szCs w:val="17"/>
                <w:color w:val="auto"/>
              </w:rPr>
            </w:pP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1,136,344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(3,175 )</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1,133,556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Net Earnings</w:t>
            </w:r>
          </w:p>
        </w:tc>
        <w:tc>
          <w:tcPr>
            <w:tcW w:w="280" w:type="dxa"/>
            <w:vAlign w:val="bottom"/>
            <w:tcBorders>
              <w:top w:val="single" w:sz="8" w:color="A6A6A6"/>
              <w:bottom w:val="single" w:sz="8" w:color="A6A6A6"/>
            </w:tcBorders>
          </w:tcPr>
          <w:p>
            <w:pPr>
              <w:spacing w:after="0"/>
              <w:rPr>
                <w:sz w:val="16"/>
                <w:szCs w:val="16"/>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 w:type="dxa"/>
            <w:vAlign w:val="bottom"/>
            <w:tcBorders>
              <w:top w:val="single" w:sz="8" w:color="A6A6A6"/>
              <w:bottom w:val="single" w:sz="8" w:color="A6A6A6"/>
            </w:tcBorders>
          </w:tcPr>
          <w:p>
            <w:pPr>
              <w:spacing w:after="0"/>
              <w:rPr>
                <w:sz w:val="16"/>
                <w:szCs w:val="16"/>
                <w:color w:val="auto"/>
              </w:rPr>
            </w:pPr>
          </w:p>
        </w:tc>
        <w:tc>
          <w:tcPr>
            <w:tcW w:w="200" w:type="dxa"/>
            <w:vAlign w:val="bottom"/>
            <w:tcBorders>
              <w:top w:val="single" w:sz="8" w:color="A6A6A6"/>
              <w:bottom w:val="single" w:sz="8" w:color="A6A6A6"/>
            </w:tcBorders>
          </w:tcPr>
          <w:p>
            <w:pPr>
              <w:spacing w:after="0"/>
              <w:rPr>
                <w:sz w:val="16"/>
                <w:szCs w:val="16"/>
                <w:color w:val="auto"/>
              </w:rPr>
            </w:pPr>
          </w:p>
        </w:tc>
        <w:tc>
          <w:tcPr>
            <w:tcW w:w="7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6A6A6"/>
              <w:bottom w:val="single" w:sz="8" w:color="A6A6A6"/>
            </w:tcBorders>
          </w:tcPr>
          <w:p>
            <w:pPr>
              <w:spacing w:after="0"/>
              <w:rPr>
                <w:sz w:val="16"/>
                <w:szCs w:val="16"/>
                <w:color w:val="auto"/>
              </w:rPr>
            </w:pPr>
          </w:p>
        </w:tc>
        <w:tc>
          <w:tcPr>
            <w:tcW w:w="160" w:type="dxa"/>
            <w:vAlign w:val="bottom"/>
            <w:tcBorders>
              <w:top w:val="single" w:sz="8" w:color="A6A6A6"/>
              <w:bottom w:val="single" w:sz="8" w:color="A6A6A6"/>
            </w:tcBorders>
          </w:tcPr>
          <w:p>
            <w:pPr>
              <w:spacing w:after="0"/>
              <w:rPr>
                <w:sz w:val="16"/>
                <w:szCs w:val="16"/>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105,005</w:t>
            </w:r>
          </w:p>
        </w:tc>
        <w:tc>
          <w:tcPr>
            <w:tcW w:w="100" w:type="dxa"/>
            <w:vAlign w:val="bottom"/>
          </w:tcPr>
          <w:p>
            <w:pPr>
              <w:spacing w:after="0"/>
              <w:rPr>
                <w:sz w:val="16"/>
                <w:szCs w:val="16"/>
                <w:color w:val="auto"/>
              </w:rPr>
            </w:pPr>
          </w:p>
        </w:tc>
        <w:tc>
          <w:tcPr>
            <w:tcW w:w="120" w:type="dxa"/>
            <w:vAlign w:val="bottom"/>
            <w:tcBorders>
              <w:top w:val="single" w:sz="8" w:color="A6A6A6"/>
              <w:bottom w:val="single" w:sz="8" w:color="A6A6A6"/>
            </w:tcBorders>
          </w:tcPr>
          <w:p>
            <w:pPr>
              <w:spacing w:after="0"/>
              <w:rPr>
                <w:sz w:val="16"/>
                <w:szCs w:val="16"/>
                <w:color w:val="auto"/>
              </w:rPr>
            </w:pPr>
          </w:p>
        </w:tc>
        <w:tc>
          <w:tcPr>
            <w:tcW w:w="140" w:type="dxa"/>
            <w:vAlign w:val="bottom"/>
            <w:tcBorders>
              <w:top w:val="single" w:sz="8" w:color="A6A6A6"/>
              <w:bottom w:val="single" w:sz="8" w:color="A6A6A6"/>
            </w:tcBorders>
          </w:tcPr>
          <w:p>
            <w:pPr>
              <w:spacing w:after="0"/>
              <w:rPr>
                <w:sz w:val="16"/>
                <w:szCs w:val="16"/>
                <w:color w:val="auto"/>
              </w:rPr>
            </w:pPr>
          </w:p>
        </w:tc>
        <w:tc>
          <w:tcPr>
            <w:tcW w:w="11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Borders>
              <w:top w:val="single" w:sz="8" w:color="A6A6A6"/>
              <w:bottom w:val="single" w:sz="8" w:color="A6A6A6"/>
            </w:tcBorders>
          </w:tcPr>
          <w:p>
            <w:pPr>
              <w:spacing w:after="0"/>
              <w:rPr>
                <w:sz w:val="16"/>
                <w:szCs w:val="16"/>
                <w:color w:val="auto"/>
              </w:rPr>
            </w:pPr>
          </w:p>
        </w:tc>
        <w:tc>
          <w:tcPr>
            <w:tcW w:w="160" w:type="dxa"/>
            <w:vAlign w:val="bottom"/>
            <w:tcBorders>
              <w:top w:val="single" w:sz="8" w:color="A6A6A6"/>
              <w:bottom w:val="single" w:sz="8" w:color="A6A6A6"/>
            </w:tcBorders>
          </w:tcPr>
          <w:p>
            <w:pPr>
              <w:spacing w:after="0"/>
              <w:rPr>
                <w:sz w:val="16"/>
                <w:szCs w:val="16"/>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105,005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8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5,146</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5,146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Exercises and Restricted Share Issuances</w:t>
            </w:r>
          </w:p>
        </w:tc>
        <w:tc>
          <w:tcPr>
            <w:tcW w:w="28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(1,497 )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(1,497 )</w:t>
            </w:r>
          </w:p>
        </w:tc>
        <w:tc>
          <w:tcPr>
            <w:tcW w:w="0" w:type="dxa"/>
            <w:vAlign w:val="bottom"/>
          </w:tcPr>
          <w:p>
            <w:pPr>
              <w:spacing w:after="0"/>
              <w:rPr>
                <w:sz w:val="1"/>
                <w:szCs w:val="1"/>
                <w:color w:val="auto"/>
              </w:rPr>
            </w:pPr>
          </w:p>
        </w:tc>
      </w:tr>
      <w:tr>
        <w:trPr>
          <w:trHeight w:val="20"/>
        </w:trPr>
        <w:tc>
          <w:tcPr>
            <w:tcW w:w="498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(8 )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(4,315 )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(105,289 )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(109,612 )</w:t>
            </w:r>
          </w:p>
        </w:tc>
        <w:tc>
          <w:tcPr>
            <w:tcW w:w="0" w:type="dxa"/>
            <w:vAlign w:val="bottom"/>
          </w:tcPr>
          <w:p>
            <w:pPr>
              <w:spacing w:after="0"/>
              <w:rPr>
                <w:sz w:val="1"/>
                <w:szCs w:val="1"/>
                <w:color w:val="auto"/>
              </w:rPr>
            </w:pPr>
          </w:p>
        </w:tc>
      </w:tr>
      <w:tr>
        <w:trPr>
          <w:trHeight w:val="20"/>
        </w:trPr>
        <w:tc>
          <w:tcPr>
            <w:tcW w:w="498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Pr>
          <w:p>
            <w:pPr>
              <w:ind w:left="20"/>
              <w:spacing w:after="0"/>
              <w:rPr>
                <w:sz w:val="20"/>
                <w:szCs w:val="20"/>
                <w:color w:val="auto"/>
              </w:rPr>
            </w:pPr>
            <w:r>
              <w:rPr>
                <w:rFonts w:ascii="Arial" w:cs="Arial" w:eastAsia="Arial" w:hAnsi="Arial"/>
                <w:sz w:val="16"/>
                <w:szCs w:val="16"/>
                <w:color w:val="004483"/>
              </w:rPr>
              <w:t>Dividends to Shareholders</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(9,507 )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(9,507 )</w:t>
            </w:r>
          </w:p>
        </w:tc>
        <w:tc>
          <w:tcPr>
            <w:tcW w:w="0" w:type="dxa"/>
            <w:vAlign w:val="bottom"/>
          </w:tcPr>
          <w:p>
            <w:pPr>
              <w:spacing w:after="0"/>
              <w:rPr>
                <w:sz w:val="1"/>
                <w:szCs w:val="1"/>
                <w:color w:val="auto"/>
              </w:rPr>
            </w:pPr>
          </w:p>
        </w:tc>
      </w:tr>
      <w:tr>
        <w:trPr>
          <w:trHeight w:val="196"/>
        </w:trPr>
        <w:tc>
          <w:tcPr>
            <w:tcW w:w="4980" w:type="dxa"/>
            <w:vAlign w:val="bottom"/>
            <w:tcBorders>
              <w:top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80" w:type="dxa"/>
            <w:vAlign w:val="bottom"/>
            <w:tcBorders>
              <w:top w:val="single" w:sz="8" w:color="A6A6A6"/>
            </w:tcBorders>
          </w:tcPr>
          <w:p>
            <w:pPr>
              <w:spacing w:after="0"/>
              <w:rPr>
                <w:sz w:val="17"/>
                <w:szCs w:val="17"/>
                <w:color w:val="auto"/>
              </w:rPr>
            </w:pPr>
          </w:p>
        </w:tc>
        <w:tc>
          <w:tcPr>
            <w:tcW w:w="80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Borders>
              <w:top w:val="single" w:sz="8" w:color="A6A6A6"/>
            </w:tcBorders>
          </w:tcPr>
          <w:p>
            <w:pPr>
              <w:spacing w:after="0"/>
              <w:rPr>
                <w:sz w:val="17"/>
                <w:szCs w:val="17"/>
                <w:color w:val="auto"/>
              </w:rPr>
            </w:pPr>
          </w:p>
        </w:tc>
        <w:tc>
          <w:tcPr>
            <w:tcW w:w="200" w:type="dxa"/>
            <w:vAlign w:val="bottom"/>
            <w:tcBorders>
              <w:top w:val="single" w:sz="8" w:color="A6A6A6"/>
            </w:tcBorders>
          </w:tcPr>
          <w:p>
            <w:pPr>
              <w:spacing w:after="0"/>
              <w:rPr>
                <w:sz w:val="17"/>
                <w:szCs w:val="17"/>
                <w:color w:val="auto"/>
              </w:rPr>
            </w:pPr>
          </w:p>
        </w:tc>
        <w:tc>
          <w:tcPr>
            <w:tcW w:w="78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6A6A6"/>
            </w:tcBorders>
          </w:tcPr>
          <w:p>
            <w:pPr>
              <w:spacing w:after="0"/>
              <w:rPr>
                <w:sz w:val="17"/>
                <w:szCs w:val="17"/>
                <w:color w:val="auto"/>
              </w:rPr>
            </w:pPr>
          </w:p>
        </w:tc>
        <w:tc>
          <w:tcPr>
            <w:tcW w:w="160" w:type="dxa"/>
            <w:vAlign w:val="bottom"/>
            <w:tcBorders>
              <w:top w:val="single" w:sz="8" w:color="A6A6A6"/>
            </w:tcBorders>
          </w:tcPr>
          <w:p>
            <w:pPr>
              <w:spacing w:after="0"/>
              <w:rPr>
                <w:sz w:val="17"/>
                <w:szCs w:val="17"/>
                <w:color w:val="auto"/>
              </w:rPr>
            </w:pPr>
          </w:p>
        </w:tc>
        <w:tc>
          <w:tcPr>
            <w:tcW w:w="80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6A6A6"/>
            </w:tcBorders>
          </w:tcPr>
          <w:p>
            <w:pPr>
              <w:spacing w:after="0"/>
              <w:rPr>
                <w:sz w:val="17"/>
                <w:szCs w:val="17"/>
                <w:color w:val="auto"/>
              </w:rPr>
            </w:pPr>
          </w:p>
        </w:tc>
        <w:tc>
          <w:tcPr>
            <w:tcW w:w="140" w:type="dxa"/>
            <w:vAlign w:val="bottom"/>
            <w:tcBorders>
              <w:top w:val="single" w:sz="8" w:color="A6A6A6"/>
            </w:tcBorders>
          </w:tcPr>
          <w:p>
            <w:pPr>
              <w:spacing w:after="0"/>
              <w:rPr>
                <w:sz w:val="17"/>
                <w:szCs w:val="17"/>
                <w:color w:val="auto"/>
              </w:rPr>
            </w:pPr>
          </w:p>
        </w:tc>
        <w:tc>
          <w:tcPr>
            <w:tcW w:w="112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20" w:type="dxa"/>
            <w:vAlign w:val="bottom"/>
            <w:tcBorders>
              <w:top w:val="single" w:sz="8" w:color="A6A6A6"/>
            </w:tcBorders>
          </w:tcPr>
          <w:p>
            <w:pPr>
              <w:spacing w:after="0"/>
              <w:rPr>
                <w:sz w:val="17"/>
                <w:szCs w:val="17"/>
                <w:color w:val="auto"/>
              </w:rPr>
            </w:pPr>
          </w:p>
        </w:tc>
        <w:tc>
          <w:tcPr>
            <w:tcW w:w="160" w:type="dxa"/>
            <w:vAlign w:val="bottom"/>
            <w:tcBorders>
              <w:top w:val="single" w:sz="8" w:color="A6A6A6"/>
            </w:tcBorders>
          </w:tcPr>
          <w:p>
            <w:pPr>
              <w:spacing w:after="0"/>
              <w:rPr>
                <w:sz w:val="17"/>
                <w:szCs w:val="17"/>
                <w:color w:val="auto"/>
              </w:rPr>
            </w:pPr>
          </w:p>
        </w:tc>
        <w:tc>
          <w:tcPr>
            <w:tcW w:w="80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4980" w:type="dxa"/>
            <w:vAlign w:val="bottom"/>
            <w:tcBorders>
              <w:bottom w:val="single" w:sz="8" w:color="A6A6A6"/>
            </w:tcBorders>
          </w:tcPr>
          <w:p>
            <w:pPr>
              <w:spacing w:after="0"/>
              <w:rPr>
                <w:sz w:val="2"/>
                <w:szCs w:val="2"/>
                <w:color w:val="auto"/>
              </w:rPr>
            </w:pPr>
          </w:p>
        </w:tc>
        <w:tc>
          <w:tcPr>
            <w:tcW w:w="28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78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6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40" w:type="dxa"/>
            <w:vAlign w:val="bottom"/>
            <w:tcBorders>
              <w:bottom w:val="single" w:sz="8" w:color="004483"/>
            </w:tcBorders>
            <w:shd w:val="clear" w:color="auto" w:fill="004483"/>
          </w:tcPr>
          <w:p>
            <w:pPr>
              <w:spacing w:after="0"/>
              <w:rPr>
                <w:sz w:val="2"/>
                <w:szCs w:val="2"/>
                <w:color w:val="auto"/>
              </w:rPr>
            </w:pPr>
          </w:p>
        </w:tc>
        <w:tc>
          <w:tcPr>
            <w:tcW w:w="112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6A6A6"/>
            </w:tcBorders>
          </w:tcPr>
          <w:p>
            <w:pPr>
              <w:spacing w:after="0"/>
              <w:rPr>
                <w:sz w:val="2"/>
                <w:szCs w:val="2"/>
                <w:color w:val="auto"/>
              </w:rPr>
            </w:pPr>
          </w:p>
        </w:tc>
        <w:tc>
          <w:tcPr>
            <w:tcW w:w="16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280" w:type="dxa"/>
            <w:vAlign w:val="bottom"/>
            <w:tcBorders>
              <w:bottom w:val="single" w:sz="8" w:color="004483"/>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380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004483"/>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1,126,553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(3,152</w:t>
            </w: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1,123,781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Borders>
              <w:bottom w:val="single" w:sz="8" w:color="A6A6A6"/>
            </w:tcBorders>
          </w:tcPr>
          <w:p>
            <w:pPr>
              <w:spacing w:after="0" w:line="20" w:lineRule="exact"/>
              <w:rPr>
                <w:sz w:val="1"/>
                <w:szCs w:val="1"/>
                <w:color w:val="auto"/>
              </w:rPr>
            </w:pPr>
          </w:p>
        </w:tc>
        <w:tc>
          <w:tcPr>
            <w:tcW w:w="28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7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12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980" w:type="dxa"/>
            <w:vAlign w:val="bottom"/>
            <w:tcBorders>
              <w:bottom w:val="single" w:sz="8" w:color="A6A6A6"/>
            </w:tcBorders>
          </w:tcPr>
          <w:p>
            <w:pPr>
              <w:ind w:left="20"/>
              <w:spacing w:after="0" w:line="180" w:lineRule="exact"/>
              <w:rPr>
                <w:sz w:val="20"/>
                <w:szCs w:val="20"/>
                <w:color w:val="auto"/>
              </w:rPr>
            </w:pPr>
            <w:r>
              <w:rPr>
                <w:rFonts w:ascii="Arial" w:cs="Arial" w:eastAsia="Arial" w:hAnsi="Arial"/>
                <w:sz w:val="16"/>
                <w:szCs w:val="16"/>
                <w:color w:val="004483"/>
              </w:rPr>
              <w:t>Net Earnings</w:t>
            </w:r>
          </w:p>
        </w:tc>
        <w:tc>
          <w:tcPr>
            <w:tcW w:w="28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200" w:type="dxa"/>
            <w:vAlign w:val="bottom"/>
            <w:tcBorders>
              <w:bottom w:val="single" w:sz="8" w:color="A6A6A6"/>
            </w:tcBorders>
          </w:tcPr>
          <w:p>
            <w:pPr>
              <w:spacing w:after="0"/>
              <w:rPr>
                <w:sz w:val="15"/>
                <w:szCs w:val="15"/>
                <w:color w:val="auto"/>
              </w:rPr>
            </w:pPr>
          </w:p>
        </w:tc>
        <w:tc>
          <w:tcPr>
            <w:tcW w:w="780" w:type="dxa"/>
            <w:vAlign w:val="bottom"/>
            <w:tcBorders>
              <w:bottom w:val="single" w:sz="8" w:color="A6A6A6"/>
            </w:tcBorders>
          </w:tcPr>
          <w:p>
            <w:pPr>
              <w:jc w:val="right"/>
              <w:spacing w:after="0" w:line="180"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0" w:lineRule="exact"/>
              <w:rPr>
                <w:sz w:val="20"/>
                <w:szCs w:val="20"/>
                <w:color w:val="auto"/>
              </w:rPr>
            </w:pPr>
            <w:r>
              <w:rPr>
                <w:rFonts w:ascii="Arial" w:cs="Arial" w:eastAsia="Arial" w:hAnsi="Arial"/>
                <w:sz w:val="16"/>
                <w:szCs w:val="16"/>
                <w:color w:val="auto"/>
              </w:rPr>
              <w:t>138,995</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120" w:type="dxa"/>
            <w:vAlign w:val="bottom"/>
            <w:tcBorders>
              <w:bottom w:val="single" w:sz="8" w:color="A6A6A6"/>
            </w:tcBorders>
          </w:tcPr>
          <w:p>
            <w:pPr>
              <w:jc w:val="right"/>
              <w:spacing w:after="0" w:line="180"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60" w:type="dxa"/>
            <w:vAlign w:val="bottom"/>
            <w:tcBorders>
              <w:bottom w:val="single" w:sz="8" w:color="A6A6A6"/>
            </w:tcBorders>
          </w:tcPr>
          <w:p>
            <w:pPr>
              <w:spacing w:after="0"/>
              <w:rPr>
                <w:sz w:val="15"/>
                <w:szCs w:val="15"/>
                <w:color w:val="auto"/>
              </w:rPr>
            </w:pPr>
          </w:p>
        </w:tc>
        <w:tc>
          <w:tcPr>
            <w:tcW w:w="800" w:type="dxa"/>
            <w:vAlign w:val="bottom"/>
            <w:tcBorders>
              <w:bottom w:val="single" w:sz="8" w:color="A6A6A6"/>
            </w:tcBorders>
          </w:tcPr>
          <w:p>
            <w:pPr>
              <w:jc w:val="right"/>
              <w:spacing w:after="0" w:line="180" w:lineRule="exact"/>
              <w:rPr>
                <w:sz w:val="20"/>
                <w:szCs w:val="20"/>
                <w:color w:val="auto"/>
              </w:rPr>
            </w:pPr>
            <w:r>
              <w:rPr>
                <w:rFonts w:ascii="Arial" w:cs="Arial" w:eastAsia="Arial" w:hAnsi="Arial"/>
                <w:sz w:val="16"/>
                <w:szCs w:val="16"/>
                <w:color w:val="auto"/>
              </w:rPr>
              <w:t>138,995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Compensation Expense</w:t>
            </w:r>
          </w:p>
        </w:tc>
        <w:tc>
          <w:tcPr>
            <w:tcW w:w="28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4,402</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4,402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Stock Option Exercise and Restricted Share Issuances</w:t>
            </w:r>
          </w:p>
        </w:tc>
        <w:tc>
          <w:tcPr>
            <w:tcW w:w="28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8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rPr>
                <w:sz w:val="20"/>
                <w:szCs w:val="20"/>
                <w:color w:val="auto"/>
              </w:rPr>
            </w:pPr>
            <w:r>
              <w:rPr>
                <w:rFonts w:ascii="Arial" w:cs="Arial" w:eastAsia="Arial" w:hAnsi="Arial"/>
                <w:sz w:val="16"/>
                <w:szCs w:val="16"/>
                <w:color w:val="004483"/>
              </w:rPr>
              <w:t>Shares Redeemed to Settle Employee Taxes</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(309 )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(309 )</w:t>
            </w:r>
          </w:p>
        </w:tc>
        <w:tc>
          <w:tcPr>
            <w:tcW w:w="0" w:type="dxa"/>
            <w:vAlign w:val="bottom"/>
          </w:tcPr>
          <w:p>
            <w:pPr>
              <w:spacing w:after="0"/>
              <w:rPr>
                <w:sz w:val="1"/>
                <w:szCs w:val="1"/>
                <w:color w:val="auto"/>
              </w:rPr>
            </w:pPr>
          </w:p>
        </w:tc>
      </w:tr>
      <w:tr>
        <w:trPr>
          <w:trHeight w:val="20"/>
        </w:trPr>
        <w:tc>
          <w:tcPr>
            <w:tcW w:w="498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Pr>
          <w:p>
            <w:pPr>
              <w:ind w:left="20"/>
              <w:spacing w:after="0"/>
              <w:rPr>
                <w:sz w:val="20"/>
                <w:szCs w:val="20"/>
                <w:color w:val="auto"/>
              </w:rPr>
            </w:pPr>
            <w:r>
              <w:rPr>
                <w:rFonts w:ascii="Arial" w:cs="Arial" w:eastAsia="Arial" w:hAnsi="Arial"/>
                <w:sz w:val="16"/>
                <w:szCs w:val="16"/>
                <w:color w:val="004483"/>
              </w:rPr>
              <w:t>Purchase and Retirement of Common Stock</w:t>
            </w:r>
          </w:p>
        </w:tc>
        <w:tc>
          <w:tcPr>
            <w:tcW w:w="2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(4,161 )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(96,616 )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(100,786 )</w:t>
            </w:r>
          </w:p>
        </w:tc>
        <w:tc>
          <w:tcPr>
            <w:tcW w:w="0" w:type="dxa"/>
            <w:vAlign w:val="bottom"/>
          </w:tcPr>
          <w:p>
            <w:pPr>
              <w:spacing w:after="0"/>
              <w:rPr>
                <w:sz w:val="1"/>
                <w:szCs w:val="1"/>
                <w:color w:val="auto"/>
              </w:rPr>
            </w:pPr>
          </w:p>
        </w:tc>
      </w:tr>
      <w:tr>
        <w:trPr>
          <w:trHeight w:val="20"/>
        </w:trPr>
        <w:tc>
          <w:tcPr>
            <w:tcW w:w="4980" w:type="dxa"/>
            <w:vAlign w:val="bottom"/>
            <w:shd w:val="clear" w:color="auto" w:fill="A6A6A6"/>
          </w:tcPr>
          <w:p>
            <w:pPr>
              <w:spacing w:after="0" w:line="20" w:lineRule="exact"/>
              <w:rPr>
                <w:sz w:val="1"/>
                <w:szCs w:val="1"/>
                <w:color w:val="auto"/>
              </w:rPr>
            </w:pPr>
          </w:p>
        </w:tc>
        <w:tc>
          <w:tcPr>
            <w:tcW w:w="28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tcPr>
          <w:p>
            <w:pPr>
              <w:ind w:left="20"/>
              <w:spacing w:after="0"/>
              <w:rPr>
                <w:sz w:val="20"/>
                <w:szCs w:val="20"/>
                <w:color w:val="auto"/>
              </w:rPr>
            </w:pPr>
            <w:r>
              <w:rPr>
                <w:rFonts w:ascii="Arial" w:cs="Arial" w:eastAsia="Arial" w:hAnsi="Arial"/>
                <w:sz w:val="16"/>
                <w:szCs w:val="16"/>
                <w:color w:val="004483"/>
              </w:rPr>
              <w:t>Dividends to Shareholders</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(9,471 )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(9,471 )</w:t>
            </w:r>
          </w:p>
        </w:tc>
        <w:tc>
          <w:tcPr>
            <w:tcW w:w="0" w:type="dxa"/>
            <w:vAlign w:val="bottom"/>
          </w:tcPr>
          <w:p>
            <w:pPr>
              <w:spacing w:after="0"/>
              <w:rPr>
                <w:sz w:val="1"/>
                <w:szCs w:val="1"/>
                <w:color w:val="auto"/>
              </w:rPr>
            </w:pPr>
          </w:p>
        </w:tc>
      </w:tr>
      <w:tr>
        <w:trPr>
          <w:trHeight w:val="196"/>
        </w:trPr>
        <w:tc>
          <w:tcPr>
            <w:tcW w:w="4980" w:type="dxa"/>
            <w:vAlign w:val="bottom"/>
            <w:tcBorders>
              <w:top w:val="single" w:sz="8" w:color="A6A6A6"/>
            </w:tcBorders>
          </w:tcPr>
          <w:p>
            <w:pPr>
              <w:ind w:left="20"/>
              <w:spacing w:after="0"/>
              <w:rPr>
                <w:sz w:val="20"/>
                <w:szCs w:val="20"/>
                <w:color w:val="auto"/>
              </w:rPr>
            </w:pPr>
            <w:r>
              <w:rPr>
                <w:rFonts w:ascii="Arial" w:cs="Arial" w:eastAsia="Arial" w:hAnsi="Arial"/>
                <w:sz w:val="16"/>
                <w:szCs w:val="16"/>
                <w:color w:val="004483"/>
              </w:rPr>
              <w:t>Unfunded Pension Liability, net of tax</w:t>
            </w:r>
          </w:p>
        </w:tc>
        <w:tc>
          <w:tcPr>
            <w:tcW w:w="280" w:type="dxa"/>
            <w:vAlign w:val="bottom"/>
            <w:tcBorders>
              <w:top w:val="single" w:sz="8" w:color="A6A6A6"/>
            </w:tcBorders>
          </w:tcPr>
          <w:p>
            <w:pPr>
              <w:spacing w:after="0"/>
              <w:rPr>
                <w:sz w:val="17"/>
                <w:szCs w:val="17"/>
                <w:color w:val="auto"/>
              </w:rPr>
            </w:pPr>
          </w:p>
        </w:tc>
        <w:tc>
          <w:tcPr>
            <w:tcW w:w="80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Borders>
              <w:top w:val="single" w:sz="8" w:color="A6A6A6"/>
            </w:tcBorders>
          </w:tcPr>
          <w:p>
            <w:pPr>
              <w:spacing w:after="0"/>
              <w:rPr>
                <w:sz w:val="17"/>
                <w:szCs w:val="17"/>
                <w:color w:val="auto"/>
              </w:rPr>
            </w:pPr>
          </w:p>
        </w:tc>
        <w:tc>
          <w:tcPr>
            <w:tcW w:w="200" w:type="dxa"/>
            <w:vAlign w:val="bottom"/>
            <w:tcBorders>
              <w:top w:val="single" w:sz="8" w:color="A6A6A6"/>
            </w:tcBorders>
          </w:tcPr>
          <w:p>
            <w:pPr>
              <w:spacing w:after="0"/>
              <w:rPr>
                <w:sz w:val="17"/>
                <w:szCs w:val="17"/>
                <w:color w:val="auto"/>
              </w:rPr>
            </w:pPr>
          </w:p>
        </w:tc>
        <w:tc>
          <w:tcPr>
            <w:tcW w:w="78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6A6A6"/>
            </w:tcBorders>
          </w:tcPr>
          <w:p>
            <w:pPr>
              <w:spacing w:after="0"/>
              <w:rPr>
                <w:sz w:val="17"/>
                <w:szCs w:val="17"/>
                <w:color w:val="auto"/>
              </w:rPr>
            </w:pPr>
          </w:p>
        </w:tc>
        <w:tc>
          <w:tcPr>
            <w:tcW w:w="160" w:type="dxa"/>
            <w:vAlign w:val="bottom"/>
            <w:tcBorders>
              <w:top w:val="single" w:sz="8" w:color="A6A6A6"/>
            </w:tcBorders>
          </w:tcPr>
          <w:p>
            <w:pPr>
              <w:spacing w:after="0"/>
              <w:rPr>
                <w:sz w:val="17"/>
                <w:szCs w:val="17"/>
                <w:color w:val="auto"/>
              </w:rPr>
            </w:pPr>
          </w:p>
        </w:tc>
        <w:tc>
          <w:tcPr>
            <w:tcW w:w="80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top w:val="single" w:sz="8" w:color="A6A6A6"/>
            </w:tcBorders>
          </w:tcPr>
          <w:p>
            <w:pPr>
              <w:spacing w:after="0"/>
              <w:rPr>
                <w:sz w:val="17"/>
                <w:szCs w:val="17"/>
                <w:color w:val="auto"/>
              </w:rPr>
            </w:pPr>
          </w:p>
        </w:tc>
        <w:tc>
          <w:tcPr>
            <w:tcW w:w="140" w:type="dxa"/>
            <w:vAlign w:val="bottom"/>
            <w:tcBorders>
              <w:top w:val="single" w:sz="8" w:color="A6A6A6"/>
            </w:tcBorders>
          </w:tcPr>
          <w:p>
            <w:pPr>
              <w:spacing w:after="0"/>
              <w:rPr>
                <w:sz w:val="17"/>
                <w:szCs w:val="17"/>
                <w:color w:val="auto"/>
              </w:rPr>
            </w:pPr>
          </w:p>
        </w:tc>
        <w:tc>
          <w:tcPr>
            <w:tcW w:w="112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120" w:type="dxa"/>
            <w:vAlign w:val="bottom"/>
            <w:tcBorders>
              <w:top w:val="single" w:sz="8" w:color="A6A6A6"/>
            </w:tcBorders>
          </w:tcPr>
          <w:p>
            <w:pPr>
              <w:spacing w:after="0"/>
              <w:rPr>
                <w:sz w:val="17"/>
                <w:szCs w:val="17"/>
                <w:color w:val="auto"/>
              </w:rPr>
            </w:pPr>
          </w:p>
        </w:tc>
        <w:tc>
          <w:tcPr>
            <w:tcW w:w="160" w:type="dxa"/>
            <w:vAlign w:val="bottom"/>
            <w:tcBorders>
              <w:top w:val="single" w:sz="8" w:color="A6A6A6"/>
            </w:tcBorders>
          </w:tcPr>
          <w:p>
            <w:pPr>
              <w:spacing w:after="0"/>
              <w:rPr>
                <w:sz w:val="17"/>
                <w:szCs w:val="17"/>
                <w:color w:val="auto"/>
              </w:rPr>
            </w:pPr>
          </w:p>
        </w:tc>
        <w:tc>
          <w:tcPr>
            <w:tcW w:w="80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4980" w:type="dxa"/>
            <w:vAlign w:val="bottom"/>
            <w:tcBorders>
              <w:bottom w:val="single" w:sz="8" w:color="A6A6A6"/>
            </w:tcBorders>
          </w:tcPr>
          <w:p>
            <w:pPr>
              <w:spacing w:after="0"/>
              <w:rPr>
                <w:sz w:val="2"/>
                <w:szCs w:val="2"/>
                <w:color w:val="auto"/>
              </w:rPr>
            </w:pPr>
          </w:p>
        </w:tc>
        <w:tc>
          <w:tcPr>
            <w:tcW w:w="28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78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6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40" w:type="dxa"/>
            <w:vAlign w:val="bottom"/>
            <w:tcBorders>
              <w:bottom w:val="single" w:sz="8" w:color="004483"/>
            </w:tcBorders>
            <w:shd w:val="clear" w:color="auto" w:fill="004483"/>
          </w:tcPr>
          <w:p>
            <w:pPr>
              <w:spacing w:after="0"/>
              <w:rPr>
                <w:sz w:val="2"/>
                <w:szCs w:val="2"/>
                <w:color w:val="auto"/>
              </w:rPr>
            </w:pPr>
          </w:p>
        </w:tc>
        <w:tc>
          <w:tcPr>
            <w:tcW w:w="112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6A6A6"/>
            </w:tcBorders>
          </w:tcPr>
          <w:p>
            <w:pPr>
              <w:spacing w:after="0"/>
              <w:rPr>
                <w:sz w:val="2"/>
                <w:szCs w:val="2"/>
                <w:color w:val="auto"/>
              </w:rPr>
            </w:pPr>
          </w:p>
        </w:tc>
        <w:tc>
          <w:tcPr>
            <w:tcW w:w="16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2022</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1,159,461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(3,128</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1,156,704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-6985</wp:posOffset>
            </wp:positionV>
            <wp:extent cx="39090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See notes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-127635</wp:posOffset>
            </wp:positionV>
            <wp:extent cx="39090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7" w:name="page8"/>
    <w:bookmarkEnd w:id="7"/>
    <w:p>
      <w:pPr>
        <w:spacing w:after="0"/>
        <w:rPr>
          <w:sz w:val="20"/>
          <w:szCs w:val="20"/>
          <w:color w:val="auto"/>
        </w:rPr>
      </w:pPr>
      <w:r>
        <w:rPr>
          <w:rFonts w:ascii="Arial" w:cs="Arial" w:eastAsia="Arial" w:hAnsi="Arial"/>
          <w:sz w:val="23"/>
          <w:szCs w:val="23"/>
          <w:b w:val="1"/>
          <w:bCs w:val="1"/>
          <w:color w:val="auto"/>
        </w:rPr>
        <w:t>Eagle Materials Inc. and Subsidiaries</w:t>
      </w:r>
    </w:p>
    <w:p>
      <w:pPr>
        <w:spacing w:after="0" w:line="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BASIS OF PRESENTATION</w:t>
      </w:r>
    </w:p>
    <w:p>
      <w:pPr>
        <w:spacing w:after="0" w:line="134"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The accompanying Unaudited Consolidated Financial Statements as of and for the three and six months ended September 30, 2022, include the accounts of Eagle Materials Inc. and its majority-owned subsidiaries (collectively, the Company, us, or we) and have been prepared by the Company, without audit, pursuant to the rules and regulations of the Securities and Exchange Commission. These Unaudited Consolidated Financial Statements should be read in conjunction with the audited consolidated financial statements and the notes thereto included in our Annual Report on Form 10-K filed with the Securities and Exchange Commission on May 20, 2022.</w:t>
      </w:r>
    </w:p>
    <w:p>
      <w:pPr>
        <w:spacing w:after="0" w:line="98"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generally accepted accounting principles have been condensed or omitted pursuant to such rules and regulations, although we believe that the disclosures are adequate to make the information presented not misleading. In our opinion, all adjustments (consisting solely of normal recurring adjustments) necessary to present fairly the information in the following Unaudited Consolidated Financial Statements of the Company have been included. The results of operations for interim periods are not necessarily indicative of the results for the full year.</w:t>
      </w:r>
    </w:p>
    <w:p>
      <w:pPr>
        <w:spacing w:after="0" w:line="98"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Actual results could differ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recent accounting pronouncements that are expected to materially affect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 SUPPLEMENTAL CASH FLOW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is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340" w:type="dxa"/>
            <w:vAlign w:val="bottom"/>
            <w:shd w:val="clear" w:color="auto" w:fill="004483"/>
          </w:tcPr>
          <w:p>
            <w:pPr>
              <w:spacing w:after="0"/>
              <w:rPr>
                <w:sz w:val="18"/>
                <w:szCs w:val="18"/>
                <w:color w:val="auto"/>
              </w:rPr>
            </w:pPr>
          </w:p>
        </w:tc>
        <w:tc>
          <w:tcPr>
            <w:tcW w:w="2760" w:type="dxa"/>
            <w:vAlign w:val="bottom"/>
            <w:gridSpan w:val="3"/>
            <w:shd w:val="clear" w:color="auto" w:fill="004483"/>
          </w:tcPr>
          <w:p>
            <w:pPr>
              <w:jc w:val="center"/>
              <w:ind w:left="128"/>
              <w:spacing w:after="0"/>
              <w:rPr>
                <w:sz w:val="20"/>
                <w:szCs w:val="20"/>
                <w:color w:val="auto"/>
              </w:rPr>
            </w:pPr>
            <w:r>
              <w:rPr>
                <w:rFonts w:ascii="Arial" w:cs="Arial" w:eastAsia="Arial" w:hAnsi="Arial"/>
                <w:sz w:val="13"/>
                <w:szCs w:val="13"/>
                <w:b w:val="1"/>
                <w:bCs w:val="1"/>
                <w:color w:val="FFFFFF"/>
                <w:w w:val="96"/>
              </w:rPr>
              <w:t>For the Six Months Ended September 30,</w:t>
            </w:r>
          </w:p>
        </w:tc>
        <w:tc>
          <w:tcPr>
            <w:tcW w:w="560" w:type="dxa"/>
            <w:vAlign w:val="bottom"/>
            <w:shd w:val="clear" w:color="auto" w:fill="004483"/>
          </w:tcPr>
          <w:p>
            <w:pPr>
              <w:spacing w:after="0"/>
              <w:rPr>
                <w:sz w:val="18"/>
                <w:szCs w:val="18"/>
                <w:color w:val="auto"/>
              </w:rPr>
            </w:pPr>
          </w:p>
        </w:tc>
        <w:tc>
          <w:tcPr>
            <w:tcW w:w="100" w:type="dxa"/>
            <w:vAlign w:val="bottom"/>
            <w:shd w:val="clear" w:color="auto" w:fill="004483"/>
          </w:tcPr>
          <w:p>
            <w:pPr>
              <w:spacing w:after="0"/>
              <w:rPr>
                <w:sz w:val="18"/>
                <w:szCs w:val="18"/>
                <w:color w:val="auto"/>
              </w:rPr>
            </w:pPr>
          </w:p>
        </w:tc>
      </w:tr>
      <w:tr>
        <w:trPr>
          <w:trHeight w:val="156"/>
        </w:trPr>
        <w:tc>
          <w:tcPr>
            <w:tcW w:w="7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r>
      <w:tr>
        <w:trPr>
          <w:trHeight w:val="188"/>
        </w:trPr>
        <w:tc>
          <w:tcPr>
            <w:tcW w:w="7480" w:type="dxa"/>
            <w:vAlign w:val="bottom"/>
            <w:tcBorders>
              <w:bottom w:val="single" w:sz="8" w:color="004483"/>
            </w:tcBorders>
          </w:tcPr>
          <w:p>
            <w:pPr>
              <w:spacing w:after="0"/>
              <w:rPr>
                <w:sz w:val="16"/>
                <w:szCs w:val="16"/>
                <w:color w:val="auto"/>
              </w:rPr>
            </w:pPr>
          </w:p>
        </w:tc>
        <w:tc>
          <w:tcPr>
            <w:tcW w:w="340" w:type="dxa"/>
            <w:vAlign w:val="bottom"/>
            <w:tcBorders>
              <w:bottom w:val="single" w:sz="8" w:color="004483"/>
            </w:tcBorders>
          </w:tcPr>
          <w:p>
            <w:pPr>
              <w:spacing w:after="0"/>
              <w:rPr>
                <w:sz w:val="16"/>
                <w:szCs w:val="16"/>
                <w:color w:val="auto"/>
              </w:rPr>
            </w:pPr>
          </w:p>
        </w:tc>
        <w:tc>
          <w:tcPr>
            <w:tcW w:w="2760" w:type="dxa"/>
            <w:vAlign w:val="bottom"/>
            <w:tcBorders>
              <w:bottom w:val="single" w:sz="8" w:color="004483"/>
            </w:tcBorders>
            <w:gridSpan w:val="3"/>
          </w:tcPr>
          <w:p>
            <w:pPr>
              <w:jc w:val="center"/>
              <w:ind w:left="128"/>
              <w:spacing w:after="0"/>
              <w:rPr>
                <w:sz w:val="20"/>
                <w:szCs w:val="20"/>
                <w:color w:val="auto"/>
              </w:rPr>
            </w:pPr>
            <w:r>
              <w:rPr>
                <w:rFonts w:ascii="Arial" w:cs="Arial" w:eastAsia="Arial" w:hAnsi="Arial"/>
                <w:sz w:val="13"/>
                <w:szCs w:val="13"/>
                <w:color w:val="auto"/>
                <w:w w:val="96"/>
              </w:rPr>
              <w:t>(dollars in thousands)</w:t>
            </w:r>
          </w:p>
        </w:tc>
        <w:tc>
          <w:tcPr>
            <w:tcW w:w="5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748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Cash Payments</w:t>
            </w:r>
          </w:p>
        </w:tc>
        <w:tc>
          <w:tcPr>
            <w:tcW w:w="34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7480" w:type="dxa"/>
            <w:vAlign w:val="bottom"/>
          </w:tcPr>
          <w:p>
            <w:pPr>
              <w:ind w:left="120"/>
              <w:spacing w:after="0"/>
              <w:rPr>
                <w:sz w:val="20"/>
                <w:szCs w:val="20"/>
                <w:color w:val="auto"/>
              </w:rPr>
            </w:pPr>
            <w:r>
              <w:rPr>
                <w:rFonts w:ascii="Arial" w:cs="Arial" w:eastAsia="Arial" w:hAnsi="Arial"/>
                <w:sz w:val="16"/>
                <w:szCs w:val="16"/>
                <w:color w:val="004483"/>
              </w:rPr>
              <w:t>Interest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12,940</w:t>
            </w:r>
          </w:p>
        </w:tc>
        <w:tc>
          <w:tcPr>
            <w:tcW w:w="1440" w:type="dxa"/>
            <w:vAlign w:val="bottom"/>
            <w:gridSpan w:val="2"/>
          </w:tcPr>
          <w:p>
            <w:pPr>
              <w:jc w:val="right"/>
              <w:ind w:right="10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10,634</w:t>
            </w:r>
          </w:p>
        </w:tc>
        <w:tc>
          <w:tcPr>
            <w:tcW w:w="100" w:type="dxa"/>
            <w:vAlign w:val="bottom"/>
          </w:tcPr>
          <w:p>
            <w:pPr>
              <w:spacing w:after="0"/>
              <w:rPr>
                <w:sz w:val="18"/>
                <w:szCs w:val="18"/>
                <w:color w:val="auto"/>
              </w:rPr>
            </w:pPr>
          </w:p>
        </w:tc>
      </w:tr>
      <w:tr>
        <w:trPr>
          <w:trHeight w:val="210"/>
        </w:trPr>
        <w:tc>
          <w:tcPr>
            <w:tcW w:w="7480" w:type="dxa"/>
            <w:vAlign w:val="bottom"/>
            <w:tcBorders>
              <w:top w:val="single" w:sz="8" w:color="A6A6A6"/>
              <w:bottom w:val="single" w:sz="8" w:color="A6A6A6"/>
            </w:tcBorders>
          </w:tcPr>
          <w:p>
            <w:pPr>
              <w:ind w:left="120"/>
              <w:spacing w:after="0"/>
              <w:rPr>
                <w:sz w:val="20"/>
                <w:szCs w:val="20"/>
                <w:color w:val="auto"/>
              </w:rPr>
            </w:pPr>
            <w:r>
              <w:rPr>
                <w:rFonts w:ascii="Arial" w:cs="Arial" w:eastAsia="Arial" w:hAnsi="Arial"/>
                <w:sz w:val="16"/>
                <w:szCs w:val="16"/>
                <w:color w:val="004483"/>
              </w:rPr>
              <w:t>Income Taxes</w:t>
            </w:r>
          </w:p>
        </w:tc>
        <w:tc>
          <w:tcPr>
            <w:tcW w:w="340" w:type="dxa"/>
            <w:vAlign w:val="bottom"/>
            <w:tcBorders>
              <w:top w:val="single" w:sz="8" w:color="A6A6A6"/>
              <w:bottom w:val="single" w:sz="8" w:color="A6A6A6"/>
            </w:tcBorders>
          </w:tcPr>
          <w:p>
            <w:pPr>
              <w:spacing w:after="0"/>
              <w:rPr>
                <w:sz w:val="18"/>
                <w:szCs w:val="18"/>
                <w:color w:val="auto"/>
              </w:rPr>
            </w:pPr>
          </w:p>
        </w:tc>
        <w:tc>
          <w:tcPr>
            <w:tcW w:w="132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61,592</w:t>
            </w:r>
          </w:p>
        </w:tc>
        <w:tc>
          <w:tcPr>
            <w:tcW w:w="120" w:type="dxa"/>
            <w:vAlign w:val="bottom"/>
          </w:tcPr>
          <w:p>
            <w:pPr>
              <w:spacing w:after="0"/>
              <w:rPr>
                <w:sz w:val="18"/>
                <w:szCs w:val="18"/>
                <w:color w:val="auto"/>
              </w:rPr>
            </w:pPr>
          </w:p>
        </w:tc>
        <w:tc>
          <w:tcPr>
            <w:tcW w:w="1320" w:type="dxa"/>
            <w:vAlign w:val="bottom"/>
            <w:tcBorders>
              <w:top w:val="single" w:sz="8" w:color="A6A6A6"/>
              <w:bottom w:val="single" w:sz="8" w:color="A6A6A6"/>
            </w:tcBorders>
          </w:tcPr>
          <w:p>
            <w:pPr>
              <w:spacing w:after="0"/>
              <w:rPr>
                <w:sz w:val="18"/>
                <w:szCs w:val="18"/>
                <w:color w:val="auto"/>
              </w:rPr>
            </w:pPr>
          </w:p>
        </w:tc>
        <w:tc>
          <w:tcPr>
            <w:tcW w:w="5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54,581</w:t>
            </w:r>
          </w:p>
        </w:tc>
        <w:tc>
          <w:tcPr>
            <w:tcW w:w="100" w:type="dxa"/>
            <w:vAlign w:val="bottom"/>
          </w:tcPr>
          <w:p>
            <w:pPr>
              <w:spacing w:after="0"/>
              <w:rPr>
                <w:sz w:val="18"/>
                <w:szCs w:val="18"/>
                <w:color w:val="auto"/>
              </w:rPr>
            </w:pPr>
          </w:p>
        </w:tc>
      </w:tr>
      <w:tr>
        <w:trPr>
          <w:trHeight w:val="210"/>
        </w:trPr>
        <w:tc>
          <w:tcPr>
            <w:tcW w:w="748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Operating Cash Flows Used for Operating Leases</w:t>
            </w:r>
          </w:p>
        </w:tc>
        <w:tc>
          <w:tcPr>
            <w:tcW w:w="340" w:type="dxa"/>
            <w:vAlign w:val="bottom"/>
            <w:tcBorders>
              <w:bottom w:val="single" w:sz="8" w:color="A6A6A6"/>
            </w:tcBorders>
          </w:tcPr>
          <w:p>
            <w:pPr>
              <w:spacing w:after="0"/>
              <w:rPr>
                <w:sz w:val="18"/>
                <w:szCs w:val="18"/>
                <w:color w:val="auto"/>
              </w:rPr>
            </w:pPr>
          </w:p>
        </w:tc>
        <w:tc>
          <w:tcPr>
            <w:tcW w:w="13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4,248</w:t>
            </w:r>
          </w:p>
        </w:tc>
        <w:tc>
          <w:tcPr>
            <w:tcW w:w="120" w:type="dxa"/>
            <w:vAlign w:val="bottom"/>
          </w:tcPr>
          <w:p>
            <w:pPr>
              <w:spacing w:after="0"/>
              <w:rPr>
                <w:sz w:val="18"/>
                <w:szCs w:val="18"/>
                <w:color w:val="auto"/>
              </w:rPr>
            </w:pPr>
          </w:p>
        </w:tc>
        <w:tc>
          <w:tcPr>
            <w:tcW w:w="1320" w:type="dxa"/>
            <w:vAlign w:val="bottom"/>
            <w:tcBorders>
              <w:bottom w:val="single" w:sz="8" w:color="A6A6A6"/>
            </w:tcBorders>
          </w:tcPr>
          <w:p>
            <w:pPr>
              <w:spacing w:after="0"/>
              <w:rPr>
                <w:sz w:val="18"/>
                <w:szCs w:val="18"/>
                <w:color w:val="auto"/>
              </w:rPr>
            </w:pPr>
          </w:p>
        </w:tc>
        <w:tc>
          <w:tcPr>
            <w:tcW w:w="5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3,987</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(C) ACQUISITIONS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ConAgg Acquisition</w:t>
      </w:r>
    </w:p>
    <w:p>
      <w:pPr>
        <w:spacing w:after="0" w:line="162"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On April 22, 2022, we purchased the assets of a readymix concrete and aggregates business (the ConAgg Acquisition). The purchase price of the ConAgg Acquisition was approximately $121.2 million, which was paid in April 2022. During August 2022, we finalized the working capital adjustment, which resulted in a reduction in the purchase price of approximately $1.0 million. After this reduction, the purchase price for the ConAgg Acquisition was approximately $120.2 million. The purchase price and expenses incurred in connection with the ConAgg Acquisition were funded through borrowings under our revolving credit facility. Operations related to the ConAgg Acquisition are included in the Concrete and Aggregates business in our segment reporting from April 22, 2022, through September 30, 2022.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allocation of the Purchase Price to assets acquired and liabilities assumed: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900" w:type="dxa"/>
            <w:vAlign w:val="bottom"/>
            <w:tcBorders>
              <w:bottom w:val="single" w:sz="8" w:color="004483"/>
            </w:tcBorders>
          </w:tcPr>
          <w:p>
            <w:pPr>
              <w:spacing w:after="0"/>
              <w:rPr>
                <w:sz w:val="16"/>
                <w:szCs w:val="16"/>
                <w:color w:val="auto"/>
              </w:rPr>
            </w:pPr>
          </w:p>
        </w:tc>
        <w:tc>
          <w:tcPr>
            <w:tcW w:w="860" w:type="dxa"/>
            <w:vAlign w:val="bottom"/>
            <w:tcBorders>
              <w:bottom w:val="single" w:sz="8" w:color="004483"/>
            </w:tcBorders>
          </w:tcPr>
          <w:p>
            <w:pPr>
              <w:spacing w:after="0"/>
              <w:rPr>
                <w:sz w:val="16"/>
                <w:szCs w:val="16"/>
                <w:color w:val="auto"/>
              </w:rPr>
            </w:pPr>
          </w:p>
        </w:tc>
        <w:tc>
          <w:tcPr>
            <w:tcW w:w="1380" w:type="dxa"/>
            <w:vAlign w:val="bottom"/>
            <w:tcBorders>
              <w:bottom w:val="single" w:sz="8" w:color="004483"/>
            </w:tcBorders>
          </w:tcPr>
          <w:p>
            <w:pPr>
              <w:jc w:val="right"/>
              <w:spacing w:after="0"/>
              <w:rPr>
                <w:sz w:val="20"/>
                <w:szCs w:val="20"/>
                <w:color w:val="auto"/>
              </w:rPr>
            </w:pPr>
            <w:r>
              <w:rPr>
                <w:rFonts w:ascii="Arial" w:cs="Arial" w:eastAsia="Arial" w:hAnsi="Arial"/>
                <w:sz w:val="13"/>
                <w:szCs w:val="13"/>
                <w:color w:val="auto"/>
              </w:rPr>
              <w:t>Fair Value</w:t>
            </w:r>
          </w:p>
        </w:tc>
      </w:tr>
      <w:tr>
        <w:trPr>
          <w:trHeight w:val="199"/>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Working Capital</w:t>
            </w:r>
          </w:p>
        </w:tc>
        <w:tc>
          <w:tcPr>
            <w:tcW w:w="860" w:type="dxa"/>
            <w:vAlign w:val="bottom"/>
            <w:tcBorders>
              <w:bottom w:val="single" w:sz="8" w:color="A6A6A6"/>
            </w:tcBorders>
          </w:tcPr>
          <w:p>
            <w:pPr>
              <w:jc w:val="right"/>
              <w:ind w:right="67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10,780</w:t>
            </w:r>
          </w:p>
        </w:tc>
      </w:tr>
      <w:tr>
        <w:trPr>
          <w:trHeight w:val="196"/>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Property, Plant, and Equipment</w:t>
            </w:r>
          </w:p>
        </w:tc>
        <w:tc>
          <w:tcPr>
            <w:tcW w:w="860" w:type="dxa"/>
            <w:vAlign w:val="bottom"/>
            <w:tcBorders>
              <w:bottom w:val="single" w:sz="8" w:color="A6A6A6"/>
            </w:tcBorders>
          </w:tcPr>
          <w:p>
            <w:pPr>
              <w:spacing w:after="0"/>
              <w:rPr>
                <w:sz w:val="17"/>
                <w:szCs w:val="17"/>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39,489</w:t>
            </w:r>
          </w:p>
        </w:tc>
      </w:tr>
      <w:tr>
        <w:trPr>
          <w:trHeight w:val="196"/>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Intangible Assets</w:t>
            </w:r>
          </w:p>
        </w:tc>
        <w:tc>
          <w:tcPr>
            <w:tcW w:w="860" w:type="dxa"/>
            <w:vAlign w:val="bottom"/>
            <w:tcBorders>
              <w:bottom w:val="single" w:sz="8" w:color="A6A6A6"/>
            </w:tcBorders>
          </w:tcPr>
          <w:p>
            <w:pPr>
              <w:spacing w:after="0"/>
              <w:rPr>
                <w:sz w:val="17"/>
                <w:szCs w:val="17"/>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30,750</w:t>
            </w:r>
          </w:p>
        </w:tc>
      </w:tr>
      <w:tr>
        <w:trPr>
          <w:trHeight w:val="196"/>
        </w:trPr>
        <w:tc>
          <w:tcPr>
            <w:tcW w:w="8900" w:type="dxa"/>
            <w:vAlign w:val="bottom"/>
          </w:tcPr>
          <w:p>
            <w:pPr>
              <w:ind w:left="20"/>
              <w:spacing w:after="0"/>
              <w:rPr>
                <w:sz w:val="20"/>
                <w:szCs w:val="20"/>
                <w:color w:val="auto"/>
              </w:rPr>
            </w:pPr>
            <w:r>
              <w:rPr>
                <w:rFonts w:ascii="Arial" w:cs="Arial" w:eastAsia="Arial" w:hAnsi="Arial"/>
                <w:sz w:val="16"/>
                <w:szCs w:val="16"/>
                <w:color w:val="004483"/>
              </w:rPr>
              <w:t>Goodwill</w:t>
            </w:r>
          </w:p>
        </w:tc>
        <w:tc>
          <w:tcPr>
            <w:tcW w:w="8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39,135</w:t>
            </w:r>
          </w:p>
        </w:tc>
      </w:tr>
      <w:tr>
        <w:trPr>
          <w:trHeight w:val="30"/>
        </w:trPr>
        <w:tc>
          <w:tcPr>
            <w:tcW w:w="8900" w:type="dxa"/>
            <w:vAlign w:val="bottom"/>
            <w:tcBorders>
              <w:bottom w:val="single" w:sz="8" w:color="A6A6A6"/>
            </w:tcBorders>
          </w:tcPr>
          <w:p>
            <w:pPr>
              <w:spacing w:after="0"/>
              <w:rPr>
                <w:sz w:val="2"/>
                <w:szCs w:val="2"/>
                <w:color w:val="auto"/>
              </w:rPr>
            </w:pPr>
          </w:p>
        </w:tc>
        <w:tc>
          <w:tcPr>
            <w:tcW w:w="860" w:type="dxa"/>
            <w:vAlign w:val="bottom"/>
            <w:tcBorders>
              <w:bottom w:val="single" w:sz="8" w:color="004483"/>
            </w:tcBorders>
            <w:shd w:val="clear" w:color="auto" w:fill="004483"/>
          </w:tcPr>
          <w:p>
            <w:pPr>
              <w:spacing w:after="0"/>
              <w:rPr>
                <w:sz w:val="2"/>
                <w:szCs w:val="2"/>
                <w:color w:val="auto"/>
              </w:rPr>
            </w:pPr>
          </w:p>
        </w:tc>
        <w:tc>
          <w:tcPr>
            <w:tcW w:w="1380" w:type="dxa"/>
            <w:vAlign w:val="bottom"/>
            <w:tcBorders>
              <w:bottom w:val="single" w:sz="8" w:color="004483"/>
            </w:tcBorders>
            <w:shd w:val="clear" w:color="auto" w:fill="004483"/>
          </w:tcPr>
          <w:p>
            <w:pPr>
              <w:spacing w:after="0"/>
              <w:rPr>
                <w:sz w:val="2"/>
                <w:szCs w:val="2"/>
                <w:color w:val="auto"/>
              </w:rPr>
            </w:pPr>
          </w:p>
        </w:tc>
      </w:tr>
      <w:tr>
        <w:trPr>
          <w:trHeight w:val="196"/>
        </w:trPr>
        <w:tc>
          <w:tcPr>
            <w:tcW w:w="8900" w:type="dxa"/>
            <w:vAlign w:val="bottom"/>
          </w:tcPr>
          <w:p>
            <w:pPr>
              <w:ind w:left="200"/>
              <w:spacing w:after="0"/>
              <w:rPr>
                <w:sz w:val="20"/>
                <w:szCs w:val="20"/>
                <w:color w:val="auto"/>
              </w:rPr>
            </w:pPr>
            <w:r>
              <w:rPr>
                <w:rFonts w:ascii="Arial" w:cs="Arial" w:eastAsia="Arial" w:hAnsi="Arial"/>
                <w:sz w:val="16"/>
                <w:szCs w:val="16"/>
                <w:b w:val="1"/>
                <w:bCs w:val="1"/>
                <w:color w:val="auto"/>
              </w:rPr>
              <w:t>Total Estimated Purchase Price</w:t>
            </w:r>
          </w:p>
        </w:tc>
        <w:tc>
          <w:tcPr>
            <w:tcW w:w="860" w:type="dxa"/>
            <w:vAlign w:val="bottom"/>
            <w:tcBorders>
              <w:bottom w:val="single" w:sz="8" w:color="004483"/>
            </w:tcBorders>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120,154</w:t>
            </w:r>
          </w:p>
        </w:tc>
      </w:tr>
      <w:tr>
        <w:trPr>
          <w:trHeight w:val="20"/>
        </w:trPr>
        <w:tc>
          <w:tcPr>
            <w:tcW w:w="8900" w:type="dxa"/>
            <w:vAlign w:val="bottom"/>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380" w:type="dxa"/>
            <w:vAlign w:val="bottom"/>
            <w:tcBorders>
              <w:bottom w:val="single" w:sz="8" w:color="004483"/>
            </w:tcBorders>
          </w:tcPr>
          <w:p>
            <w:pPr>
              <w:spacing w:after="0" w:line="20" w:lineRule="exact"/>
              <w:rPr>
                <w:sz w:val="1"/>
                <w:szCs w:val="1"/>
                <w:color w:val="auto"/>
              </w:rPr>
            </w:pPr>
          </w:p>
        </w:tc>
      </w:tr>
    </w:tbl>
    <w:p>
      <w:pPr>
        <w:spacing w:after="0" w:line="323" w:lineRule="exact"/>
        <w:rPr>
          <w:sz w:val="20"/>
          <w:szCs w:val="20"/>
          <w:color w:val="auto"/>
        </w:rPr>
      </w:pPr>
    </w:p>
    <w:p>
      <w:pPr>
        <w:jc w:val="both"/>
        <w:ind w:right="80"/>
        <w:spacing w:after="0" w:line="293" w:lineRule="auto"/>
        <w:rPr>
          <w:sz w:val="20"/>
          <w:szCs w:val="20"/>
          <w:color w:val="auto"/>
        </w:rPr>
      </w:pPr>
      <w:r>
        <w:rPr>
          <w:rFonts w:ascii="Arial" w:cs="Arial" w:eastAsia="Arial" w:hAnsi="Arial"/>
          <w:sz w:val="18"/>
          <w:szCs w:val="18"/>
          <w:color w:val="auto"/>
        </w:rPr>
        <w:t>The estimated useful lives assigned to Property, Plant, and Equipment range from 5 to 30 years, while the estimated useful lives assigned to Intangible Assets range from 2 to 15 years.</w:t>
      </w:r>
    </w:p>
    <w:p>
      <w:pPr>
        <w:spacing w:after="0" w:line="197" w:lineRule="exact"/>
        <w:rPr>
          <w:sz w:val="20"/>
          <w:szCs w:val="20"/>
          <w:color w:val="auto"/>
        </w:rPr>
      </w:pPr>
    </w:p>
    <w:p>
      <w:pPr>
        <w:ind w:right="880"/>
        <w:spacing w:after="0" w:line="293" w:lineRule="auto"/>
        <w:rPr>
          <w:sz w:val="20"/>
          <w:szCs w:val="20"/>
          <w:color w:val="auto"/>
        </w:rPr>
      </w:pPr>
      <w:r>
        <w:rPr>
          <w:rFonts w:ascii="Arial" w:cs="Arial" w:eastAsia="Arial" w:hAnsi="Arial"/>
          <w:sz w:val="18"/>
          <w:szCs w:val="18"/>
          <w:color w:val="auto"/>
        </w:rPr>
        <w:t>The following table presents the Revenue and Operating Earnings related to the ConAgg Acquisition that has been included in our Consolidated Statement of Earnings from April 22, 2022, through September 30, 2022.</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00" w:type="dxa"/>
            <w:vAlign w:val="bottom"/>
          </w:tcPr>
          <w:p>
            <w:pPr>
              <w:spacing w:after="0"/>
              <w:rPr>
                <w:sz w:val="16"/>
                <w:szCs w:val="16"/>
                <w:color w:val="auto"/>
              </w:rPr>
            </w:pPr>
          </w:p>
        </w:tc>
        <w:tc>
          <w:tcPr>
            <w:tcW w:w="1840" w:type="dxa"/>
            <w:vAlign w:val="bottom"/>
            <w:gridSpan w:val="2"/>
            <w:shd w:val="clear" w:color="auto" w:fill="004483"/>
          </w:tcPr>
          <w:p>
            <w:pPr>
              <w:jc w:val="right"/>
              <w:spacing w:after="0"/>
              <w:rPr>
                <w:sz w:val="20"/>
                <w:szCs w:val="20"/>
                <w:color w:val="auto"/>
              </w:rPr>
            </w:pPr>
            <w:r>
              <w:rPr>
                <w:rFonts w:ascii="Arial" w:cs="Arial" w:eastAsia="Arial" w:hAnsi="Arial"/>
                <w:sz w:val="13"/>
                <w:szCs w:val="13"/>
                <w:b w:val="1"/>
                <w:bCs w:val="1"/>
                <w:color w:val="FFFFFF"/>
                <w:w w:val="99"/>
              </w:rPr>
              <w:t>For the Three Months Ended</w:t>
            </w:r>
          </w:p>
        </w:tc>
        <w:tc>
          <w:tcPr>
            <w:tcW w:w="280" w:type="dxa"/>
            <w:vAlign w:val="bottom"/>
            <w:shd w:val="clear" w:color="auto" w:fill="004483"/>
          </w:tcPr>
          <w:p>
            <w:pPr>
              <w:spacing w:after="0"/>
              <w:rPr>
                <w:sz w:val="16"/>
                <w:szCs w:val="16"/>
                <w:color w:val="auto"/>
              </w:rPr>
            </w:pPr>
          </w:p>
        </w:tc>
        <w:tc>
          <w:tcPr>
            <w:tcW w:w="120" w:type="dxa"/>
            <w:vAlign w:val="bottom"/>
            <w:shd w:val="clear" w:color="auto" w:fill="004483"/>
          </w:tcPr>
          <w:p>
            <w:pPr>
              <w:spacing w:after="0"/>
              <w:rPr>
                <w:sz w:val="16"/>
                <w:szCs w:val="16"/>
                <w:color w:val="auto"/>
              </w:rPr>
            </w:pPr>
          </w:p>
        </w:tc>
        <w:tc>
          <w:tcPr>
            <w:tcW w:w="1700" w:type="dxa"/>
            <w:vAlign w:val="bottom"/>
            <w:shd w:val="clear" w:color="auto" w:fill="004483"/>
          </w:tcPr>
          <w:p>
            <w:pPr>
              <w:jc w:val="right"/>
              <w:ind w:right="65"/>
              <w:spacing w:after="0"/>
              <w:rPr>
                <w:sz w:val="20"/>
                <w:szCs w:val="20"/>
                <w:color w:val="auto"/>
              </w:rPr>
            </w:pPr>
            <w:r>
              <w:rPr>
                <w:rFonts w:ascii="Arial" w:cs="Arial" w:eastAsia="Arial" w:hAnsi="Arial"/>
                <w:sz w:val="13"/>
                <w:szCs w:val="13"/>
                <w:b w:val="1"/>
                <w:bCs w:val="1"/>
                <w:color w:val="FFFFFF"/>
                <w:w w:val="96"/>
              </w:rPr>
              <w:t>For the Six Months Ended</w:t>
            </w:r>
          </w:p>
        </w:tc>
        <w:tc>
          <w:tcPr>
            <w:tcW w:w="100" w:type="dxa"/>
            <w:vAlign w:val="bottom"/>
            <w:shd w:val="clear" w:color="auto" w:fill="004483"/>
          </w:tcPr>
          <w:p>
            <w:pPr>
              <w:spacing w:after="0"/>
              <w:rPr>
                <w:sz w:val="16"/>
                <w:szCs w:val="16"/>
                <w:color w:val="auto"/>
              </w:rPr>
            </w:pPr>
          </w:p>
        </w:tc>
      </w:tr>
      <w:tr>
        <w:trPr>
          <w:trHeight w:val="190"/>
        </w:trPr>
        <w:tc>
          <w:tcPr>
            <w:tcW w:w="7200" w:type="dxa"/>
            <w:vAlign w:val="bottom"/>
          </w:tcPr>
          <w:p>
            <w:pPr>
              <w:spacing w:after="0"/>
              <w:rPr>
                <w:sz w:val="16"/>
                <w:szCs w:val="16"/>
                <w:color w:val="auto"/>
              </w:rPr>
            </w:pPr>
          </w:p>
        </w:tc>
        <w:tc>
          <w:tcPr>
            <w:tcW w:w="720" w:type="dxa"/>
            <w:vAlign w:val="bottom"/>
            <w:shd w:val="clear" w:color="auto" w:fill="004483"/>
          </w:tcPr>
          <w:p>
            <w:pPr>
              <w:spacing w:after="0"/>
              <w:rPr>
                <w:sz w:val="16"/>
                <w:szCs w:val="16"/>
                <w:color w:val="auto"/>
              </w:rPr>
            </w:pPr>
          </w:p>
        </w:tc>
        <w:tc>
          <w:tcPr>
            <w:tcW w:w="3220" w:type="dxa"/>
            <w:vAlign w:val="bottom"/>
            <w:gridSpan w:val="4"/>
            <w:shd w:val="clear" w:color="auto" w:fill="004483"/>
          </w:tcPr>
          <w:p>
            <w:pPr>
              <w:jc w:val="right"/>
              <w:ind w:right="1305"/>
              <w:spacing w:after="0"/>
              <w:rPr>
                <w:sz w:val="20"/>
                <w:szCs w:val="20"/>
                <w:color w:val="auto"/>
              </w:rPr>
            </w:pPr>
            <w:r>
              <w:rPr>
                <w:rFonts w:ascii="Arial" w:cs="Arial" w:eastAsia="Arial" w:hAnsi="Arial"/>
                <w:sz w:val="13"/>
                <w:szCs w:val="13"/>
                <w:b w:val="1"/>
                <w:bCs w:val="1"/>
                <w:color w:val="FFFFFF"/>
              </w:rPr>
              <w:t>September 30, 2022</w:t>
            </w:r>
          </w:p>
        </w:tc>
        <w:tc>
          <w:tcPr>
            <w:tcW w:w="100" w:type="dxa"/>
            <w:vAlign w:val="bottom"/>
            <w:shd w:val="clear" w:color="auto" w:fill="004483"/>
          </w:tcPr>
          <w:p>
            <w:pPr>
              <w:spacing w:after="0"/>
              <w:rPr>
                <w:sz w:val="16"/>
                <w:szCs w:val="16"/>
                <w:color w:val="auto"/>
              </w:rPr>
            </w:pPr>
          </w:p>
        </w:tc>
      </w:tr>
      <w:tr>
        <w:trPr>
          <w:trHeight w:val="183"/>
        </w:trPr>
        <w:tc>
          <w:tcPr>
            <w:tcW w:w="7200" w:type="dxa"/>
            <w:vAlign w:val="bottom"/>
            <w:tcBorders>
              <w:bottom w:val="single" w:sz="8" w:color="004483"/>
            </w:tcBorders>
          </w:tcPr>
          <w:p>
            <w:pPr>
              <w:spacing w:after="0"/>
              <w:rPr>
                <w:sz w:val="15"/>
                <w:szCs w:val="15"/>
                <w:color w:val="auto"/>
              </w:rPr>
            </w:pPr>
          </w:p>
        </w:tc>
        <w:tc>
          <w:tcPr>
            <w:tcW w:w="720" w:type="dxa"/>
            <w:vAlign w:val="bottom"/>
            <w:tcBorders>
              <w:bottom w:val="single" w:sz="8" w:color="004483"/>
            </w:tcBorders>
          </w:tcPr>
          <w:p>
            <w:pPr>
              <w:spacing w:after="0"/>
              <w:rPr>
                <w:sz w:val="15"/>
                <w:szCs w:val="15"/>
                <w:color w:val="auto"/>
              </w:rPr>
            </w:pPr>
          </w:p>
        </w:tc>
        <w:tc>
          <w:tcPr>
            <w:tcW w:w="3220" w:type="dxa"/>
            <w:vAlign w:val="bottom"/>
            <w:tcBorders>
              <w:bottom w:val="single" w:sz="8" w:color="004483"/>
            </w:tcBorders>
            <w:gridSpan w:val="4"/>
          </w:tcPr>
          <w:p>
            <w:pPr>
              <w:jc w:val="right"/>
              <w:ind w:right="1305"/>
              <w:spacing w:after="0"/>
              <w:rPr>
                <w:sz w:val="20"/>
                <w:szCs w:val="20"/>
                <w:color w:val="auto"/>
              </w:rPr>
            </w:pPr>
            <w:r>
              <w:rPr>
                <w:rFonts w:ascii="Arial" w:cs="Arial" w:eastAsia="Arial" w:hAnsi="Arial"/>
                <w:sz w:val="13"/>
                <w:szCs w:val="13"/>
                <w:color w:val="auto"/>
              </w:rPr>
              <w:t>(dollars in thousands)</w:t>
            </w:r>
          </w:p>
        </w:tc>
        <w:tc>
          <w:tcPr>
            <w:tcW w:w="100" w:type="dxa"/>
            <w:vAlign w:val="bottom"/>
          </w:tcPr>
          <w:p>
            <w:pPr>
              <w:spacing w:after="0"/>
              <w:rPr>
                <w:sz w:val="15"/>
                <w:szCs w:val="15"/>
                <w:color w:val="auto"/>
              </w:rPr>
            </w:pPr>
          </w:p>
        </w:tc>
      </w:tr>
      <w:tr>
        <w:trPr>
          <w:trHeight w:val="203"/>
        </w:trPr>
        <w:tc>
          <w:tcPr>
            <w:tcW w:w="72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Revenue</w:t>
            </w:r>
          </w:p>
        </w:tc>
        <w:tc>
          <w:tcPr>
            <w:tcW w:w="720" w:type="dxa"/>
            <w:vAlign w:val="bottom"/>
            <w:tcBorders>
              <w:bottom w:val="single" w:sz="8" w:color="A6A6A6"/>
            </w:tcBorders>
          </w:tcPr>
          <w:p>
            <w:pPr>
              <w:jc w:val="right"/>
              <w:ind w:right="545"/>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13,885</w:t>
            </w:r>
          </w:p>
        </w:tc>
        <w:tc>
          <w:tcPr>
            <w:tcW w:w="280" w:type="dxa"/>
            <w:vAlign w:val="bottom"/>
          </w:tcPr>
          <w:p>
            <w:pPr>
              <w:spacing w:after="0"/>
              <w:rPr>
                <w:sz w:val="17"/>
                <w:szCs w:val="17"/>
                <w:color w:val="auto"/>
              </w:rPr>
            </w:pP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24,915</w:t>
            </w:r>
          </w:p>
        </w:tc>
        <w:tc>
          <w:tcPr>
            <w:tcW w:w="100" w:type="dxa"/>
            <w:vAlign w:val="bottom"/>
          </w:tcPr>
          <w:p>
            <w:pPr>
              <w:spacing w:after="0"/>
              <w:rPr>
                <w:sz w:val="17"/>
                <w:szCs w:val="17"/>
                <w:color w:val="auto"/>
              </w:rPr>
            </w:pPr>
          </w:p>
        </w:tc>
      </w:tr>
      <w:tr>
        <w:trPr>
          <w:trHeight w:val="196"/>
        </w:trPr>
        <w:tc>
          <w:tcPr>
            <w:tcW w:w="720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004483"/>
              </w:rPr>
              <w:t>Operating Earnings</w:t>
            </w:r>
          </w:p>
        </w:tc>
        <w:tc>
          <w:tcPr>
            <w:tcW w:w="720" w:type="dxa"/>
            <w:vAlign w:val="bottom"/>
            <w:tcBorders>
              <w:bottom w:val="single" w:sz="8" w:color="A6A6A6"/>
            </w:tcBorders>
          </w:tcPr>
          <w:p>
            <w:pPr>
              <w:jc w:val="right"/>
              <w:ind w:right="545"/>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1,750</w:t>
            </w:r>
          </w:p>
        </w:tc>
        <w:tc>
          <w:tcPr>
            <w:tcW w:w="280" w:type="dxa"/>
            <w:vAlign w:val="bottom"/>
          </w:tcPr>
          <w:p>
            <w:pPr>
              <w:spacing w:after="0"/>
              <w:rPr>
                <w:sz w:val="17"/>
                <w:szCs w:val="17"/>
                <w:color w:val="auto"/>
              </w:rPr>
            </w:pPr>
          </w:p>
        </w:tc>
        <w:tc>
          <w:tcPr>
            <w:tcW w:w="1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1,643</w:t>
            </w:r>
          </w:p>
        </w:tc>
        <w:tc>
          <w:tcPr>
            <w:tcW w:w="100" w:type="dxa"/>
            <w:vAlign w:val="bottom"/>
          </w:tcPr>
          <w:p>
            <w:pPr>
              <w:spacing w:after="0"/>
              <w:rPr>
                <w:sz w:val="17"/>
                <w:szCs w:val="17"/>
                <w:color w:val="auto"/>
              </w:rPr>
            </w:pPr>
          </w:p>
        </w:tc>
      </w:tr>
    </w:tbl>
    <w:p>
      <w:pPr>
        <w:spacing w:after="0" w:line="200" w:lineRule="exact"/>
        <w:rPr>
          <w:sz w:val="20"/>
          <w:szCs w:val="20"/>
          <w:color w:val="auto"/>
        </w:rPr>
      </w:pPr>
    </w:p>
    <w:p>
      <w:pPr>
        <w:spacing w:after="0" w:line="245"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Operating Earnings shown above for the three and six months ended September 30, 2022 were reduced by approximately $2.1 million and $4.1 million related to depreciation and amortization, respectively. Additionally, Operating Earnings for the three and six months ended September 30, 2022, were reduced by approximately $0.9 million and $2.1 million related to the recording of acquired inventories at fair value,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Terminal Acquisition</w:t>
      </w:r>
    </w:p>
    <w:p>
      <w:pPr>
        <w:spacing w:after="0" w:line="162"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On September 16, 2022, we acquired a cement distribution terminal located in Nashville, Tennessee (the Terminal Acquisition). The purchase price of the Terminal Acquisition was approximately $39.5 million. The purchase price allocation has not been finalized. The Terminal Acquisition was funded through borrowings under our revolving credit facility. Operations related to the Terminal Acquisition are included in the Cement business in our segment reporting from September 16, 2022, through September 30, 2022.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9" w:name="page10"/>
    <w:bookmarkEnd w:id="9"/>
    <w:p>
      <w:pPr>
        <w:ind w:right="640"/>
        <w:spacing w:after="0" w:line="293" w:lineRule="auto"/>
        <w:rPr>
          <w:sz w:val="20"/>
          <w:szCs w:val="20"/>
          <w:color w:val="auto"/>
        </w:rPr>
      </w:pPr>
      <w:r>
        <w:rPr>
          <w:rFonts w:ascii="Arial" w:cs="Arial" w:eastAsia="Arial" w:hAnsi="Arial"/>
          <w:sz w:val="18"/>
          <w:szCs w:val="18"/>
          <w:color w:val="auto"/>
        </w:rPr>
        <w:t>The following table summarizes the preliminary allocation of the purchase price of the Terminal Acquisition to the assets acquired and liabilities assumed as of September 30,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900" w:type="dxa"/>
            <w:vAlign w:val="bottom"/>
            <w:tcBorders>
              <w:bottom w:val="single" w:sz="8" w:color="004483"/>
            </w:tcBorders>
          </w:tcPr>
          <w:p>
            <w:pPr>
              <w:spacing w:after="0"/>
              <w:rPr>
                <w:sz w:val="16"/>
                <w:szCs w:val="16"/>
                <w:color w:val="auto"/>
              </w:rPr>
            </w:pPr>
          </w:p>
        </w:tc>
        <w:tc>
          <w:tcPr>
            <w:tcW w:w="580" w:type="dxa"/>
            <w:vAlign w:val="bottom"/>
            <w:tcBorders>
              <w:bottom w:val="single" w:sz="8" w:color="004483"/>
            </w:tcBorders>
          </w:tcPr>
          <w:p>
            <w:pPr>
              <w:spacing w:after="0"/>
              <w:rPr>
                <w:sz w:val="16"/>
                <w:szCs w:val="16"/>
                <w:color w:val="auto"/>
              </w:rPr>
            </w:pPr>
          </w:p>
        </w:tc>
        <w:tc>
          <w:tcPr>
            <w:tcW w:w="1660" w:type="dxa"/>
            <w:vAlign w:val="bottom"/>
            <w:tcBorders>
              <w:bottom w:val="single" w:sz="8" w:color="004483"/>
            </w:tcBorders>
          </w:tcPr>
          <w:p>
            <w:pPr>
              <w:jc w:val="right"/>
              <w:spacing w:after="0"/>
              <w:rPr>
                <w:sz w:val="20"/>
                <w:szCs w:val="20"/>
                <w:color w:val="auto"/>
              </w:rPr>
            </w:pPr>
            <w:r>
              <w:rPr>
                <w:rFonts w:ascii="Arial" w:cs="Arial" w:eastAsia="Arial" w:hAnsi="Arial"/>
                <w:sz w:val="13"/>
                <w:szCs w:val="13"/>
                <w:color w:val="auto"/>
              </w:rPr>
              <w:t>Estimated Fair Value</w:t>
            </w:r>
          </w:p>
        </w:tc>
      </w:tr>
      <w:tr>
        <w:trPr>
          <w:trHeight w:val="200"/>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Working Capital</w:t>
            </w:r>
          </w:p>
        </w:tc>
        <w:tc>
          <w:tcPr>
            <w:tcW w:w="580" w:type="dxa"/>
            <w:vAlign w:val="bottom"/>
            <w:tcBorders>
              <w:bottom w:val="single" w:sz="8" w:color="A6A6A6"/>
            </w:tcBorders>
          </w:tcPr>
          <w:p>
            <w:pPr>
              <w:jc w:val="right"/>
              <w:ind w:right="3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1,116</w:t>
            </w:r>
          </w:p>
        </w:tc>
      </w:tr>
      <w:tr>
        <w:trPr>
          <w:trHeight w:val="196"/>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Property, Plant, and Equipment</w:t>
            </w:r>
          </w:p>
        </w:tc>
        <w:tc>
          <w:tcPr>
            <w:tcW w:w="580" w:type="dxa"/>
            <w:vAlign w:val="bottom"/>
            <w:tcBorders>
              <w:bottom w:val="single" w:sz="8" w:color="A6A6A6"/>
            </w:tcBorders>
          </w:tcPr>
          <w:p>
            <w:pPr>
              <w:spacing w:after="0"/>
              <w:rPr>
                <w:sz w:val="17"/>
                <w:szCs w:val="17"/>
                <w:color w:val="auto"/>
              </w:rPr>
            </w:pPr>
          </w:p>
        </w:tc>
        <w:tc>
          <w:tcPr>
            <w:tcW w:w="1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23,301</w:t>
            </w:r>
          </w:p>
        </w:tc>
      </w:tr>
      <w:tr>
        <w:trPr>
          <w:trHeight w:val="196"/>
        </w:trPr>
        <w:tc>
          <w:tcPr>
            <w:tcW w:w="89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Intangible Assets</w:t>
            </w:r>
          </w:p>
        </w:tc>
        <w:tc>
          <w:tcPr>
            <w:tcW w:w="580" w:type="dxa"/>
            <w:vAlign w:val="bottom"/>
            <w:tcBorders>
              <w:bottom w:val="single" w:sz="8" w:color="A6A6A6"/>
            </w:tcBorders>
          </w:tcPr>
          <w:p>
            <w:pPr>
              <w:spacing w:after="0"/>
              <w:rPr>
                <w:sz w:val="17"/>
                <w:szCs w:val="17"/>
                <w:color w:val="auto"/>
              </w:rPr>
            </w:pPr>
          </w:p>
        </w:tc>
        <w:tc>
          <w:tcPr>
            <w:tcW w:w="16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5,050</w:t>
            </w:r>
          </w:p>
        </w:tc>
      </w:tr>
      <w:tr>
        <w:trPr>
          <w:trHeight w:val="196"/>
        </w:trPr>
        <w:tc>
          <w:tcPr>
            <w:tcW w:w="8900" w:type="dxa"/>
            <w:vAlign w:val="bottom"/>
          </w:tcPr>
          <w:p>
            <w:pPr>
              <w:ind w:left="20"/>
              <w:spacing w:after="0"/>
              <w:rPr>
                <w:sz w:val="20"/>
                <w:szCs w:val="20"/>
                <w:color w:val="auto"/>
              </w:rPr>
            </w:pPr>
            <w:r>
              <w:rPr>
                <w:rFonts w:ascii="Arial" w:cs="Arial" w:eastAsia="Arial" w:hAnsi="Arial"/>
                <w:sz w:val="16"/>
                <w:szCs w:val="16"/>
                <w:color w:val="004483"/>
              </w:rPr>
              <w:t>Goodwill</w:t>
            </w:r>
          </w:p>
        </w:tc>
        <w:tc>
          <w:tcPr>
            <w:tcW w:w="5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9,978</w:t>
            </w:r>
          </w:p>
        </w:tc>
      </w:tr>
      <w:tr>
        <w:trPr>
          <w:trHeight w:val="30"/>
        </w:trPr>
        <w:tc>
          <w:tcPr>
            <w:tcW w:w="8900" w:type="dxa"/>
            <w:vAlign w:val="bottom"/>
            <w:tcBorders>
              <w:bottom w:val="single" w:sz="8" w:color="A6A6A6"/>
            </w:tcBorders>
          </w:tcPr>
          <w:p>
            <w:pPr>
              <w:spacing w:after="0"/>
              <w:rPr>
                <w:sz w:val="2"/>
                <w:szCs w:val="2"/>
                <w:color w:val="auto"/>
              </w:rPr>
            </w:pPr>
          </w:p>
        </w:tc>
        <w:tc>
          <w:tcPr>
            <w:tcW w:w="580" w:type="dxa"/>
            <w:vAlign w:val="bottom"/>
            <w:tcBorders>
              <w:bottom w:val="single" w:sz="8" w:color="004483"/>
            </w:tcBorders>
            <w:shd w:val="clear" w:color="auto" w:fill="004483"/>
          </w:tcPr>
          <w:p>
            <w:pPr>
              <w:spacing w:after="0"/>
              <w:rPr>
                <w:sz w:val="2"/>
                <w:szCs w:val="2"/>
                <w:color w:val="auto"/>
              </w:rPr>
            </w:pPr>
          </w:p>
        </w:tc>
        <w:tc>
          <w:tcPr>
            <w:tcW w:w="1660" w:type="dxa"/>
            <w:vAlign w:val="bottom"/>
            <w:tcBorders>
              <w:bottom w:val="single" w:sz="8" w:color="004483"/>
            </w:tcBorders>
            <w:shd w:val="clear" w:color="auto" w:fill="004483"/>
          </w:tcPr>
          <w:p>
            <w:pPr>
              <w:spacing w:after="0"/>
              <w:rPr>
                <w:sz w:val="2"/>
                <w:szCs w:val="2"/>
                <w:color w:val="auto"/>
              </w:rPr>
            </w:pPr>
          </w:p>
        </w:tc>
      </w:tr>
      <w:tr>
        <w:trPr>
          <w:trHeight w:val="196"/>
        </w:trPr>
        <w:tc>
          <w:tcPr>
            <w:tcW w:w="8900" w:type="dxa"/>
            <w:vAlign w:val="bottom"/>
          </w:tcPr>
          <w:p>
            <w:pPr>
              <w:ind w:left="200"/>
              <w:spacing w:after="0"/>
              <w:rPr>
                <w:sz w:val="20"/>
                <w:szCs w:val="20"/>
                <w:color w:val="auto"/>
              </w:rPr>
            </w:pPr>
            <w:r>
              <w:rPr>
                <w:rFonts w:ascii="Arial" w:cs="Arial" w:eastAsia="Arial" w:hAnsi="Arial"/>
                <w:sz w:val="16"/>
                <w:szCs w:val="16"/>
                <w:b w:val="1"/>
                <w:bCs w:val="1"/>
                <w:color w:val="auto"/>
              </w:rPr>
              <w:t>Total Estimated Purchase Price</w:t>
            </w:r>
          </w:p>
        </w:tc>
        <w:tc>
          <w:tcPr>
            <w:tcW w:w="580" w:type="dxa"/>
            <w:vAlign w:val="bottom"/>
            <w:tcBorders>
              <w:bottom w:val="single" w:sz="8" w:color="004483"/>
            </w:tcBorders>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39,445</w:t>
            </w:r>
          </w:p>
        </w:tc>
      </w:tr>
      <w:tr>
        <w:trPr>
          <w:trHeight w:val="20"/>
        </w:trPr>
        <w:tc>
          <w:tcPr>
            <w:tcW w:w="8900" w:type="dxa"/>
            <w:vAlign w:val="bottom"/>
          </w:tcPr>
          <w:p>
            <w:pPr>
              <w:spacing w:after="0" w:line="20" w:lineRule="exact"/>
              <w:rPr>
                <w:sz w:val="1"/>
                <w:szCs w:val="1"/>
                <w:color w:val="auto"/>
              </w:rPr>
            </w:pPr>
          </w:p>
        </w:tc>
        <w:tc>
          <w:tcPr>
            <w:tcW w:w="580" w:type="dxa"/>
            <w:vAlign w:val="bottom"/>
            <w:tcBorders>
              <w:bottom w:val="single" w:sz="8" w:color="004483"/>
            </w:tcBorders>
          </w:tcPr>
          <w:p>
            <w:pPr>
              <w:spacing w:after="0" w:line="20" w:lineRule="exact"/>
              <w:rPr>
                <w:sz w:val="1"/>
                <w:szCs w:val="1"/>
                <w:color w:val="auto"/>
              </w:rPr>
            </w:pPr>
          </w:p>
        </w:tc>
        <w:tc>
          <w:tcPr>
            <w:tcW w:w="1660" w:type="dxa"/>
            <w:vAlign w:val="bottom"/>
            <w:tcBorders>
              <w:bottom w:val="single" w:sz="8" w:color="004483"/>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80"/>
        <w:spacing w:after="0" w:line="293" w:lineRule="auto"/>
        <w:rPr>
          <w:sz w:val="20"/>
          <w:szCs w:val="20"/>
          <w:color w:val="auto"/>
        </w:rPr>
      </w:pPr>
      <w:r>
        <w:rPr>
          <w:rFonts w:ascii="Arial" w:cs="Arial" w:eastAsia="Arial" w:hAnsi="Arial"/>
          <w:sz w:val="18"/>
          <w:szCs w:val="18"/>
          <w:color w:val="auto"/>
        </w:rPr>
        <w:t>The estimated useful lives assigned to Property, Plant, and Equipment range from 5 to 25 years, while the estimated useful lives assigned to Intangible Assets range from 2 to 15 years.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 REVENUE</w:t>
      </w:r>
    </w:p>
    <w:p>
      <w:pPr>
        <w:spacing w:after="0" w:line="148"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We earn Revenue primarily from the sale of products, which include cement, concrete, aggregates, gypsum wallboard, and recycled paperboard. The vast majority of Revenue from the sale of cement, concrete, aggregates, and gypsum wallboard is originated by purchase orders from our customers, who are mostly third-party contractors and suppliers. Revenue from our Recycled Paperboard segment is generated mainly through long-term supply agreements that mature in 2025. We invoice customers upon shipment, and our collection terms range from 30-75 days. Revenue from the sale of cement, concrete, aggregates, and gypsum wallboard not related to long-term supply agreements is recognized upon shipment of the related products to customers, which is when title and ownership are transferred, and the customer is obligated to pay.</w:t>
      </w:r>
    </w:p>
    <w:p>
      <w:pPr>
        <w:spacing w:after="0" w:line="101"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color w:val="auto"/>
        </w:rPr>
        <w:t>Revenue from sales under our long-term supply agreements is also recognized upon transfer of control to the customer, which generally occurs at the time the product is shipped from the production facility or terminal location. Our long-term supply agreements with customers define, among other commitments, the volume of product that we must provide and the volume that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an agreement is reached with the customer and, therefore, are not subject to the risk of reversal.</w:t>
      </w:r>
    </w:p>
    <w:p>
      <w:pPr>
        <w:spacing w:after="0" w:line="96"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97"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The Company has elected to treat freight and delivery charges we pay for the delivery of goods to our customers as a fulfilment activity rather than a separate performance obligation. When we arrange for a third party to deliver products to customers, fees for shipping and handling that are billed to the customer are recorded as Revenue, while costs we incur for shipping and handling are recorded as expenses and included in Cost of Goods Sold.</w:t>
      </w:r>
    </w:p>
    <w:p>
      <w:pPr>
        <w:spacing w:after="0" w:line="97" w:lineRule="exact"/>
        <w:rPr>
          <w:sz w:val="20"/>
          <w:szCs w:val="20"/>
          <w:color w:val="auto"/>
        </w:rPr>
      </w:pPr>
    </w:p>
    <w:p>
      <w:pPr>
        <w:jc w:val="both"/>
        <w:ind w:right="340"/>
        <w:spacing w:after="0" w:line="287" w:lineRule="auto"/>
        <w:rPr>
          <w:sz w:val="20"/>
          <w:szCs w:val="20"/>
          <w:color w:val="auto"/>
        </w:rPr>
      </w:pPr>
      <w:r>
        <w:rPr>
          <w:rFonts w:ascii="Arial" w:cs="Arial" w:eastAsia="Arial" w:hAnsi="Arial"/>
          <w:sz w:val="18"/>
          <w:szCs w:val="18"/>
          <w:color w:val="auto"/>
        </w:rPr>
        <w:t>Other Non-Operating Income includes lease and rental income, asset sale income, non-inventoried aggregates sales income, distribution center income, and trucking income, as well as other miscellaneous revenue items and costs that have not been allocated to a business segment.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Footnote (N) to the Unaudited Consolidated Financial Statements for disaggregation of revenue by segment.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(E) ACCOUNTS AND NOTES RECEIVABLE</w:t>
      </w:r>
    </w:p>
    <w:p>
      <w:pPr>
        <w:spacing w:after="0" w:line="148"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auto"/>
        </w:rPr>
        <w:t>Accounts Receivable are shown net of the allowance for doubtful accounts totaling $6.8 million and $6.7 million at September 30, 2022, and March 31, 2022, respectively. We perform ongoing credit evaluations of our customers’ financial condition and generally require no collateral from our customers. The allowance for non-collection of receivables is based upon analysis of economic trends in the construction industry, detailed analysis of the expected collectability of accounts receivable that are past due, and the expected collectability of overall receivables. We have no significant credit risk concentration among our diversified customer base.</w:t>
      </w:r>
    </w:p>
    <w:p>
      <w:pPr>
        <w:spacing w:after="0" w:line="98"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We had Notes Receivable totaling approximately $8.5 million at September 30, 2022, none of which was classified as current. We lend funds to certain companies in the ordinary course of business, and the notes bear interest at LIBOR plus 3%, which was approximately 5.2% at September 30, 2022. Remaining unpaid amounts, plus accrued interest, mature in fiscal 2025. The notes are collateralized by certain assets of the borrowers, namely property and equipment, and are generally payable monthly. We monitor the credit risk of each borrower by assessing the timeliness of payments, credit history, credit metrics, and our ongoing interactions with each borrower.</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 INVENTORIES</w:t>
      </w:r>
    </w:p>
    <w:p>
      <w:pPr>
        <w:spacing w:after="0" w:line="148" w:lineRule="exact"/>
        <w:rPr>
          <w:sz w:val="20"/>
          <w:szCs w:val="20"/>
          <w:color w:val="auto"/>
        </w:rPr>
      </w:pPr>
    </w:p>
    <w:p>
      <w:pPr>
        <w:ind w:right="260"/>
        <w:spacing w:after="0" w:line="284" w:lineRule="auto"/>
        <w:rPr>
          <w:sz w:val="20"/>
          <w:szCs w:val="20"/>
          <w:color w:val="auto"/>
        </w:rPr>
      </w:pPr>
      <w:r>
        <w:rPr>
          <w:rFonts w:ascii="Arial" w:cs="Arial" w:eastAsia="Arial" w:hAnsi="Arial"/>
          <w:sz w:val="18"/>
          <w:szCs w:val="18"/>
          <w:color w:val="auto"/>
        </w:rPr>
        <w:t>Inventories are stated at the lower of average cost (including applicable material, labor, depreciation, and plant overhead) or net realizable value. Raw Materials and Materials-in-Progress include clinker, which is an intermediary product before it is ground into cement powder. Quantities of Raw Materials and Materials-in-Progress, Aggregates, and Coal inventories, are based on measured volumes, subject to estimation based on the size and location of the inventory piles, and are converted to tonnage using standard inventory density factors. Inventories consist of the following:</w:t>
      </w:r>
    </w:p>
    <w:p>
      <w:pPr>
        <w:spacing w:after="0" w:line="174" w:lineRule="exact"/>
        <w:rPr>
          <w:sz w:val="20"/>
          <w:szCs w:val="20"/>
          <w:color w:val="auto"/>
        </w:rPr>
      </w:pPr>
    </w:p>
    <w:tbl>
      <w:tblPr>
        <w:tblLayout w:type="fixed"/>
        <w:tblInd w:w="7740" w:type="dxa"/>
        <w:tblCellMar>
          <w:top w:w="0" w:type="dxa"/>
          <w:left w:w="0" w:type="dxa"/>
          <w:bottom w:w="0" w:type="dxa"/>
          <w:right w:w="0" w:type="dxa"/>
        </w:tblCellMar>
      </w:tblPr>
      <w:tr>
        <w:trPr>
          <w:trHeight w:val="168"/>
        </w:trPr>
        <w:tc>
          <w:tcPr>
            <w:tcW w:w="2540" w:type="dxa"/>
            <w:vAlign w:val="bottom"/>
            <w:shd w:val="clear" w:color="auto" w:fill="004483"/>
          </w:tcPr>
          <w:p>
            <w:pPr>
              <w:jc w:val="right"/>
              <w:ind w:right="937"/>
              <w:spacing w:after="0"/>
              <w:rPr>
                <w:sz w:val="20"/>
                <w:szCs w:val="20"/>
                <w:color w:val="auto"/>
              </w:rPr>
            </w:pPr>
            <w:r>
              <w:rPr>
                <w:rFonts w:ascii="Arial" w:cs="Arial" w:eastAsia="Arial" w:hAnsi="Arial"/>
                <w:sz w:val="13"/>
                <w:szCs w:val="13"/>
                <w:b w:val="1"/>
                <w:bCs w:val="1"/>
                <w:color w:val="FFFFFF"/>
              </w:rPr>
              <w:t>September 30,</w:t>
            </w:r>
          </w:p>
        </w:tc>
        <w:tc>
          <w:tcPr>
            <w:tcW w:w="960" w:type="dxa"/>
            <w:vAlign w:val="bottom"/>
            <w:shd w:val="clear" w:color="auto" w:fill="004483"/>
          </w:tcPr>
          <w:p>
            <w:pPr>
              <w:jc w:val="right"/>
              <w:ind w:right="57"/>
              <w:spacing w:after="0"/>
              <w:rPr>
                <w:sz w:val="20"/>
                <w:szCs w:val="20"/>
                <w:color w:val="auto"/>
              </w:rPr>
            </w:pPr>
            <w:r>
              <w:rPr>
                <w:rFonts w:ascii="Arial" w:cs="Arial" w:eastAsia="Arial" w:hAnsi="Arial"/>
                <w:sz w:val="13"/>
                <w:szCs w:val="13"/>
                <w:b w:val="1"/>
                <w:bCs w:val="1"/>
                <w:color w:val="FFFFFF"/>
              </w:rPr>
              <w:t>March 31,</w:t>
            </w:r>
          </w:p>
        </w:tc>
      </w:tr>
      <w:tr>
        <w:trPr>
          <w:trHeight w:val="156"/>
        </w:trPr>
        <w:tc>
          <w:tcPr>
            <w:tcW w:w="2540" w:type="dxa"/>
            <w:vAlign w:val="bottom"/>
          </w:tcPr>
          <w:p>
            <w:pPr>
              <w:jc w:val="right"/>
              <w:ind w:right="937"/>
              <w:spacing w:after="0"/>
              <w:rPr>
                <w:sz w:val="20"/>
                <w:szCs w:val="20"/>
                <w:color w:val="auto"/>
              </w:rPr>
            </w:pPr>
            <w:r>
              <w:rPr>
                <w:rFonts w:ascii="Arial" w:cs="Arial" w:eastAsia="Arial" w:hAnsi="Arial"/>
                <w:sz w:val="13"/>
                <w:szCs w:val="13"/>
                <w:b w:val="1"/>
                <w:bCs w:val="1"/>
                <w:color w:val="auto"/>
              </w:rPr>
              <w:t>2022</w:t>
            </w:r>
          </w:p>
        </w:tc>
        <w:tc>
          <w:tcPr>
            <w:tcW w:w="960" w:type="dxa"/>
            <w:vAlign w:val="bottom"/>
          </w:tcPr>
          <w:p>
            <w:pPr>
              <w:jc w:val="right"/>
              <w:ind w:right="57"/>
              <w:spacing w:after="0"/>
              <w:rPr>
                <w:sz w:val="20"/>
                <w:szCs w:val="20"/>
                <w:color w:val="auto"/>
              </w:rPr>
            </w:pPr>
            <w:r>
              <w:rPr>
                <w:rFonts w:ascii="Arial" w:cs="Arial" w:eastAsia="Arial" w:hAnsi="Arial"/>
                <w:sz w:val="13"/>
                <w:szCs w:val="13"/>
                <w:b w:val="1"/>
                <w:bCs w:val="1"/>
                <w:color w:val="auto"/>
              </w:rPr>
              <w:t>2022</w:t>
            </w:r>
          </w:p>
        </w:tc>
      </w:tr>
      <w:tr>
        <w:trPr>
          <w:trHeight w:val="152"/>
        </w:trPr>
        <w:tc>
          <w:tcPr>
            <w:tcW w:w="2540" w:type="dxa"/>
            <w:vAlign w:val="bottom"/>
          </w:tcPr>
          <w:p>
            <w:pPr>
              <w:jc w:val="right"/>
              <w:ind w:right="177"/>
              <w:spacing w:after="0"/>
              <w:rPr>
                <w:sz w:val="20"/>
                <w:szCs w:val="20"/>
                <w:color w:val="auto"/>
              </w:rPr>
            </w:pPr>
            <w:r>
              <w:rPr>
                <w:rFonts w:ascii="Arial" w:cs="Arial" w:eastAsia="Arial" w:hAnsi="Arial"/>
                <w:sz w:val="13"/>
                <w:szCs w:val="13"/>
                <w:color w:val="auto"/>
              </w:rPr>
              <w:t>(dollars in thousands)</w:t>
            </w:r>
          </w:p>
        </w:tc>
        <w:tc>
          <w:tcPr>
            <w:tcW w:w="9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06374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63740" cy="2540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Raw Materials and Materials-in-Progress</w:t>
            </w:r>
          </w:p>
        </w:tc>
        <w:tc>
          <w:tcPr>
            <w:tcW w:w="540" w:type="dxa"/>
            <w:vAlign w:val="bottom"/>
            <w:tcBorders>
              <w:bottom w:val="single" w:sz="8" w:color="A6A6A6"/>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72,610</w:t>
            </w:r>
          </w:p>
        </w:tc>
      </w:tr>
      <w:tr>
        <w:trPr>
          <w:trHeight w:val="196"/>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Finished Cement</w:t>
            </w:r>
          </w:p>
        </w:tc>
        <w:tc>
          <w:tcPr>
            <w:tcW w:w="540" w:type="dxa"/>
            <w:vAlign w:val="bottom"/>
            <w:tcBorders>
              <w:bottom w:val="single" w:sz="8" w:color="A6A6A6"/>
            </w:tcBorders>
          </w:tcPr>
          <w:p>
            <w:pPr>
              <w:spacing w:after="0"/>
              <w:rPr>
                <w:sz w:val="17"/>
                <w:szCs w:val="17"/>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26,671</w:t>
            </w:r>
          </w:p>
        </w:tc>
      </w:tr>
      <w:tr>
        <w:trPr>
          <w:trHeight w:val="196"/>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Aggregates</w:t>
            </w:r>
          </w:p>
        </w:tc>
        <w:tc>
          <w:tcPr>
            <w:tcW w:w="540" w:type="dxa"/>
            <w:vAlign w:val="bottom"/>
            <w:tcBorders>
              <w:bottom w:val="single" w:sz="8" w:color="A6A6A6"/>
            </w:tcBorders>
          </w:tcPr>
          <w:p>
            <w:pPr>
              <w:spacing w:after="0"/>
              <w:rPr>
                <w:sz w:val="17"/>
                <w:szCs w:val="17"/>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6,753</w:t>
            </w:r>
          </w:p>
        </w:tc>
      </w:tr>
      <w:tr>
        <w:trPr>
          <w:trHeight w:val="196"/>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Gypsum Wallboard</w:t>
            </w:r>
          </w:p>
        </w:tc>
        <w:tc>
          <w:tcPr>
            <w:tcW w:w="540" w:type="dxa"/>
            <w:vAlign w:val="bottom"/>
            <w:tcBorders>
              <w:bottom w:val="single" w:sz="8" w:color="A6A6A6"/>
            </w:tcBorders>
          </w:tcPr>
          <w:p>
            <w:pPr>
              <w:spacing w:after="0"/>
              <w:rPr>
                <w:sz w:val="17"/>
                <w:szCs w:val="17"/>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3,357</w:t>
            </w:r>
          </w:p>
        </w:tc>
      </w:tr>
      <w:tr>
        <w:trPr>
          <w:trHeight w:val="196"/>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Paperboard</w:t>
            </w:r>
          </w:p>
        </w:tc>
        <w:tc>
          <w:tcPr>
            <w:tcW w:w="540" w:type="dxa"/>
            <w:vAlign w:val="bottom"/>
            <w:tcBorders>
              <w:bottom w:val="single" w:sz="8" w:color="A6A6A6"/>
            </w:tcBorders>
          </w:tcPr>
          <w:p>
            <w:pPr>
              <w:spacing w:after="0"/>
              <w:rPr>
                <w:sz w:val="17"/>
                <w:szCs w:val="17"/>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5,371</w:t>
            </w:r>
          </w:p>
        </w:tc>
      </w:tr>
      <w:tr>
        <w:trPr>
          <w:trHeight w:val="196"/>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Repair Parts and Supplies</w:t>
            </w:r>
          </w:p>
        </w:tc>
        <w:tc>
          <w:tcPr>
            <w:tcW w:w="540" w:type="dxa"/>
            <w:vAlign w:val="bottom"/>
            <w:tcBorders>
              <w:bottom w:val="single" w:sz="8" w:color="A6A6A6"/>
            </w:tcBorders>
          </w:tcPr>
          <w:p>
            <w:pPr>
              <w:spacing w:after="0"/>
              <w:rPr>
                <w:sz w:val="17"/>
                <w:szCs w:val="17"/>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98,547</w:t>
            </w:r>
          </w:p>
        </w:tc>
      </w:tr>
      <w:tr>
        <w:trPr>
          <w:trHeight w:val="196"/>
        </w:trPr>
        <w:tc>
          <w:tcPr>
            <w:tcW w:w="7740" w:type="dxa"/>
            <w:vAlign w:val="bottom"/>
          </w:tcPr>
          <w:p>
            <w:pPr>
              <w:ind w:left="20"/>
              <w:spacing w:after="0"/>
              <w:rPr>
                <w:sz w:val="20"/>
                <w:szCs w:val="20"/>
                <w:color w:val="auto"/>
              </w:rPr>
            </w:pPr>
            <w:r>
              <w:rPr>
                <w:rFonts w:ascii="Arial" w:cs="Arial" w:eastAsia="Arial" w:hAnsi="Arial"/>
                <w:sz w:val="16"/>
                <w:szCs w:val="16"/>
                <w:color w:val="004483"/>
              </w:rPr>
              <w:t>Fuel and Coal</w:t>
            </w: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12,526</w:t>
            </w:r>
          </w:p>
        </w:tc>
      </w:tr>
      <w:tr>
        <w:trPr>
          <w:trHeight w:val="30"/>
        </w:trPr>
        <w:tc>
          <w:tcPr>
            <w:tcW w:w="7740" w:type="dxa"/>
            <w:vAlign w:val="bottom"/>
            <w:tcBorders>
              <w:bottom w:val="single" w:sz="8" w:color="A6A6A6"/>
            </w:tcBorders>
          </w:tcPr>
          <w:p>
            <w:pPr>
              <w:spacing w:after="0"/>
              <w:rPr>
                <w:sz w:val="2"/>
                <w:szCs w:val="2"/>
                <w:color w:val="auto"/>
              </w:rPr>
            </w:pPr>
          </w:p>
        </w:tc>
        <w:tc>
          <w:tcPr>
            <w:tcW w:w="540" w:type="dxa"/>
            <w:vAlign w:val="bottom"/>
            <w:tcBorders>
              <w:bottom w:val="single" w:sz="8" w:color="004483"/>
            </w:tcBorders>
            <w:shd w:val="clear" w:color="auto" w:fill="004483"/>
          </w:tcPr>
          <w:p>
            <w:pPr>
              <w:spacing w:after="0"/>
              <w:rPr>
                <w:sz w:val="2"/>
                <w:szCs w:val="2"/>
                <w:color w:val="auto"/>
              </w:rPr>
            </w:pPr>
          </w:p>
        </w:tc>
        <w:tc>
          <w:tcPr>
            <w:tcW w:w="1020" w:type="dxa"/>
            <w:vAlign w:val="bottom"/>
            <w:tcBorders>
              <w:bottom w:val="single" w:sz="8" w:color="004483"/>
            </w:tcBorders>
            <w:shd w:val="clear" w:color="auto" w:fill="004483"/>
          </w:tcPr>
          <w:p>
            <w:pPr>
              <w:spacing w:after="0"/>
              <w:rPr>
                <w:sz w:val="2"/>
                <w:szCs w:val="2"/>
                <w:color w:val="auto"/>
              </w:rPr>
            </w:pPr>
          </w:p>
        </w:tc>
      </w:tr>
      <w:tr>
        <w:trPr>
          <w:trHeight w:val="196"/>
        </w:trPr>
        <w:tc>
          <w:tcPr>
            <w:tcW w:w="7740" w:type="dxa"/>
            <w:vAlign w:val="bottom"/>
          </w:tcPr>
          <w:p>
            <w:pPr>
              <w:spacing w:after="0"/>
              <w:rPr>
                <w:sz w:val="17"/>
                <w:szCs w:val="17"/>
                <w:color w:val="auto"/>
              </w:rPr>
            </w:pPr>
          </w:p>
        </w:tc>
        <w:tc>
          <w:tcPr>
            <w:tcW w:w="540" w:type="dxa"/>
            <w:vAlign w:val="bottom"/>
            <w:tcBorders>
              <w:bottom w:val="single" w:sz="8" w:color="004483"/>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225,835</w:t>
            </w:r>
          </w:p>
        </w:tc>
      </w:tr>
      <w:tr>
        <w:trPr>
          <w:trHeight w:val="20"/>
        </w:trPr>
        <w:tc>
          <w:tcPr>
            <w:tcW w:w="7740" w:type="dxa"/>
            <w:vAlign w:val="bottom"/>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1014" w:hanging="1014"/>
        <w:spacing w:after="0"/>
        <w:tabs>
          <w:tab w:leader="none" w:pos="1014" w:val="left"/>
        </w:tabs>
        <w:numPr>
          <w:ilvl w:val="0"/>
          <w:numId w:val="8"/>
        </w:numPr>
        <w:rPr>
          <w:rFonts w:ascii="Arial" w:cs="Arial" w:eastAsia="Arial" w:hAnsi="Arial"/>
          <w:sz w:val="16"/>
          <w:szCs w:val="16"/>
          <w:color w:val="auto"/>
        </w:rPr>
      </w:pPr>
      <w:r>
        <w:rPr>
          <w:rFonts w:ascii="Arial" w:cs="Arial" w:eastAsia="Arial" w:hAnsi="Arial"/>
          <w:sz w:val="16"/>
          <w:szCs w:val="16"/>
          <w:color w:val="auto"/>
        </w:rPr>
        <w:t>81,308</w:t>
      </w:r>
    </w:p>
    <w:p>
      <w:pPr>
        <w:spacing w:after="0" w:line="32" w:lineRule="exact"/>
        <w:rPr>
          <w:rFonts w:ascii="Arial" w:cs="Arial" w:eastAsia="Arial" w:hAnsi="Arial"/>
          <w:sz w:val="16"/>
          <w:szCs w:val="16"/>
          <w:color w:val="auto"/>
        </w:rPr>
      </w:pPr>
    </w:p>
    <w:p>
      <w:pPr>
        <w:ind w:left="1014"/>
        <w:spacing w:after="0"/>
        <w:rPr>
          <w:rFonts w:ascii="Arial" w:cs="Arial" w:eastAsia="Arial" w:hAnsi="Arial"/>
          <w:sz w:val="16"/>
          <w:szCs w:val="16"/>
          <w:color w:val="auto"/>
        </w:rPr>
      </w:pPr>
      <w:r>
        <w:rPr>
          <w:rFonts w:ascii="Arial" w:cs="Arial" w:eastAsia="Arial" w:hAnsi="Arial"/>
          <w:sz w:val="16"/>
          <w:szCs w:val="16"/>
          <w:color w:val="auto"/>
        </w:rPr>
        <w:t>38,769</w:t>
      </w:r>
    </w:p>
    <w:p>
      <w:pPr>
        <w:spacing w:after="0" w:line="32" w:lineRule="exact"/>
        <w:rPr>
          <w:rFonts w:ascii="Arial" w:cs="Arial" w:eastAsia="Arial" w:hAnsi="Arial"/>
          <w:sz w:val="16"/>
          <w:szCs w:val="16"/>
          <w:color w:val="auto"/>
        </w:rPr>
      </w:pPr>
    </w:p>
    <w:p>
      <w:pPr>
        <w:ind w:left="1114"/>
        <w:spacing w:after="0"/>
        <w:rPr>
          <w:rFonts w:ascii="Arial" w:cs="Arial" w:eastAsia="Arial" w:hAnsi="Arial"/>
          <w:sz w:val="16"/>
          <w:szCs w:val="16"/>
          <w:color w:val="auto"/>
        </w:rPr>
      </w:pPr>
      <w:r>
        <w:rPr>
          <w:rFonts w:ascii="Arial" w:cs="Arial" w:eastAsia="Arial" w:hAnsi="Arial"/>
          <w:sz w:val="15"/>
          <w:szCs w:val="15"/>
          <w:color w:val="auto"/>
        </w:rPr>
        <w:t>3,558</w:t>
      </w:r>
    </w:p>
    <w:p>
      <w:pPr>
        <w:spacing w:after="0" w:line="43" w:lineRule="exact"/>
        <w:rPr>
          <w:rFonts w:ascii="Arial" w:cs="Arial" w:eastAsia="Arial" w:hAnsi="Arial"/>
          <w:sz w:val="16"/>
          <w:szCs w:val="16"/>
          <w:color w:val="auto"/>
        </w:rPr>
      </w:pPr>
    </w:p>
    <w:p>
      <w:pPr>
        <w:ind w:left="1114"/>
        <w:spacing w:after="0"/>
        <w:rPr>
          <w:rFonts w:ascii="Arial" w:cs="Arial" w:eastAsia="Arial" w:hAnsi="Arial"/>
          <w:sz w:val="16"/>
          <w:szCs w:val="16"/>
          <w:color w:val="auto"/>
        </w:rPr>
      </w:pPr>
      <w:r>
        <w:rPr>
          <w:rFonts w:ascii="Arial" w:cs="Arial" w:eastAsia="Arial" w:hAnsi="Arial"/>
          <w:sz w:val="15"/>
          <w:szCs w:val="15"/>
          <w:color w:val="auto"/>
        </w:rPr>
        <w:t>3,452</w:t>
      </w:r>
    </w:p>
    <w:p>
      <w:pPr>
        <w:spacing w:after="0" w:line="43" w:lineRule="exact"/>
        <w:rPr>
          <w:rFonts w:ascii="Arial" w:cs="Arial" w:eastAsia="Arial" w:hAnsi="Arial"/>
          <w:sz w:val="16"/>
          <w:szCs w:val="16"/>
          <w:color w:val="auto"/>
        </w:rPr>
      </w:pPr>
    </w:p>
    <w:p>
      <w:pPr>
        <w:ind w:left="1114"/>
        <w:spacing w:after="0"/>
        <w:rPr>
          <w:rFonts w:ascii="Arial" w:cs="Arial" w:eastAsia="Arial" w:hAnsi="Arial"/>
          <w:sz w:val="16"/>
          <w:szCs w:val="16"/>
          <w:color w:val="auto"/>
        </w:rPr>
      </w:pPr>
      <w:r>
        <w:rPr>
          <w:rFonts w:ascii="Arial" w:cs="Arial" w:eastAsia="Arial" w:hAnsi="Arial"/>
          <w:sz w:val="15"/>
          <w:szCs w:val="15"/>
          <w:color w:val="auto"/>
        </w:rPr>
        <w:t>7,462</w:t>
      </w:r>
    </w:p>
    <w:p>
      <w:pPr>
        <w:spacing w:after="0" w:line="43" w:lineRule="exact"/>
        <w:rPr>
          <w:rFonts w:ascii="Arial" w:cs="Arial" w:eastAsia="Arial" w:hAnsi="Arial"/>
          <w:sz w:val="16"/>
          <w:szCs w:val="16"/>
          <w:color w:val="auto"/>
        </w:rPr>
      </w:pPr>
    </w:p>
    <w:p>
      <w:pPr>
        <w:ind w:left="1014"/>
        <w:spacing w:after="0"/>
        <w:rPr>
          <w:rFonts w:ascii="Arial" w:cs="Arial" w:eastAsia="Arial" w:hAnsi="Arial"/>
          <w:sz w:val="16"/>
          <w:szCs w:val="16"/>
          <w:color w:val="auto"/>
        </w:rPr>
      </w:pPr>
      <w:r>
        <w:rPr>
          <w:rFonts w:ascii="Arial" w:cs="Arial" w:eastAsia="Arial" w:hAnsi="Arial"/>
          <w:sz w:val="16"/>
          <w:szCs w:val="16"/>
          <w:color w:val="auto"/>
        </w:rPr>
        <w:t>91,593</w:t>
      </w:r>
    </w:p>
    <w:p>
      <w:pPr>
        <w:spacing w:after="0" w:line="32" w:lineRule="exact"/>
        <w:rPr>
          <w:rFonts w:ascii="Arial" w:cs="Arial" w:eastAsia="Arial" w:hAnsi="Arial"/>
          <w:sz w:val="16"/>
          <w:szCs w:val="16"/>
          <w:color w:val="auto"/>
        </w:rPr>
      </w:pPr>
    </w:p>
    <w:p>
      <w:pPr>
        <w:ind w:left="1014"/>
        <w:spacing w:after="0"/>
        <w:rPr>
          <w:rFonts w:ascii="Arial" w:cs="Arial" w:eastAsia="Arial" w:hAnsi="Arial"/>
          <w:sz w:val="16"/>
          <w:szCs w:val="16"/>
          <w:color w:val="auto"/>
        </w:rPr>
      </w:pPr>
      <w:r>
        <w:rPr>
          <w:rFonts w:ascii="Arial" w:cs="Arial" w:eastAsia="Arial" w:hAnsi="Arial"/>
          <w:sz w:val="16"/>
          <w:szCs w:val="16"/>
          <w:color w:val="auto"/>
        </w:rPr>
        <w:t>10,519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-811530</wp:posOffset>
            </wp:positionV>
            <wp:extent cx="10972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-674370</wp:posOffset>
            </wp:positionV>
            <wp:extent cx="10972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-537210</wp:posOffset>
            </wp:positionV>
            <wp:extent cx="10972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-400050</wp:posOffset>
            </wp:positionV>
            <wp:extent cx="10972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-262890</wp:posOffset>
            </wp:positionV>
            <wp:extent cx="10972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wp:posOffset>
            </wp:positionH>
            <wp:positionV relativeFrom="paragraph">
              <wp:posOffset>-125730</wp:posOffset>
            </wp:positionV>
            <wp:extent cx="10972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10795</wp:posOffset>
            </wp:positionV>
            <wp:extent cx="9772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77265" cy="25400"/>
                    </a:xfrm>
                    <a:prstGeom prst="rect">
                      <a:avLst/>
                    </a:prstGeom>
                    <a:noFill/>
                  </pic:spPr>
                </pic:pic>
              </a:graphicData>
            </a:graphic>
          </wp:anchor>
        </w:drawing>
      </w:r>
    </w:p>
    <w:p>
      <w:pPr>
        <w:spacing w:after="0" w:line="19" w:lineRule="exact"/>
        <w:rPr>
          <w:sz w:val="20"/>
          <w:szCs w:val="20"/>
          <w:color w:val="auto"/>
        </w:rPr>
      </w:pPr>
    </w:p>
    <w:p>
      <w:pPr>
        <w:ind w:left="934" w:hanging="934"/>
        <w:spacing w:after="0"/>
        <w:tabs>
          <w:tab w:leader="none" w:pos="934"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236,661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-113030</wp:posOffset>
            </wp:positionV>
            <wp:extent cx="1200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23495</wp:posOffset>
            </wp:positionV>
            <wp:extent cx="9772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40640</wp:posOffset>
            </wp:positionV>
            <wp:extent cx="9772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9300" w:space="306"/>
            <w:col w:w="1634"/>
          </w:cols>
          <w:pgMar w:left="320" w:top="571" w:right="3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 ACCRUED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74" w:lineRule="exact"/>
        <w:rPr>
          <w:sz w:val="20"/>
          <w:szCs w:val="20"/>
          <w:color w:val="auto"/>
        </w:rPr>
      </w:pPr>
    </w:p>
    <w:tbl>
      <w:tblPr>
        <w:tblLayout w:type="fixed"/>
        <w:tblInd w:w="7720" w:type="dxa"/>
        <w:tblCellMar>
          <w:top w:w="0" w:type="dxa"/>
          <w:left w:w="0" w:type="dxa"/>
          <w:bottom w:w="0" w:type="dxa"/>
          <w:right w:w="0" w:type="dxa"/>
        </w:tblCellMar>
      </w:tblPr>
      <w:tr>
        <w:trPr>
          <w:trHeight w:val="168"/>
        </w:trPr>
        <w:tc>
          <w:tcPr>
            <w:tcW w:w="2560" w:type="dxa"/>
            <w:vAlign w:val="bottom"/>
            <w:shd w:val="clear" w:color="auto" w:fill="004483"/>
          </w:tcPr>
          <w:p>
            <w:pPr>
              <w:jc w:val="right"/>
              <w:ind w:right="917"/>
              <w:spacing w:after="0"/>
              <w:rPr>
                <w:sz w:val="20"/>
                <w:szCs w:val="20"/>
                <w:color w:val="auto"/>
              </w:rPr>
            </w:pPr>
            <w:r>
              <w:rPr>
                <w:rFonts w:ascii="Arial" w:cs="Arial" w:eastAsia="Arial" w:hAnsi="Arial"/>
                <w:sz w:val="13"/>
                <w:szCs w:val="13"/>
                <w:b w:val="1"/>
                <w:bCs w:val="1"/>
                <w:color w:val="FFFFFF"/>
              </w:rPr>
              <w:t>September 30,</w:t>
            </w:r>
          </w:p>
        </w:tc>
        <w:tc>
          <w:tcPr>
            <w:tcW w:w="960" w:type="dxa"/>
            <w:vAlign w:val="bottom"/>
            <w:shd w:val="clear" w:color="auto" w:fill="004483"/>
          </w:tcPr>
          <w:p>
            <w:pPr>
              <w:jc w:val="right"/>
              <w:ind w:right="57"/>
              <w:spacing w:after="0"/>
              <w:rPr>
                <w:sz w:val="20"/>
                <w:szCs w:val="20"/>
                <w:color w:val="auto"/>
              </w:rPr>
            </w:pPr>
            <w:r>
              <w:rPr>
                <w:rFonts w:ascii="Arial" w:cs="Arial" w:eastAsia="Arial" w:hAnsi="Arial"/>
                <w:sz w:val="13"/>
                <w:szCs w:val="13"/>
                <w:b w:val="1"/>
                <w:bCs w:val="1"/>
                <w:color w:val="FFFFFF"/>
              </w:rPr>
              <w:t>March 31,</w:t>
            </w:r>
          </w:p>
        </w:tc>
      </w:tr>
      <w:tr>
        <w:trPr>
          <w:trHeight w:val="156"/>
        </w:trPr>
        <w:tc>
          <w:tcPr>
            <w:tcW w:w="2560" w:type="dxa"/>
            <w:vAlign w:val="bottom"/>
          </w:tcPr>
          <w:p>
            <w:pPr>
              <w:jc w:val="right"/>
              <w:ind w:right="917"/>
              <w:spacing w:after="0"/>
              <w:rPr>
                <w:sz w:val="20"/>
                <w:szCs w:val="20"/>
                <w:color w:val="auto"/>
              </w:rPr>
            </w:pPr>
            <w:r>
              <w:rPr>
                <w:rFonts w:ascii="Arial" w:cs="Arial" w:eastAsia="Arial" w:hAnsi="Arial"/>
                <w:sz w:val="13"/>
                <w:szCs w:val="13"/>
                <w:b w:val="1"/>
                <w:bCs w:val="1"/>
                <w:color w:val="auto"/>
              </w:rPr>
              <w:t>2022</w:t>
            </w:r>
          </w:p>
        </w:tc>
        <w:tc>
          <w:tcPr>
            <w:tcW w:w="960" w:type="dxa"/>
            <w:vAlign w:val="bottom"/>
          </w:tcPr>
          <w:p>
            <w:pPr>
              <w:jc w:val="right"/>
              <w:ind w:right="57"/>
              <w:spacing w:after="0"/>
              <w:rPr>
                <w:sz w:val="20"/>
                <w:szCs w:val="20"/>
                <w:color w:val="auto"/>
              </w:rPr>
            </w:pPr>
            <w:r>
              <w:rPr>
                <w:rFonts w:ascii="Arial" w:cs="Arial" w:eastAsia="Arial" w:hAnsi="Arial"/>
                <w:sz w:val="13"/>
                <w:szCs w:val="13"/>
                <w:b w:val="1"/>
                <w:bCs w:val="1"/>
                <w:color w:val="auto"/>
              </w:rPr>
              <w:t>2022</w:t>
            </w:r>
          </w:p>
        </w:tc>
      </w:tr>
      <w:tr>
        <w:trPr>
          <w:trHeight w:val="152"/>
        </w:trPr>
        <w:tc>
          <w:tcPr>
            <w:tcW w:w="2560" w:type="dxa"/>
            <w:vAlign w:val="bottom"/>
          </w:tcPr>
          <w:p>
            <w:pPr>
              <w:jc w:val="right"/>
              <w:ind w:right="197"/>
              <w:spacing w:after="0"/>
              <w:rPr>
                <w:sz w:val="20"/>
                <w:szCs w:val="20"/>
                <w:color w:val="auto"/>
              </w:rPr>
            </w:pPr>
            <w:r>
              <w:rPr>
                <w:rFonts w:ascii="Arial" w:cs="Arial" w:eastAsia="Arial" w:hAnsi="Arial"/>
                <w:sz w:val="13"/>
                <w:szCs w:val="13"/>
                <w:color w:val="auto"/>
              </w:rPr>
              <w:t>(dollars in thousands)</w:t>
            </w:r>
          </w:p>
        </w:tc>
        <w:tc>
          <w:tcPr>
            <w:tcW w:w="9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06374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63740" cy="2540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Payroll and Incentive Compensation</w:t>
            </w:r>
          </w:p>
        </w:tc>
        <w:tc>
          <w:tcPr>
            <w:tcW w:w="600" w:type="dxa"/>
            <w:vAlign w:val="bottom"/>
            <w:tcBorders>
              <w:bottom w:val="single" w:sz="8" w:color="A6A6A6"/>
            </w:tcBorders>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32,289</w:t>
            </w:r>
          </w:p>
        </w:tc>
      </w:tr>
      <w:tr>
        <w:trPr>
          <w:trHeight w:val="196"/>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Benefits</w:t>
            </w:r>
          </w:p>
        </w:tc>
        <w:tc>
          <w:tcPr>
            <w:tcW w:w="60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15,832</w:t>
            </w:r>
          </w:p>
        </w:tc>
      </w:tr>
      <w:tr>
        <w:trPr>
          <w:trHeight w:val="196"/>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Dividends</w:t>
            </w:r>
          </w:p>
        </w:tc>
        <w:tc>
          <w:tcPr>
            <w:tcW w:w="60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9,482</w:t>
            </w:r>
          </w:p>
        </w:tc>
      </w:tr>
      <w:tr>
        <w:trPr>
          <w:trHeight w:val="196"/>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Interest</w:t>
            </w:r>
          </w:p>
        </w:tc>
        <w:tc>
          <w:tcPr>
            <w:tcW w:w="60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7,167</w:t>
            </w:r>
          </w:p>
        </w:tc>
      </w:tr>
      <w:tr>
        <w:trPr>
          <w:trHeight w:val="196"/>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Property Taxes</w:t>
            </w:r>
          </w:p>
        </w:tc>
        <w:tc>
          <w:tcPr>
            <w:tcW w:w="60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10,399</w:t>
            </w:r>
          </w:p>
        </w:tc>
      </w:tr>
      <w:tr>
        <w:trPr>
          <w:trHeight w:val="196"/>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Power and Fuel</w:t>
            </w:r>
          </w:p>
        </w:tc>
        <w:tc>
          <w:tcPr>
            <w:tcW w:w="60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4,633</w:t>
            </w:r>
          </w:p>
        </w:tc>
      </w:tr>
      <w:tr>
        <w:trPr>
          <w:trHeight w:val="196"/>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Freight</w:t>
            </w:r>
          </w:p>
        </w:tc>
        <w:tc>
          <w:tcPr>
            <w:tcW w:w="60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2,485</w:t>
            </w:r>
          </w:p>
        </w:tc>
      </w:tr>
      <w:tr>
        <w:trPr>
          <w:trHeight w:val="196"/>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Legal and Professional</w:t>
            </w:r>
          </w:p>
        </w:tc>
        <w:tc>
          <w:tcPr>
            <w:tcW w:w="60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1,608</w:t>
            </w:r>
          </w:p>
        </w:tc>
      </w:tr>
      <w:tr>
        <w:trPr>
          <w:trHeight w:val="196"/>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Sales and Use Tax</w:t>
            </w:r>
          </w:p>
        </w:tc>
        <w:tc>
          <w:tcPr>
            <w:tcW w:w="600" w:type="dxa"/>
            <w:vAlign w:val="bottom"/>
            <w:tcBorders>
              <w:bottom w:val="single" w:sz="8" w:color="A6A6A6"/>
            </w:tcBorders>
          </w:tcPr>
          <w:p>
            <w:pPr>
              <w:spacing w:after="0"/>
              <w:rPr>
                <w:sz w:val="17"/>
                <w:szCs w:val="17"/>
                <w:color w:val="auto"/>
              </w:rPr>
            </w:pP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2,291</w:t>
            </w:r>
          </w:p>
        </w:tc>
      </w:tr>
      <w:tr>
        <w:trPr>
          <w:trHeight w:val="196"/>
        </w:trPr>
        <w:tc>
          <w:tcPr>
            <w:tcW w:w="7720" w:type="dxa"/>
            <w:vAlign w:val="bottom"/>
          </w:tcPr>
          <w:p>
            <w:pPr>
              <w:ind w:left="20"/>
              <w:spacing w:after="0"/>
              <w:rPr>
                <w:sz w:val="20"/>
                <w:szCs w:val="20"/>
                <w:color w:val="auto"/>
              </w:rPr>
            </w:pPr>
            <w:r>
              <w:rPr>
                <w:rFonts w:ascii="Arial" w:cs="Arial" w:eastAsia="Arial" w:hAnsi="Arial"/>
                <w:sz w:val="16"/>
                <w:szCs w:val="16"/>
                <w:color w:val="004483"/>
              </w:rPr>
              <w:t>Other</w:t>
            </w: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5,329</w:t>
            </w:r>
          </w:p>
        </w:tc>
      </w:tr>
      <w:tr>
        <w:trPr>
          <w:trHeight w:val="30"/>
        </w:trPr>
        <w:tc>
          <w:tcPr>
            <w:tcW w:w="7720" w:type="dxa"/>
            <w:vAlign w:val="bottom"/>
            <w:tcBorders>
              <w:bottom w:val="single" w:sz="8" w:color="A6A6A6"/>
            </w:tcBorders>
          </w:tcPr>
          <w:p>
            <w:pPr>
              <w:spacing w:after="0"/>
              <w:rPr>
                <w:sz w:val="2"/>
                <w:szCs w:val="2"/>
                <w:color w:val="auto"/>
              </w:rPr>
            </w:pPr>
          </w:p>
        </w:tc>
        <w:tc>
          <w:tcPr>
            <w:tcW w:w="600" w:type="dxa"/>
            <w:vAlign w:val="bottom"/>
            <w:tcBorders>
              <w:bottom w:val="single" w:sz="8" w:color="004483"/>
            </w:tcBorders>
            <w:shd w:val="clear" w:color="auto" w:fill="004483"/>
          </w:tcPr>
          <w:p>
            <w:pPr>
              <w:spacing w:after="0"/>
              <w:rPr>
                <w:sz w:val="2"/>
                <w:szCs w:val="2"/>
                <w:color w:val="auto"/>
              </w:rPr>
            </w:pPr>
          </w:p>
        </w:tc>
        <w:tc>
          <w:tcPr>
            <w:tcW w:w="980" w:type="dxa"/>
            <w:vAlign w:val="bottom"/>
            <w:tcBorders>
              <w:bottom w:val="single" w:sz="8" w:color="004483"/>
            </w:tcBorders>
            <w:shd w:val="clear" w:color="auto" w:fill="004483"/>
          </w:tcPr>
          <w:p>
            <w:pPr>
              <w:spacing w:after="0"/>
              <w:rPr>
                <w:sz w:val="2"/>
                <w:szCs w:val="2"/>
                <w:color w:val="auto"/>
              </w:rPr>
            </w:pPr>
          </w:p>
        </w:tc>
      </w:tr>
      <w:tr>
        <w:trPr>
          <w:trHeight w:val="196"/>
        </w:trPr>
        <w:tc>
          <w:tcPr>
            <w:tcW w:w="7720" w:type="dxa"/>
            <w:vAlign w:val="bottom"/>
          </w:tcPr>
          <w:p>
            <w:pPr>
              <w:spacing w:after="0"/>
              <w:rPr>
                <w:sz w:val="17"/>
                <w:szCs w:val="17"/>
                <w:color w:val="auto"/>
              </w:rPr>
            </w:pPr>
          </w:p>
        </w:tc>
        <w:tc>
          <w:tcPr>
            <w:tcW w:w="600" w:type="dxa"/>
            <w:vAlign w:val="bottom"/>
            <w:tcBorders>
              <w:bottom w:val="single" w:sz="8" w:color="004483"/>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91,515</w:t>
            </w:r>
          </w:p>
        </w:tc>
      </w:tr>
      <w:tr>
        <w:trPr>
          <w:trHeight w:val="20"/>
        </w:trPr>
        <w:tc>
          <w:tcPr>
            <w:tcW w:w="7720" w:type="dxa"/>
            <w:vAlign w:val="bottom"/>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left="1000" w:hanging="1000"/>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37,262</w:t>
      </w:r>
    </w:p>
    <w:p>
      <w:pPr>
        <w:spacing w:after="0" w:line="32"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6"/>
          <w:szCs w:val="16"/>
          <w:color w:val="auto"/>
        </w:rPr>
        <w:t>14,894</w:t>
      </w:r>
    </w:p>
    <w:p>
      <w:pPr>
        <w:spacing w:after="0" w:line="32"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5"/>
          <w:szCs w:val="15"/>
          <w:color w:val="auto"/>
        </w:rPr>
        <w:t>9,756</w:t>
      </w:r>
    </w:p>
    <w:p>
      <w:pPr>
        <w:spacing w:after="0" w:line="43"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5"/>
          <w:szCs w:val="15"/>
          <w:color w:val="auto"/>
        </w:rPr>
        <w:t>5,052</w:t>
      </w:r>
    </w:p>
    <w:p>
      <w:pPr>
        <w:spacing w:after="0" w:line="43"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5"/>
          <w:szCs w:val="15"/>
          <w:color w:val="auto"/>
        </w:rPr>
        <w:t>6,514</w:t>
      </w:r>
    </w:p>
    <w:p>
      <w:pPr>
        <w:spacing w:after="0" w:line="43"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5"/>
          <w:szCs w:val="15"/>
          <w:color w:val="auto"/>
        </w:rPr>
        <w:t>2,877</w:t>
      </w:r>
    </w:p>
    <w:p>
      <w:pPr>
        <w:spacing w:after="0" w:line="43"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5"/>
          <w:szCs w:val="15"/>
          <w:color w:val="auto"/>
        </w:rPr>
        <w:t>1,172</w:t>
      </w:r>
    </w:p>
    <w:p>
      <w:pPr>
        <w:spacing w:after="0" w:line="43" w:lineRule="exact"/>
        <w:rPr>
          <w:rFonts w:ascii="Arial" w:cs="Arial" w:eastAsia="Arial" w:hAnsi="Arial"/>
          <w:sz w:val="16"/>
          <w:szCs w:val="16"/>
          <w:color w:val="auto"/>
        </w:rPr>
      </w:pPr>
    </w:p>
    <w:p>
      <w:pPr>
        <w:ind w:left="1220"/>
        <w:spacing w:after="0"/>
        <w:rPr>
          <w:rFonts w:ascii="Arial" w:cs="Arial" w:eastAsia="Arial" w:hAnsi="Arial"/>
          <w:sz w:val="16"/>
          <w:szCs w:val="16"/>
          <w:color w:val="auto"/>
        </w:rPr>
      </w:pPr>
      <w:r>
        <w:rPr>
          <w:rFonts w:ascii="Arial" w:cs="Arial" w:eastAsia="Arial" w:hAnsi="Arial"/>
          <w:sz w:val="16"/>
          <w:szCs w:val="16"/>
          <w:color w:val="auto"/>
        </w:rPr>
        <w:t>989</w:t>
      </w:r>
    </w:p>
    <w:p>
      <w:pPr>
        <w:spacing w:after="0" w:line="32"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5"/>
          <w:szCs w:val="15"/>
          <w:color w:val="auto"/>
        </w:rPr>
        <w:t>1,509</w:t>
      </w:r>
    </w:p>
    <w:p>
      <w:pPr>
        <w:spacing w:after="0" w:line="43"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5"/>
          <w:szCs w:val="15"/>
          <w:color w:val="auto"/>
        </w:rPr>
        <w:t>6,729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-1216025</wp:posOffset>
            </wp:positionV>
            <wp:extent cx="10883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883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-1078865</wp:posOffset>
            </wp:positionV>
            <wp:extent cx="10883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88390" cy="8890"/>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-941705</wp:posOffset>
            </wp:positionV>
            <wp:extent cx="10883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883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-804545</wp:posOffset>
            </wp:positionV>
            <wp:extent cx="10883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883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-667385</wp:posOffset>
            </wp:positionV>
            <wp:extent cx="10883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88390" cy="8890"/>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-530225</wp:posOffset>
            </wp:positionV>
            <wp:extent cx="10883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883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-393065</wp:posOffset>
            </wp:positionV>
            <wp:extent cx="10883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88390" cy="8890"/>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-255905</wp:posOffset>
            </wp:positionV>
            <wp:extent cx="10883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88390" cy="8890"/>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-118745</wp:posOffset>
            </wp:positionV>
            <wp:extent cx="10883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8839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17780</wp:posOffset>
            </wp:positionV>
            <wp:extent cx="96837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68375" cy="25400"/>
                    </a:xfrm>
                    <a:prstGeom prst="rect">
                      <a:avLst/>
                    </a:prstGeom>
                    <a:noFill/>
                  </pic:spPr>
                </pic:pic>
              </a:graphicData>
            </a:graphic>
          </wp:anchor>
        </w:drawing>
      </w:r>
    </w:p>
    <w:p>
      <w:pPr>
        <w:spacing w:after="0" w:line="31" w:lineRule="exact"/>
        <w:rPr>
          <w:sz w:val="20"/>
          <w:szCs w:val="20"/>
          <w:color w:val="auto"/>
        </w:rPr>
      </w:pPr>
    </w:p>
    <w:p>
      <w:pPr>
        <w:ind w:left="1000" w:hanging="1000"/>
        <w:spacing w:after="0"/>
        <w:tabs>
          <w:tab w:leader="none" w:pos="100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86,754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-113030</wp:posOffset>
            </wp:positionV>
            <wp:extent cx="1200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23495</wp:posOffset>
            </wp:positionV>
            <wp:extent cx="9683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40640</wp:posOffset>
            </wp:positionV>
            <wp:extent cx="9683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9300" w:space="320"/>
            <w:col w:w="1620"/>
          </w:cols>
          <w:pgMar w:left="320" w:top="571" w:right="339" w:bottom="1440" w:gutter="0" w:footer="0" w:header="0"/>
          <w:type w:val="continuous"/>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(H) LEASES</w:t>
      </w:r>
    </w:p>
    <w:p>
      <w:pPr>
        <w:spacing w:after="0" w:line="148"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color w:val="auto"/>
        </w:rPr>
        <w:t>We lease certain real estate, buildings, and equipment. Certain of these leases contain escalations of rent over the term of the lease, as well as options for us to extend the term of the lease at the end of the original term. These extensions range from periods of one to 20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12 months, which are not recorded on the balance sheet.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our operating and short-term leases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2860" w:type="dxa"/>
            <w:vAlign w:val="bottom"/>
            <w:tcBorders>
              <w:bottom w:val="single" w:sz="8" w:color="004483"/>
            </w:tcBorders>
            <w:gridSpan w:val="8"/>
            <w:shd w:val="clear" w:color="auto" w:fill="004483"/>
          </w:tcPr>
          <w:p>
            <w:pPr>
              <w:ind w:left="80"/>
              <w:spacing w:after="0"/>
              <w:rPr>
                <w:sz w:val="20"/>
                <w:szCs w:val="20"/>
                <w:color w:val="auto"/>
              </w:rPr>
            </w:pPr>
            <w:r>
              <w:rPr>
                <w:rFonts w:ascii="Arial" w:cs="Arial" w:eastAsia="Arial" w:hAnsi="Arial"/>
                <w:sz w:val="13"/>
                <w:szCs w:val="13"/>
                <w:b w:val="1"/>
                <w:bCs w:val="1"/>
                <w:color w:val="FFFFFF"/>
              </w:rPr>
              <w:t>For the Three Months Ended September 30,</w:t>
            </w:r>
          </w:p>
        </w:tc>
        <w:tc>
          <w:tcPr>
            <w:tcW w:w="140" w:type="dxa"/>
            <w:vAlign w:val="bottom"/>
          </w:tcPr>
          <w:p>
            <w:pPr>
              <w:spacing w:after="0"/>
              <w:rPr>
                <w:sz w:val="18"/>
                <w:szCs w:val="18"/>
                <w:color w:val="auto"/>
              </w:rPr>
            </w:pPr>
          </w:p>
        </w:tc>
        <w:tc>
          <w:tcPr>
            <w:tcW w:w="120" w:type="dxa"/>
            <w:vAlign w:val="bottom"/>
            <w:tcBorders>
              <w:bottom w:val="single" w:sz="8" w:color="004483"/>
            </w:tcBorders>
            <w:shd w:val="clear" w:color="auto" w:fill="004483"/>
          </w:tcPr>
          <w:p>
            <w:pPr>
              <w:spacing w:after="0"/>
              <w:rPr>
                <w:sz w:val="18"/>
                <w:szCs w:val="18"/>
                <w:color w:val="auto"/>
              </w:rPr>
            </w:pPr>
          </w:p>
        </w:tc>
        <w:tc>
          <w:tcPr>
            <w:tcW w:w="2700" w:type="dxa"/>
            <w:vAlign w:val="bottom"/>
            <w:tcBorders>
              <w:bottom w:val="single" w:sz="8" w:color="004483"/>
            </w:tcBorders>
            <w:gridSpan w:val="6"/>
            <w:shd w:val="clear" w:color="auto" w:fill="004483"/>
          </w:tcPr>
          <w:p>
            <w:pPr>
              <w:ind w:left="20"/>
              <w:spacing w:after="0"/>
              <w:rPr>
                <w:sz w:val="20"/>
                <w:szCs w:val="20"/>
                <w:color w:val="auto"/>
              </w:rPr>
            </w:pPr>
            <w:r>
              <w:rPr>
                <w:rFonts w:ascii="Arial" w:cs="Arial" w:eastAsia="Arial" w:hAnsi="Arial"/>
                <w:sz w:val="13"/>
                <w:szCs w:val="13"/>
                <w:b w:val="1"/>
                <w:bCs w:val="1"/>
                <w:color w:val="FFFFFF"/>
              </w:rPr>
              <w:t>For the Six Months Ended September 30,</w:t>
            </w:r>
          </w:p>
        </w:tc>
        <w:tc>
          <w:tcPr>
            <w:tcW w:w="0" w:type="dxa"/>
            <w:vAlign w:val="bottom"/>
          </w:tcPr>
          <w:p>
            <w:pPr>
              <w:spacing w:after="0"/>
              <w:rPr>
                <w:sz w:val="1"/>
                <w:szCs w:val="1"/>
                <w:color w:val="auto"/>
              </w:rPr>
            </w:pPr>
          </w:p>
        </w:tc>
      </w:tr>
      <w:tr>
        <w:trPr>
          <w:trHeight w:val="150"/>
        </w:trPr>
        <w:tc>
          <w:tcPr>
            <w:tcW w:w="5420" w:type="dxa"/>
            <w:vAlign w:val="bottom"/>
          </w:tcPr>
          <w:p>
            <w:pPr>
              <w:spacing w:after="0"/>
              <w:rPr>
                <w:sz w:val="13"/>
                <w:szCs w:val="13"/>
                <w:color w:val="auto"/>
              </w:rPr>
            </w:pPr>
          </w:p>
        </w:tc>
        <w:tc>
          <w:tcPr>
            <w:tcW w:w="460" w:type="dxa"/>
            <w:vAlign w:val="bottom"/>
            <w:tcBorders>
              <w:top w:val="single" w:sz="8" w:color="A6A6A6"/>
            </w:tcBorders>
          </w:tcPr>
          <w:p>
            <w:pPr>
              <w:spacing w:after="0"/>
              <w:rPr>
                <w:sz w:val="13"/>
                <w:szCs w:val="13"/>
                <w:color w:val="auto"/>
              </w:rPr>
            </w:pPr>
          </w:p>
        </w:tc>
        <w:tc>
          <w:tcPr>
            <w:tcW w:w="780" w:type="dxa"/>
            <w:vAlign w:val="bottom"/>
            <w:tcBorders>
              <w:top w:val="single" w:sz="8" w:color="A6A6A6"/>
            </w:tcBorders>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gridSpan w:val="2"/>
          </w:tcPr>
          <w:p>
            <w:pPr>
              <w:jc w:val="right"/>
              <w:ind w:right="20"/>
              <w:spacing w:after="0" w:line="148"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6A6A6"/>
            </w:tcBorders>
          </w:tcPr>
          <w:p>
            <w:pPr>
              <w:spacing w:after="0"/>
              <w:rPr>
                <w:sz w:val="13"/>
                <w:szCs w:val="13"/>
                <w:color w:val="auto"/>
              </w:rPr>
            </w:pPr>
          </w:p>
        </w:tc>
        <w:tc>
          <w:tcPr>
            <w:tcW w:w="1100" w:type="dxa"/>
            <w:vAlign w:val="bottom"/>
            <w:tcBorders>
              <w:top w:val="single" w:sz="8" w:color="A6A6A6"/>
            </w:tcBorders>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line="148"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420" w:type="dxa"/>
            <w:vAlign w:val="bottom"/>
            <w:tcBorders>
              <w:bottom w:val="single" w:sz="8" w:color="004483"/>
            </w:tcBorders>
          </w:tcPr>
          <w:p>
            <w:pPr>
              <w:spacing w:after="0"/>
              <w:rPr>
                <w:sz w:val="16"/>
                <w:szCs w:val="16"/>
                <w:color w:val="auto"/>
              </w:rPr>
            </w:pPr>
          </w:p>
        </w:tc>
        <w:tc>
          <w:tcPr>
            <w:tcW w:w="460" w:type="dxa"/>
            <w:vAlign w:val="bottom"/>
            <w:tcBorders>
              <w:bottom w:val="single" w:sz="8" w:color="004483"/>
            </w:tcBorders>
          </w:tcPr>
          <w:p>
            <w:pPr>
              <w:spacing w:after="0"/>
              <w:rPr>
                <w:sz w:val="16"/>
                <w:szCs w:val="16"/>
                <w:color w:val="auto"/>
              </w:rPr>
            </w:pPr>
          </w:p>
        </w:tc>
        <w:tc>
          <w:tcPr>
            <w:tcW w:w="78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600" w:type="dxa"/>
            <w:vAlign w:val="bottom"/>
            <w:tcBorders>
              <w:bottom w:val="single" w:sz="8" w:color="004483"/>
            </w:tcBorders>
          </w:tcPr>
          <w:p>
            <w:pPr>
              <w:spacing w:after="0"/>
              <w:rPr>
                <w:sz w:val="16"/>
                <w:szCs w:val="16"/>
                <w:color w:val="auto"/>
              </w:rPr>
            </w:pPr>
          </w:p>
        </w:tc>
        <w:tc>
          <w:tcPr>
            <w:tcW w:w="2120" w:type="dxa"/>
            <w:vAlign w:val="bottom"/>
            <w:tcBorders>
              <w:bottom w:val="single" w:sz="8" w:color="004483"/>
            </w:tcBorders>
            <w:gridSpan w:val="6"/>
          </w:tcPr>
          <w:p>
            <w:pPr>
              <w:jc w:val="right"/>
              <w:ind w:right="689"/>
              <w:spacing w:after="0"/>
              <w:rPr>
                <w:sz w:val="20"/>
                <w:szCs w:val="20"/>
                <w:color w:val="auto"/>
              </w:rPr>
            </w:pPr>
            <w:r>
              <w:rPr>
                <w:rFonts w:ascii="Arial" w:cs="Arial" w:eastAsia="Arial" w:hAnsi="Arial"/>
                <w:sz w:val="13"/>
                <w:szCs w:val="13"/>
                <w:color w:val="auto"/>
              </w:rPr>
              <w:t>(dollars in thousands)</w:t>
            </w:r>
          </w:p>
        </w:tc>
        <w:tc>
          <w:tcPr>
            <w:tcW w:w="10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400" w:type="dxa"/>
            <w:vAlign w:val="bottom"/>
            <w:tcBorders>
              <w:bottom w:val="single" w:sz="8" w:color="004483"/>
            </w:tcBorders>
          </w:tcPr>
          <w:p>
            <w:pPr>
              <w:spacing w:after="0"/>
              <w:rPr>
                <w:sz w:val="16"/>
                <w:szCs w:val="16"/>
                <w:color w:val="auto"/>
              </w:rPr>
            </w:pPr>
          </w:p>
        </w:tc>
        <w:tc>
          <w:tcPr>
            <w:tcW w:w="8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004483"/>
              </w:rPr>
              <w:t>Operating Lease Cost</w:t>
            </w:r>
          </w:p>
        </w:tc>
        <w:tc>
          <w:tcPr>
            <w:tcW w:w="460" w:type="dxa"/>
            <w:vAlign w:val="bottom"/>
          </w:tcPr>
          <w:p>
            <w:pPr>
              <w:jc w:val="right"/>
              <w:ind w:right="285"/>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1,671</w:t>
            </w:r>
          </w:p>
        </w:tc>
        <w:tc>
          <w:tcPr>
            <w:tcW w:w="860" w:type="dxa"/>
            <w:vAlign w:val="bottom"/>
            <w:gridSpan w:val="3"/>
          </w:tcPr>
          <w:p>
            <w:pPr>
              <w:jc w:val="right"/>
              <w:ind w:right="419"/>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1,566</w:t>
            </w:r>
          </w:p>
        </w:tc>
        <w:tc>
          <w:tcPr>
            <w:tcW w:w="10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3,398</w:t>
            </w:r>
          </w:p>
        </w:tc>
        <w:tc>
          <w:tcPr>
            <w:tcW w:w="640" w:type="dxa"/>
            <w:vAlign w:val="bottom"/>
            <w:gridSpan w:val="3"/>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20" w:type="dxa"/>
            <w:vAlign w:val="bottom"/>
            <w:tcBorders>
              <w:top w:val="single" w:sz="8" w:color="A6A6A6"/>
            </w:tcBorders>
          </w:tcPr>
          <w:p>
            <w:pPr>
              <w:ind w:left="20"/>
              <w:spacing w:after="0"/>
              <w:rPr>
                <w:sz w:val="20"/>
                <w:szCs w:val="20"/>
                <w:color w:val="auto"/>
              </w:rPr>
            </w:pPr>
            <w:r>
              <w:rPr>
                <w:rFonts w:ascii="Arial" w:cs="Arial" w:eastAsia="Arial" w:hAnsi="Arial"/>
                <w:sz w:val="16"/>
                <w:szCs w:val="16"/>
                <w:color w:val="004483"/>
              </w:rPr>
              <w:t>Short-term Lease Cost</w:t>
            </w:r>
          </w:p>
        </w:tc>
        <w:tc>
          <w:tcPr>
            <w:tcW w:w="460" w:type="dxa"/>
            <w:vAlign w:val="bottom"/>
            <w:tcBorders>
              <w:top w:val="single" w:sz="8" w:color="A6A6A6"/>
            </w:tcBorders>
          </w:tcPr>
          <w:p>
            <w:pPr>
              <w:spacing w:after="0"/>
              <w:rPr>
                <w:sz w:val="17"/>
                <w:szCs w:val="17"/>
                <w:color w:val="auto"/>
              </w:rPr>
            </w:pPr>
          </w:p>
        </w:tc>
        <w:tc>
          <w:tcPr>
            <w:tcW w:w="78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7"/>
                <w:szCs w:val="17"/>
                <w:color w:val="auto"/>
              </w:rPr>
            </w:pPr>
          </w:p>
        </w:tc>
        <w:tc>
          <w:tcPr>
            <w:tcW w:w="140" w:type="dxa"/>
            <w:vAlign w:val="bottom"/>
            <w:tcBorders>
              <w:top w:val="single" w:sz="8" w:color="A6A6A6"/>
            </w:tcBorders>
          </w:tcPr>
          <w:p>
            <w:pPr>
              <w:spacing w:after="0"/>
              <w:rPr>
                <w:sz w:val="17"/>
                <w:szCs w:val="17"/>
                <w:color w:val="auto"/>
              </w:rPr>
            </w:pPr>
          </w:p>
        </w:tc>
        <w:tc>
          <w:tcPr>
            <w:tcW w:w="600" w:type="dxa"/>
            <w:vAlign w:val="bottom"/>
            <w:tcBorders>
              <w:top w:val="single" w:sz="8" w:color="A6A6A6"/>
            </w:tcBorders>
          </w:tcPr>
          <w:p>
            <w:pPr>
              <w:spacing w:after="0"/>
              <w:rPr>
                <w:sz w:val="17"/>
                <w:szCs w:val="17"/>
                <w:color w:val="auto"/>
              </w:rPr>
            </w:pPr>
          </w:p>
        </w:tc>
        <w:tc>
          <w:tcPr>
            <w:tcW w:w="660" w:type="dxa"/>
            <w:vAlign w:val="bottom"/>
            <w:tcBorders>
              <w:top w:val="single" w:sz="8" w:color="A6A6A6"/>
            </w:tcBorders>
            <w:gridSpan w:val="2"/>
          </w:tcPr>
          <w:p>
            <w:pPr>
              <w:jc w:val="right"/>
              <w:ind w:right="20"/>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7"/>
                <w:szCs w:val="17"/>
                <w:color w:val="auto"/>
              </w:rPr>
            </w:pPr>
          </w:p>
        </w:tc>
        <w:tc>
          <w:tcPr>
            <w:tcW w:w="140" w:type="dxa"/>
            <w:vAlign w:val="bottom"/>
            <w:tcBorders>
              <w:top w:val="single" w:sz="8" w:color="A6A6A6"/>
            </w:tcBorders>
          </w:tcPr>
          <w:p>
            <w:pPr>
              <w:spacing w:after="0"/>
              <w:rPr>
                <w:sz w:val="17"/>
                <w:szCs w:val="17"/>
                <w:color w:val="auto"/>
              </w:rPr>
            </w:pPr>
          </w:p>
        </w:tc>
        <w:tc>
          <w:tcPr>
            <w:tcW w:w="120" w:type="dxa"/>
            <w:vAlign w:val="bottom"/>
            <w:tcBorders>
              <w:top w:val="single" w:sz="8" w:color="A6A6A6"/>
            </w:tcBorders>
          </w:tcPr>
          <w:p>
            <w:pPr>
              <w:spacing w:after="0"/>
              <w:rPr>
                <w:sz w:val="17"/>
                <w:szCs w:val="17"/>
                <w:color w:val="auto"/>
              </w:rPr>
            </w:pPr>
          </w:p>
        </w:tc>
        <w:tc>
          <w:tcPr>
            <w:tcW w:w="110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7"/>
                <w:szCs w:val="17"/>
                <w:color w:val="auto"/>
              </w:rPr>
            </w:pPr>
          </w:p>
        </w:tc>
        <w:tc>
          <w:tcPr>
            <w:tcW w:w="140" w:type="dxa"/>
            <w:vAlign w:val="bottom"/>
            <w:tcBorders>
              <w:top w:val="single" w:sz="8" w:color="A6A6A6"/>
            </w:tcBorders>
          </w:tcPr>
          <w:p>
            <w:pPr>
              <w:spacing w:after="0"/>
              <w:rPr>
                <w:sz w:val="17"/>
                <w:szCs w:val="17"/>
                <w:color w:val="auto"/>
              </w:rPr>
            </w:pPr>
          </w:p>
        </w:tc>
        <w:tc>
          <w:tcPr>
            <w:tcW w:w="400" w:type="dxa"/>
            <w:vAlign w:val="bottom"/>
            <w:tcBorders>
              <w:top w:val="single" w:sz="8" w:color="A6A6A6"/>
            </w:tcBorders>
          </w:tcPr>
          <w:p>
            <w:pPr>
              <w:spacing w:after="0"/>
              <w:rPr>
                <w:sz w:val="17"/>
                <w:szCs w:val="17"/>
                <w:color w:val="auto"/>
              </w:rPr>
            </w:pPr>
          </w:p>
        </w:tc>
        <w:tc>
          <w:tcPr>
            <w:tcW w:w="86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811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5420" w:type="dxa"/>
            <w:vAlign w:val="bottom"/>
            <w:tcBorders>
              <w:bottom w:val="single" w:sz="8" w:color="A6A6A6"/>
            </w:tcBorders>
          </w:tcPr>
          <w:p>
            <w:pPr>
              <w:spacing w:after="0"/>
              <w:rPr>
                <w:sz w:val="2"/>
                <w:szCs w:val="2"/>
                <w:color w:val="auto"/>
              </w:rPr>
            </w:pPr>
          </w:p>
        </w:tc>
        <w:tc>
          <w:tcPr>
            <w:tcW w:w="460" w:type="dxa"/>
            <w:vAlign w:val="bottom"/>
            <w:tcBorders>
              <w:bottom w:val="single" w:sz="8" w:color="004483"/>
            </w:tcBorders>
            <w:shd w:val="clear" w:color="auto" w:fill="004483"/>
          </w:tcPr>
          <w:p>
            <w:pPr>
              <w:spacing w:after="0"/>
              <w:rPr>
                <w:sz w:val="2"/>
                <w:szCs w:val="2"/>
                <w:color w:val="auto"/>
              </w:rPr>
            </w:pPr>
          </w:p>
        </w:tc>
        <w:tc>
          <w:tcPr>
            <w:tcW w:w="780" w:type="dxa"/>
            <w:vAlign w:val="bottom"/>
            <w:tcBorders>
              <w:bottom w:val="single" w:sz="8" w:color="004483"/>
            </w:tcBorders>
            <w:shd w:val="clear" w:color="auto" w:fill="004483"/>
          </w:tcPr>
          <w:p>
            <w:pPr>
              <w:spacing w:after="0"/>
              <w:rPr>
                <w:sz w:val="2"/>
                <w:szCs w:val="2"/>
                <w:color w:val="auto"/>
              </w:rPr>
            </w:pPr>
          </w:p>
        </w:tc>
        <w:tc>
          <w:tcPr>
            <w:tcW w:w="120" w:type="dxa"/>
            <w:vAlign w:val="bottom"/>
            <w:vMerge w:val="restart"/>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00" w:type="dxa"/>
            <w:vAlign w:val="bottom"/>
            <w:tcBorders>
              <w:bottom w:val="single" w:sz="8" w:color="004483"/>
            </w:tcBorders>
            <w:shd w:val="clear" w:color="auto" w:fill="004483"/>
          </w:tcPr>
          <w:p>
            <w:pPr>
              <w:spacing w:after="0"/>
              <w:rPr>
                <w:sz w:val="2"/>
                <w:szCs w:val="2"/>
                <w:color w:val="auto"/>
              </w:rPr>
            </w:pPr>
          </w:p>
        </w:tc>
        <w:tc>
          <w:tcPr>
            <w:tcW w:w="200" w:type="dxa"/>
            <w:vAlign w:val="bottom"/>
            <w:tcBorders>
              <w:bottom w:val="single" w:sz="8" w:color="004483"/>
            </w:tcBorders>
            <w:shd w:val="clear" w:color="auto" w:fill="004483"/>
          </w:tcPr>
          <w:p>
            <w:pPr>
              <w:spacing w:after="0"/>
              <w:rPr>
                <w:sz w:val="2"/>
                <w:szCs w:val="2"/>
                <w:color w:val="auto"/>
              </w:rPr>
            </w:pPr>
          </w:p>
        </w:tc>
        <w:tc>
          <w:tcPr>
            <w:tcW w:w="4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20" w:type="dxa"/>
            <w:vAlign w:val="bottom"/>
            <w:tcBorders>
              <w:bottom w:val="single" w:sz="8" w:color="004483"/>
            </w:tcBorders>
            <w:shd w:val="clear" w:color="auto" w:fill="004483"/>
          </w:tcPr>
          <w:p>
            <w:pPr>
              <w:spacing w:after="0"/>
              <w:rPr>
                <w:sz w:val="2"/>
                <w:szCs w:val="2"/>
                <w:color w:val="auto"/>
              </w:rPr>
            </w:pPr>
          </w:p>
        </w:tc>
        <w:tc>
          <w:tcPr>
            <w:tcW w:w="110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400" w:type="dxa"/>
            <w:vAlign w:val="bottom"/>
            <w:tcBorders>
              <w:bottom w:val="single" w:sz="8" w:color="004483"/>
            </w:tcBorders>
            <w:shd w:val="clear" w:color="auto" w:fill="004483"/>
          </w:tcPr>
          <w:p>
            <w:pPr>
              <w:spacing w:after="0"/>
              <w:rPr>
                <w:sz w:val="2"/>
                <w:szCs w:val="2"/>
                <w:color w:val="auto"/>
              </w:rPr>
            </w:pPr>
          </w:p>
        </w:tc>
        <w:tc>
          <w:tcPr>
            <w:tcW w:w="8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Total Lease Cost</w:t>
            </w:r>
          </w:p>
        </w:tc>
        <w:tc>
          <w:tcPr>
            <w:tcW w:w="460" w:type="dxa"/>
            <w:vAlign w:val="bottom"/>
            <w:tcBorders>
              <w:bottom w:val="single" w:sz="8" w:color="004483"/>
            </w:tcBorders>
          </w:tcPr>
          <w:p>
            <w:pPr>
              <w:jc w:val="right"/>
              <w:ind w:right="285"/>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1,797</w:t>
            </w:r>
          </w:p>
        </w:tc>
        <w:tc>
          <w:tcPr>
            <w:tcW w:w="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bottom w:val="single" w:sz="8" w:color="004483"/>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004483"/>
            </w:tcBorders>
            <w:gridSpan w:val="2"/>
          </w:tcPr>
          <w:p>
            <w:pPr>
              <w:jc w:val="right"/>
              <w:ind w:right="20"/>
              <w:spacing w:after="0"/>
              <w:rPr>
                <w:sz w:val="20"/>
                <w:szCs w:val="20"/>
                <w:color w:val="auto"/>
              </w:rPr>
            </w:pPr>
            <w:r>
              <w:rPr>
                <w:rFonts w:ascii="Arial" w:cs="Arial" w:eastAsia="Arial" w:hAnsi="Arial"/>
                <w:sz w:val="16"/>
                <w:szCs w:val="16"/>
                <w:b w:val="1"/>
                <w:bCs w:val="1"/>
                <w:color w:val="auto"/>
              </w:rPr>
              <w:t>1,875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3,673</w:t>
            </w:r>
          </w:p>
        </w:tc>
        <w:tc>
          <w:tcPr>
            <w:tcW w:w="1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3,891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40" w:type="dxa"/>
            <w:vAlign w:val="bottom"/>
            <w:tcBorders>
              <w:bottom w:val="single" w:sz="8" w:color="004483"/>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200" w:type="dxa"/>
            <w:vAlign w:val="bottom"/>
            <w:tcBorders>
              <w:bottom w:val="single" w:sz="8" w:color="004483"/>
            </w:tcBorders>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20" w:type="dxa"/>
            <w:vAlign w:val="bottom"/>
            <w:gridSpan w:val="6"/>
          </w:tcPr>
          <w:p>
            <w:pPr>
              <w:spacing w:after="0"/>
              <w:rPr>
                <w:sz w:val="20"/>
                <w:szCs w:val="20"/>
                <w:color w:val="auto"/>
              </w:rPr>
            </w:pPr>
            <w:r>
              <w:rPr>
                <w:rFonts w:ascii="Arial" w:cs="Arial" w:eastAsia="Arial" w:hAnsi="Arial"/>
                <w:sz w:val="18"/>
                <w:szCs w:val="18"/>
                <w:color w:val="auto"/>
              </w:rPr>
              <w:t>The Right-of-Use Assets and Lease Liabilities are reflected on our Balance Sheet as follows:</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shd w:val="clear" w:color="auto" w:fill="004483"/>
          </w:tcPr>
          <w:p>
            <w:pPr>
              <w:spacing w:after="0"/>
              <w:rPr>
                <w:sz w:val="18"/>
                <w:szCs w:val="18"/>
                <w:color w:val="auto"/>
              </w:rPr>
            </w:pPr>
          </w:p>
        </w:tc>
        <w:tc>
          <w:tcPr>
            <w:tcW w:w="100" w:type="dxa"/>
            <w:vAlign w:val="bottom"/>
            <w:shd w:val="clear" w:color="auto" w:fill="004483"/>
          </w:tcPr>
          <w:p>
            <w:pPr>
              <w:spacing w:after="0"/>
              <w:rPr>
                <w:sz w:val="18"/>
                <w:szCs w:val="18"/>
                <w:color w:val="auto"/>
              </w:rPr>
            </w:pPr>
          </w:p>
        </w:tc>
        <w:tc>
          <w:tcPr>
            <w:tcW w:w="140" w:type="dxa"/>
            <w:vAlign w:val="bottom"/>
            <w:shd w:val="clear" w:color="auto" w:fill="004483"/>
          </w:tcPr>
          <w:p>
            <w:pPr>
              <w:spacing w:after="0"/>
              <w:rPr>
                <w:sz w:val="18"/>
                <w:szCs w:val="18"/>
                <w:color w:val="auto"/>
              </w:rPr>
            </w:pPr>
          </w:p>
        </w:tc>
        <w:tc>
          <w:tcPr>
            <w:tcW w:w="1220" w:type="dxa"/>
            <w:vAlign w:val="bottom"/>
            <w:gridSpan w:val="2"/>
            <w:shd w:val="clear" w:color="auto" w:fill="004483"/>
          </w:tcPr>
          <w:p>
            <w:pPr>
              <w:ind w:left="20"/>
              <w:spacing w:after="0"/>
              <w:rPr>
                <w:sz w:val="20"/>
                <w:szCs w:val="20"/>
                <w:color w:val="auto"/>
              </w:rPr>
            </w:pPr>
            <w:r>
              <w:rPr>
                <w:rFonts w:ascii="Arial" w:cs="Arial" w:eastAsia="Arial" w:hAnsi="Arial"/>
                <w:sz w:val="13"/>
                <w:szCs w:val="13"/>
                <w:b w:val="1"/>
                <w:bCs w:val="1"/>
                <w:color w:val="FFFFFF"/>
              </w:rPr>
              <w:t>September 30,</w:t>
            </w:r>
          </w:p>
        </w:tc>
        <w:tc>
          <w:tcPr>
            <w:tcW w:w="100" w:type="dxa"/>
            <w:vAlign w:val="bottom"/>
            <w:shd w:val="clear" w:color="auto" w:fill="004483"/>
          </w:tcPr>
          <w:p>
            <w:pPr>
              <w:spacing w:after="0"/>
              <w:rPr>
                <w:sz w:val="18"/>
                <w:szCs w:val="18"/>
                <w:color w:val="auto"/>
              </w:rPr>
            </w:pPr>
          </w:p>
        </w:tc>
        <w:tc>
          <w:tcPr>
            <w:tcW w:w="140" w:type="dxa"/>
            <w:vAlign w:val="bottom"/>
            <w:shd w:val="clear" w:color="auto" w:fill="004483"/>
          </w:tcPr>
          <w:p>
            <w:pPr>
              <w:spacing w:after="0"/>
              <w:rPr>
                <w:sz w:val="18"/>
                <w:szCs w:val="18"/>
                <w:color w:val="auto"/>
              </w:rPr>
            </w:pPr>
          </w:p>
        </w:tc>
        <w:tc>
          <w:tcPr>
            <w:tcW w:w="400" w:type="dxa"/>
            <w:vAlign w:val="bottom"/>
            <w:shd w:val="clear" w:color="auto" w:fill="004483"/>
          </w:tcPr>
          <w:p>
            <w:pPr>
              <w:spacing w:after="0"/>
              <w:rPr>
                <w:sz w:val="18"/>
                <w:szCs w:val="18"/>
                <w:color w:val="auto"/>
              </w:rPr>
            </w:pPr>
          </w:p>
        </w:tc>
        <w:tc>
          <w:tcPr>
            <w:tcW w:w="960" w:type="dxa"/>
            <w:vAlign w:val="bottom"/>
            <w:gridSpan w:val="2"/>
            <w:shd w:val="clear" w:color="auto" w:fill="004483"/>
          </w:tcPr>
          <w:p>
            <w:pPr>
              <w:ind w:left="260"/>
              <w:spacing w:after="0"/>
              <w:rPr>
                <w:sz w:val="20"/>
                <w:szCs w:val="20"/>
                <w:color w:val="auto"/>
              </w:rPr>
            </w:pPr>
            <w:r>
              <w:rPr>
                <w:rFonts w:ascii="Arial" w:cs="Arial" w:eastAsia="Arial" w:hAnsi="Arial"/>
                <w:sz w:val="13"/>
                <w:szCs w:val="13"/>
                <w:b w:val="1"/>
                <w:bCs w:val="1"/>
                <w:color w:val="FFFFFF"/>
              </w:rPr>
              <w:t>March 31,</w:t>
            </w: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269"/>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4"/>
          </w:tcPr>
          <w:p>
            <w:pPr>
              <w:jc w:val="right"/>
              <w:ind w:right="179"/>
              <w:spacing w:after="0"/>
              <w:rPr>
                <w:sz w:val="20"/>
                <w:szCs w:val="20"/>
                <w:color w:val="auto"/>
              </w:rPr>
            </w:pPr>
            <w:r>
              <w:rPr>
                <w:rFonts w:ascii="Arial" w:cs="Arial" w:eastAsia="Arial" w:hAnsi="Arial"/>
                <w:sz w:val="13"/>
                <w:szCs w:val="13"/>
                <w:color w:val="auto"/>
              </w:rPr>
              <w:t>(dollars in thousands)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06374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63740" cy="26035"/>
                    </a:xfrm>
                    <a:prstGeom prst="rect">
                      <a:avLst/>
                    </a:prstGeom>
                    <a:noFill/>
                  </pic:spPr>
                </pic:pic>
              </a:graphicData>
            </a:graphic>
          </wp:anchor>
        </w:drawing>
      </w:r>
    </w:p>
    <w:p>
      <w:pPr>
        <w:sectPr>
          <w:pgSz w:w="11900" w:h="16838" w:orient="portrait"/>
          <w:cols w:equalWidth="0" w:num="1">
            <w:col w:w="11280"/>
          </w:cols>
          <w:pgMar w:left="320" w:top="422" w:right="29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Leases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720" w:type="dxa"/>
            <w:vAlign w:val="bottom"/>
            <w:tcBorders>
              <w:top w:val="single" w:sz="8" w:color="A6A6A6"/>
            </w:tcBorders>
          </w:tcPr>
          <w:p>
            <w:pPr>
              <w:ind w:left="120"/>
              <w:spacing w:after="0"/>
              <w:rPr>
                <w:sz w:val="20"/>
                <w:szCs w:val="20"/>
                <w:color w:val="auto"/>
              </w:rPr>
            </w:pPr>
            <w:r>
              <w:rPr>
                <w:rFonts w:ascii="Arial" w:cs="Arial" w:eastAsia="Arial" w:hAnsi="Arial"/>
                <w:sz w:val="16"/>
                <w:szCs w:val="16"/>
                <w:color w:val="004483"/>
              </w:rPr>
              <w:t>Operating Lease Right-of-Use Assets</w:t>
            </w:r>
          </w:p>
        </w:tc>
        <w:tc>
          <w:tcPr>
            <w:tcW w:w="600" w:type="dxa"/>
            <w:vAlign w:val="bottom"/>
            <w:tcBorders>
              <w:top w:val="single" w:sz="8" w:color="A6A6A6"/>
              <w:bottom w:val="single" w:sz="8" w:color="004483"/>
            </w:tcBorders>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22,126</w:t>
            </w:r>
          </w:p>
        </w:tc>
      </w:tr>
      <w:tr>
        <w:trPr>
          <w:trHeight w:val="20"/>
        </w:trPr>
        <w:tc>
          <w:tcPr>
            <w:tcW w:w="7720" w:type="dxa"/>
            <w:vAlign w:val="bottom"/>
            <w:tcBorders>
              <w:bottom w:val="single" w:sz="8" w:color="A6A6A6"/>
            </w:tcBorders>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r>
      <w:tr>
        <w:trPr>
          <w:trHeight w:val="186"/>
        </w:trPr>
        <w:tc>
          <w:tcPr>
            <w:tcW w:w="7720" w:type="dxa"/>
            <w:vAlign w:val="bottom"/>
            <w:tcBorders>
              <w:bottom w:val="single" w:sz="8" w:color="A6A6A6"/>
            </w:tcBorders>
          </w:tcPr>
          <w:p>
            <w:pPr>
              <w:spacing w:after="0"/>
              <w:rPr>
                <w:sz w:val="16"/>
                <w:szCs w:val="16"/>
                <w:color w:val="auto"/>
              </w:rPr>
            </w:pPr>
          </w:p>
        </w:tc>
        <w:tc>
          <w:tcPr>
            <w:tcW w:w="600" w:type="dxa"/>
            <w:vAlign w:val="bottom"/>
            <w:tcBorders>
              <w:bottom w:val="single" w:sz="8" w:color="A6A6A6"/>
            </w:tcBorders>
          </w:tcPr>
          <w:p>
            <w:pPr>
              <w:spacing w:after="0"/>
              <w:rPr>
                <w:sz w:val="16"/>
                <w:szCs w:val="16"/>
                <w:color w:val="auto"/>
              </w:rPr>
            </w:pPr>
          </w:p>
        </w:tc>
        <w:tc>
          <w:tcPr>
            <w:tcW w:w="980" w:type="dxa"/>
            <w:vAlign w:val="bottom"/>
            <w:tcBorders>
              <w:bottom w:val="single" w:sz="8" w:color="A6A6A6"/>
            </w:tcBorders>
          </w:tcPr>
          <w:p>
            <w:pPr>
              <w:spacing w:after="0"/>
              <w:rPr>
                <w:sz w:val="16"/>
                <w:szCs w:val="16"/>
                <w:color w:val="auto"/>
              </w:rPr>
            </w:pPr>
          </w:p>
        </w:tc>
      </w:tr>
      <w:tr>
        <w:trPr>
          <w:trHeight w:val="193"/>
        </w:trPr>
        <w:tc>
          <w:tcPr>
            <w:tcW w:w="772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Current Operating Lease Liabilities</w:t>
            </w:r>
          </w:p>
        </w:tc>
        <w:tc>
          <w:tcPr>
            <w:tcW w:w="600" w:type="dxa"/>
            <w:vAlign w:val="bottom"/>
            <w:tcBorders>
              <w:bottom w:val="single" w:sz="8" w:color="A6A6A6"/>
            </w:tcBorders>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6,736</w:t>
            </w:r>
          </w:p>
        </w:tc>
      </w:tr>
      <w:tr>
        <w:trPr>
          <w:trHeight w:val="226"/>
        </w:trPr>
        <w:tc>
          <w:tcPr>
            <w:tcW w:w="772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Noncurrent Operating Lease Liabilities</w:t>
            </w:r>
          </w:p>
        </w:tc>
        <w:tc>
          <w:tcPr>
            <w:tcW w:w="600" w:type="dxa"/>
            <w:vAlign w:val="bottom"/>
            <w:tcBorders>
              <w:bottom w:val="single" w:sz="8" w:color="004483"/>
            </w:tcBorders>
          </w:tcPr>
          <w:p>
            <w:pPr>
              <w:spacing w:after="0"/>
              <w:rPr>
                <w:sz w:val="19"/>
                <w:szCs w:val="19"/>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26,736</w:t>
            </w:r>
          </w:p>
        </w:tc>
      </w:tr>
    </w:tbl>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1000" w:hanging="1000"/>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23,856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-125730</wp:posOffset>
            </wp:positionV>
            <wp:extent cx="10883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883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10795</wp:posOffset>
            </wp:positionV>
            <wp:extent cx="108839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88390" cy="25400"/>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165100</wp:posOffset>
            </wp:positionV>
            <wp:extent cx="10883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88390" cy="8890"/>
                    </a:xfrm>
                    <a:prstGeom prst="rect">
                      <a:avLst/>
                    </a:prstGeom>
                    <a:noFill/>
                  </pic:spPr>
                </pic:pic>
              </a:graphicData>
            </a:graphic>
          </wp:anchor>
        </w:drawing>
      </w:r>
    </w:p>
    <w:p>
      <w:pPr>
        <w:spacing w:after="0" w:line="255" w:lineRule="exact"/>
        <w:rPr>
          <w:sz w:val="20"/>
          <w:szCs w:val="20"/>
          <w:color w:val="auto"/>
        </w:rPr>
      </w:pPr>
    </w:p>
    <w:p>
      <w:pPr>
        <w:ind w:left="1100" w:hanging="1100"/>
        <w:spacing w:after="0"/>
        <w:tabs>
          <w:tab w:leader="none" w:pos="11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7,118</w:t>
      </w:r>
    </w:p>
    <w:p>
      <w:pPr>
        <w:spacing w:after="0" w:line="43"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6"/>
          <w:szCs w:val="16"/>
          <w:color w:val="auto"/>
        </w:rPr>
        <w:t>29,212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-125730</wp:posOffset>
            </wp:positionV>
            <wp:extent cx="10883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88390" cy="8255"/>
                    </a:xfrm>
                    <a:prstGeom prst="rect">
                      <a:avLst/>
                    </a:prstGeom>
                    <a:noFill/>
                  </pic:spPr>
                </pic:pic>
              </a:graphicData>
            </a:graphic>
          </wp:anchor>
        </w:drawing>
        <w:drawing>
          <wp:anchor simplePos="0" relativeHeight="251657728" behindDoc="1" locked="0" layoutInCell="0" allowOverlap="1">
            <wp:simplePos x="0" y="0"/>
            <wp:positionH relativeFrom="column">
              <wp:posOffset>-128270</wp:posOffset>
            </wp:positionH>
            <wp:positionV relativeFrom="paragraph">
              <wp:posOffset>10795</wp:posOffset>
            </wp:positionV>
            <wp:extent cx="108839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88390" cy="2540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9300" w:space="320"/>
            <w:col w:w="1660"/>
          </w:cols>
          <w:pgMar w:left="320" w:top="422" w:right="299" w:bottom="1440" w:gutter="0" w:footer="0" w:header="0"/>
          <w:type w:val="continuous"/>
        </w:sectPr>
      </w:pPr>
    </w:p>
    <w:p>
      <w:pPr>
        <w:ind w:left="20"/>
        <w:spacing w:after="0"/>
        <w:tabs>
          <w:tab w:leader="none" w:pos="7720" w:val="left"/>
          <w:tab w:leader="none" w:pos="8780" w:val="left"/>
          <w:tab w:leader="none" w:pos="9600" w:val="left"/>
          <w:tab w:leader="none" w:pos="10600" w:val="left"/>
        </w:tabs>
        <w:rPr>
          <w:sz w:val="20"/>
          <w:szCs w:val="20"/>
          <w:color w:val="auto"/>
        </w:rPr>
      </w:pPr>
      <w:r>
        <w:rPr>
          <w:rFonts w:ascii="Arial" w:cs="Arial" w:eastAsia="Arial" w:hAnsi="Arial"/>
          <w:sz w:val="16"/>
          <w:szCs w:val="16"/>
          <w:b w:val="1"/>
          <w:bCs w:val="1"/>
          <w:color w:val="auto"/>
        </w:rPr>
        <w:t>Total Operating Lease Liabilities</w:t>
      </w:r>
      <w:r>
        <w:rPr>
          <w:sz w:val="20"/>
          <w:szCs w:val="20"/>
          <w:color w:val="auto"/>
        </w:rPr>
        <w:tab/>
      </w: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32"/>
          <w:szCs w:val="32"/>
          <w:b w:val="1"/>
          <w:bCs w:val="1"/>
          <w:color w:val="auto"/>
          <w:vertAlign w:val="superscript"/>
        </w:rPr>
        <w:t>33,472</w:t>
      </w:r>
      <w:r>
        <w:rPr>
          <w:rFonts w:ascii="Arial" w:cs="Arial" w:eastAsia="Arial" w:hAnsi="Arial"/>
          <w:sz w:val="32"/>
          <w:szCs w:val="32"/>
          <w:b w:val="1"/>
          <w:bCs w:val="1"/>
          <w:color w:val="auto"/>
        </w:rPr>
        <w:tab/>
      </w: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4"/>
          <w:szCs w:val="24"/>
          <w:b w:val="1"/>
          <w:bCs w:val="1"/>
          <w:color w:val="auto"/>
          <w:vertAlign w:val="superscript"/>
        </w:rPr>
        <w:t>36,330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-104140</wp:posOffset>
            </wp:positionV>
            <wp:extent cx="216852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68525" cy="2540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Future payments for operating leases are as follows (dollars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40" w:type="dxa"/>
            <w:vAlign w:val="bottom"/>
          </w:tcPr>
          <w:p>
            <w:pPr>
              <w:ind w:left="20"/>
              <w:spacing w:after="0"/>
              <w:rPr>
                <w:sz w:val="20"/>
                <w:szCs w:val="20"/>
                <w:color w:val="auto"/>
              </w:rPr>
            </w:pPr>
            <w:r>
              <w:rPr>
                <w:rFonts w:ascii="Arial" w:cs="Arial" w:eastAsia="Arial" w:hAnsi="Arial"/>
                <w:sz w:val="13"/>
                <w:szCs w:val="13"/>
                <w:b w:val="1"/>
                <w:bCs w:val="1"/>
                <w:color w:val="auto"/>
              </w:rPr>
              <w:t>Fiscal Year</w:t>
            </w:r>
          </w:p>
        </w:tc>
        <w:tc>
          <w:tcPr>
            <w:tcW w:w="740" w:type="dxa"/>
            <w:vAlign w:val="bottom"/>
          </w:tcPr>
          <w:p>
            <w:pPr>
              <w:spacing w:after="0"/>
              <w:rPr>
                <w:sz w:val="14"/>
                <w:szCs w:val="14"/>
                <w:color w:val="auto"/>
              </w:rPr>
            </w:pPr>
          </w:p>
        </w:tc>
        <w:tc>
          <w:tcPr>
            <w:tcW w:w="1300" w:type="dxa"/>
            <w:vAlign w:val="bottom"/>
            <w:gridSpan w:val="2"/>
          </w:tcPr>
          <w:p>
            <w:pPr>
              <w:jc w:val="right"/>
              <w:ind w:right="79"/>
              <w:spacing w:after="0"/>
              <w:rPr>
                <w:sz w:val="20"/>
                <w:szCs w:val="20"/>
                <w:color w:val="auto"/>
              </w:rPr>
            </w:pPr>
            <w:r>
              <w:rPr>
                <w:rFonts w:ascii="Arial" w:cs="Arial" w:eastAsia="Arial" w:hAnsi="Arial"/>
                <w:sz w:val="13"/>
                <w:szCs w:val="13"/>
                <w:b w:val="1"/>
                <w:bCs w:val="1"/>
                <w:color w:val="auto"/>
              </w:rPr>
              <w:t>Amount</w:t>
            </w:r>
          </w:p>
        </w:tc>
      </w:tr>
      <w:tr>
        <w:trPr>
          <w:trHeight w:val="197"/>
        </w:trPr>
        <w:tc>
          <w:tcPr>
            <w:tcW w:w="924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color w:val="004483"/>
              </w:rPr>
              <w:t>2023 (remaining six months)</w:t>
            </w:r>
          </w:p>
        </w:tc>
        <w:tc>
          <w:tcPr>
            <w:tcW w:w="740" w:type="dxa"/>
            <w:vAlign w:val="bottom"/>
            <w:tcBorders>
              <w:top w:val="single" w:sz="8" w:color="004483"/>
              <w:bottom w:val="single" w:sz="8" w:color="A6A6A6"/>
            </w:tcBorders>
          </w:tcPr>
          <w:p>
            <w:pPr>
              <w:jc w:val="right"/>
              <w:ind w:right="5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4,408</w:t>
            </w:r>
          </w:p>
        </w:tc>
        <w:tc>
          <w:tcPr>
            <w:tcW w:w="140" w:type="dxa"/>
            <w:vAlign w:val="bottom"/>
          </w:tcPr>
          <w:p>
            <w:pPr>
              <w:spacing w:after="0"/>
              <w:rPr>
                <w:sz w:val="17"/>
                <w:szCs w:val="17"/>
                <w:color w:val="auto"/>
              </w:rPr>
            </w:pPr>
          </w:p>
        </w:tc>
      </w:tr>
      <w:tr>
        <w:trPr>
          <w:trHeight w:val="196"/>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2024</w:t>
            </w:r>
          </w:p>
        </w:tc>
        <w:tc>
          <w:tcPr>
            <w:tcW w:w="74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6,363</w:t>
            </w:r>
          </w:p>
        </w:tc>
        <w:tc>
          <w:tcPr>
            <w:tcW w:w="140" w:type="dxa"/>
            <w:vAlign w:val="bottom"/>
          </w:tcPr>
          <w:p>
            <w:pPr>
              <w:spacing w:after="0"/>
              <w:rPr>
                <w:sz w:val="17"/>
                <w:szCs w:val="17"/>
                <w:color w:val="auto"/>
              </w:rPr>
            </w:pPr>
          </w:p>
        </w:tc>
      </w:tr>
      <w:tr>
        <w:trPr>
          <w:trHeight w:val="196"/>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2025</w:t>
            </w:r>
          </w:p>
        </w:tc>
        <w:tc>
          <w:tcPr>
            <w:tcW w:w="74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5,916</w:t>
            </w:r>
          </w:p>
        </w:tc>
        <w:tc>
          <w:tcPr>
            <w:tcW w:w="140" w:type="dxa"/>
            <w:vAlign w:val="bottom"/>
          </w:tcPr>
          <w:p>
            <w:pPr>
              <w:spacing w:after="0"/>
              <w:rPr>
                <w:sz w:val="17"/>
                <w:szCs w:val="17"/>
                <w:color w:val="auto"/>
              </w:rPr>
            </w:pPr>
          </w:p>
        </w:tc>
      </w:tr>
      <w:tr>
        <w:trPr>
          <w:trHeight w:val="196"/>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2026</w:t>
            </w:r>
          </w:p>
        </w:tc>
        <w:tc>
          <w:tcPr>
            <w:tcW w:w="74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4,279</w:t>
            </w:r>
          </w:p>
        </w:tc>
        <w:tc>
          <w:tcPr>
            <w:tcW w:w="140" w:type="dxa"/>
            <w:vAlign w:val="bottom"/>
          </w:tcPr>
          <w:p>
            <w:pPr>
              <w:spacing w:after="0"/>
              <w:rPr>
                <w:sz w:val="17"/>
                <w:szCs w:val="17"/>
                <w:color w:val="auto"/>
              </w:rPr>
            </w:pPr>
          </w:p>
        </w:tc>
      </w:tr>
      <w:tr>
        <w:trPr>
          <w:trHeight w:val="196"/>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2027</w:t>
            </w:r>
          </w:p>
        </w:tc>
        <w:tc>
          <w:tcPr>
            <w:tcW w:w="74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3,540</w:t>
            </w:r>
          </w:p>
        </w:tc>
        <w:tc>
          <w:tcPr>
            <w:tcW w:w="140" w:type="dxa"/>
            <w:vAlign w:val="bottom"/>
          </w:tcPr>
          <w:p>
            <w:pPr>
              <w:spacing w:after="0"/>
              <w:rPr>
                <w:sz w:val="17"/>
                <w:szCs w:val="17"/>
                <w:color w:val="auto"/>
              </w:rPr>
            </w:pPr>
          </w:p>
        </w:tc>
      </w:tr>
      <w:tr>
        <w:trPr>
          <w:trHeight w:val="226"/>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Thereafter</w:t>
            </w:r>
          </w:p>
        </w:tc>
        <w:tc>
          <w:tcPr>
            <w:tcW w:w="740" w:type="dxa"/>
            <w:vAlign w:val="bottom"/>
            <w:tcBorders>
              <w:bottom w:val="single" w:sz="8" w:color="004483"/>
            </w:tcBorders>
          </w:tcPr>
          <w:p>
            <w:pPr>
              <w:spacing w:after="0"/>
              <w:rPr>
                <w:sz w:val="19"/>
                <w:szCs w:val="19"/>
                <w:color w:val="auto"/>
              </w:rPr>
            </w:pP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16,934</w:t>
            </w:r>
          </w:p>
        </w:tc>
        <w:tc>
          <w:tcPr>
            <w:tcW w:w="140" w:type="dxa"/>
            <w:vAlign w:val="bottom"/>
          </w:tcPr>
          <w:p>
            <w:pPr>
              <w:spacing w:after="0"/>
              <w:rPr>
                <w:sz w:val="19"/>
                <w:szCs w:val="19"/>
                <w:color w:val="auto"/>
              </w:rPr>
            </w:pPr>
          </w:p>
        </w:tc>
      </w:tr>
      <w:tr>
        <w:trPr>
          <w:trHeight w:val="196"/>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Total Lease Payments</w:t>
            </w:r>
          </w:p>
        </w:tc>
        <w:tc>
          <w:tcPr>
            <w:tcW w:w="740" w:type="dxa"/>
            <w:vAlign w:val="bottom"/>
            <w:tcBorders>
              <w:bottom w:val="single" w:sz="8" w:color="A6A6A6"/>
            </w:tcBorders>
          </w:tcPr>
          <w:p>
            <w:pPr>
              <w:jc w:val="right"/>
              <w:ind w:right="5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41,440</w:t>
            </w:r>
          </w:p>
        </w:tc>
        <w:tc>
          <w:tcPr>
            <w:tcW w:w="140" w:type="dxa"/>
            <w:vAlign w:val="bottom"/>
          </w:tcPr>
          <w:p>
            <w:pPr>
              <w:spacing w:after="0"/>
              <w:rPr>
                <w:sz w:val="17"/>
                <w:szCs w:val="17"/>
                <w:color w:val="auto"/>
              </w:rPr>
            </w:pPr>
          </w:p>
        </w:tc>
      </w:tr>
      <w:tr>
        <w:trPr>
          <w:trHeight w:val="196"/>
        </w:trPr>
        <w:tc>
          <w:tcPr>
            <w:tcW w:w="9240" w:type="dxa"/>
            <w:vAlign w:val="bottom"/>
          </w:tcPr>
          <w:p>
            <w:pPr>
              <w:ind w:left="20"/>
              <w:spacing w:after="0"/>
              <w:rPr>
                <w:sz w:val="20"/>
                <w:szCs w:val="20"/>
                <w:color w:val="auto"/>
              </w:rPr>
            </w:pPr>
            <w:r>
              <w:rPr>
                <w:rFonts w:ascii="Arial" w:cs="Arial" w:eastAsia="Arial" w:hAnsi="Arial"/>
                <w:sz w:val="16"/>
                <w:szCs w:val="16"/>
                <w:color w:val="004483"/>
              </w:rPr>
              <w:t>Less: Imputed Interest</w:t>
            </w:r>
          </w:p>
        </w:tc>
        <w:tc>
          <w:tcPr>
            <w:tcW w:w="74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(7,968 )</w:t>
            </w:r>
          </w:p>
        </w:tc>
      </w:tr>
      <w:tr>
        <w:trPr>
          <w:trHeight w:val="27"/>
        </w:trPr>
        <w:tc>
          <w:tcPr>
            <w:tcW w:w="9240" w:type="dxa"/>
            <w:vAlign w:val="bottom"/>
            <w:tcBorders>
              <w:bottom w:val="single" w:sz="8" w:color="A6A6A6"/>
            </w:tcBorders>
          </w:tcPr>
          <w:p>
            <w:pPr>
              <w:spacing w:after="0"/>
              <w:rPr>
                <w:sz w:val="2"/>
                <w:szCs w:val="2"/>
                <w:color w:val="auto"/>
              </w:rPr>
            </w:pPr>
          </w:p>
        </w:tc>
        <w:tc>
          <w:tcPr>
            <w:tcW w:w="740" w:type="dxa"/>
            <w:vAlign w:val="bottom"/>
            <w:tcBorders>
              <w:bottom w:val="single" w:sz="8" w:color="004483"/>
            </w:tcBorders>
            <w:shd w:val="clear" w:color="auto" w:fill="004483"/>
          </w:tcPr>
          <w:p>
            <w:pPr>
              <w:spacing w:after="0"/>
              <w:rPr>
                <w:sz w:val="2"/>
                <w:szCs w:val="2"/>
                <w:color w:val="auto"/>
              </w:rPr>
            </w:pPr>
          </w:p>
        </w:tc>
        <w:tc>
          <w:tcPr>
            <w:tcW w:w="1160" w:type="dxa"/>
            <w:vAlign w:val="bottom"/>
            <w:tcBorders>
              <w:bottom w:val="single" w:sz="8" w:color="004483"/>
            </w:tcBorders>
            <w:shd w:val="clear" w:color="auto" w:fill="004483"/>
          </w:tcPr>
          <w:p>
            <w:pPr>
              <w:spacing w:after="0"/>
              <w:rPr>
                <w:sz w:val="2"/>
                <w:szCs w:val="2"/>
                <w:color w:val="auto"/>
              </w:rPr>
            </w:pPr>
          </w:p>
        </w:tc>
        <w:tc>
          <w:tcPr>
            <w:tcW w:w="140" w:type="dxa"/>
            <w:vAlign w:val="bottom"/>
          </w:tcPr>
          <w:p>
            <w:pPr>
              <w:spacing w:after="0"/>
              <w:rPr>
                <w:sz w:val="2"/>
                <w:szCs w:val="2"/>
                <w:color w:val="auto"/>
              </w:rPr>
            </w:pPr>
          </w:p>
        </w:tc>
      </w:tr>
      <w:tr>
        <w:trPr>
          <w:trHeight w:val="196"/>
        </w:trPr>
        <w:tc>
          <w:tcPr>
            <w:tcW w:w="9240" w:type="dxa"/>
            <w:vAlign w:val="bottom"/>
          </w:tcPr>
          <w:p>
            <w:pPr>
              <w:ind w:left="20"/>
              <w:spacing w:after="0"/>
              <w:rPr>
                <w:sz w:val="20"/>
                <w:szCs w:val="20"/>
                <w:color w:val="auto"/>
              </w:rPr>
            </w:pPr>
            <w:r>
              <w:rPr>
                <w:rFonts w:ascii="Arial" w:cs="Arial" w:eastAsia="Arial" w:hAnsi="Arial"/>
                <w:sz w:val="16"/>
                <w:szCs w:val="16"/>
                <w:b w:val="1"/>
                <w:bCs w:val="1"/>
                <w:color w:val="auto"/>
              </w:rPr>
              <w:t>Present Value of Lease Liabilities</w:t>
            </w:r>
          </w:p>
        </w:tc>
        <w:tc>
          <w:tcPr>
            <w:tcW w:w="740" w:type="dxa"/>
            <w:vAlign w:val="bottom"/>
            <w:tcBorders>
              <w:bottom w:val="single" w:sz="8" w:color="004483"/>
            </w:tcBorders>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33,472</w:t>
            </w:r>
          </w:p>
        </w:tc>
        <w:tc>
          <w:tcPr>
            <w:tcW w:w="140" w:type="dxa"/>
            <w:vAlign w:val="bottom"/>
          </w:tcPr>
          <w:p>
            <w:pPr>
              <w:spacing w:after="0"/>
              <w:rPr>
                <w:sz w:val="17"/>
                <w:szCs w:val="17"/>
                <w:color w:val="auto"/>
              </w:rPr>
            </w:pPr>
          </w:p>
        </w:tc>
      </w:tr>
      <w:tr>
        <w:trPr>
          <w:trHeight w:val="20"/>
        </w:trPr>
        <w:tc>
          <w:tcPr>
            <w:tcW w:w="9240" w:type="dxa"/>
            <w:vAlign w:val="bottom"/>
          </w:tcPr>
          <w:p>
            <w:pPr>
              <w:spacing w:after="0" w:line="20" w:lineRule="exact"/>
              <w:rPr>
                <w:sz w:val="1"/>
                <w:szCs w:val="1"/>
                <w:color w:val="auto"/>
              </w:rPr>
            </w:pPr>
          </w:p>
        </w:tc>
        <w:tc>
          <w:tcPr>
            <w:tcW w:w="74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9240" w:type="dxa"/>
            <w:vAlign w:val="bottom"/>
            <w:tcBorders>
              <w:bottom w:val="single" w:sz="8" w:color="A6A6A6"/>
            </w:tcBorders>
          </w:tcPr>
          <w:p>
            <w:pPr>
              <w:spacing w:after="0"/>
              <w:rPr>
                <w:sz w:val="15"/>
                <w:szCs w:val="15"/>
                <w:color w:val="auto"/>
              </w:rPr>
            </w:pPr>
          </w:p>
        </w:tc>
        <w:tc>
          <w:tcPr>
            <w:tcW w:w="740" w:type="dxa"/>
            <w:vAlign w:val="bottom"/>
            <w:tcBorders>
              <w:bottom w:val="single" w:sz="8" w:color="A6A6A6"/>
            </w:tcBorders>
          </w:tcPr>
          <w:p>
            <w:pPr>
              <w:spacing w:after="0"/>
              <w:rPr>
                <w:sz w:val="15"/>
                <w:szCs w:val="15"/>
                <w:color w:val="auto"/>
              </w:rPr>
            </w:pPr>
          </w:p>
        </w:tc>
        <w:tc>
          <w:tcPr>
            <w:tcW w:w="1160" w:type="dxa"/>
            <w:vAlign w:val="bottom"/>
            <w:tcBorders>
              <w:bottom w:val="single" w:sz="8" w:color="A6A6A6"/>
            </w:tcBorders>
          </w:tcPr>
          <w:p>
            <w:pPr>
              <w:spacing w:after="0"/>
              <w:rPr>
                <w:sz w:val="15"/>
                <w:szCs w:val="15"/>
                <w:color w:val="auto"/>
              </w:rPr>
            </w:pPr>
          </w:p>
        </w:tc>
        <w:tc>
          <w:tcPr>
            <w:tcW w:w="140" w:type="dxa"/>
            <w:vAlign w:val="bottom"/>
          </w:tcPr>
          <w:p>
            <w:pPr>
              <w:spacing w:after="0"/>
              <w:rPr>
                <w:sz w:val="15"/>
                <w:szCs w:val="15"/>
                <w:color w:val="auto"/>
              </w:rPr>
            </w:pPr>
          </w:p>
        </w:tc>
      </w:tr>
      <w:tr>
        <w:trPr>
          <w:trHeight w:val="196"/>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Remaining Lease Term (in years)</w:t>
            </w:r>
          </w:p>
        </w:tc>
        <w:tc>
          <w:tcPr>
            <w:tcW w:w="74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10.2</w:t>
            </w:r>
          </w:p>
        </w:tc>
        <w:tc>
          <w:tcPr>
            <w:tcW w:w="140" w:type="dxa"/>
            <w:vAlign w:val="bottom"/>
          </w:tcPr>
          <w:p>
            <w:pPr>
              <w:spacing w:after="0"/>
              <w:rPr>
                <w:sz w:val="17"/>
                <w:szCs w:val="17"/>
                <w:color w:val="auto"/>
              </w:rPr>
            </w:pPr>
          </w:p>
        </w:tc>
      </w:tr>
      <w:tr>
        <w:trPr>
          <w:trHeight w:val="196"/>
        </w:trPr>
        <w:tc>
          <w:tcPr>
            <w:tcW w:w="92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Discount Rate</w:t>
            </w:r>
          </w:p>
        </w:tc>
        <w:tc>
          <w:tcPr>
            <w:tcW w:w="74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3.73</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4"/>
              </w:rPr>
              <w:t>%</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 SHARE-BASED EMPLOYEE COMPENSATION</w:t>
      </w:r>
    </w:p>
    <w:p>
      <w:pPr>
        <w:spacing w:after="0" w:line="148" w:lineRule="exact"/>
        <w:rPr>
          <w:sz w:val="20"/>
          <w:szCs w:val="20"/>
          <w:color w:val="auto"/>
        </w:rPr>
      </w:pPr>
    </w:p>
    <w:p>
      <w:pPr>
        <w:ind w:right="200"/>
        <w:spacing w:after="0" w:line="284" w:lineRule="auto"/>
        <w:rPr>
          <w:sz w:val="20"/>
          <w:szCs w:val="20"/>
          <w:color w:val="auto"/>
        </w:rPr>
      </w:pPr>
      <w:r>
        <w:rPr>
          <w:rFonts w:ascii="Arial" w:cs="Arial" w:eastAsia="Arial" w:hAnsi="Arial"/>
          <w:sz w:val="18"/>
          <w:szCs w:val="18"/>
          <w:color w:val="auto"/>
        </w:rPr>
        <w:t>On August 7, 2013, our stockholders approved the Eagle Materials Inc. Amended and Restated Incentive Plan (the Plan), which increased the shares we are authorized to issue as awards by 3,000,000 (1,500,000 of which may be stock awards). Under the terms of the Plan, we can issue equity awards, including stock options, restricted stock units, restricted stock, and stock appreciation rights, to employees of the Company and members of the Board of Directors. The Compensation Committee of our Board of Directors specifies grant terms for awards under the Plan.</w:t>
      </w: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22" w:right="2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Long-Term Compensation Plans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6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In May 2022, the Compensation Committee of the Board of Directors approved the granting to certain officers and key employees an aggregate of 25,192 performance-vesting stock options that will be earned only if certain performance conditions are satisfied (the Fiscal 2023 Employee Performance Stock Option Award). The performance criteria for the Fiscal 2023 Employee Performance Stock Option Award are based upon the achievement of certain levels of return on equity (as defined in the option agreement), ranging from 10.0% to 20.0%, for the fiscal year ending March 31, 2023. All stock options will be earned if the return on equity is 20.0% or greater, and the percentage of shares earned will be reduced proportionately to approximately 66.7% if the return on equity is 10.0%. If the Company does not achieve a return on equity of at least 10.0%, all granted stock options will be forfeited. Following any such reduction, restrictions on the earned stock options will lapse and the earned options will vest ratably over four years, with the initial fourth vesting promptly following the date on which the return on equity is determined, and the remaining options vesting on March 31, 2024 through 2026. The stock options have a term of 10 years from the grant date. The Compensation Committee also approved the granting of 20,994 time-vesting stock options to the same officers and key employees, which vest ratably over four years (the Fiscal 2023 Employee Time-Vesting Stock Option Award).</w:t>
      </w:r>
    </w:p>
    <w:p>
      <w:pPr>
        <w:spacing w:after="0" w:line="106" w:lineRule="exact"/>
        <w:rPr>
          <w:sz w:val="20"/>
          <w:szCs w:val="20"/>
          <w:color w:val="auto"/>
        </w:rPr>
      </w:pPr>
    </w:p>
    <w:p>
      <w:pPr>
        <w:jc w:val="both"/>
        <w:ind w:right="360"/>
        <w:spacing w:after="0" w:line="287" w:lineRule="auto"/>
        <w:rPr>
          <w:sz w:val="20"/>
          <w:szCs w:val="20"/>
          <w:color w:val="auto"/>
        </w:rPr>
      </w:pPr>
      <w:r>
        <w:rPr>
          <w:rFonts w:ascii="Arial" w:cs="Arial" w:eastAsia="Arial" w:hAnsi="Arial"/>
          <w:sz w:val="18"/>
          <w:szCs w:val="18"/>
          <w:color w:val="auto"/>
        </w:rPr>
        <w:t>In August 2022, we granted 3,510 options to members of the Board of Directors (the Fiscal 2023 Board of Directors Stock Option Award). Options granted under the Fiscal 2023 Board of Directors Stock Option Award vest immediately and can be exercised from the grant date until their expiration on the tenth anniversary of the grant date.</w:t>
      </w:r>
    </w:p>
    <w:p>
      <w:pPr>
        <w:spacing w:after="0" w:line="94" w:lineRule="exact"/>
        <w:rPr>
          <w:sz w:val="20"/>
          <w:szCs w:val="20"/>
          <w:color w:val="auto"/>
        </w:rPr>
      </w:pPr>
    </w:p>
    <w:p>
      <w:pPr>
        <w:jc w:val="both"/>
        <w:ind w:right="300"/>
        <w:spacing w:after="0" w:line="287" w:lineRule="auto"/>
        <w:rPr>
          <w:sz w:val="20"/>
          <w:szCs w:val="20"/>
          <w:color w:val="auto"/>
        </w:rPr>
      </w:pPr>
      <w:r>
        <w:rPr>
          <w:rFonts w:ascii="Arial" w:cs="Arial" w:eastAsia="Arial" w:hAnsi="Arial"/>
          <w:sz w:val="18"/>
          <w:szCs w:val="18"/>
          <w:color w:val="auto"/>
        </w:rPr>
        <w:t>The Fiscal 2023 Employee Performance Stock Option Award, the Fiscal 2023 Employee Time-Vesting Stock Option Award, and the Fiscal 2023 Board of Directors Stock Option Award were valued at their grant date using the Black-Scholes option pricing model. The weighted-average assumptions used in the Black-Scholes model to value the option awards in fiscal 2023 are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6080" w:type="dxa"/>
            <w:vAlign w:val="bottom"/>
            <w:shd w:val="clear" w:color="auto" w:fill="004483"/>
          </w:tcPr>
          <w:p>
            <w:pPr>
              <w:spacing w:after="0"/>
              <w:rPr>
                <w:sz w:val="3"/>
                <w:szCs w:val="3"/>
                <w:color w:val="auto"/>
              </w:rPr>
            </w:pPr>
          </w:p>
        </w:tc>
        <w:tc>
          <w:tcPr>
            <w:tcW w:w="5060" w:type="dxa"/>
            <w:vAlign w:val="bottom"/>
            <w:shd w:val="clear" w:color="auto" w:fill="004483"/>
          </w:tcPr>
          <w:p>
            <w:pPr>
              <w:spacing w:after="0"/>
              <w:rPr>
                <w:sz w:val="3"/>
                <w:szCs w:val="3"/>
                <w:color w:val="auto"/>
              </w:rPr>
            </w:pPr>
          </w:p>
        </w:tc>
        <w:tc>
          <w:tcPr>
            <w:tcW w:w="140" w:type="dxa"/>
            <w:vAlign w:val="bottom"/>
          </w:tcPr>
          <w:p>
            <w:pPr>
              <w:spacing w:after="0"/>
              <w:rPr>
                <w:sz w:val="3"/>
                <w:szCs w:val="3"/>
                <w:color w:val="auto"/>
              </w:rPr>
            </w:pPr>
          </w:p>
        </w:tc>
      </w:tr>
      <w:tr>
        <w:trPr>
          <w:trHeight w:val="200"/>
        </w:trPr>
        <w:tc>
          <w:tcPr>
            <w:tcW w:w="6080" w:type="dxa"/>
            <w:vAlign w:val="bottom"/>
          </w:tcPr>
          <w:p>
            <w:pPr>
              <w:ind w:left="20"/>
              <w:spacing w:after="0"/>
              <w:rPr>
                <w:sz w:val="20"/>
                <w:szCs w:val="20"/>
                <w:color w:val="auto"/>
              </w:rPr>
            </w:pPr>
            <w:r>
              <w:rPr>
                <w:rFonts w:ascii="Arial" w:cs="Arial" w:eastAsia="Arial" w:hAnsi="Arial"/>
                <w:sz w:val="16"/>
                <w:szCs w:val="16"/>
                <w:color w:val="004483"/>
              </w:rPr>
              <w:t>Dividend Yield</w:t>
            </w:r>
          </w:p>
        </w:tc>
        <w:tc>
          <w:tcPr>
            <w:tcW w:w="5200" w:type="dxa"/>
            <w:vAlign w:val="bottom"/>
            <w:gridSpan w:val="2"/>
          </w:tcPr>
          <w:p>
            <w:pPr>
              <w:jc w:val="right"/>
              <w:spacing w:after="0"/>
              <w:rPr>
                <w:sz w:val="20"/>
                <w:szCs w:val="20"/>
                <w:color w:val="auto"/>
              </w:rPr>
            </w:pPr>
            <w:r>
              <w:rPr>
                <w:rFonts w:ascii="Arial" w:cs="Arial" w:eastAsia="Arial" w:hAnsi="Arial"/>
                <w:sz w:val="16"/>
                <w:szCs w:val="16"/>
                <w:color w:val="auto"/>
              </w:rPr>
              <w:t>0.8 %</w:t>
            </w:r>
          </w:p>
        </w:tc>
      </w:tr>
      <w:tr>
        <w:trPr>
          <w:trHeight w:val="20"/>
        </w:trPr>
        <w:tc>
          <w:tcPr>
            <w:tcW w:w="6080" w:type="dxa"/>
            <w:vAlign w:val="bottom"/>
            <w:shd w:val="clear" w:color="auto" w:fill="A6A6A6"/>
          </w:tcPr>
          <w:p>
            <w:pPr>
              <w:spacing w:after="0" w:line="20" w:lineRule="exact"/>
              <w:rPr>
                <w:sz w:val="1"/>
                <w:szCs w:val="1"/>
                <w:color w:val="auto"/>
              </w:rPr>
            </w:pPr>
          </w:p>
        </w:tc>
        <w:tc>
          <w:tcPr>
            <w:tcW w:w="50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080" w:type="dxa"/>
            <w:vAlign w:val="bottom"/>
          </w:tcPr>
          <w:p>
            <w:pPr>
              <w:ind w:left="20"/>
              <w:spacing w:after="0"/>
              <w:rPr>
                <w:sz w:val="20"/>
                <w:szCs w:val="20"/>
                <w:color w:val="auto"/>
              </w:rPr>
            </w:pPr>
            <w:r>
              <w:rPr>
                <w:rFonts w:ascii="Arial" w:cs="Arial" w:eastAsia="Arial" w:hAnsi="Arial"/>
                <w:sz w:val="16"/>
                <w:szCs w:val="16"/>
                <w:color w:val="004483"/>
              </w:rPr>
              <w:t>Expected Volatility</w:t>
            </w:r>
          </w:p>
        </w:tc>
        <w:tc>
          <w:tcPr>
            <w:tcW w:w="5200" w:type="dxa"/>
            <w:vAlign w:val="bottom"/>
            <w:gridSpan w:val="2"/>
          </w:tcPr>
          <w:p>
            <w:pPr>
              <w:jc w:val="right"/>
              <w:spacing w:after="0"/>
              <w:rPr>
                <w:sz w:val="20"/>
                <w:szCs w:val="20"/>
                <w:color w:val="auto"/>
              </w:rPr>
            </w:pPr>
            <w:r>
              <w:rPr>
                <w:rFonts w:ascii="Arial" w:cs="Arial" w:eastAsia="Arial" w:hAnsi="Arial"/>
                <w:sz w:val="16"/>
                <w:szCs w:val="16"/>
                <w:color w:val="auto"/>
              </w:rPr>
              <w:t>38.2 %</w:t>
            </w:r>
          </w:p>
        </w:tc>
      </w:tr>
      <w:tr>
        <w:trPr>
          <w:trHeight w:val="20"/>
        </w:trPr>
        <w:tc>
          <w:tcPr>
            <w:tcW w:w="6080" w:type="dxa"/>
            <w:vAlign w:val="bottom"/>
            <w:shd w:val="clear" w:color="auto" w:fill="A6A6A6"/>
          </w:tcPr>
          <w:p>
            <w:pPr>
              <w:spacing w:after="0" w:line="20" w:lineRule="exact"/>
              <w:rPr>
                <w:sz w:val="1"/>
                <w:szCs w:val="1"/>
                <w:color w:val="auto"/>
              </w:rPr>
            </w:pPr>
          </w:p>
        </w:tc>
        <w:tc>
          <w:tcPr>
            <w:tcW w:w="50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6080" w:type="dxa"/>
            <w:vAlign w:val="bottom"/>
          </w:tcPr>
          <w:p>
            <w:pPr>
              <w:ind w:left="20"/>
              <w:spacing w:after="0"/>
              <w:rPr>
                <w:sz w:val="20"/>
                <w:szCs w:val="20"/>
                <w:color w:val="auto"/>
              </w:rPr>
            </w:pPr>
            <w:r>
              <w:rPr>
                <w:rFonts w:ascii="Arial" w:cs="Arial" w:eastAsia="Arial" w:hAnsi="Arial"/>
                <w:sz w:val="16"/>
                <w:szCs w:val="16"/>
                <w:color w:val="004483"/>
              </w:rPr>
              <w:t>Risk-Free Interest Rate</w:t>
            </w:r>
          </w:p>
        </w:tc>
        <w:tc>
          <w:tcPr>
            <w:tcW w:w="5200" w:type="dxa"/>
            <w:vAlign w:val="bottom"/>
            <w:gridSpan w:val="2"/>
          </w:tcPr>
          <w:p>
            <w:pPr>
              <w:jc w:val="right"/>
              <w:spacing w:after="0"/>
              <w:rPr>
                <w:sz w:val="20"/>
                <w:szCs w:val="20"/>
                <w:color w:val="auto"/>
              </w:rPr>
            </w:pPr>
            <w:r>
              <w:rPr>
                <w:rFonts w:ascii="Arial" w:cs="Arial" w:eastAsia="Arial" w:hAnsi="Arial"/>
                <w:sz w:val="16"/>
                <w:szCs w:val="16"/>
                <w:color w:val="auto"/>
              </w:rPr>
              <w:t>2.9 %</w:t>
            </w:r>
          </w:p>
        </w:tc>
      </w:tr>
      <w:tr>
        <w:trPr>
          <w:trHeight w:val="196"/>
        </w:trPr>
        <w:tc>
          <w:tcPr>
            <w:tcW w:w="608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Expected Life</w:t>
            </w:r>
          </w:p>
        </w:tc>
        <w:tc>
          <w:tcPr>
            <w:tcW w:w="5060" w:type="dxa"/>
            <w:vAlign w:val="bottom"/>
            <w:tcBorders>
              <w:top w:val="single" w:sz="8" w:color="A6A6A6"/>
              <w:bottom w:val="single" w:sz="8" w:color="A6A6A6"/>
            </w:tcBorders>
          </w:tcPr>
          <w:p>
            <w:pPr>
              <w:ind w:left="4380"/>
              <w:spacing w:after="0"/>
              <w:rPr>
                <w:sz w:val="20"/>
                <w:szCs w:val="20"/>
                <w:color w:val="auto"/>
              </w:rPr>
            </w:pPr>
            <w:r>
              <w:rPr>
                <w:rFonts w:ascii="Arial" w:cs="Arial" w:eastAsia="Arial" w:hAnsi="Arial"/>
                <w:sz w:val="16"/>
                <w:szCs w:val="16"/>
                <w:color w:val="auto"/>
              </w:rPr>
              <w:t>6.0 years</w:t>
            </w:r>
          </w:p>
        </w:tc>
        <w:tc>
          <w:tcPr>
            <w:tcW w:w="140" w:type="dxa"/>
            <w:vAlign w:val="bottom"/>
          </w:tcPr>
          <w:p>
            <w:pPr>
              <w:spacing w:after="0"/>
              <w:rPr>
                <w:sz w:val="17"/>
                <w:szCs w:val="17"/>
                <w:color w:val="auto"/>
              </w:rPr>
            </w:pPr>
          </w:p>
        </w:tc>
      </w:tr>
    </w:tbl>
    <w:p>
      <w:pPr>
        <w:spacing w:after="0" w:line="121" w:lineRule="exact"/>
        <w:rPr>
          <w:sz w:val="20"/>
          <w:szCs w:val="20"/>
          <w:color w:val="auto"/>
        </w:rPr>
      </w:pPr>
    </w:p>
    <w:p>
      <w:pPr>
        <w:ind w:right="560"/>
        <w:spacing w:after="0" w:line="293" w:lineRule="auto"/>
        <w:rPr>
          <w:sz w:val="20"/>
          <w:szCs w:val="20"/>
          <w:color w:val="auto"/>
        </w:rPr>
      </w:pPr>
      <w:r>
        <w:rPr>
          <w:rFonts w:ascii="Arial" w:cs="Arial" w:eastAsia="Arial" w:hAnsi="Arial"/>
          <w:sz w:val="18"/>
          <w:szCs w:val="18"/>
          <w:color w:val="auto"/>
        </w:rPr>
        <w:t>In addition to the stock options described above, from time to time we issue stock options to certain employees. Any options issued are valued using the Black-Scholes options pricing model on the grant date and are expensed over the vesting period.</w:t>
      </w:r>
    </w:p>
    <w:p>
      <w:pPr>
        <w:spacing w:after="0" w:line="89"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color w:val="auto"/>
        </w:rPr>
        <w:t>Stock option expense for all outstanding stock option awards totaled approximately $1.1 million and $1.9 million for the three and six months ended September 30, 2022, respectively, and $1.0 million and $1.7 million for the three and six months ended September 30, 2021, respectively. At September 30, 2022, there was approximately $4.8 million of unrecognized compensation cost related to outstanding stock options, which is expected to be recognized over a weighted-average period of 2.4 years.</w:t>
      </w: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62"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represents stock option activity for the six months ended September 30,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35"/>
        </w:trPr>
        <w:tc>
          <w:tcPr>
            <w:tcW w:w="7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rPr>
              <w:t>Number</w:t>
            </w:r>
          </w:p>
        </w:tc>
        <w:tc>
          <w:tcPr>
            <w:tcW w:w="7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30"/>
        </w:trPr>
        <w:tc>
          <w:tcPr>
            <w:tcW w:w="7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1040" w:type="dxa"/>
            <w:vAlign w:val="bottom"/>
          </w:tcPr>
          <w:p>
            <w:pPr>
              <w:jc w:val="right"/>
              <w:spacing w:after="0" w:line="130"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96"/>
        </w:trPr>
        <w:tc>
          <w:tcPr>
            <w:tcW w:w="7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of Shares</w:t>
            </w:r>
          </w:p>
        </w:tc>
        <w:tc>
          <w:tcPr>
            <w:tcW w:w="7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203"/>
        </w:trPr>
        <w:tc>
          <w:tcPr>
            <w:tcW w:w="772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auto"/>
              </w:rPr>
              <w:t>Outstanding Options at March 31, 2022</w:t>
            </w:r>
          </w:p>
        </w:tc>
        <w:tc>
          <w:tcPr>
            <w:tcW w:w="540" w:type="dxa"/>
            <w:vAlign w:val="bottom"/>
            <w:tcBorders>
              <w:top w:val="single" w:sz="8" w:color="004483"/>
              <w:bottom w:val="single" w:sz="8" w:color="A6A6A6"/>
            </w:tcBorders>
          </w:tcPr>
          <w:p>
            <w:pPr>
              <w:spacing w:after="0"/>
              <w:rPr>
                <w:sz w:val="17"/>
                <w:szCs w:val="17"/>
                <w:color w:val="auto"/>
              </w:rPr>
            </w:pPr>
          </w:p>
        </w:tc>
        <w:tc>
          <w:tcPr>
            <w:tcW w:w="102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456,849</w:t>
            </w:r>
          </w:p>
        </w:tc>
        <w:tc>
          <w:tcPr>
            <w:tcW w:w="120" w:type="dxa"/>
            <w:vAlign w:val="bottom"/>
          </w:tcPr>
          <w:p>
            <w:pPr>
              <w:spacing w:after="0"/>
              <w:rPr>
                <w:sz w:val="17"/>
                <w:szCs w:val="17"/>
                <w:color w:val="auto"/>
              </w:rPr>
            </w:pPr>
          </w:p>
        </w:tc>
        <w:tc>
          <w:tcPr>
            <w:tcW w:w="700" w:type="dxa"/>
            <w:vAlign w:val="bottom"/>
            <w:tcBorders>
              <w:top w:val="single" w:sz="8" w:color="004483"/>
              <w:bottom w:val="single" w:sz="8" w:color="A6A6A6"/>
            </w:tcBorders>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83.81</w:t>
            </w:r>
          </w:p>
        </w:tc>
        <w:tc>
          <w:tcPr>
            <w:tcW w:w="0" w:type="dxa"/>
            <w:vAlign w:val="bottom"/>
          </w:tcPr>
          <w:p>
            <w:pPr>
              <w:spacing w:after="0"/>
              <w:rPr>
                <w:sz w:val="1"/>
                <w:szCs w:val="1"/>
                <w:color w:val="auto"/>
              </w:rPr>
            </w:pPr>
          </w:p>
        </w:tc>
      </w:tr>
      <w:tr>
        <w:trPr>
          <w:trHeight w:val="193"/>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Granted</w:t>
            </w:r>
          </w:p>
        </w:tc>
        <w:tc>
          <w:tcPr>
            <w:tcW w:w="540" w:type="dxa"/>
            <w:vAlign w:val="bottom"/>
            <w:tcBorders>
              <w:bottom w:val="single" w:sz="8" w:color="A6A6A6"/>
            </w:tcBorders>
          </w:tcPr>
          <w:p>
            <w:pPr>
              <w:spacing w:after="0"/>
              <w:rPr>
                <w:sz w:val="16"/>
                <w:szCs w:val="16"/>
                <w:color w:val="auto"/>
              </w:rPr>
            </w:pP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56,621</w:t>
            </w:r>
          </w:p>
        </w:tc>
        <w:tc>
          <w:tcPr>
            <w:tcW w:w="120" w:type="dxa"/>
            <w:vAlign w:val="bottom"/>
          </w:tcPr>
          <w:p>
            <w:pPr>
              <w:spacing w:after="0"/>
              <w:rPr>
                <w:sz w:val="16"/>
                <w:szCs w:val="16"/>
                <w:color w:val="auto"/>
              </w:rPr>
            </w:pPr>
          </w:p>
        </w:tc>
        <w:tc>
          <w:tcPr>
            <w:tcW w:w="700" w:type="dxa"/>
            <w:vAlign w:val="bottom"/>
            <w:tcBorders>
              <w:bottom w:val="single" w:sz="8" w:color="A6A6A6"/>
            </w:tcBorders>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125.90</w:t>
            </w:r>
          </w:p>
        </w:tc>
        <w:tc>
          <w:tcPr>
            <w:tcW w:w="0" w:type="dxa"/>
            <w:vAlign w:val="bottom"/>
          </w:tcPr>
          <w:p>
            <w:pPr>
              <w:spacing w:after="0"/>
              <w:rPr>
                <w:sz w:val="1"/>
                <w:szCs w:val="1"/>
                <w:color w:val="auto"/>
              </w:rPr>
            </w:pPr>
          </w:p>
        </w:tc>
      </w:tr>
      <w:tr>
        <w:trPr>
          <w:trHeight w:val="196"/>
        </w:trPr>
        <w:tc>
          <w:tcPr>
            <w:tcW w:w="7720" w:type="dxa"/>
            <w:vAlign w:val="bottom"/>
          </w:tcPr>
          <w:p>
            <w:pPr>
              <w:ind w:left="20"/>
              <w:spacing w:after="0"/>
              <w:rPr>
                <w:sz w:val="20"/>
                <w:szCs w:val="20"/>
                <w:color w:val="auto"/>
              </w:rPr>
            </w:pPr>
            <w:r>
              <w:rPr>
                <w:rFonts w:ascii="Arial" w:cs="Arial" w:eastAsia="Arial" w:hAnsi="Arial"/>
                <w:sz w:val="16"/>
                <w:szCs w:val="16"/>
                <w:color w:val="004483"/>
              </w:rPr>
              <w:t>Exercised</w:t>
            </w:r>
          </w:p>
        </w:tc>
        <w:tc>
          <w:tcPr>
            <w:tcW w:w="54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(17,841 )</w:t>
            </w:r>
          </w:p>
        </w:tc>
        <w:tc>
          <w:tcPr>
            <w:tcW w:w="7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125.36</w:t>
            </w:r>
          </w:p>
        </w:tc>
        <w:tc>
          <w:tcPr>
            <w:tcW w:w="0" w:type="dxa"/>
            <w:vAlign w:val="bottom"/>
          </w:tcPr>
          <w:p>
            <w:pPr>
              <w:spacing w:after="0"/>
              <w:rPr>
                <w:sz w:val="1"/>
                <w:szCs w:val="1"/>
                <w:color w:val="auto"/>
              </w:rPr>
            </w:pPr>
          </w:p>
        </w:tc>
      </w:tr>
      <w:tr>
        <w:trPr>
          <w:trHeight w:val="20"/>
        </w:trPr>
        <w:tc>
          <w:tcPr>
            <w:tcW w:w="7720" w:type="dxa"/>
            <w:vAlign w:val="bottom"/>
            <w:shd w:val="clear" w:color="auto" w:fill="A6A6A6"/>
          </w:tcPr>
          <w:p>
            <w:pPr>
              <w:spacing w:after="0" w:line="20" w:lineRule="exact"/>
              <w:rPr>
                <w:sz w:val="1"/>
                <w:szCs w:val="1"/>
                <w:color w:val="auto"/>
              </w:rPr>
            </w:pPr>
          </w:p>
        </w:tc>
        <w:tc>
          <w:tcPr>
            <w:tcW w:w="54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40" w:type="dxa"/>
            <w:vAlign w:val="bottom"/>
            <w:shd w:val="clear" w:color="auto" w:fill="A6A6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720" w:type="dxa"/>
            <w:vAlign w:val="bottom"/>
          </w:tcPr>
          <w:p>
            <w:pPr>
              <w:ind w:left="20"/>
              <w:spacing w:after="0"/>
              <w:rPr>
                <w:sz w:val="20"/>
                <w:szCs w:val="20"/>
                <w:color w:val="auto"/>
              </w:rPr>
            </w:pPr>
            <w:r>
              <w:rPr>
                <w:rFonts w:ascii="Arial" w:cs="Arial" w:eastAsia="Arial" w:hAnsi="Arial"/>
                <w:sz w:val="16"/>
                <w:szCs w:val="16"/>
                <w:color w:val="004483"/>
              </w:rPr>
              <w:t>Cancelled</w:t>
            </w:r>
          </w:p>
        </w:tc>
        <w:tc>
          <w:tcPr>
            <w:tcW w:w="54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(3,178 )</w:t>
            </w:r>
          </w:p>
        </w:tc>
        <w:tc>
          <w:tcPr>
            <w:tcW w:w="7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109.15</w:t>
            </w:r>
          </w:p>
        </w:tc>
        <w:tc>
          <w:tcPr>
            <w:tcW w:w="0" w:type="dxa"/>
            <w:vAlign w:val="bottom"/>
          </w:tcPr>
          <w:p>
            <w:pPr>
              <w:spacing w:after="0"/>
              <w:rPr>
                <w:sz w:val="1"/>
                <w:szCs w:val="1"/>
                <w:color w:val="auto"/>
              </w:rPr>
            </w:pPr>
          </w:p>
        </w:tc>
      </w:tr>
      <w:tr>
        <w:trPr>
          <w:trHeight w:val="196"/>
        </w:trPr>
        <w:tc>
          <w:tcPr>
            <w:tcW w:w="772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Outstanding Options at September 30, 2022</w:t>
            </w:r>
          </w:p>
        </w:tc>
        <w:tc>
          <w:tcPr>
            <w:tcW w:w="540" w:type="dxa"/>
            <w:vAlign w:val="bottom"/>
            <w:tcBorders>
              <w:top w:val="single" w:sz="8" w:color="004483"/>
              <w:bottom w:val="single" w:sz="8" w:color="004483"/>
            </w:tcBorders>
          </w:tcPr>
          <w:p>
            <w:pPr>
              <w:spacing w:after="0"/>
              <w:rPr>
                <w:sz w:val="17"/>
                <w:szCs w:val="17"/>
                <w:color w:val="auto"/>
              </w:rPr>
            </w:pPr>
          </w:p>
        </w:tc>
        <w:tc>
          <w:tcPr>
            <w:tcW w:w="10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492,451</w:t>
            </w:r>
          </w:p>
        </w:tc>
        <w:tc>
          <w:tcPr>
            <w:tcW w:w="120" w:type="dxa"/>
            <w:vAlign w:val="bottom"/>
          </w:tcPr>
          <w:p>
            <w:pPr>
              <w:spacing w:after="0"/>
              <w:rPr>
                <w:sz w:val="17"/>
                <w:szCs w:val="17"/>
                <w:color w:val="auto"/>
              </w:rPr>
            </w:pPr>
          </w:p>
        </w:tc>
        <w:tc>
          <w:tcPr>
            <w:tcW w:w="700" w:type="dxa"/>
            <w:vAlign w:val="bottom"/>
            <w:tcBorders>
              <w:top w:val="single" w:sz="8" w:color="A6A6A6"/>
            </w:tcBorders>
          </w:tcPr>
          <w:p>
            <w:pPr>
              <w:jc w:val="right"/>
              <w:ind w:right="3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89.09</w:t>
            </w:r>
          </w:p>
        </w:tc>
        <w:tc>
          <w:tcPr>
            <w:tcW w:w="0" w:type="dxa"/>
            <w:vAlign w:val="bottom"/>
          </w:tcPr>
          <w:p>
            <w:pPr>
              <w:spacing w:after="0"/>
              <w:rPr>
                <w:sz w:val="1"/>
                <w:szCs w:val="1"/>
                <w:color w:val="auto"/>
              </w:rPr>
            </w:pPr>
          </w:p>
        </w:tc>
      </w:tr>
      <w:tr>
        <w:trPr>
          <w:trHeight w:val="20"/>
        </w:trPr>
        <w:tc>
          <w:tcPr>
            <w:tcW w:w="772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Options Exercisable at September 30, 2022</w:t>
            </w:r>
          </w:p>
        </w:tc>
        <w:tc>
          <w:tcPr>
            <w:tcW w:w="540" w:type="dxa"/>
            <w:vAlign w:val="bottom"/>
            <w:tcBorders>
              <w:bottom w:val="single" w:sz="8" w:color="004483"/>
            </w:tcBorders>
          </w:tcPr>
          <w:p>
            <w:pPr>
              <w:spacing w:after="0"/>
              <w:rPr>
                <w:sz w:val="15"/>
                <w:szCs w:val="15"/>
                <w:color w:val="auto"/>
              </w:rPr>
            </w:pP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301,348</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Borders>
              <w:bottom w:val="single" w:sz="8" w:color="A6A6A6"/>
            </w:tcBorders>
          </w:tcPr>
          <w:p>
            <w:pPr>
              <w:spacing w:after="0" w:line="20" w:lineRule="exact"/>
              <w:rPr>
                <w:sz w:val="1"/>
                <w:szCs w:val="1"/>
                <w:color w:val="auto"/>
              </w:rPr>
            </w:pPr>
          </w:p>
        </w:tc>
        <w:tc>
          <w:tcPr>
            <w:tcW w:w="54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6A6A6"/>
            </w:tcBorders>
          </w:tcPr>
          <w:p>
            <w:pPr>
              <w:spacing w:after="0" w:line="20" w:lineRule="exact"/>
              <w:rPr>
                <w:sz w:val="1"/>
                <w:szCs w:val="1"/>
                <w:color w:val="auto"/>
              </w:rPr>
            </w:pPr>
          </w:p>
        </w:tc>
        <w:tc>
          <w:tcPr>
            <w:tcW w:w="1040" w:type="dxa"/>
            <w:vAlign w:val="bottom"/>
            <w:tcBorders>
              <w:bottom w:val="single" w:sz="8" w:color="A6A6A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720" w:type="dxa"/>
            <w:vAlign w:val="bottom"/>
          </w:tcPr>
          <w:p>
            <w:pPr>
              <w:ind w:left="20"/>
              <w:spacing w:after="0" w:line="138" w:lineRule="exact"/>
              <w:rPr>
                <w:sz w:val="20"/>
                <w:szCs w:val="20"/>
                <w:color w:val="auto"/>
              </w:rPr>
            </w:pPr>
            <w:r>
              <w:rPr>
                <w:rFonts w:ascii="Arial" w:cs="Arial" w:eastAsia="Arial" w:hAnsi="Arial"/>
                <w:sz w:val="15"/>
                <w:szCs w:val="15"/>
                <w:b w:val="1"/>
                <w:bCs w:val="1"/>
                <w:color w:val="auto"/>
              </w:rPr>
              <w:t>Weighted-Average Fair Value of Options Granted</w:t>
            </w: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77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During the Year</w:t>
            </w:r>
          </w:p>
        </w:tc>
        <w:tc>
          <w:tcPr>
            <w:tcW w:w="540" w:type="dxa"/>
            <w:vAlign w:val="bottom"/>
            <w:tcBorders>
              <w:bottom w:val="single" w:sz="8" w:color="A6A6A6"/>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48.36</w:t>
            </w:r>
          </w:p>
        </w:tc>
        <w:tc>
          <w:tcPr>
            <w:tcW w:w="120" w:type="dxa"/>
            <w:vAlign w:val="bottom"/>
          </w:tcPr>
          <w:p>
            <w:pPr>
              <w:spacing w:after="0"/>
              <w:rPr>
                <w:sz w:val="18"/>
                <w:szCs w:val="18"/>
                <w:color w:val="auto"/>
              </w:rPr>
            </w:pPr>
          </w:p>
        </w:tc>
        <w:tc>
          <w:tcPr>
            <w:tcW w:w="700" w:type="dxa"/>
            <w:vAlign w:val="bottom"/>
            <w:tcBorders>
              <w:bottom w:val="single" w:sz="8" w:color="A6A6A6"/>
            </w:tcBorders>
          </w:tcPr>
          <w:p>
            <w:pPr>
              <w:spacing w:after="0"/>
              <w:rPr>
                <w:sz w:val="18"/>
                <w:szCs w:val="18"/>
                <w:color w:val="auto"/>
              </w:rPr>
            </w:pPr>
          </w:p>
        </w:tc>
        <w:tc>
          <w:tcPr>
            <w:tcW w:w="1040" w:type="dxa"/>
            <w:vAlign w:val="bottom"/>
            <w:tcBorders>
              <w:bottom w:val="single" w:sz="8" w:color="A6A6A6"/>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at September 30, 2022:</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1300" w:type="dxa"/>
            <w:vAlign w:val="bottom"/>
            <w:gridSpan w:val="3"/>
            <w:shd w:val="clear" w:color="auto" w:fill="004483"/>
          </w:tcPr>
          <w:p>
            <w:pPr>
              <w:ind w:left="20"/>
              <w:spacing w:after="0"/>
              <w:rPr>
                <w:sz w:val="20"/>
                <w:szCs w:val="20"/>
                <w:color w:val="auto"/>
              </w:rPr>
            </w:pPr>
            <w:r>
              <w:rPr>
                <w:rFonts w:ascii="Arial" w:cs="Arial" w:eastAsia="Arial" w:hAnsi="Arial"/>
                <w:sz w:val="13"/>
                <w:szCs w:val="13"/>
                <w:b w:val="1"/>
                <w:bCs w:val="1"/>
                <w:color w:val="FFFFFF"/>
                <w:w w:val="97"/>
              </w:rPr>
              <w:t>Options Outstanding</w:t>
            </w:r>
          </w:p>
        </w:tc>
        <w:tc>
          <w:tcPr>
            <w:tcW w:w="360" w:type="dxa"/>
            <w:vAlign w:val="bottom"/>
            <w:shd w:val="clear" w:color="auto" w:fill="004483"/>
          </w:tcPr>
          <w:p>
            <w:pPr>
              <w:spacing w:after="0"/>
              <w:rPr>
                <w:sz w:val="14"/>
                <w:szCs w:val="14"/>
                <w:color w:val="auto"/>
              </w:rPr>
            </w:pPr>
          </w:p>
        </w:tc>
        <w:tc>
          <w:tcPr>
            <w:tcW w:w="76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shd w:val="clear" w:color="auto" w:fill="004483"/>
          </w:tcPr>
          <w:p>
            <w:pPr>
              <w:ind w:left="500"/>
              <w:spacing w:after="0"/>
              <w:rPr>
                <w:sz w:val="20"/>
                <w:szCs w:val="20"/>
                <w:color w:val="auto"/>
              </w:rPr>
            </w:pPr>
            <w:r>
              <w:rPr>
                <w:rFonts w:ascii="Arial" w:cs="Arial" w:eastAsia="Arial" w:hAnsi="Arial"/>
                <w:sz w:val="13"/>
                <w:szCs w:val="13"/>
                <w:b w:val="1"/>
                <w:bCs w:val="1"/>
                <w:color w:val="FFFFFF"/>
              </w:rPr>
              <w:t>Options Exercisable</w:t>
            </w:r>
          </w:p>
        </w:tc>
      </w:tr>
      <w:tr>
        <w:trPr>
          <w:trHeight w:val="113"/>
        </w:trPr>
        <w:tc>
          <w:tcPr>
            <w:tcW w:w="54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tcPr>
          <w:p>
            <w:pPr>
              <w:jc w:val="right"/>
              <w:ind w:right="120"/>
              <w:spacing w:after="0" w:line="113" w:lineRule="exact"/>
              <w:rPr>
                <w:sz w:val="20"/>
                <w:szCs w:val="20"/>
                <w:color w:val="auto"/>
              </w:rPr>
            </w:pPr>
            <w:r>
              <w:rPr>
                <w:rFonts w:ascii="Arial" w:cs="Arial" w:eastAsia="Arial" w:hAnsi="Arial"/>
                <w:sz w:val="13"/>
                <w:szCs w:val="13"/>
                <w:b w:val="1"/>
                <w:bCs w:val="1"/>
                <w:color w:val="auto"/>
              </w:rPr>
              <w:t>Weighted-</w:t>
            </w: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54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Average</w:t>
            </w:r>
          </w:p>
        </w:tc>
        <w:tc>
          <w:tcPr>
            <w:tcW w:w="3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Weighted-</w:t>
            </w:r>
          </w:p>
        </w:tc>
      </w:tr>
      <w:tr>
        <w:trPr>
          <w:trHeight w:val="135"/>
        </w:trPr>
        <w:tc>
          <w:tcPr>
            <w:tcW w:w="54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Remaining</w:t>
            </w:r>
          </w:p>
        </w:tc>
        <w:tc>
          <w:tcPr>
            <w:tcW w:w="3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rPr>
              <w:t>Average</w:t>
            </w:r>
          </w:p>
        </w:tc>
      </w:tr>
      <w:tr>
        <w:trPr>
          <w:trHeight w:val="130"/>
        </w:trPr>
        <w:tc>
          <w:tcPr>
            <w:tcW w:w="54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000" w:type="dxa"/>
            <w:vAlign w:val="bottom"/>
          </w:tcPr>
          <w:p>
            <w:pPr>
              <w:jc w:val="right"/>
              <w:spacing w:after="0" w:line="130" w:lineRule="exact"/>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0" w:lineRule="exact"/>
              <w:rPr>
                <w:sz w:val="20"/>
                <w:szCs w:val="20"/>
                <w:color w:val="auto"/>
              </w:rPr>
            </w:pPr>
            <w:r>
              <w:rPr>
                <w:rFonts w:ascii="Arial" w:cs="Arial" w:eastAsia="Arial" w:hAnsi="Arial"/>
                <w:sz w:val="13"/>
                <w:szCs w:val="13"/>
                <w:b w:val="1"/>
                <w:bCs w:val="1"/>
                <w:color w:val="auto"/>
              </w:rPr>
              <w:t>Contractual</w:t>
            </w:r>
          </w:p>
        </w:tc>
        <w:tc>
          <w:tcPr>
            <w:tcW w:w="360" w:type="dxa"/>
            <w:vAlign w:val="bottom"/>
          </w:tcPr>
          <w:p>
            <w:pPr>
              <w:spacing w:after="0"/>
              <w:rPr>
                <w:sz w:val="11"/>
                <w:szCs w:val="11"/>
                <w:color w:val="auto"/>
              </w:rPr>
            </w:pPr>
          </w:p>
        </w:tc>
        <w:tc>
          <w:tcPr>
            <w:tcW w:w="860" w:type="dxa"/>
            <w:vAlign w:val="bottom"/>
            <w:gridSpan w:val="2"/>
          </w:tcPr>
          <w:p>
            <w:pPr>
              <w:jc w:val="right"/>
              <w:ind w:right="120"/>
              <w:spacing w:after="0" w:line="130" w:lineRule="exact"/>
              <w:rPr>
                <w:sz w:val="20"/>
                <w:szCs w:val="20"/>
                <w:color w:val="auto"/>
              </w:rPr>
            </w:pPr>
            <w:r>
              <w:rPr>
                <w:rFonts w:ascii="Arial" w:cs="Arial" w:eastAsia="Arial" w:hAnsi="Arial"/>
                <w:sz w:val="13"/>
                <w:szCs w:val="13"/>
                <w:b w:val="1"/>
                <w:bCs w:val="1"/>
                <w:color w:val="auto"/>
              </w:rPr>
              <w:t>Exercise</w:t>
            </w:r>
          </w:p>
        </w:tc>
        <w:tc>
          <w:tcPr>
            <w:tcW w:w="120" w:type="dxa"/>
            <w:vAlign w:val="bottom"/>
          </w:tcPr>
          <w:p>
            <w:pPr>
              <w:spacing w:after="0"/>
              <w:rPr>
                <w:sz w:val="11"/>
                <w:szCs w:val="11"/>
                <w:color w:val="auto"/>
              </w:rPr>
            </w:pPr>
          </w:p>
        </w:tc>
        <w:tc>
          <w:tcPr>
            <w:tcW w:w="980" w:type="dxa"/>
            <w:vAlign w:val="bottom"/>
          </w:tcPr>
          <w:p>
            <w:pPr>
              <w:jc w:val="right"/>
              <w:spacing w:after="0" w:line="130"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right"/>
              <w:ind w:right="120"/>
              <w:spacing w:after="0" w:line="130" w:lineRule="exact"/>
              <w:rPr>
                <w:sz w:val="20"/>
                <w:szCs w:val="20"/>
                <w:color w:val="auto"/>
              </w:rPr>
            </w:pPr>
            <w:r>
              <w:rPr>
                <w:rFonts w:ascii="Arial" w:cs="Arial" w:eastAsia="Arial" w:hAnsi="Arial"/>
                <w:sz w:val="13"/>
                <w:szCs w:val="13"/>
                <w:b w:val="1"/>
                <w:bCs w:val="1"/>
                <w:color w:val="auto"/>
              </w:rPr>
              <w:t>Exercise</w:t>
            </w:r>
          </w:p>
        </w:tc>
      </w:tr>
      <w:tr>
        <w:trPr>
          <w:trHeight w:val="203"/>
        </w:trPr>
        <w:tc>
          <w:tcPr>
            <w:tcW w:w="5140" w:type="dxa"/>
            <w:vAlign w:val="bottom"/>
            <w:tcBorders>
              <w:bottom w:val="single" w:sz="8" w:color="004483"/>
            </w:tcBorders>
            <w:gridSpan w:val="2"/>
          </w:tcPr>
          <w:p>
            <w:pPr>
              <w:ind w:left="20"/>
              <w:spacing w:after="0"/>
              <w:rPr>
                <w:sz w:val="20"/>
                <w:szCs w:val="20"/>
                <w:color w:val="auto"/>
              </w:rPr>
            </w:pPr>
            <w:r>
              <w:rPr>
                <w:rFonts w:ascii="Arial" w:cs="Arial" w:eastAsia="Arial" w:hAnsi="Arial"/>
                <w:sz w:val="13"/>
                <w:szCs w:val="13"/>
                <w:b w:val="1"/>
                <w:bCs w:val="1"/>
                <w:color w:val="auto"/>
              </w:rPr>
              <w:t>Range of Exercise Prices</w:t>
            </w: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0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Life (in years)</w:t>
            </w:r>
          </w:p>
        </w:tc>
        <w:tc>
          <w:tcPr>
            <w:tcW w:w="100" w:type="dxa"/>
            <w:vAlign w:val="bottom"/>
          </w:tcPr>
          <w:p>
            <w:pPr>
              <w:spacing w:after="0"/>
              <w:rPr>
                <w:sz w:val="17"/>
                <w:szCs w:val="17"/>
                <w:color w:val="auto"/>
              </w:rPr>
            </w:pPr>
          </w:p>
        </w:tc>
        <w:tc>
          <w:tcPr>
            <w:tcW w:w="360" w:type="dxa"/>
            <w:vAlign w:val="bottom"/>
            <w:tcBorders>
              <w:bottom w:val="single" w:sz="8" w:color="004483"/>
            </w:tcBorders>
          </w:tcPr>
          <w:p>
            <w:pPr>
              <w:spacing w:after="0"/>
              <w:rPr>
                <w:sz w:val="17"/>
                <w:szCs w:val="17"/>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7"/>
                <w:szCs w:val="17"/>
                <w:color w:val="auto"/>
              </w:rPr>
            </w:pPr>
          </w:p>
        </w:tc>
        <w:tc>
          <w:tcPr>
            <w:tcW w:w="120" w:type="dxa"/>
            <w:vAlign w:val="bottom"/>
            <w:tcBorders>
              <w:bottom w:val="single" w:sz="8" w:color="004483"/>
            </w:tcBorders>
          </w:tcPr>
          <w:p>
            <w:pPr>
              <w:spacing w:after="0"/>
              <w:rPr>
                <w:sz w:val="17"/>
                <w:szCs w:val="17"/>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Outstanding</w:t>
            </w:r>
          </w:p>
        </w:tc>
        <w:tc>
          <w:tcPr>
            <w:tcW w:w="220" w:type="dxa"/>
            <w:vAlign w:val="bottom"/>
          </w:tcPr>
          <w:p>
            <w:pPr>
              <w:spacing w:after="0"/>
              <w:rPr>
                <w:sz w:val="17"/>
                <w:szCs w:val="17"/>
                <w:color w:val="auto"/>
              </w:rPr>
            </w:pPr>
          </w:p>
        </w:tc>
        <w:tc>
          <w:tcPr>
            <w:tcW w:w="260" w:type="dxa"/>
            <w:vAlign w:val="bottom"/>
            <w:tcBorders>
              <w:bottom w:val="single" w:sz="8" w:color="004483"/>
            </w:tcBorders>
          </w:tcPr>
          <w:p>
            <w:pPr>
              <w:spacing w:after="0"/>
              <w:rPr>
                <w:sz w:val="17"/>
                <w:szCs w:val="17"/>
                <w:color w:val="auto"/>
              </w:rPr>
            </w:pPr>
          </w:p>
        </w:tc>
        <w:tc>
          <w:tcPr>
            <w:tcW w:w="7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Price</w:t>
            </w:r>
          </w:p>
        </w:tc>
        <w:tc>
          <w:tcPr>
            <w:tcW w:w="100" w:type="dxa"/>
            <w:vAlign w:val="bottom"/>
          </w:tcPr>
          <w:p>
            <w:pPr>
              <w:spacing w:after="0"/>
              <w:rPr>
                <w:sz w:val="17"/>
                <w:szCs w:val="17"/>
                <w:color w:val="auto"/>
              </w:rPr>
            </w:pPr>
          </w:p>
        </w:tc>
      </w:tr>
      <w:tr>
        <w:trPr>
          <w:trHeight w:val="193"/>
        </w:trPr>
        <w:tc>
          <w:tcPr>
            <w:tcW w:w="5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$59.32</w:t>
            </w:r>
          </w:p>
        </w:tc>
        <w:tc>
          <w:tcPr>
            <w:tcW w:w="46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 $81.56</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172,395</w:t>
            </w:r>
          </w:p>
        </w:tc>
        <w:tc>
          <w:tcPr>
            <w:tcW w:w="120" w:type="dxa"/>
            <w:vAlign w:val="bottom"/>
          </w:tcPr>
          <w:p>
            <w:pPr>
              <w:spacing w:after="0"/>
              <w:rPr>
                <w:sz w:val="16"/>
                <w:szCs w:val="16"/>
                <w:color w:val="auto"/>
              </w:rPr>
            </w:pPr>
          </w:p>
        </w:tc>
        <w:tc>
          <w:tcPr>
            <w:tcW w:w="12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16"/>
                <w:szCs w:val="16"/>
                <w:color w:val="auto"/>
              </w:rPr>
            </w:pPr>
          </w:p>
        </w:tc>
        <w:tc>
          <w:tcPr>
            <w:tcW w:w="36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62.87</w:t>
            </w:r>
          </w:p>
        </w:tc>
        <w:tc>
          <w:tcPr>
            <w:tcW w:w="100" w:type="dxa"/>
            <w:vAlign w:val="bottom"/>
          </w:tcPr>
          <w:p>
            <w:pPr>
              <w:spacing w:after="0"/>
              <w:rPr>
                <w:sz w:val="16"/>
                <w:szCs w:val="16"/>
                <w:color w:val="auto"/>
              </w:rPr>
            </w:pPr>
          </w:p>
        </w:tc>
        <w:tc>
          <w:tcPr>
            <w:tcW w:w="11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85,585</w:t>
            </w:r>
          </w:p>
        </w:tc>
        <w:tc>
          <w:tcPr>
            <w:tcW w:w="220" w:type="dxa"/>
            <w:vAlign w:val="bottom"/>
          </w:tcPr>
          <w:p>
            <w:pPr>
              <w:spacing w:after="0"/>
              <w:rPr>
                <w:sz w:val="16"/>
                <w:szCs w:val="16"/>
                <w:color w:val="auto"/>
              </w:rPr>
            </w:pPr>
          </w:p>
        </w:tc>
        <w:tc>
          <w:tcPr>
            <w:tcW w:w="260" w:type="dxa"/>
            <w:vAlign w:val="bottom"/>
            <w:tcBorders>
              <w:bottom w:val="single" w:sz="8" w:color="A6A6A6"/>
            </w:tcBorders>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64.96</w:t>
            </w:r>
          </w:p>
        </w:tc>
        <w:tc>
          <w:tcPr>
            <w:tcW w:w="100" w:type="dxa"/>
            <w:vAlign w:val="bottom"/>
          </w:tcPr>
          <w:p>
            <w:pPr>
              <w:spacing w:after="0"/>
              <w:rPr>
                <w:sz w:val="16"/>
                <w:szCs w:val="16"/>
                <w:color w:val="auto"/>
              </w:rPr>
            </w:pPr>
          </w:p>
        </w:tc>
      </w:tr>
      <w:tr>
        <w:trPr>
          <w:trHeight w:val="196"/>
        </w:trPr>
        <w:tc>
          <w:tcPr>
            <w:tcW w:w="5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$87.37</w:t>
            </w:r>
          </w:p>
        </w:tc>
        <w:tc>
          <w:tcPr>
            <w:tcW w:w="460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 $93.03</w:t>
            </w:r>
          </w:p>
        </w:tc>
        <w:tc>
          <w:tcPr>
            <w:tcW w:w="10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151,569</w:t>
            </w:r>
          </w:p>
        </w:tc>
        <w:tc>
          <w:tcPr>
            <w:tcW w:w="120" w:type="dxa"/>
            <w:vAlign w:val="bottom"/>
          </w:tcPr>
          <w:p>
            <w:pPr>
              <w:spacing w:after="0"/>
              <w:rPr>
                <w:sz w:val="17"/>
                <w:szCs w:val="17"/>
                <w:color w:val="auto"/>
              </w:rPr>
            </w:pPr>
          </w:p>
        </w:tc>
        <w:tc>
          <w:tcPr>
            <w:tcW w:w="12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7"/>
                <w:szCs w:val="17"/>
                <w:color w:val="auto"/>
              </w:rPr>
            </w:pPr>
          </w:p>
        </w:tc>
        <w:tc>
          <w:tcPr>
            <w:tcW w:w="360" w:type="dxa"/>
            <w:vAlign w:val="bottom"/>
            <w:tcBorders>
              <w:bottom w:val="single" w:sz="8" w:color="A6A6A6"/>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91.57</w:t>
            </w:r>
          </w:p>
        </w:tc>
        <w:tc>
          <w:tcPr>
            <w:tcW w:w="100" w:type="dxa"/>
            <w:vAlign w:val="bottom"/>
          </w:tcPr>
          <w:p>
            <w:pPr>
              <w:spacing w:after="0"/>
              <w:rPr>
                <w:sz w:val="17"/>
                <w:szCs w:val="17"/>
                <w:color w:val="auto"/>
              </w:rPr>
            </w:pPr>
          </w:p>
        </w:tc>
        <w:tc>
          <w:tcPr>
            <w:tcW w:w="11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109,241</w:t>
            </w:r>
          </w:p>
        </w:tc>
        <w:tc>
          <w:tcPr>
            <w:tcW w:w="220" w:type="dxa"/>
            <w:vAlign w:val="bottom"/>
          </w:tcPr>
          <w:p>
            <w:pPr>
              <w:spacing w:after="0"/>
              <w:rPr>
                <w:sz w:val="17"/>
                <w:szCs w:val="17"/>
                <w:color w:val="auto"/>
              </w:rPr>
            </w:pPr>
          </w:p>
        </w:tc>
        <w:tc>
          <w:tcPr>
            <w:tcW w:w="260" w:type="dxa"/>
            <w:vAlign w:val="bottom"/>
            <w:tcBorders>
              <w:bottom w:val="single" w:sz="8" w:color="A6A6A6"/>
            </w:tcBorders>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91.57</w:t>
            </w:r>
          </w:p>
        </w:tc>
        <w:tc>
          <w:tcPr>
            <w:tcW w:w="100" w:type="dxa"/>
            <w:vAlign w:val="bottom"/>
          </w:tcPr>
          <w:p>
            <w:pPr>
              <w:spacing w:after="0"/>
              <w:rPr>
                <w:sz w:val="17"/>
                <w:szCs w:val="17"/>
                <w:color w:val="auto"/>
              </w:rPr>
            </w:pPr>
          </w:p>
        </w:tc>
      </w:tr>
      <w:tr>
        <w:trPr>
          <w:trHeight w:val="199"/>
        </w:trPr>
        <w:tc>
          <w:tcPr>
            <w:tcW w:w="540" w:type="dxa"/>
            <w:vAlign w:val="bottom"/>
          </w:tcPr>
          <w:p>
            <w:pPr>
              <w:ind w:left="20"/>
              <w:spacing w:after="0"/>
              <w:rPr>
                <w:sz w:val="20"/>
                <w:szCs w:val="20"/>
                <w:color w:val="auto"/>
              </w:rPr>
            </w:pPr>
            <w:r>
              <w:rPr>
                <w:rFonts w:ascii="Arial" w:cs="Arial" w:eastAsia="Arial" w:hAnsi="Arial"/>
                <w:sz w:val="16"/>
                <w:szCs w:val="16"/>
                <w:color w:val="004483"/>
              </w:rPr>
              <w:t>$99.37</w:t>
            </w:r>
          </w:p>
        </w:tc>
        <w:tc>
          <w:tcPr>
            <w:tcW w:w="4600" w:type="dxa"/>
            <w:vAlign w:val="bottom"/>
          </w:tcPr>
          <w:p>
            <w:pPr>
              <w:ind w:left="20"/>
              <w:spacing w:after="0"/>
              <w:rPr>
                <w:sz w:val="20"/>
                <w:szCs w:val="20"/>
                <w:color w:val="auto"/>
              </w:rPr>
            </w:pPr>
            <w:r>
              <w:rPr>
                <w:rFonts w:ascii="Arial" w:cs="Arial" w:eastAsia="Arial" w:hAnsi="Arial"/>
                <w:sz w:val="16"/>
                <w:szCs w:val="16"/>
                <w:color w:val="004483"/>
              </w:rPr>
              <w:t>- $143.09</w:t>
            </w:r>
          </w:p>
        </w:tc>
        <w:tc>
          <w:tcPr>
            <w:tcW w:w="1000" w:type="dxa"/>
            <w:vAlign w:val="bottom"/>
          </w:tcPr>
          <w:p>
            <w:pPr>
              <w:jc w:val="right"/>
              <w:spacing w:after="0"/>
              <w:rPr>
                <w:sz w:val="20"/>
                <w:szCs w:val="20"/>
                <w:color w:val="auto"/>
              </w:rPr>
            </w:pPr>
            <w:r>
              <w:rPr>
                <w:rFonts w:ascii="Arial" w:cs="Arial" w:eastAsia="Arial" w:hAnsi="Arial"/>
                <w:sz w:val="16"/>
                <w:szCs w:val="16"/>
                <w:color w:val="auto"/>
              </w:rPr>
              <w:t>168,487</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Pr>
          <w:p>
            <w:pPr>
              <w:spacing w:after="0"/>
              <w:rPr>
                <w:sz w:val="17"/>
                <w:szCs w:val="17"/>
                <w:color w:val="auto"/>
              </w:rPr>
            </w:pP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113.68</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106,522</w:t>
            </w:r>
          </w:p>
        </w:tc>
        <w:tc>
          <w:tcPr>
            <w:tcW w:w="4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106.90</w:t>
            </w:r>
          </w:p>
        </w:tc>
        <w:tc>
          <w:tcPr>
            <w:tcW w:w="100" w:type="dxa"/>
            <w:vAlign w:val="bottom"/>
          </w:tcPr>
          <w:p>
            <w:pPr>
              <w:spacing w:after="0"/>
              <w:rPr>
                <w:sz w:val="17"/>
                <w:szCs w:val="17"/>
                <w:color w:val="auto"/>
              </w:rPr>
            </w:pPr>
          </w:p>
        </w:tc>
      </w:tr>
      <w:tr>
        <w:trPr>
          <w:trHeight w:val="27"/>
        </w:trPr>
        <w:tc>
          <w:tcPr>
            <w:tcW w:w="540" w:type="dxa"/>
            <w:vAlign w:val="bottom"/>
            <w:tcBorders>
              <w:bottom w:val="single" w:sz="8" w:color="A6A6A6"/>
            </w:tcBorders>
          </w:tcPr>
          <w:p>
            <w:pPr>
              <w:spacing w:after="0"/>
              <w:rPr>
                <w:sz w:val="2"/>
                <w:szCs w:val="2"/>
                <w:color w:val="auto"/>
              </w:rPr>
            </w:pPr>
          </w:p>
        </w:tc>
        <w:tc>
          <w:tcPr>
            <w:tcW w:w="4600" w:type="dxa"/>
            <w:vAlign w:val="bottom"/>
            <w:tcBorders>
              <w:bottom w:val="single" w:sz="8" w:color="A6A6A6"/>
            </w:tcBorders>
          </w:tcPr>
          <w:p>
            <w:pPr>
              <w:spacing w:after="0"/>
              <w:rPr>
                <w:sz w:val="2"/>
                <w:szCs w:val="2"/>
                <w:color w:val="auto"/>
              </w:rPr>
            </w:pPr>
          </w:p>
        </w:tc>
        <w:tc>
          <w:tcPr>
            <w:tcW w:w="100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1080" w:type="dxa"/>
            <w:vAlign w:val="bottom"/>
            <w:tcBorders>
              <w:bottom w:val="single" w:sz="8" w:color="A6A6A6"/>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6A6A6"/>
            </w:tcBorders>
          </w:tcPr>
          <w:p>
            <w:pPr>
              <w:spacing w:after="0"/>
              <w:rPr>
                <w:sz w:val="2"/>
                <w:szCs w:val="2"/>
                <w:color w:val="auto"/>
              </w:rPr>
            </w:pPr>
          </w:p>
        </w:tc>
        <w:tc>
          <w:tcPr>
            <w:tcW w:w="760" w:type="dxa"/>
            <w:vAlign w:val="bottom"/>
            <w:tcBorders>
              <w:bottom w:val="single" w:sz="8" w:color="A6A6A6"/>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980" w:type="dxa"/>
            <w:vAlign w:val="bottom"/>
            <w:tcBorders>
              <w:bottom w:val="single" w:sz="8" w:color="004483"/>
            </w:tcBorders>
            <w:shd w:val="clear" w:color="auto" w:fill="004483"/>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6A6A6"/>
            </w:tcBorders>
          </w:tcPr>
          <w:p>
            <w:pPr>
              <w:spacing w:after="0"/>
              <w:rPr>
                <w:sz w:val="2"/>
                <w:szCs w:val="2"/>
                <w:color w:val="auto"/>
              </w:rPr>
            </w:pPr>
          </w:p>
        </w:tc>
        <w:tc>
          <w:tcPr>
            <w:tcW w:w="780" w:type="dxa"/>
            <w:vAlign w:val="bottom"/>
            <w:tcBorders>
              <w:bottom w:val="single" w:sz="8" w:color="A6A6A6"/>
            </w:tcBorders>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5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0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492,451</w:t>
            </w: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6.72</w:t>
            </w:r>
          </w:p>
        </w:tc>
        <w:tc>
          <w:tcPr>
            <w:tcW w:w="100" w:type="dxa"/>
            <w:vAlign w:val="bottom"/>
          </w:tcPr>
          <w:p>
            <w:pPr>
              <w:spacing w:after="0"/>
              <w:rPr>
                <w:sz w:val="17"/>
                <w:szCs w:val="17"/>
                <w:color w:val="auto"/>
              </w:rPr>
            </w:pP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89.09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301,348</w:t>
            </w:r>
          </w:p>
        </w:tc>
        <w:tc>
          <w:tcPr>
            <w:tcW w:w="4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89.43</w:t>
            </w:r>
          </w:p>
        </w:tc>
        <w:tc>
          <w:tcPr>
            <w:tcW w:w="100" w:type="dxa"/>
            <w:vAlign w:val="bottom"/>
          </w:tcPr>
          <w:p>
            <w:pPr>
              <w:spacing w:after="0"/>
              <w:rPr>
                <w:sz w:val="17"/>
                <w:szCs w:val="17"/>
                <w:color w:val="auto"/>
              </w:rPr>
            </w:pPr>
          </w:p>
        </w:tc>
      </w:tr>
      <w:tr>
        <w:trPr>
          <w:trHeight w:val="20"/>
        </w:trPr>
        <w:tc>
          <w:tcPr>
            <w:tcW w:w="540" w:type="dxa"/>
            <w:vAlign w:val="bottom"/>
            <w:tcBorders>
              <w:bottom w:val="single" w:sz="8" w:color="A6A6A6"/>
            </w:tcBorders>
          </w:tcPr>
          <w:p>
            <w:pPr>
              <w:spacing w:after="0" w:line="20" w:lineRule="exact"/>
              <w:rPr>
                <w:sz w:val="1"/>
                <w:szCs w:val="1"/>
                <w:color w:val="auto"/>
              </w:rPr>
            </w:pPr>
          </w:p>
        </w:tc>
        <w:tc>
          <w:tcPr>
            <w:tcW w:w="4600" w:type="dxa"/>
            <w:vAlign w:val="bottom"/>
            <w:tcBorders>
              <w:bottom w:val="single" w:sz="8" w:color="A6A6A6"/>
            </w:tcBorders>
          </w:tcPr>
          <w:p>
            <w:pPr>
              <w:spacing w:after="0" w:line="20" w:lineRule="exact"/>
              <w:rPr>
                <w:sz w:val="1"/>
                <w:szCs w:val="1"/>
                <w:color w:val="auto"/>
              </w:rPr>
            </w:pPr>
          </w:p>
        </w:tc>
        <w:tc>
          <w:tcPr>
            <w:tcW w:w="10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08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6A6A6"/>
            </w:tcBorders>
          </w:tcPr>
          <w:p>
            <w:pPr>
              <w:spacing w:after="0" w:line="20" w:lineRule="exact"/>
              <w:rPr>
                <w:sz w:val="1"/>
                <w:szCs w:val="1"/>
                <w:color w:val="auto"/>
              </w:rPr>
            </w:pPr>
          </w:p>
        </w:tc>
        <w:tc>
          <w:tcPr>
            <w:tcW w:w="76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980" w:type="dxa"/>
            <w:vAlign w:val="bottom"/>
            <w:tcBorders>
              <w:bottom w:val="single" w:sz="8" w:color="004483"/>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6A6A6"/>
            </w:tcBorders>
          </w:tcPr>
          <w:p>
            <w:pPr>
              <w:spacing w:after="0" w:line="20" w:lineRule="exact"/>
              <w:rPr>
                <w:sz w:val="1"/>
                <w:szCs w:val="1"/>
                <w:color w:val="auto"/>
              </w:rPr>
            </w:pPr>
          </w:p>
        </w:tc>
        <w:tc>
          <w:tcPr>
            <w:tcW w:w="780" w:type="dxa"/>
            <w:vAlign w:val="bottom"/>
            <w:tcBorders>
              <w:bottom w:val="single" w:sz="8" w:color="A6A6A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160"/>
        <w:spacing w:after="0" w:line="287" w:lineRule="auto"/>
        <w:rPr>
          <w:sz w:val="20"/>
          <w:szCs w:val="20"/>
          <w:color w:val="auto"/>
        </w:rPr>
      </w:pPr>
      <w:r>
        <w:rPr>
          <w:rFonts w:ascii="Arial" w:cs="Arial" w:eastAsia="Arial" w:hAnsi="Arial"/>
          <w:sz w:val="18"/>
          <w:szCs w:val="18"/>
          <w:color w:val="auto"/>
        </w:rPr>
        <w:t>At September 30, 2022, the aggregate intrinsic value for both the outstanding and exercisable options was approximately $10.3 million and $5.6 million, respectively. The total intrinsic value of options exercised during the six months ended September 30, 2022 was approximately $1.0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In May 2022, the Compensation Committee approved the granting to certain officers and key employees an aggregate of 50,783 shares of performance-vesting restricted stock that will be earned only if certain performance conditions are satisfied (the Fiscal 2023 Employee Restricted Stock Performance Award). The performance criteria for the Fiscal 2023 Employee Restricted Stock Performance Award are based upon the achievement of certain levels of return on equity (as defined in the award agreement), ranging from 10.0% to 20.0%, for the fiscal year ending March 31, 2023. All restricted shares will be earned if the return on equity is 20.0% or greater, and the percentage of shares earned will be reduced proportionately to approximately 66.7% if the return on equity is 10.0%. If the Company does not achieve a return on equity of at least 10.0%, all awards will be forfeited. Following any such reduction, restrictions on the earned shares will lapse ratably over four years, with the initial fourth lapsing promptly following the date on which the return on equity is determined, and the remaining restrictions lapsing on March 31, 2024 through 2026. The Compensation Committee also approved the granting of 42,545 shares of time-vesting restricted stock to the same officers and key employees, which vest ratably over four years (the Fiscal 2023 Employee Restricted Stock Time-Vesting Award). The Fiscal 2023 Employee Restricted Stock Performance Award and the Fiscal 2023 Employee Restricted Stock Time-Vesting Award were valued at the closing price of the stock on the grant date and are being expensed over a four-year period.</w:t>
      </w:r>
    </w:p>
    <w:p>
      <w:pPr>
        <w:spacing w:after="0" w:line="105" w:lineRule="exact"/>
        <w:rPr>
          <w:sz w:val="20"/>
          <w:szCs w:val="20"/>
          <w:color w:val="auto"/>
        </w:rPr>
      </w:pPr>
    </w:p>
    <w:p>
      <w:pPr>
        <w:ind w:right="560"/>
        <w:spacing w:after="0" w:line="311" w:lineRule="auto"/>
        <w:rPr>
          <w:sz w:val="20"/>
          <w:szCs w:val="20"/>
          <w:color w:val="auto"/>
        </w:rPr>
      </w:pPr>
      <w:r>
        <w:rPr>
          <w:rFonts w:ascii="Arial" w:cs="Arial" w:eastAsia="Arial" w:hAnsi="Arial"/>
          <w:sz w:val="17"/>
          <w:szCs w:val="17"/>
          <w:color w:val="auto"/>
        </w:rPr>
        <w:t>In August 2022, we granted 14,482 shares of restricted stock to members of the Board of Directors (the Fiscal 2023 Board of Directors Restricted Stock Award). Restrictions on these shares will lapse six months after the grant date. The Fiscal 2023 Board of Directors Restricted Stock Award was valued at the closing price of the stock on the grant date and is being expensed over a six-month period.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4" w:name="page15"/>
    <w:bookmarkEnd w:id="14"/>
    <w:p>
      <w:pPr>
        <w:ind w:right="580"/>
        <w:spacing w:after="0" w:line="293" w:lineRule="auto"/>
        <w:rPr>
          <w:sz w:val="20"/>
          <w:szCs w:val="20"/>
          <w:color w:val="auto"/>
        </w:rPr>
      </w:pPr>
      <w:r>
        <w:rPr>
          <w:rFonts w:ascii="Arial" w:cs="Arial" w:eastAsia="Arial" w:hAnsi="Arial"/>
          <w:sz w:val="18"/>
          <w:szCs w:val="18"/>
          <w:color w:val="auto"/>
        </w:rPr>
        <w:t>In addition to the restricted stock described above, from time to time we issue restricted stock to certain employees. These awards are valued at the closing price of the stock on the grant date and are expensed over the vesting period.</w:t>
      </w:r>
    </w:p>
    <w:p>
      <w:pPr>
        <w:spacing w:after="0" w:line="89"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The fair value of restricted stock is based on the stock price on the grant date. The following table summarizes the activity for nonvested restricted shares during the three months ended September 30, 2022: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tcPr>
          <w:p>
            <w:pPr>
              <w:jc w:val="right"/>
              <w:ind w:right="2"/>
              <w:spacing w:after="0"/>
              <w:rPr>
                <w:sz w:val="20"/>
                <w:szCs w:val="20"/>
                <w:color w:val="auto"/>
              </w:rPr>
            </w:pPr>
            <w:r>
              <w:rPr>
                <w:rFonts w:ascii="Arial" w:cs="Arial" w:eastAsia="Arial" w:hAnsi="Arial"/>
                <w:sz w:val="13"/>
                <w:szCs w:val="13"/>
                <w:b w:val="1"/>
                <w:bCs w:val="1"/>
                <w:color w:val="auto"/>
              </w:rPr>
              <w:t>Weighted-Average Grant</w:t>
            </w:r>
          </w:p>
        </w:tc>
      </w:tr>
      <w:tr>
        <w:trPr>
          <w:trHeight w:val="204"/>
        </w:trPr>
        <w:tc>
          <w:tcPr>
            <w:tcW w:w="768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Number of Shares</w:t>
            </w:r>
          </w:p>
        </w:tc>
        <w:tc>
          <w:tcPr>
            <w:tcW w:w="420" w:type="dxa"/>
            <w:vAlign w:val="bottom"/>
          </w:tcPr>
          <w:p>
            <w:pPr>
              <w:spacing w:after="0"/>
              <w:rPr>
                <w:sz w:val="17"/>
                <w:szCs w:val="17"/>
                <w:color w:val="auto"/>
              </w:rPr>
            </w:pPr>
          </w:p>
        </w:tc>
        <w:tc>
          <w:tcPr>
            <w:tcW w:w="1360" w:type="dxa"/>
            <w:vAlign w:val="bottom"/>
          </w:tcPr>
          <w:p>
            <w:pPr>
              <w:jc w:val="right"/>
              <w:ind w:right="262"/>
              <w:spacing w:after="0"/>
              <w:rPr>
                <w:sz w:val="20"/>
                <w:szCs w:val="20"/>
                <w:color w:val="auto"/>
              </w:rPr>
            </w:pPr>
            <w:r>
              <w:rPr>
                <w:rFonts w:ascii="Arial" w:cs="Arial" w:eastAsia="Arial" w:hAnsi="Arial"/>
                <w:sz w:val="13"/>
                <w:szCs w:val="13"/>
                <w:b w:val="1"/>
                <w:bCs w:val="1"/>
                <w:color w:val="auto"/>
              </w:rPr>
              <w:t>Date Fair Value</w:t>
            </w:r>
          </w:p>
        </w:tc>
      </w:tr>
      <w:tr>
        <w:trPr>
          <w:trHeight w:val="215"/>
        </w:trPr>
        <w:tc>
          <w:tcPr>
            <w:tcW w:w="7680" w:type="dxa"/>
            <w:vAlign w:val="bottom"/>
            <w:tcBorders>
              <w:top w:val="single" w:sz="8" w:color="004483"/>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Nonvested Restricted Stock at March 31, 2022</w:t>
            </w:r>
          </w:p>
        </w:tc>
        <w:tc>
          <w:tcPr>
            <w:tcW w:w="158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258,779</w:t>
            </w:r>
          </w:p>
        </w:tc>
        <w:tc>
          <w:tcPr>
            <w:tcW w:w="100" w:type="dxa"/>
            <w:vAlign w:val="bottom"/>
          </w:tcPr>
          <w:p>
            <w:pPr>
              <w:spacing w:after="0"/>
              <w:rPr>
                <w:sz w:val="18"/>
                <w:szCs w:val="18"/>
                <w:color w:val="auto"/>
              </w:rPr>
            </w:pPr>
          </w:p>
        </w:tc>
        <w:tc>
          <w:tcPr>
            <w:tcW w:w="420" w:type="dxa"/>
            <w:vAlign w:val="bottom"/>
            <w:tcBorders>
              <w:top w:val="single" w:sz="8" w:color="004483"/>
              <w:bottom w:val="single" w:sz="8" w:color="A6A6A6"/>
            </w:tcBorders>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85.34</w:t>
            </w:r>
          </w:p>
        </w:tc>
      </w:tr>
      <w:tr>
        <w:trPr>
          <w:trHeight w:val="207"/>
        </w:trPr>
        <w:tc>
          <w:tcPr>
            <w:tcW w:w="76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Granted</w:t>
            </w:r>
          </w:p>
        </w:tc>
        <w:tc>
          <w:tcPr>
            <w:tcW w:w="15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111,230</w:t>
            </w:r>
          </w:p>
        </w:tc>
        <w:tc>
          <w:tcPr>
            <w:tcW w:w="100" w:type="dxa"/>
            <w:vAlign w:val="bottom"/>
          </w:tcPr>
          <w:p>
            <w:pPr>
              <w:spacing w:after="0"/>
              <w:rPr>
                <w:sz w:val="18"/>
                <w:szCs w:val="18"/>
                <w:color w:val="auto"/>
              </w:rPr>
            </w:pPr>
          </w:p>
        </w:tc>
        <w:tc>
          <w:tcPr>
            <w:tcW w:w="420" w:type="dxa"/>
            <w:vAlign w:val="bottom"/>
            <w:tcBorders>
              <w:bottom w:val="single" w:sz="8" w:color="A6A6A6"/>
            </w:tcBorders>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126.23</w:t>
            </w:r>
          </w:p>
        </w:tc>
      </w:tr>
      <w:tr>
        <w:trPr>
          <w:trHeight w:val="209"/>
        </w:trPr>
        <w:tc>
          <w:tcPr>
            <w:tcW w:w="7680" w:type="dxa"/>
            <w:vAlign w:val="bottom"/>
          </w:tcPr>
          <w:p>
            <w:pPr>
              <w:ind w:left="20"/>
              <w:spacing w:after="0"/>
              <w:rPr>
                <w:sz w:val="20"/>
                <w:szCs w:val="20"/>
                <w:color w:val="auto"/>
              </w:rPr>
            </w:pPr>
            <w:r>
              <w:rPr>
                <w:rFonts w:ascii="Arial" w:cs="Arial" w:eastAsia="Arial" w:hAnsi="Arial"/>
                <w:sz w:val="16"/>
                <w:szCs w:val="16"/>
                <w:color w:val="004483"/>
              </w:rPr>
              <w:t>Vested</w:t>
            </w: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(55,467 )</w:t>
            </w: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127.05</w:t>
            </w:r>
          </w:p>
        </w:tc>
      </w:tr>
      <w:tr>
        <w:trPr>
          <w:trHeight w:val="20"/>
        </w:trPr>
        <w:tc>
          <w:tcPr>
            <w:tcW w:w="7680" w:type="dxa"/>
            <w:vAlign w:val="bottom"/>
            <w:shd w:val="clear" w:color="auto" w:fill="A6A6A6"/>
          </w:tcPr>
          <w:p>
            <w:pPr>
              <w:spacing w:after="0" w:line="20" w:lineRule="exact"/>
              <w:rPr>
                <w:sz w:val="1"/>
                <w:szCs w:val="1"/>
                <w:color w:val="auto"/>
              </w:rPr>
            </w:pPr>
          </w:p>
        </w:tc>
        <w:tc>
          <w:tcPr>
            <w:tcW w:w="15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A6A6A6"/>
          </w:tcPr>
          <w:p>
            <w:pPr>
              <w:spacing w:after="0" w:line="20" w:lineRule="exact"/>
              <w:rPr>
                <w:sz w:val="1"/>
                <w:szCs w:val="1"/>
                <w:color w:val="auto"/>
              </w:rPr>
            </w:pPr>
          </w:p>
        </w:tc>
        <w:tc>
          <w:tcPr>
            <w:tcW w:w="1360" w:type="dxa"/>
            <w:vAlign w:val="bottom"/>
            <w:shd w:val="clear" w:color="auto" w:fill="A6A6A6"/>
          </w:tcPr>
          <w:p>
            <w:pPr>
              <w:spacing w:after="0" w:line="20" w:lineRule="exact"/>
              <w:rPr>
                <w:sz w:val="1"/>
                <w:szCs w:val="1"/>
                <w:color w:val="auto"/>
              </w:rPr>
            </w:pPr>
          </w:p>
        </w:tc>
      </w:tr>
      <w:tr>
        <w:trPr>
          <w:trHeight w:val="199"/>
        </w:trPr>
        <w:tc>
          <w:tcPr>
            <w:tcW w:w="7680" w:type="dxa"/>
            <w:vAlign w:val="bottom"/>
          </w:tcPr>
          <w:p>
            <w:pPr>
              <w:ind w:left="20"/>
              <w:spacing w:after="0"/>
              <w:rPr>
                <w:sz w:val="20"/>
                <w:szCs w:val="20"/>
                <w:color w:val="auto"/>
              </w:rPr>
            </w:pPr>
            <w:r>
              <w:rPr>
                <w:rFonts w:ascii="Arial" w:cs="Arial" w:eastAsia="Arial" w:hAnsi="Arial"/>
                <w:sz w:val="16"/>
                <w:szCs w:val="16"/>
                <w:color w:val="004483"/>
              </w:rPr>
              <w:t>Forfeited</w:t>
            </w: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(3,247 )</w:t>
            </w: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124.82</w:t>
            </w:r>
          </w:p>
        </w:tc>
      </w:tr>
      <w:tr>
        <w:trPr>
          <w:trHeight w:val="27"/>
        </w:trPr>
        <w:tc>
          <w:tcPr>
            <w:tcW w:w="7680" w:type="dxa"/>
            <w:vAlign w:val="bottom"/>
            <w:tcBorders>
              <w:bottom w:val="single" w:sz="8" w:color="A6A6A6"/>
            </w:tcBorders>
          </w:tcPr>
          <w:p>
            <w:pPr>
              <w:spacing w:after="0"/>
              <w:rPr>
                <w:sz w:val="2"/>
                <w:szCs w:val="2"/>
                <w:color w:val="auto"/>
              </w:rPr>
            </w:pPr>
          </w:p>
        </w:tc>
        <w:tc>
          <w:tcPr>
            <w:tcW w:w="15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6A6A6"/>
            </w:tcBorders>
          </w:tcPr>
          <w:p>
            <w:pPr>
              <w:spacing w:after="0"/>
              <w:rPr>
                <w:sz w:val="2"/>
                <w:szCs w:val="2"/>
                <w:color w:val="auto"/>
              </w:rPr>
            </w:pPr>
          </w:p>
        </w:tc>
        <w:tc>
          <w:tcPr>
            <w:tcW w:w="1360" w:type="dxa"/>
            <w:vAlign w:val="bottom"/>
            <w:tcBorders>
              <w:bottom w:val="single" w:sz="8" w:color="A6A6A6"/>
            </w:tcBorders>
          </w:tcPr>
          <w:p>
            <w:pPr>
              <w:spacing w:after="0"/>
              <w:rPr>
                <w:sz w:val="2"/>
                <w:szCs w:val="2"/>
                <w:color w:val="auto"/>
              </w:rPr>
            </w:pPr>
          </w:p>
        </w:tc>
      </w:tr>
      <w:tr>
        <w:trPr>
          <w:trHeight w:val="196"/>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Nonvested Restricted Stock at September 30, 2022</w:t>
            </w:r>
          </w:p>
        </w:tc>
        <w:tc>
          <w:tcPr>
            <w:tcW w:w="15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311,295</w:t>
            </w:r>
          </w:p>
        </w:tc>
        <w:tc>
          <w:tcPr>
            <w:tcW w:w="100" w:type="dxa"/>
            <w:vAlign w:val="bottom"/>
          </w:tcPr>
          <w:p>
            <w:pPr>
              <w:spacing w:after="0"/>
              <w:rPr>
                <w:sz w:val="17"/>
                <w:szCs w:val="17"/>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98.31</w:t>
            </w:r>
          </w:p>
        </w:tc>
      </w:tr>
      <w:tr>
        <w:trPr>
          <w:trHeight w:val="20"/>
        </w:trPr>
        <w:tc>
          <w:tcPr>
            <w:tcW w:w="7680" w:type="dxa"/>
            <w:vAlign w:val="bottom"/>
          </w:tcPr>
          <w:p>
            <w:pPr>
              <w:spacing w:after="0" w:line="20" w:lineRule="exact"/>
              <w:rPr>
                <w:sz w:val="1"/>
                <w:szCs w:val="1"/>
                <w:color w:val="auto"/>
              </w:rPr>
            </w:pPr>
          </w:p>
        </w:tc>
        <w:tc>
          <w:tcPr>
            <w:tcW w:w="15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21"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Expense related to restricted shares was approximately $3.3 million and $7.6 million for the three and six months ended September 30, 2022, respectively, and $2.9 million and $4.7 million for the three and six months ended September 30, 2021, respectively. At September 30, 2022, there was approximately $23.7 million of unearned compensation from restricted stock, which will be recognized over a weighted-average period of 2.5 years.</w:t>
      </w:r>
    </w:p>
    <w:p>
      <w:pPr>
        <w:spacing w:after="0" w:line="97" w:lineRule="exact"/>
        <w:rPr>
          <w:sz w:val="20"/>
          <w:szCs w:val="20"/>
          <w:color w:val="auto"/>
        </w:rPr>
      </w:pPr>
    </w:p>
    <w:p>
      <w:pPr>
        <w:ind w:right="140"/>
        <w:spacing w:after="0" w:line="293" w:lineRule="auto"/>
        <w:rPr>
          <w:sz w:val="20"/>
          <w:szCs w:val="20"/>
          <w:color w:val="auto"/>
        </w:rPr>
      </w:pPr>
      <w:r>
        <w:rPr>
          <w:rFonts w:ascii="Arial" w:cs="Arial" w:eastAsia="Arial" w:hAnsi="Arial"/>
          <w:sz w:val="18"/>
          <w:szCs w:val="18"/>
          <w:color w:val="auto"/>
        </w:rPr>
        <w:t>The number of shares available for future grants of stock options, restricted stock units, stock appreciation rights, and restricted stock under the Plan was 3,260,318 at September 30, 2022.</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 COMPUTATION OF EARNINGS PER SHARE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and diluted common shares outstanding is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60" w:type="dxa"/>
            <w:vAlign w:val="bottom"/>
          </w:tcPr>
          <w:p>
            <w:pPr>
              <w:spacing w:after="0"/>
              <w:rPr>
                <w:sz w:val="14"/>
                <w:szCs w:val="14"/>
                <w:color w:val="auto"/>
              </w:rPr>
            </w:pPr>
          </w:p>
        </w:tc>
        <w:tc>
          <w:tcPr>
            <w:tcW w:w="2900" w:type="dxa"/>
            <w:vAlign w:val="bottom"/>
            <w:gridSpan w:val="5"/>
            <w:shd w:val="clear" w:color="auto" w:fill="004483"/>
          </w:tcPr>
          <w:p>
            <w:pPr>
              <w:jc w:val="right"/>
              <w:ind w:right="200"/>
              <w:spacing w:after="0"/>
              <w:rPr>
                <w:sz w:val="20"/>
                <w:szCs w:val="20"/>
                <w:color w:val="auto"/>
              </w:rPr>
            </w:pPr>
            <w:r>
              <w:rPr>
                <w:rFonts w:ascii="Arial" w:cs="Arial" w:eastAsia="Arial" w:hAnsi="Arial"/>
                <w:sz w:val="13"/>
                <w:szCs w:val="13"/>
                <w:b w:val="1"/>
                <w:bCs w:val="1"/>
                <w:color w:val="FFFFFF"/>
                <w:w w:val="99"/>
              </w:rPr>
              <w:t>For the Three Months Ended September 30,</w:t>
            </w:r>
          </w:p>
        </w:tc>
        <w:tc>
          <w:tcPr>
            <w:tcW w:w="120" w:type="dxa"/>
            <w:vAlign w:val="bottom"/>
          </w:tcPr>
          <w:p>
            <w:pPr>
              <w:spacing w:after="0"/>
              <w:rPr>
                <w:sz w:val="14"/>
                <w:szCs w:val="14"/>
                <w:color w:val="auto"/>
              </w:rPr>
            </w:pPr>
          </w:p>
        </w:tc>
        <w:tc>
          <w:tcPr>
            <w:tcW w:w="2860" w:type="dxa"/>
            <w:vAlign w:val="bottom"/>
            <w:gridSpan w:val="5"/>
            <w:shd w:val="clear" w:color="auto" w:fill="004483"/>
          </w:tcPr>
          <w:p>
            <w:pPr>
              <w:jc w:val="right"/>
              <w:ind w:right="260"/>
              <w:spacing w:after="0"/>
              <w:rPr>
                <w:sz w:val="20"/>
                <w:szCs w:val="20"/>
                <w:color w:val="auto"/>
              </w:rPr>
            </w:pPr>
            <w:r>
              <w:rPr>
                <w:rFonts w:ascii="Arial" w:cs="Arial" w:eastAsia="Arial" w:hAnsi="Arial"/>
                <w:sz w:val="13"/>
                <w:szCs w:val="13"/>
                <w:b w:val="1"/>
                <w:bCs w:val="1"/>
                <w:color w:val="FFFFFF"/>
              </w:rPr>
              <w:t>For the Six Months Ended September 30,</w:t>
            </w:r>
          </w:p>
        </w:tc>
        <w:tc>
          <w:tcPr>
            <w:tcW w:w="0" w:type="dxa"/>
            <w:vAlign w:val="bottom"/>
          </w:tcPr>
          <w:p>
            <w:pPr>
              <w:spacing w:after="0"/>
              <w:rPr>
                <w:sz w:val="1"/>
                <w:szCs w:val="1"/>
                <w:color w:val="auto"/>
              </w:rPr>
            </w:pPr>
          </w:p>
        </w:tc>
      </w:tr>
      <w:tr>
        <w:trPr>
          <w:trHeight w:val="183"/>
        </w:trPr>
        <w:tc>
          <w:tcPr>
            <w:tcW w:w="5360" w:type="dxa"/>
            <w:vAlign w:val="bottom"/>
            <w:tcBorders>
              <w:bottom w:val="single" w:sz="8" w:color="004483"/>
            </w:tcBorders>
          </w:tcPr>
          <w:p>
            <w:pPr>
              <w:spacing w:after="0"/>
              <w:rPr>
                <w:sz w:val="15"/>
                <w:szCs w:val="15"/>
                <w:color w:val="auto"/>
              </w:rPr>
            </w:pP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5"/>
                <w:szCs w:val="15"/>
                <w:color w:val="auto"/>
              </w:rPr>
            </w:pPr>
          </w:p>
        </w:tc>
        <w:tc>
          <w:tcPr>
            <w:tcW w:w="1380" w:type="dxa"/>
            <w:vAlign w:val="bottom"/>
            <w:tcBorders>
              <w:bottom w:val="single" w:sz="8" w:color="004483"/>
            </w:tcBorders>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120" w:type="dxa"/>
            <w:vAlign w:val="bottom"/>
            <w:tcBorders>
              <w:bottom w:val="single" w:sz="8" w:color="004483"/>
            </w:tcBorders>
          </w:tcPr>
          <w:p>
            <w:pPr>
              <w:spacing w:after="0"/>
              <w:rPr>
                <w:sz w:val="15"/>
                <w:szCs w:val="15"/>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400" w:type="dxa"/>
            <w:vAlign w:val="bottom"/>
            <w:tcBorders>
              <w:bottom w:val="single" w:sz="8" w:color="004483"/>
            </w:tcBorders>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6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Weighted-Average Shares of Common Stock Outstanding</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37,140,197</w:t>
            </w:r>
          </w:p>
        </w:tc>
        <w:tc>
          <w:tcPr>
            <w:tcW w:w="140" w:type="dxa"/>
            <w:vAlign w:val="bottom"/>
          </w:tcPr>
          <w:p>
            <w:pPr>
              <w:spacing w:after="0"/>
              <w:rPr>
                <w:sz w:val="17"/>
                <w:szCs w:val="17"/>
                <w:color w:val="auto"/>
              </w:rPr>
            </w:pPr>
          </w:p>
        </w:tc>
        <w:tc>
          <w:tcPr>
            <w:tcW w:w="13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41,222,161</w:t>
            </w:r>
          </w:p>
        </w:tc>
        <w:tc>
          <w:tcPr>
            <w:tcW w:w="100" w:type="dxa"/>
            <w:vAlign w:val="bottom"/>
          </w:tcPr>
          <w:p>
            <w:pPr>
              <w:spacing w:after="0"/>
              <w:rPr>
                <w:sz w:val="17"/>
                <w:szCs w:val="17"/>
                <w:color w:val="auto"/>
              </w:rPr>
            </w:pPr>
          </w:p>
        </w:tc>
        <w:tc>
          <w:tcPr>
            <w:tcW w:w="13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37,559,087</w:t>
            </w:r>
          </w:p>
        </w:tc>
        <w:tc>
          <w:tcPr>
            <w:tcW w:w="100" w:type="dxa"/>
            <w:vAlign w:val="bottom"/>
          </w:tcPr>
          <w:p>
            <w:pPr>
              <w:spacing w:after="0"/>
              <w:rPr>
                <w:sz w:val="17"/>
                <w:szCs w:val="17"/>
                <w:color w:val="auto"/>
              </w:rPr>
            </w:pPr>
          </w:p>
        </w:tc>
        <w:tc>
          <w:tcPr>
            <w:tcW w:w="14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41,623,187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6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Effect of Dilutive Shares</w:t>
            </w:r>
          </w:p>
        </w:tc>
        <w:tc>
          <w:tcPr>
            <w:tcW w:w="1280" w:type="dxa"/>
            <w:vAlign w:val="bottom"/>
            <w:tcBorders>
              <w:bottom w:val="single" w:sz="8" w:color="A6A6A6"/>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2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2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130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60" w:type="dxa"/>
            <w:vAlign w:val="bottom"/>
            <w:tcBorders>
              <w:bottom w:val="single" w:sz="8" w:color="A6A6A6"/>
            </w:tcBorders>
          </w:tcPr>
          <w:p>
            <w:pPr>
              <w:ind w:left="120"/>
              <w:spacing w:after="0"/>
              <w:rPr>
                <w:sz w:val="20"/>
                <w:szCs w:val="20"/>
                <w:color w:val="auto"/>
              </w:rPr>
            </w:pPr>
            <w:r>
              <w:rPr>
                <w:rFonts w:ascii="Arial" w:cs="Arial" w:eastAsia="Arial" w:hAnsi="Arial"/>
                <w:sz w:val="16"/>
                <w:szCs w:val="16"/>
                <w:color w:val="004483"/>
              </w:rPr>
              <w:t>Assumed Exercise of Outstanding Dilutive Options</w:t>
            </w:r>
          </w:p>
        </w:tc>
        <w:tc>
          <w:tcPr>
            <w:tcW w:w="12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420,199</w:t>
            </w:r>
          </w:p>
        </w:tc>
        <w:tc>
          <w:tcPr>
            <w:tcW w:w="140" w:type="dxa"/>
            <w:vAlign w:val="bottom"/>
          </w:tcPr>
          <w:p>
            <w:pPr>
              <w:spacing w:after="0"/>
              <w:rPr>
                <w:sz w:val="17"/>
                <w:szCs w:val="17"/>
                <w:color w:val="auto"/>
              </w:rPr>
            </w:pPr>
          </w:p>
        </w:tc>
        <w:tc>
          <w:tcPr>
            <w:tcW w:w="13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560,876</w:t>
            </w:r>
          </w:p>
        </w:tc>
        <w:tc>
          <w:tcPr>
            <w:tcW w:w="100" w:type="dxa"/>
            <w:vAlign w:val="bottom"/>
          </w:tcPr>
          <w:p>
            <w:pPr>
              <w:spacing w:after="0"/>
              <w:rPr>
                <w:sz w:val="17"/>
                <w:szCs w:val="17"/>
                <w:color w:val="auto"/>
              </w:rPr>
            </w:pPr>
          </w:p>
        </w:tc>
        <w:tc>
          <w:tcPr>
            <w:tcW w:w="13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424,489</w:t>
            </w:r>
          </w:p>
        </w:tc>
        <w:tc>
          <w:tcPr>
            <w:tcW w:w="100" w:type="dxa"/>
            <w:vAlign w:val="bottom"/>
          </w:tcPr>
          <w:p>
            <w:pPr>
              <w:spacing w:after="0"/>
              <w:rPr>
                <w:sz w:val="17"/>
                <w:szCs w:val="17"/>
                <w:color w:val="auto"/>
              </w:rPr>
            </w:pPr>
          </w:p>
        </w:tc>
        <w:tc>
          <w:tcPr>
            <w:tcW w:w="14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606,876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360" w:type="dxa"/>
            <w:vAlign w:val="bottom"/>
          </w:tcPr>
          <w:p>
            <w:pPr>
              <w:ind w:left="120"/>
              <w:spacing w:after="0" w:line="174" w:lineRule="exact"/>
              <w:rPr>
                <w:sz w:val="20"/>
                <w:szCs w:val="20"/>
                <w:color w:val="auto"/>
              </w:rPr>
            </w:pPr>
            <w:r>
              <w:rPr>
                <w:rFonts w:ascii="Arial" w:cs="Arial" w:eastAsia="Arial" w:hAnsi="Arial"/>
                <w:sz w:val="16"/>
                <w:szCs w:val="16"/>
                <w:color w:val="004483"/>
              </w:rPr>
              <w:t>Less Shares Repurchased from Proceeds of Assumed Exercised</w:t>
            </w:r>
          </w:p>
        </w:tc>
        <w:tc>
          <w:tcPr>
            <w:tcW w:w="14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(310,956 )</w:t>
            </w:r>
          </w:p>
        </w:tc>
        <w:tc>
          <w:tcPr>
            <w:tcW w:w="148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(365,887 )</w:t>
            </w:r>
          </w:p>
        </w:tc>
        <w:tc>
          <w:tcPr>
            <w:tcW w:w="148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(311,373 )</w:t>
            </w:r>
          </w:p>
        </w:tc>
        <w:tc>
          <w:tcPr>
            <w:tcW w:w="150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(395,516 )</w:t>
            </w:r>
          </w:p>
        </w:tc>
        <w:tc>
          <w:tcPr>
            <w:tcW w:w="0" w:type="dxa"/>
            <w:vAlign w:val="bottom"/>
          </w:tcPr>
          <w:p>
            <w:pPr>
              <w:spacing w:after="0"/>
              <w:rPr>
                <w:sz w:val="1"/>
                <w:szCs w:val="1"/>
                <w:color w:val="auto"/>
              </w:rPr>
            </w:pPr>
          </w:p>
        </w:tc>
      </w:tr>
      <w:tr>
        <w:trPr>
          <w:trHeight w:val="187"/>
        </w:trPr>
        <w:tc>
          <w:tcPr>
            <w:tcW w:w="5360" w:type="dxa"/>
            <w:vAlign w:val="bottom"/>
          </w:tcPr>
          <w:p>
            <w:pPr>
              <w:ind w:left="120"/>
              <w:spacing w:after="0"/>
              <w:rPr>
                <w:sz w:val="20"/>
                <w:szCs w:val="20"/>
                <w:color w:val="auto"/>
              </w:rPr>
            </w:pPr>
            <w:r>
              <w:rPr>
                <w:rFonts w:ascii="Arial" w:cs="Arial" w:eastAsia="Arial" w:hAnsi="Arial"/>
                <w:sz w:val="16"/>
                <w:szCs w:val="16"/>
                <w:color w:val="004483"/>
              </w:rPr>
              <w:t>Options</w:t>
            </w:r>
          </w:p>
        </w:tc>
        <w:tc>
          <w:tcPr>
            <w:tcW w:w="1420" w:type="dxa"/>
            <w:vAlign w:val="bottom"/>
            <w:gridSpan w:val="2"/>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A6A6A6"/>
              <w:bottom w:val="single" w:sz="8" w:color="A6A6A6"/>
            </w:tcBorders>
          </w:tcPr>
          <w:p>
            <w:pPr>
              <w:ind w:left="120"/>
              <w:spacing w:after="0"/>
              <w:rPr>
                <w:sz w:val="20"/>
                <w:szCs w:val="20"/>
                <w:color w:val="auto"/>
              </w:rPr>
            </w:pPr>
            <w:r>
              <w:rPr>
                <w:rFonts w:ascii="Arial" w:cs="Arial" w:eastAsia="Arial" w:hAnsi="Arial"/>
                <w:sz w:val="16"/>
                <w:szCs w:val="16"/>
                <w:color w:val="004483"/>
              </w:rPr>
              <w:t>Restricted Stock Units</w:t>
            </w:r>
          </w:p>
        </w:tc>
        <w:tc>
          <w:tcPr>
            <w:tcW w:w="128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117,439</w:t>
            </w:r>
          </w:p>
        </w:tc>
        <w:tc>
          <w:tcPr>
            <w:tcW w:w="14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12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177,583</w:t>
            </w:r>
          </w:p>
        </w:tc>
        <w:tc>
          <w:tcPr>
            <w:tcW w:w="100" w:type="dxa"/>
            <w:vAlign w:val="bottom"/>
          </w:tcPr>
          <w:p>
            <w:pPr>
              <w:spacing w:after="0"/>
              <w:rPr>
                <w:sz w:val="19"/>
                <w:szCs w:val="19"/>
                <w:color w:val="auto"/>
              </w:rPr>
            </w:pPr>
          </w:p>
        </w:tc>
        <w:tc>
          <w:tcPr>
            <w:tcW w:w="120" w:type="dxa"/>
            <w:vAlign w:val="bottom"/>
            <w:tcBorders>
              <w:top w:val="single" w:sz="8" w:color="A6A6A6"/>
              <w:bottom w:val="single" w:sz="8" w:color="A6A6A6"/>
            </w:tcBorders>
          </w:tcPr>
          <w:p>
            <w:pPr>
              <w:spacing w:after="0"/>
              <w:rPr>
                <w:sz w:val="19"/>
                <w:szCs w:val="19"/>
                <w:color w:val="auto"/>
              </w:rPr>
            </w:pPr>
          </w:p>
        </w:tc>
        <w:tc>
          <w:tcPr>
            <w:tcW w:w="126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120,410</w:t>
            </w:r>
          </w:p>
        </w:tc>
        <w:tc>
          <w:tcPr>
            <w:tcW w:w="100" w:type="dxa"/>
            <w:vAlign w:val="bottom"/>
          </w:tcPr>
          <w:p>
            <w:pPr>
              <w:spacing w:after="0"/>
              <w:rPr>
                <w:sz w:val="19"/>
                <w:szCs w:val="19"/>
                <w:color w:val="auto"/>
              </w:rPr>
            </w:pPr>
          </w:p>
        </w:tc>
        <w:tc>
          <w:tcPr>
            <w:tcW w:w="100" w:type="dxa"/>
            <w:vAlign w:val="bottom"/>
            <w:tcBorders>
              <w:top w:val="single" w:sz="8" w:color="A6A6A6"/>
              <w:bottom w:val="single" w:sz="8" w:color="A6A6A6"/>
            </w:tcBorders>
          </w:tcPr>
          <w:p>
            <w:pPr>
              <w:spacing w:after="0"/>
              <w:rPr>
                <w:sz w:val="19"/>
                <w:szCs w:val="19"/>
                <w:color w:val="auto"/>
              </w:rPr>
            </w:pPr>
          </w:p>
        </w:tc>
        <w:tc>
          <w:tcPr>
            <w:tcW w:w="1300" w:type="dxa"/>
            <w:vAlign w:val="bottom"/>
            <w:tcBorders>
              <w:top w:val="single" w:sz="8" w:color="A6A6A6"/>
              <w:bottom w:val="single" w:sz="8" w:color="004483"/>
            </w:tcBorders>
          </w:tcPr>
          <w:p>
            <w:pPr>
              <w:jc w:val="right"/>
              <w:spacing w:after="0"/>
              <w:rPr>
                <w:sz w:val="20"/>
                <w:szCs w:val="20"/>
                <w:color w:val="auto"/>
              </w:rPr>
            </w:pPr>
            <w:r>
              <w:rPr>
                <w:rFonts w:ascii="Arial" w:cs="Arial" w:eastAsia="Arial" w:hAnsi="Arial"/>
                <w:sz w:val="16"/>
                <w:szCs w:val="16"/>
                <w:color w:val="auto"/>
              </w:rPr>
              <w:t>179,300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5360" w:type="dxa"/>
            <w:vAlign w:val="bottom"/>
          </w:tcPr>
          <w:p>
            <w:pPr>
              <w:ind w:left="20"/>
              <w:spacing w:after="0" w:line="151" w:lineRule="exact"/>
              <w:rPr>
                <w:sz w:val="20"/>
                <w:szCs w:val="20"/>
                <w:color w:val="auto"/>
              </w:rPr>
            </w:pPr>
            <w:r>
              <w:rPr>
                <w:rFonts w:ascii="Arial" w:cs="Arial" w:eastAsia="Arial" w:hAnsi="Arial"/>
                <w:sz w:val="16"/>
                <w:szCs w:val="16"/>
                <w:b w:val="1"/>
                <w:bCs w:val="1"/>
                <w:color w:val="auto"/>
              </w:rPr>
              <w:t>Weighted-Average Common Stock and Dilutive Securities</w:t>
            </w:r>
          </w:p>
        </w:tc>
        <w:tc>
          <w:tcPr>
            <w:tcW w:w="1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37,366,879</w:t>
            </w:r>
          </w:p>
        </w:tc>
        <w:tc>
          <w:tcPr>
            <w:tcW w:w="14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41,594,733</w:t>
            </w:r>
          </w:p>
        </w:tc>
        <w:tc>
          <w:tcPr>
            <w:tcW w:w="100" w:type="dxa"/>
            <w:vAlign w:val="bottom"/>
          </w:tcPr>
          <w:p>
            <w:pPr>
              <w:spacing w:after="0"/>
              <w:rPr>
                <w:sz w:val="13"/>
                <w:szCs w:val="13"/>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37,792,613</w:t>
            </w:r>
          </w:p>
        </w:tc>
        <w:tc>
          <w:tcPr>
            <w:tcW w:w="100" w:type="dxa"/>
            <w:vAlign w:val="bottom"/>
          </w:tcPr>
          <w:p>
            <w:pPr>
              <w:spacing w:after="0"/>
              <w:rPr>
                <w:sz w:val="13"/>
                <w:szCs w:val="13"/>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42,013,847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360" w:type="dxa"/>
            <w:vAlign w:val="bottom"/>
          </w:tcPr>
          <w:p>
            <w:pPr>
              <w:ind w:left="20"/>
              <w:spacing w:after="0" w:line="180" w:lineRule="exact"/>
              <w:rPr>
                <w:sz w:val="20"/>
                <w:szCs w:val="20"/>
                <w:color w:val="auto"/>
              </w:rPr>
            </w:pPr>
            <w:r>
              <w:rPr>
                <w:rFonts w:ascii="Arial" w:cs="Arial" w:eastAsia="Arial" w:hAnsi="Arial"/>
                <w:sz w:val="16"/>
                <w:szCs w:val="16"/>
                <w:b w:val="1"/>
                <w:bCs w:val="1"/>
                <w:color w:val="auto"/>
              </w:rPr>
              <w:t>Outstanding</w:t>
            </w:r>
          </w:p>
        </w:tc>
        <w:tc>
          <w:tcPr>
            <w:tcW w:w="12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60" w:type="dxa"/>
            <w:vAlign w:val="bottom"/>
            <w:tcBorders>
              <w:bottom w:val="single" w:sz="8" w:color="A6A6A6"/>
            </w:tcBorders>
          </w:tcPr>
          <w:p>
            <w:pPr>
              <w:spacing w:after="0" w:line="20" w:lineRule="exact"/>
              <w:rPr>
                <w:sz w:val="1"/>
                <w:szCs w:val="1"/>
                <w:color w:val="auto"/>
              </w:rPr>
            </w:pPr>
          </w:p>
        </w:tc>
        <w:tc>
          <w:tcPr>
            <w:tcW w:w="1280" w:type="dxa"/>
            <w:vAlign w:val="bottom"/>
            <w:tcBorders>
              <w:top w:val="single" w:sz="8" w:color="004483"/>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6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6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30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Shares Excluded Due to Anti-dilution Effects</w:t>
            </w:r>
          </w:p>
        </w:tc>
        <w:tc>
          <w:tcPr>
            <w:tcW w:w="1280" w:type="dxa"/>
            <w:vAlign w:val="bottom"/>
          </w:tcPr>
          <w:p>
            <w:pPr>
              <w:jc w:val="right"/>
              <w:spacing w:after="0"/>
              <w:rPr>
                <w:sz w:val="20"/>
                <w:szCs w:val="20"/>
                <w:color w:val="auto"/>
              </w:rPr>
            </w:pPr>
            <w:r>
              <w:rPr>
                <w:rFonts w:ascii="Arial" w:cs="Arial" w:eastAsia="Arial" w:hAnsi="Arial"/>
                <w:sz w:val="16"/>
                <w:szCs w:val="16"/>
                <w:color w:val="auto"/>
              </w:rPr>
              <w:t>46,750</w:t>
            </w:r>
          </w:p>
        </w:tc>
        <w:tc>
          <w:tcPr>
            <w:tcW w:w="14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3,578</w:t>
            </w:r>
          </w:p>
        </w:tc>
        <w:tc>
          <w:tcPr>
            <w:tcW w:w="10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39,703</w:t>
            </w:r>
          </w:p>
        </w:tc>
        <w:tc>
          <w:tcPr>
            <w:tcW w:w="10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2,684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60" w:type="dxa"/>
            <w:vAlign w:val="bottom"/>
            <w:tcBorders>
              <w:bottom w:val="single" w:sz="8" w:color="A6A6A6"/>
            </w:tcBorders>
          </w:tcPr>
          <w:p>
            <w:pPr>
              <w:spacing w:after="0" w:line="20" w:lineRule="exact"/>
              <w:rPr>
                <w:sz w:val="1"/>
                <w:szCs w:val="1"/>
                <w:color w:val="auto"/>
              </w:rPr>
            </w:pPr>
          </w:p>
        </w:tc>
        <w:tc>
          <w:tcPr>
            <w:tcW w:w="1280" w:type="dxa"/>
            <w:vAlign w:val="bottom"/>
            <w:tcBorders>
              <w:top w:val="single" w:sz="8" w:color="004483"/>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6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126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6A6A6"/>
            </w:tcBorders>
          </w:tcPr>
          <w:p>
            <w:pPr>
              <w:spacing w:after="0" w:line="20" w:lineRule="exact"/>
              <w:rPr>
                <w:sz w:val="1"/>
                <w:szCs w:val="1"/>
                <w:color w:val="auto"/>
              </w:rPr>
            </w:pPr>
          </w:p>
        </w:tc>
        <w:tc>
          <w:tcPr>
            <w:tcW w:w="130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 PENSION AND EMPLOYEE BENEFIT PLANS</w:t>
      </w:r>
    </w:p>
    <w:p>
      <w:pPr>
        <w:spacing w:after="0" w:line="148"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We sponsor several single-employer defined benefit plans and defined contribution plans, which together cover substantially all our employees. Benefits paid under the single-employer defined benefit plans covering certain hourly employees were historically based on years of service and the employee’s qualifying compensation over the last few years of employment. Over the last several years, these plans have been frozen to new participants and new benefits, with the last plan becoming frozen during fiscal 2020. Our defined benefit plans are all fully funded, with plan assets exceeding the benefit obligation at March 31, 2022. Due to the frozen status and current funding of the single-employer pension plans, our expected pension expense for fiscal 2023 is less than $0.1 million.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(L) INCOME TAXES</w:t>
      </w:r>
    </w:p>
    <w:p>
      <w:pPr>
        <w:spacing w:after="0" w:line="148"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Income Taxes for the interim periods presented have been included in the accompanying financial statements on the basis of an estimated annual effective tax rate. In addition to the amount of tax resulting from applying the estimated annual effective tax rate to pre-tax income, we will include, when appropriate, certain items treated as discrete events to arrive at an estimated overall tax amount. The effective tax rate for the six months ended September 30, 2022, was approximately 22%, which was consistent with the effective tax rate of 22% for the six months ended September 30, 2021. The effective tax rate was higher than the U.S. Statutory rate of 21% mainly due to state income taxes, partially offset by a benefit recognized related to percentage depletion.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 LONG-TERM DEBT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at September 30, 2022 was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40" w:type="dxa"/>
            <w:vAlign w:val="bottom"/>
          </w:tcPr>
          <w:p>
            <w:pPr>
              <w:spacing w:after="0"/>
              <w:rPr>
                <w:sz w:val="14"/>
                <w:szCs w:val="14"/>
                <w:color w:val="auto"/>
              </w:rPr>
            </w:pPr>
          </w:p>
        </w:tc>
        <w:tc>
          <w:tcPr>
            <w:tcW w:w="400" w:type="dxa"/>
            <w:vAlign w:val="bottom"/>
            <w:shd w:val="clear" w:color="auto" w:fill="004483"/>
          </w:tcPr>
          <w:p>
            <w:pPr>
              <w:spacing w:after="0"/>
              <w:rPr>
                <w:sz w:val="14"/>
                <w:szCs w:val="14"/>
                <w:color w:val="auto"/>
              </w:rPr>
            </w:pPr>
          </w:p>
        </w:tc>
        <w:tc>
          <w:tcPr>
            <w:tcW w:w="126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September 30,</w:t>
            </w:r>
          </w:p>
        </w:tc>
        <w:tc>
          <w:tcPr>
            <w:tcW w:w="200" w:type="dxa"/>
            <w:vAlign w:val="bottom"/>
            <w:shd w:val="clear" w:color="auto" w:fill="004483"/>
          </w:tcPr>
          <w:p>
            <w:pPr>
              <w:spacing w:after="0"/>
              <w:rPr>
                <w:sz w:val="14"/>
                <w:szCs w:val="14"/>
                <w:color w:val="auto"/>
              </w:rPr>
            </w:pPr>
          </w:p>
        </w:tc>
        <w:tc>
          <w:tcPr>
            <w:tcW w:w="680" w:type="dxa"/>
            <w:vAlign w:val="bottom"/>
            <w:shd w:val="clear" w:color="auto" w:fill="004483"/>
          </w:tcPr>
          <w:p>
            <w:pPr>
              <w:spacing w:after="0"/>
              <w:rPr>
                <w:sz w:val="14"/>
                <w:szCs w:val="14"/>
                <w:color w:val="auto"/>
              </w:rPr>
            </w:pPr>
          </w:p>
        </w:tc>
        <w:tc>
          <w:tcPr>
            <w:tcW w:w="96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56"/>
        </w:trPr>
        <w:tc>
          <w:tcPr>
            <w:tcW w:w="7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r>
      <w:tr>
        <w:trPr>
          <w:trHeight w:val="188"/>
        </w:trPr>
        <w:tc>
          <w:tcPr>
            <w:tcW w:w="7740" w:type="dxa"/>
            <w:vAlign w:val="bottom"/>
            <w:tcBorders>
              <w:bottom w:val="single" w:sz="8" w:color="004483"/>
            </w:tcBorders>
          </w:tcPr>
          <w:p>
            <w:pPr>
              <w:spacing w:after="0"/>
              <w:rPr>
                <w:sz w:val="16"/>
                <w:szCs w:val="16"/>
                <w:color w:val="auto"/>
              </w:rPr>
            </w:pPr>
          </w:p>
        </w:tc>
        <w:tc>
          <w:tcPr>
            <w:tcW w:w="400" w:type="dxa"/>
            <w:vAlign w:val="bottom"/>
            <w:tcBorders>
              <w:bottom w:val="single" w:sz="8" w:color="004483"/>
            </w:tcBorders>
          </w:tcPr>
          <w:p>
            <w:pPr>
              <w:spacing w:after="0"/>
              <w:rPr>
                <w:sz w:val="16"/>
                <w:szCs w:val="16"/>
                <w:color w:val="auto"/>
              </w:rPr>
            </w:pPr>
          </w:p>
        </w:tc>
        <w:tc>
          <w:tcPr>
            <w:tcW w:w="2140" w:type="dxa"/>
            <w:vAlign w:val="bottom"/>
            <w:tcBorders>
              <w:bottom w:val="single" w:sz="8" w:color="004483"/>
            </w:tcBorders>
            <w:gridSpan w:val="4"/>
          </w:tcPr>
          <w:p>
            <w:pPr>
              <w:jc w:val="right"/>
              <w:ind w:right="159"/>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Revolving Credit Facility</w:t>
            </w:r>
          </w:p>
        </w:tc>
        <w:tc>
          <w:tcPr>
            <w:tcW w:w="400" w:type="dxa"/>
            <w:vAlign w:val="bottom"/>
            <w:tcBorders>
              <w:bottom w:val="single" w:sz="8" w:color="A6A6A6"/>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7"/>
                <w:szCs w:val="17"/>
                <w:color w:val="auto"/>
              </w:rPr>
            </w:pPr>
          </w:p>
        </w:tc>
        <w:tc>
          <w:tcPr>
            <w:tcW w:w="880" w:type="dxa"/>
            <w:vAlign w:val="bottom"/>
            <w:tcBorders>
              <w:bottom w:val="single" w:sz="8" w:color="A6A6A6"/>
            </w:tcBorders>
            <w:gridSpan w:val="2"/>
          </w:tcPr>
          <w:p>
            <w:pPr>
              <w:jc w:val="right"/>
              <w:ind w:right="4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7"/>
                <w:szCs w:val="17"/>
                <w:color w:val="auto"/>
              </w:rPr>
            </w:pPr>
          </w:p>
        </w:tc>
      </w:tr>
      <w:tr>
        <w:trPr>
          <w:trHeight w:val="196"/>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2.500% Senior Unsecured Notes Due 2031</w:t>
            </w:r>
          </w:p>
        </w:tc>
        <w:tc>
          <w:tcPr>
            <w:tcW w:w="40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750,000</w:t>
            </w:r>
          </w:p>
        </w:tc>
        <w:tc>
          <w:tcPr>
            <w:tcW w:w="100" w:type="dxa"/>
            <w:vAlign w:val="bottom"/>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68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750,000</w:t>
            </w:r>
          </w:p>
        </w:tc>
        <w:tc>
          <w:tcPr>
            <w:tcW w:w="100" w:type="dxa"/>
            <w:vAlign w:val="bottom"/>
          </w:tcPr>
          <w:p>
            <w:pPr>
              <w:spacing w:after="0"/>
              <w:rPr>
                <w:sz w:val="17"/>
                <w:szCs w:val="17"/>
                <w:color w:val="auto"/>
              </w:rPr>
            </w:pPr>
          </w:p>
        </w:tc>
      </w:tr>
      <w:tr>
        <w:trPr>
          <w:trHeight w:val="226"/>
        </w:trPr>
        <w:tc>
          <w:tcPr>
            <w:tcW w:w="7740" w:type="dxa"/>
            <w:vAlign w:val="bottom"/>
          </w:tcPr>
          <w:p>
            <w:pPr>
              <w:ind w:left="20"/>
              <w:spacing w:after="0"/>
              <w:rPr>
                <w:sz w:val="20"/>
                <w:szCs w:val="20"/>
                <w:color w:val="auto"/>
              </w:rPr>
            </w:pPr>
            <w:r>
              <w:rPr>
                <w:rFonts w:ascii="Arial" w:cs="Arial" w:eastAsia="Arial" w:hAnsi="Arial"/>
                <w:sz w:val="16"/>
                <w:szCs w:val="16"/>
                <w:color w:val="004483"/>
              </w:rPr>
              <w:t>Term Loan</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197,500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6"/>
        </w:trPr>
        <w:tc>
          <w:tcPr>
            <w:tcW w:w="77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Total Debt</w:t>
            </w:r>
          </w:p>
        </w:tc>
        <w:tc>
          <w:tcPr>
            <w:tcW w:w="400" w:type="dxa"/>
            <w:vAlign w:val="bottom"/>
            <w:tcBorders>
              <w:top w:val="single" w:sz="8" w:color="004483"/>
              <w:bottom w:val="single" w:sz="8" w:color="A6A6A6"/>
            </w:tcBorders>
          </w:tcPr>
          <w:p>
            <w:pPr>
              <w:spacing w:after="0"/>
              <w:rPr>
                <w:sz w:val="17"/>
                <w:szCs w:val="17"/>
                <w:color w:val="auto"/>
              </w:rPr>
            </w:pPr>
          </w:p>
        </w:tc>
        <w:tc>
          <w:tcPr>
            <w:tcW w:w="11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1,147,500</w:t>
            </w:r>
          </w:p>
        </w:tc>
        <w:tc>
          <w:tcPr>
            <w:tcW w:w="100" w:type="dxa"/>
            <w:vAlign w:val="bottom"/>
          </w:tcPr>
          <w:p>
            <w:pPr>
              <w:spacing w:after="0"/>
              <w:rPr>
                <w:sz w:val="17"/>
                <w:szCs w:val="17"/>
                <w:color w:val="auto"/>
              </w:rPr>
            </w:pPr>
          </w:p>
        </w:tc>
        <w:tc>
          <w:tcPr>
            <w:tcW w:w="200" w:type="dxa"/>
            <w:vAlign w:val="bottom"/>
            <w:tcBorders>
              <w:top w:val="single" w:sz="8" w:color="A6A6A6"/>
              <w:bottom w:val="single" w:sz="8" w:color="A6A6A6"/>
            </w:tcBorders>
          </w:tcPr>
          <w:p>
            <w:pPr>
              <w:spacing w:after="0"/>
              <w:rPr>
                <w:sz w:val="17"/>
                <w:szCs w:val="17"/>
                <w:color w:val="auto"/>
              </w:rPr>
            </w:pPr>
          </w:p>
        </w:tc>
        <w:tc>
          <w:tcPr>
            <w:tcW w:w="680" w:type="dxa"/>
            <w:vAlign w:val="bottom"/>
            <w:tcBorders>
              <w:top w:val="single" w:sz="8" w:color="004483"/>
              <w:bottom w:val="single" w:sz="8" w:color="A6A6A6"/>
            </w:tcBorders>
          </w:tcPr>
          <w:p>
            <w:pPr>
              <w:spacing w:after="0"/>
              <w:rPr>
                <w:sz w:val="17"/>
                <w:szCs w:val="17"/>
                <w:color w:val="auto"/>
              </w:rPr>
            </w:pPr>
          </w:p>
        </w:tc>
        <w:tc>
          <w:tcPr>
            <w:tcW w:w="8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950,000</w:t>
            </w:r>
          </w:p>
        </w:tc>
        <w:tc>
          <w:tcPr>
            <w:tcW w:w="100" w:type="dxa"/>
            <w:vAlign w:val="bottom"/>
          </w:tcPr>
          <w:p>
            <w:pPr>
              <w:spacing w:after="0"/>
              <w:rPr>
                <w:sz w:val="17"/>
                <w:szCs w:val="17"/>
                <w:color w:val="auto"/>
              </w:rPr>
            </w:pPr>
          </w:p>
        </w:tc>
      </w:tr>
      <w:tr>
        <w:trPr>
          <w:trHeight w:val="193"/>
        </w:trPr>
        <w:tc>
          <w:tcPr>
            <w:tcW w:w="7740" w:type="dxa"/>
            <w:vAlign w:val="bottom"/>
          </w:tcPr>
          <w:p>
            <w:pPr>
              <w:ind w:left="20"/>
              <w:spacing w:after="0"/>
              <w:rPr>
                <w:sz w:val="20"/>
                <w:szCs w:val="20"/>
                <w:color w:val="auto"/>
              </w:rPr>
            </w:pPr>
            <w:r>
              <w:rPr>
                <w:rFonts w:ascii="Arial" w:cs="Arial" w:eastAsia="Arial" w:hAnsi="Arial"/>
                <w:sz w:val="16"/>
                <w:szCs w:val="16"/>
                <w:color w:val="004483"/>
              </w:rPr>
              <w:t>Less: Current Portion of Long-term Debt</w:t>
            </w:r>
          </w:p>
        </w:tc>
        <w:tc>
          <w:tcPr>
            <w:tcW w:w="40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(10,000 )</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7740" w:type="dxa"/>
            <w:vAlign w:val="bottom"/>
            <w:shd w:val="clear" w:color="auto" w:fill="A6A6A6"/>
          </w:tcPr>
          <w:p>
            <w:pPr>
              <w:spacing w:after="0" w:line="20" w:lineRule="exact"/>
              <w:rPr>
                <w:sz w:val="1"/>
                <w:szCs w:val="1"/>
                <w:color w:val="auto"/>
              </w:rPr>
            </w:pPr>
          </w:p>
        </w:tc>
        <w:tc>
          <w:tcPr>
            <w:tcW w:w="400" w:type="dxa"/>
            <w:vAlign w:val="bottom"/>
            <w:shd w:val="clear" w:color="auto" w:fill="A6A6A6"/>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6"/>
                <w:szCs w:val="16"/>
                <w:color w:val="004483"/>
              </w:rPr>
              <w:t>Less: Unamortized Discounts and Debt Issuance Costs</w:t>
            </w:r>
          </w:p>
        </w:tc>
        <w:tc>
          <w:tcPr>
            <w:tcW w:w="40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(11,102 )</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(11,735 )</w:t>
            </w:r>
          </w:p>
        </w:tc>
      </w:tr>
      <w:tr>
        <w:trPr>
          <w:trHeight w:val="30"/>
        </w:trPr>
        <w:tc>
          <w:tcPr>
            <w:tcW w:w="7740" w:type="dxa"/>
            <w:vAlign w:val="bottom"/>
            <w:tcBorders>
              <w:bottom w:val="single" w:sz="8" w:color="A6A6A6"/>
            </w:tcBorders>
          </w:tcPr>
          <w:p>
            <w:pPr>
              <w:spacing w:after="0"/>
              <w:rPr>
                <w:sz w:val="2"/>
                <w:szCs w:val="2"/>
                <w:color w:val="auto"/>
              </w:rPr>
            </w:pPr>
          </w:p>
        </w:tc>
        <w:tc>
          <w:tcPr>
            <w:tcW w:w="400" w:type="dxa"/>
            <w:vAlign w:val="bottom"/>
            <w:tcBorders>
              <w:bottom w:val="single" w:sz="8" w:color="004483"/>
            </w:tcBorders>
            <w:shd w:val="clear" w:color="auto" w:fill="004483"/>
          </w:tcPr>
          <w:p>
            <w:pPr>
              <w:spacing w:after="0"/>
              <w:rPr>
                <w:sz w:val="2"/>
                <w:szCs w:val="2"/>
                <w:color w:val="auto"/>
              </w:rPr>
            </w:pPr>
          </w:p>
        </w:tc>
        <w:tc>
          <w:tcPr>
            <w:tcW w:w="11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6A6A6"/>
            </w:tcBorders>
          </w:tcPr>
          <w:p>
            <w:pPr>
              <w:spacing w:after="0"/>
              <w:rPr>
                <w:sz w:val="2"/>
                <w:szCs w:val="2"/>
                <w:color w:val="auto"/>
              </w:rPr>
            </w:pPr>
          </w:p>
        </w:tc>
        <w:tc>
          <w:tcPr>
            <w:tcW w:w="680" w:type="dxa"/>
            <w:vAlign w:val="bottom"/>
            <w:tcBorders>
              <w:bottom w:val="single" w:sz="8" w:color="004483"/>
            </w:tcBorders>
            <w:shd w:val="clear" w:color="auto" w:fill="004483"/>
          </w:tcPr>
          <w:p>
            <w:pPr>
              <w:spacing w:after="0"/>
              <w:rPr>
                <w:sz w:val="2"/>
                <w:szCs w:val="2"/>
                <w:color w:val="auto"/>
              </w:rPr>
            </w:pPr>
          </w:p>
        </w:tc>
        <w:tc>
          <w:tcPr>
            <w:tcW w:w="8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1,126,398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bottom w:val="single" w:sz="8" w:color="004483"/>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938,265</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Revolving Credit Facility</w:t>
      </w:r>
    </w:p>
    <w:p>
      <w:pPr>
        <w:spacing w:after="0" w:line="166" w:lineRule="exact"/>
        <w:rPr>
          <w:sz w:val="20"/>
          <w:szCs w:val="20"/>
          <w:color w:val="auto"/>
        </w:rPr>
      </w:pPr>
    </w:p>
    <w:p>
      <w:pPr>
        <w:ind w:right="100"/>
        <w:spacing w:after="0" w:line="284" w:lineRule="auto"/>
        <w:rPr>
          <w:sz w:val="20"/>
          <w:szCs w:val="20"/>
          <w:color w:val="auto"/>
        </w:rPr>
      </w:pPr>
      <w:r>
        <w:rPr>
          <w:rFonts w:ascii="Arial" w:cs="Arial" w:eastAsia="Arial" w:hAnsi="Arial"/>
          <w:sz w:val="18"/>
          <w:szCs w:val="18"/>
          <w:color w:val="auto"/>
        </w:rPr>
        <w:t>We have an unsecured $750.0 million revolving credit facility that was amended on May 5, 2022 (such facility, as amended, the Revolving Credit Facility). The Revolving Credit Facility includes a separate $200.0 million term loan facility (the Term Loan) and also provides the Company the option to increase the revolving borrowing capacity by up to $375.0 million (for a total revolving borrowing capacity of $1,125.0 million, excluding the Term Loan), provided that the existing lenders, or new lenders, agree to such increase. The Revolving Credit Facility includes a $40.0 million letter of credit facility and a swingline loan sub-facility of $25.0 million, and expires on May 5, 2027.</w:t>
      </w:r>
    </w:p>
    <w:p>
      <w:pPr>
        <w:spacing w:after="0" w:line="98"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The Revolving Credit Facility contains customary covenants for an unsecured investment-grade facility, including covenants that restrict the Company’s and/or its subsidiaries’ ability to incur additional debt; encumber assets; merge with or transfer or sell assets to other persons; and enter into certain affiliate transactions. The Revolving Credit Facility also requires the Company to maintain at the end of each fiscal quarter a Leverage Ratio of 3.50:1.00 or less and an Interest Coverage Ratio (both ratios, as defined in the Revolving Credit Facility) equal to or greater than 2.50:1.00 (collectively, the Financial Covenants).</w:t>
      </w:r>
    </w:p>
    <w:p>
      <w:pPr>
        <w:spacing w:after="0" w:line="98" w:lineRule="exact"/>
        <w:rPr>
          <w:sz w:val="20"/>
          <w:szCs w:val="20"/>
          <w:color w:val="auto"/>
        </w:rPr>
      </w:pPr>
    </w:p>
    <w:p>
      <w:pPr>
        <w:ind w:right="60"/>
        <w:spacing w:after="0" w:line="298" w:lineRule="auto"/>
        <w:rPr>
          <w:sz w:val="20"/>
          <w:szCs w:val="20"/>
          <w:color w:val="auto"/>
        </w:rPr>
      </w:pPr>
      <w:r>
        <w:rPr>
          <w:rFonts w:ascii="Arial" w:cs="Arial" w:eastAsia="Arial" w:hAnsi="Arial"/>
          <w:sz w:val="17"/>
          <w:szCs w:val="17"/>
          <w:color w:val="auto"/>
        </w:rPr>
        <w:t>At the Company’s option, outstanding loans under the Revolving Credit Facility bear interest, at a variable rate equal to either (i) the adjusted term SOFR rate (secured overnight financing rate), plus 10 bps, plus an agreed spread (ranging from 100 to 162.5 basis points, which is established based on the Company's credit rating); (ii) in respect of any Revolving Loans (until such time as the then-existing Benchmark (as defined in the Revolving Credit Facility) is replaced in accordance with the Revolving Credit Facility), the adjusted daily simple SOFR rate, plus 10 bps, plus an agreed spread (ranging from 100 to 162.5 basis points, which is established based on the Company's credit rating) or</w:t>
      </w:r>
    </w:p>
    <w:p>
      <w:pPr>
        <w:spacing w:after="0" w:line="1" w:lineRule="exact"/>
        <w:rPr>
          <w:sz w:val="20"/>
          <w:szCs w:val="20"/>
          <w:color w:val="auto"/>
        </w:rPr>
      </w:pPr>
    </w:p>
    <w:p>
      <w:pPr>
        <w:ind w:right="20" w:firstLine="8"/>
        <w:spacing w:after="0" w:line="284" w:lineRule="auto"/>
        <w:tabs>
          <w:tab w:leader="none" w:pos="29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Alternate Base Rate (as defined in the Revolving Credit Facility), which is the highest of (a) the Prime Rate (as defined in the Revolving Credit Facility) in effect on any applicable day, (b) the NYFRB Rate (as defined in the Revolving Credit Facility) in effect on any applicable day, plus ½ of 1%, and (c) the Adjusted Term SOFR (as defined in the Revolving Credit Facility) for a one-month interest period on any applicable day, or if such day is not a business day, the immediately preceding business day, plus 1.0%, in each case plus an agreed upon spread (ranging from 0 to 62.5 basis points) which is established quarterly based on the Company's credit rating. The Company is also required to pay a facility fee on unused available borrowings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under the Revolving Credit Facility ranging from 9 to 22.5 basis points which is established based on the Company's then credit rating.</w:t>
      </w:r>
    </w:p>
    <w:p>
      <w:pPr>
        <w:spacing w:after="0" w:line="144"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The Company pays each lender a participation fee with respect to such lender’s participations in letters of credit, which fee accrues at the same Applicable Rate (as defined in the Revolving Credit Facility) used to determine the interest rate applicable to Eurodollar Revolving Loans (as defined in the Revolving Credit Facility) plus a fronting fee for each letter of credit issued by the issuing bank in an amount equal to 12.5 basis points per annum on the daily maximum amount then available to be drawn under such letter of credit. The Company also pays each issuing bank such bank’s standard fees with respect to issuance, amendment or extensions of letters of credit and other processing fees, and other standard costs and charges relating to such issuing bank’s letters of credit from time to time.</w:t>
      </w:r>
    </w:p>
    <w:p>
      <w:pPr>
        <w:spacing w:after="0" w:line="96"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auto"/>
        </w:rPr>
        <w:t>There was $200.0 million of outstanding borrowings under the Revolving Credit Facility, plus $6.4 million outstanding letters of credit as of September 30, 2022, leaving us with $543.6 million of available borrowings under the Revolving Credit Facility, net of the outstanding letters of credit. We were in compliance with all Financial Covenants on September 30, 2022; therefore, all $543.6 million is available for future borrowings.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 Loan</w:t>
      </w:r>
    </w:p>
    <w:p>
      <w:pPr>
        <w:spacing w:after="0" w:line="166"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On May 5, 2022, we borrowed the $200.0 million Term Loan under the Revolving Credit Facility, and used these proceeds to, among other things, pay down a portion of the Revolving Credit Facility. The Term Loan requires quarterly principal payments of $2.5 million, with any unpaid amounts due upon maturity on May 5, 2027. At the Company’s option, principal amounts outstanding under the Term Loan bear interest as set forth in the Revolving Credit Facility (but not, for the avoidance of doubt, at a daily simple SOFR rate unless and until such time as the then-existing Benchmark (as defined in the Revolving Credit Facility) is replaced in accordance with the Revolving Credit Facility).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2.500% Senior Unsecured Notes Due 2031</w:t>
      </w:r>
    </w:p>
    <w:p>
      <w:pPr>
        <w:spacing w:after="0" w:line="16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On July 1, 2021, we issued $750.0 million aggregate principal amount of 2.500% senior notes due July 2031 (the 2.500% Senior Unsecured Notes). The 2.500% Senior Unsecured Notes are senior unsecured obligations of the Company and are not guaranteed by any of our subsidiaries. The 2.500% Senior Unsecured Notes were issued net of original issue discount of $6.3 million and have an effective interest rate of approximately 2.6%. The original issue discount is being amortized by the effective interest method over the ten-year term of the notes. The 2.500% Senior Unsecured Notes are redeemable prior to April 1, 2031 at a redemption price equal to 100% of the aggregate principal amount of the 2.500% Senior Unsecured Notes being redeemed, plus the present value of remaining scheduled payments of principal and interest from the applicable redemption date to April 1, 2031, discounted to the redemption date on a semi-annual basis at the Treasury rate plus 20 basis points. The 2.500% Senior Unsecured Notes are redeemable on or after April 1, 2031 at a redemption price equal to 100% of the aggregate principal amount of the 2.500% Senior Unsecured Notes being redeemed, plus accrued and unpaid interest to, but excluding, the applicable redemption date. If we experience certain change of control triggering events, we would be required to offer to repurchase the 2.500% Senior Unsecured Notes at a purchase price equal to 101% of the aggregate principal amount of the 2.500% Senior Unsecured Notes being repurchased, plus accrued and unpaid interest to, but excluding, the applicable redemption date. The indenture governing the 2.500%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2.500% Senior Unsecured Notes to become or be declared due and payable.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Retirement of Debt</w:t>
      </w:r>
    </w:p>
    <w:p>
      <w:pPr>
        <w:spacing w:after="0" w:line="166"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In connection with the issuance of the 2.500% Senior Unsecured Notes on July 1, 2021, we repaid all outstanding amounts under and terminated our $665.0 million term loan credit agreement (the Term Loan Credit Agreement). The Term Loan Credit Agreement was used to pay a portion of the purchase price for the Kosmos Acquisition and fees and expenses incurred in connection with the Kosmos Acquisition in March 2020. Additionally, on July 19, 2021 (the first business day following the redemption date), we redeemed and paid in full all outstanding amounts due under the $350.0 million aggregate principal amount of 4.500% senior notes (4.500% Senior Unsecured Notes) due August 2026, using proceeds from the 2.500% Senior Unsecured Notes, the Revolving Credit Facility and cash on hand. The 4.500% Senior Unsecured Notes redemption price included all of the outstanding principal and accrued interest through the redemption date of July 17, 2021, as well as an early termination premium of approximately $8.4 million. In connection with the termination and repayment of the Term Loan Facility and the redemption of the 4.500% Senior Unsecured Notes, we expensed approximately $6.1 million of related debt issuance costs in July 2021.</w:t>
      </w: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 SEGMENT INFORMATION</w:t>
      </w:r>
    </w:p>
    <w:p>
      <w:pPr>
        <w:spacing w:after="0" w:line="13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Operating segments are defined as components of an enterprise that engage in business activities that earn revenue, incur expenses, and prepare separate financial information that is evaluated regularly by our chief operating decision maker in order to allocate resources and assess performance.</w:t>
      </w:r>
    </w:p>
    <w:p>
      <w:pPr>
        <w:spacing w:after="0" w:line="9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Our business is organized into two sectors within which there are four reportable business segments. The Heavy Materials sector includes the Cement and Concrete and Aggregates segments. The Light Materials sector includes the Gypsum Wallboard and Recycled Paperboard segments.</w:t>
      </w:r>
    </w:p>
    <w:p>
      <w:pPr>
        <w:spacing w:after="0" w:line="94"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Our primary products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throughout most of the United States, except the Northeast, which provides us with regional economic diversification. Our operations are conducted in the U.S. and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99"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We operate eight modern cement plants (one of which is operated through a joint venture located in Buda, Texas), one slag grinding facility, and 30 cement distribution terminals. Our cement companies focus on the U.S. heartland and operate as an integrated network selling product primarily in California, Colorado, Illinois, Indiana, Iowa, Kansas, Kentucky, Missouri, Nebraska, Nevada, Ohio, Oklahoma, and Texas. We operate 30 readymix concrete batch plants and five aggregates processing plants in markets that are complementary to our cement network.</w:t>
      </w:r>
    </w:p>
    <w:p>
      <w:pPr>
        <w:spacing w:after="0" w:line="98" w:lineRule="exact"/>
        <w:rPr>
          <w:sz w:val="20"/>
          <w:szCs w:val="20"/>
          <w:color w:val="auto"/>
        </w:rPr>
      </w:pPr>
    </w:p>
    <w:p>
      <w:pPr>
        <w:ind w:right="740"/>
        <w:spacing w:after="0" w:line="293" w:lineRule="auto"/>
        <w:rPr>
          <w:sz w:val="20"/>
          <w:szCs w:val="20"/>
          <w:color w:val="auto"/>
        </w:rPr>
      </w:pPr>
      <w:r>
        <w:rPr>
          <w:rFonts w:ascii="Arial" w:cs="Arial" w:eastAsia="Arial" w:hAnsi="Arial"/>
          <w:sz w:val="18"/>
          <w:szCs w:val="18"/>
          <w:color w:val="auto"/>
        </w:rPr>
        <w:t>We operate five gypsum wallboard plants and a recycled paperboard mill. We distribute gypsum wallboard and recycled paperboard throughout the continental U.S., with the exception of the Northeast.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8" w:name="page19"/>
    <w:bookmarkEnd w:id="18"/>
    <w:p>
      <w:pPr>
        <w:ind w:right="160"/>
        <w:spacing w:after="0" w:line="287" w:lineRule="auto"/>
        <w:rPr>
          <w:sz w:val="20"/>
          <w:szCs w:val="20"/>
          <w:color w:val="auto"/>
        </w:rPr>
      </w:pPr>
      <w:r>
        <w:rPr>
          <w:rFonts w:ascii="Arial" w:cs="Arial" w:eastAsia="Arial" w:hAnsi="Arial"/>
          <w:sz w:val="18"/>
          <w:szCs w:val="18"/>
          <w:color w:val="auto"/>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spacing w:after="0" w:line="94" w:lineRule="exact"/>
        <w:rPr>
          <w:sz w:val="20"/>
          <w:szCs w:val="20"/>
          <w:color w:val="auto"/>
        </w:rPr>
      </w:pPr>
    </w:p>
    <w:p>
      <w:pPr>
        <w:ind w:right="260"/>
        <w:spacing w:after="0" w:line="293" w:lineRule="auto"/>
        <w:rPr>
          <w:sz w:val="20"/>
          <w:szCs w:val="20"/>
          <w:color w:val="auto"/>
        </w:rPr>
      </w:pPr>
      <w:r>
        <w:rPr>
          <w:rFonts w:ascii="Arial" w:cs="Arial" w:eastAsia="Arial" w:hAnsi="Arial"/>
          <w:sz w:val="18"/>
          <w:szCs w:val="18"/>
          <w:color w:val="auto"/>
        </w:rPr>
        <w:t>The following table sets forth certain financial information relating to our operations by segment. We do not allocate interest or taxes at the segment level; these costs are disclosed at the consolidated company level.</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420" w:type="dxa"/>
            <w:vAlign w:val="bottom"/>
            <w:tcBorders>
              <w:right w:val="single" w:sz="8" w:color="004483"/>
            </w:tcBorders>
          </w:tcPr>
          <w:p>
            <w:pPr>
              <w:spacing w:after="0"/>
              <w:rPr>
                <w:sz w:val="14"/>
                <w:szCs w:val="14"/>
                <w:color w:val="auto"/>
              </w:rPr>
            </w:pPr>
          </w:p>
        </w:tc>
        <w:tc>
          <w:tcPr>
            <w:tcW w:w="2860" w:type="dxa"/>
            <w:vAlign w:val="bottom"/>
            <w:gridSpan w:val="8"/>
            <w:shd w:val="clear" w:color="auto" w:fill="004483"/>
          </w:tcPr>
          <w:p>
            <w:pPr>
              <w:jc w:val="right"/>
              <w:ind w:right="200"/>
              <w:spacing w:after="0"/>
              <w:rPr>
                <w:sz w:val="20"/>
                <w:szCs w:val="20"/>
                <w:color w:val="auto"/>
              </w:rPr>
            </w:pPr>
            <w:r>
              <w:rPr>
                <w:rFonts w:ascii="Arial" w:cs="Arial" w:eastAsia="Arial" w:hAnsi="Arial"/>
                <w:sz w:val="13"/>
                <w:szCs w:val="13"/>
                <w:b w:val="1"/>
                <w:bCs w:val="1"/>
                <w:color w:val="FFFFFF"/>
                <w:w w:val="98"/>
              </w:rPr>
              <w:t>For the Three Months Ended September 30,</w:t>
            </w:r>
          </w:p>
        </w:tc>
        <w:tc>
          <w:tcPr>
            <w:tcW w:w="14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00" w:type="dxa"/>
            <w:vAlign w:val="bottom"/>
            <w:gridSpan w:val="7"/>
            <w:shd w:val="clear" w:color="auto" w:fill="004483"/>
          </w:tcPr>
          <w:p>
            <w:pPr>
              <w:jc w:val="right"/>
              <w:ind w:right="240"/>
              <w:spacing w:after="0"/>
              <w:rPr>
                <w:sz w:val="20"/>
                <w:szCs w:val="20"/>
                <w:color w:val="auto"/>
              </w:rPr>
            </w:pPr>
            <w:r>
              <w:rPr>
                <w:rFonts w:ascii="Arial" w:cs="Arial" w:eastAsia="Arial" w:hAnsi="Arial"/>
                <w:sz w:val="13"/>
                <w:szCs w:val="13"/>
                <w:b w:val="1"/>
                <w:bCs w:val="1"/>
                <w:color w:val="FFFFFF"/>
                <w:w w:val="96"/>
              </w:rPr>
              <w:t>For the Six Months Ended September 30,</w:t>
            </w:r>
          </w:p>
        </w:tc>
      </w:tr>
      <w:tr>
        <w:trPr>
          <w:trHeight w:val="156"/>
        </w:trPr>
        <w:tc>
          <w:tcPr>
            <w:tcW w:w="5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r>
      <w:tr>
        <w:trPr>
          <w:trHeight w:val="188"/>
        </w:trPr>
        <w:tc>
          <w:tcPr>
            <w:tcW w:w="5420" w:type="dxa"/>
            <w:vAlign w:val="bottom"/>
            <w:tcBorders>
              <w:bottom w:val="single" w:sz="8" w:color="004483"/>
            </w:tcBorders>
          </w:tcPr>
          <w:p>
            <w:pPr>
              <w:spacing w:after="0"/>
              <w:rPr>
                <w:sz w:val="16"/>
                <w:szCs w:val="16"/>
                <w:color w:val="auto"/>
              </w:rPr>
            </w:pPr>
          </w:p>
        </w:tc>
        <w:tc>
          <w:tcPr>
            <w:tcW w:w="360" w:type="dxa"/>
            <w:vAlign w:val="bottom"/>
            <w:tcBorders>
              <w:bottom w:val="single" w:sz="8" w:color="004483"/>
            </w:tcBorders>
          </w:tcPr>
          <w:p>
            <w:pPr>
              <w:spacing w:after="0"/>
              <w:rPr>
                <w:sz w:val="16"/>
                <w:szCs w:val="16"/>
                <w:color w:val="auto"/>
              </w:rPr>
            </w:pPr>
          </w:p>
        </w:tc>
        <w:tc>
          <w:tcPr>
            <w:tcW w:w="860" w:type="dxa"/>
            <w:vAlign w:val="bottom"/>
            <w:tcBorders>
              <w:bottom w:val="single" w:sz="8" w:color="004483"/>
            </w:tcBorders>
          </w:tcPr>
          <w:p>
            <w:pPr>
              <w:spacing w:after="0"/>
              <w:rPr>
                <w:sz w:val="16"/>
                <w:szCs w:val="16"/>
                <w:color w:val="auto"/>
              </w:rPr>
            </w:pPr>
          </w:p>
        </w:tc>
        <w:tc>
          <w:tcPr>
            <w:tcW w:w="2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380" w:type="dxa"/>
            <w:vAlign w:val="bottom"/>
            <w:tcBorders>
              <w:bottom w:val="single" w:sz="8" w:color="004483"/>
            </w:tcBorders>
          </w:tcPr>
          <w:p>
            <w:pPr>
              <w:spacing w:after="0"/>
              <w:rPr>
                <w:sz w:val="16"/>
                <w:szCs w:val="16"/>
                <w:color w:val="auto"/>
              </w:rPr>
            </w:pPr>
          </w:p>
        </w:tc>
        <w:tc>
          <w:tcPr>
            <w:tcW w:w="2460" w:type="dxa"/>
            <w:vAlign w:val="bottom"/>
            <w:tcBorders>
              <w:bottom w:val="single" w:sz="8" w:color="004483"/>
            </w:tcBorders>
            <w:gridSpan w:val="7"/>
          </w:tcPr>
          <w:p>
            <w:pPr>
              <w:ind w:left="360"/>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6"/>
                <w:szCs w:val="16"/>
                <w:color w:val="auto"/>
              </w:rPr>
            </w:pPr>
          </w:p>
        </w:tc>
        <w:tc>
          <w:tcPr>
            <w:tcW w:w="320" w:type="dxa"/>
            <w:vAlign w:val="bottom"/>
            <w:tcBorders>
              <w:bottom w:val="single" w:sz="8" w:color="004483"/>
            </w:tcBorders>
          </w:tcPr>
          <w:p>
            <w:pPr>
              <w:spacing w:after="0"/>
              <w:rPr>
                <w:sz w:val="16"/>
                <w:szCs w:val="16"/>
                <w:color w:val="auto"/>
              </w:rPr>
            </w:pPr>
          </w:p>
        </w:tc>
        <w:tc>
          <w:tcPr>
            <w:tcW w:w="94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4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Revenue</w:t>
            </w:r>
          </w:p>
        </w:tc>
        <w:tc>
          <w:tcPr>
            <w:tcW w:w="36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8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54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Cement</w:t>
            </w:r>
          </w:p>
        </w:tc>
        <w:tc>
          <w:tcPr>
            <w:tcW w:w="360" w:type="dxa"/>
            <w:vAlign w:val="bottom"/>
            <w:tcBorders>
              <w:bottom w:val="single" w:sz="8" w:color="A6A6A6"/>
            </w:tcBorders>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319,460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Borders>
              <w:bottom w:val="single" w:sz="8" w:color="A6A6A6"/>
            </w:tcBorders>
            <w:gridSpan w:val="2"/>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288,324</w:t>
            </w:r>
          </w:p>
        </w:tc>
        <w:tc>
          <w:tcPr>
            <w:tcW w:w="100" w:type="dxa"/>
            <w:vAlign w:val="bottom"/>
          </w:tcPr>
          <w:p>
            <w:pPr>
              <w:spacing w:after="0"/>
              <w:rPr>
                <w:sz w:val="16"/>
                <w:szCs w:val="16"/>
                <w:color w:val="auto"/>
              </w:rPr>
            </w:pPr>
          </w:p>
        </w:tc>
        <w:tc>
          <w:tcPr>
            <w:tcW w:w="26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603,976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bottom w:val="single" w:sz="8" w:color="A6A6A6"/>
            </w:tcBorders>
            <w:gridSpan w:val="2"/>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558,579</w:t>
            </w:r>
          </w:p>
        </w:tc>
        <w:tc>
          <w:tcPr>
            <w:tcW w:w="100" w:type="dxa"/>
            <w:vAlign w:val="bottom"/>
          </w:tcPr>
          <w:p>
            <w:pPr>
              <w:spacing w:after="0"/>
              <w:rPr>
                <w:sz w:val="16"/>
                <w:szCs w:val="16"/>
                <w:color w:val="auto"/>
              </w:rPr>
            </w:pPr>
          </w:p>
        </w:tc>
      </w:tr>
      <w:tr>
        <w:trPr>
          <w:trHeight w:val="196"/>
        </w:trPr>
        <w:tc>
          <w:tcPr>
            <w:tcW w:w="54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Concrete and Aggregates</w:t>
            </w:r>
          </w:p>
        </w:tc>
        <w:tc>
          <w:tcPr>
            <w:tcW w:w="36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69,613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8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52,750</w:t>
            </w: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131,231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97,504</w:t>
            </w:r>
          </w:p>
        </w:tc>
        <w:tc>
          <w:tcPr>
            <w:tcW w:w="100" w:type="dxa"/>
            <w:vAlign w:val="bottom"/>
          </w:tcPr>
          <w:p>
            <w:pPr>
              <w:spacing w:after="0"/>
              <w:rPr>
                <w:sz w:val="17"/>
                <w:szCs w:val="17"/>
                <w:color w:val="auto"/>
              </w:rPr>
            </w:pPr>
          </w:p>
        </w:tc>
      </w:tr>
      <w:tr>
        <w:trPr>
          <w:trHeight w:val="196"/>
        </w:trPr>
        <w:tc>
          <w:tcPr>
            <w:tcW w:w="54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Gypsum Wallboard</w:t>
            </w:r>
          </w:p>
        </w:tc>
        <w:tc>
          <w:tcPr>
            <w:tcW w:w="36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224,638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8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172,985</w:t>
            </w: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440,965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339,252</w:t>
            </w:r>
          </w:p>
        </w:tc>
        <w:tc>
          <w:tcPr>
            <w:tcW w:w="100" w:type="dxa"/>
            <w:vAlign w:val="bottom"/>
          </w:tcPr>
          <w:p>
            <w:pPr>
              <w:spacing w:after="0"/>
              <w:rPr>
                <w:sz w:val="17"/>
                <w:szCs w:val="17"/>
                <w:color w:val="auto"/>
              </w:rPr>
            </w:pPr>
          </w:p>
        </w:tc>
      </w:tr>
      <w:tr>
        <w:trPr>
          <w:trHeight w:val="226"/>
        </w:trPr>
        <w:tc>
          <w:tcPr>
            <w:tcW w:w="54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Paperboard</w:t>
            </w:r>
          </w:p>
        </w:tc>
        <w:tc>
          <w:tcPr>
            <w:tcW w:w="360" w:type="dxa"/>
            <w:vAlign w:val="bottom"/>
            <w:tcBorders>
              <w:bottom w:val="single" w:sz="8" w:color="004483"/>
            </w:tcBorders>
          </w:tcPr>
          <w:p>
            <w:pPr>
              <w:spacing w:after="0"/>
              <w:rPr>
                <w:sz w:val="19"/>
                <w:szCs w:val="19"/>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53,673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380" w:type="dxa"/>
            <w:vAlign w:val="bottom"/>
            <w:tcBorders>
              <w:bottom w:val="single" w:sz="8" w:color="004483"/>
            </w:tcBorders>
          </w:tcPr>
          <w:p>
            <w:pPr>
              <w:spacing w:after="0"/>
              <w:rPr>
                <w:sz w:val="19"/>
                <w:szCs w:val="19"/>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47,798</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107,746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320" w:type="dxa"/>
            <w:vAlign w:val="bottom"/>
            <w:tcBorders>
              <w:bottom w:val="single" w:sz="8" w:color="004483"/>
            </w:tcBorders>
          </w:tcPr>
          <w:p>
            <w:pPr>
              <w:spacing w:after="0"/>
              <w:rPr>
                <w:sz w:val="19"/>
                <w:szCs w:val="19"/>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91,065</w:t>
            </w:r>
          </w:p>
        </w:tc>
        <w:tc>
          <w:tcPr>
            <w:tcW w:w="100" w:type="dxa"/>
            <w:vAlign w:val="bottom"/>
          </w:tcPr>
          <w:p>
            <w:pPr>
              <w:spacing w:after="0"/>
              <w:rPr>
                <w:sz w:val="19"/>
                <w:szCs w:val="19"/>
                <w:color w:val="auto"/>
              </w:rPr>
            </w:pPr>
          </w:p>
        </w:tc>
      </w:tr>
      <w:tr>
        <w:trPr>
          <w:trHeight w:val="193"/>
        </w:trPr>
        <w:tc>
          <w:tcPr>
            <w:tcW w:w="5420" w:type="dxa"/>
            <w:vAlign w:val="bottom"/>
            <w:tcBorders>
              <w:bottom w:val="single" w:sz="8" w:color="A6A6A6"/>
            </w:tcBorders>
          </w:tcPr>
          <w:p>
            <w:pPr>
              <w:spacing w:after="0"/>
              <w:rPr>
                <w:sz w:val="16"/>
                <w:szCs w:val="16"/>
                <w:color w:val="auto"/>
              </w:rPr>
            </w:pPr>
          </w:p>
        </w:tc>
        <w:tc>
          <w:tcPr>
            <w:tcW w:w="360" w:type="dxa"/>
            <w:vAlign w:val="bottom"/>
            <w:tcBorders>
              <w:bottom w:val="single" w:sz="8" w:color="A6A6A6"/>
            </w:tcBorders>
          </w:tcPr>
          <w:p>
            <w:pPr>
              <w:spacing w:after="0"/>
              <w:rPr>
                <w:sz w:val="16"/>
                <w:szCs w:val="16"/>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667,384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380" w:type="dxa"/>
            <w:vAlign w:val="bottom"/>
            <w:tcBorders>
              <w:bottom w:val="single" w:sz="8" w:color="A6A6A6"/>
            </w:tcBorders>
          </w:tcPr>
          <w:p>
            <w:pPr>
              <w:spacing w:after="0"/>
              <w:rPr>
                <w:sz w:val="16"/>
                <w:szCs w:val="16"/>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561,857</w:t>
            </w:r>
          </w:p>
        </w:tc>
        <w:tc>
          <w:tcPr>
            <w:tcW w:w="100" w:type="dxa"/>
            <w:vAlign w:val="bottom"/>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1,283,918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320" w:type="dxa"/>
            <w:vAlign w:val="bottom"/>
            <w:tcBorders>
              <w:bottom w:val="single" w:sz="8" w:color="A6A6A6"/>
            </w:tcBorders>
          </w:tcPr>
          <w:p>
            <w:pPr>
              <w:spacing w:after="0"/>
              <w:rPr>
                <w:sz w:val="16"/>
                <w:szCs w:val="16"/>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1,086,400</w:t>
            </w:r>
          </w:p>
        </w:tc>
        <w:tc>
          <w:tcPr>
            <w:tcW w:w="100" w:type="dxa"/>
            <w:vAlign w:val="bottom"/>
          </w:tcPr>
          <w:p>
            <w:pPr>
              <w:spacing w:after="0"/>
              <w:rPr>
                <w:sz w:val="16"/>
                <w:szCs w:val="16"/>
                <w:color w:val="auto"/>
              </w:rPr>
            </w:pPr>
          </w:p>
        </w:tc>
      </w:tr>
      <w:tr>
        <w:trPr>
          <w:trHeight w:val="196"/>
        </w:trPr>
        <w:tc>
          <w:tcPr>
            <w:tcW w:w="5420" w:type="dxa"/>
            <w:vAlign w:val="bottom"/>
          </w:tcPr>
          <w:p>
            <w:pPr>
              <w:ind w:left="200"/>
              <w:spacing w:after="0"/>
              <w:rPr>
                <w:sz w:val="20"/>
                <w:szCs w:val="20"/>
                <w:color w:val="auto"/>
              </w:rPr>
            </w:pPr>
            <w:r>
              <w:rPr>
                <w:rFonts w:ascii="Arial" w:cs="Arial" w:eastAsia="Arial" w:hAnsi="Arial"/>
                <w:sz w:val="16"/>
                <w:szCs w:val="16"/>
                <w:color w:val="004483"/>
              </w:rPr>
              <w:t>Less: Intersegment Revenue</w:t>
            </w:r>
          </w:p>
        </w:tc>
        <w:tc>
          <w:tcPr>
            <w:tcW w:w="360" w:type="dxa"/>
            <w:vAlign w:val="bottom"/>
          </w:tcPr>
          <w:p>
            <w:pPr>
              <w:spacing w:after="0"/>
              <w:rPr>
                <w:sz w:val="17"/>
                <w:szCs w:val="17"/>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(37,186 )</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(25,237 )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(66,018 )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(51,319 )</w:t>
            </w:r>
          </w:p>
        </w:tc>
      </w:tr>
      <w:tr>
        <w:trPr>
          <w:trHeight w:val="20"/>
        </w:trPr>
        <w:tc>
          <w:tcPr>
            <w:tcW w:w="5420" w:type="dxa"/>
            <w:vAlign w:val="bottom"/>
            <w:tcBorders>
              <w:right w:val="single" w:sz="8" w:color="A6A6A6"/>
            </w:tcBorders>
            <w:shd w:val="clear" w:color="auto" w:fill="A6A6A6"/>
          </w:tcPr>
          <w:p>
            <w:pPr>
              <w:spacing w:after="0" w:line="20" w:lineRule="exact"/>
              <w:rPr>
                <w:sz w:val="1"/>
                <w:szCs w:val="1"/>
                <w:color w:val="auto"/>
              </w:rPr>
            </w:pPr>
          </w:p>
        </w:tc>
        <w:tc>
          <w:tcPr>
            <w:tcW w:w="360" w:type="dxa"/>
            <w:vAlign w:val="bottom"/>
            <w:shd w:val="clear" w:color="auto" w:fill="A6A6A6"/>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6A6A6"/>
            </w:tcBorders>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80" w:type="dxa"/>
            <w:vAlign w:val="bottom"/>
            <w:shd w:val="clear" w:color="auto" w:fill="A6A6A6"/>
          </w:tcPr>
          <w:p>
            <w:pPr>
              <w:spacing w:after="0" w:line="20" w:lineRule="exact"/>
              <w:rPr>
                <w:sz w:val="1"/>
                <w:szCs w:val="1"/>
                <w:color w:val="auto"/>
              </w:rPr>
            </w:pPr>
          </w:p>
        </w:tc>
        <w:tc>
          <w:tcPr>
            <w:tcW w:w="8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11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320" w:type="dxa"/>
            <w:vAlign w:val="bottom"/>
            <w:shd w:val="clear" w:color="auto" w:fill="A6A6A6"/>
          </w:tcPr>
          <w:p>
            <w:pPr>
              <w:spacing w:after="0" w:line="20" w:lineRule="exact"/>
              <w:rPr>
                <w:sz w:val="1"/>
                <w:szCs w:val="1"/>
                <w:color w:val="auto"/>
              </w:rPr>
            </w:pPr>
          </w:p>
        </w:tc>
        <w:tc>
          <w:tcPr>
            <w:tcW w:w="9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20" w:type="dxa"/>
            <w:vAlign w:val="bottom"/>
          </w:tcPr>
          <w:p>
            <w:pPr>
              <w:ind w:left="200"/>
              <w:spacing w:after="0"/>
              <w:rPr>
                <w:sz w:val="20"/>
                <w:szCs w:val="20"/>
                <w:color w:val="auto"/>
              </w:rPr>
            </w:pPr>
            <w:r>
              <w:rPr>
                <w:rFonts w:ascii="Arial" w:cs="Arial" w:eastAsia="Arial" w:hAnsi="Arial"/>
                <w:sz w:val="16"/>
                <w:szCs w:val="16"/>
                <w:color w:val="004483"/>
              </w:rPr>
              <w:t>Less: Joint Venture Revenue</w:t>
            </w:r>
          </w:p>
        </w:tc>
        <w:tc>
          <w:tcPr>
            <w:tcW w:w="360" w:type="dxa"/>
            <w:vAlign w:val="bottom"/>
          </w:tcPr>
          <w:p>
            <w:pPr>
              <w:spacing w:after="0"/>
              <w:rPr>
                <w:sz w:val="17"/>
                <w:szCs w:val="17"/>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(25,130 )</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(26,926 )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(51,445 )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(49,617 )</w:t>
            </w:r>
          </w:p>
        </w:tc>
      </w:tr>
      <w:tr>
        <w:trPr>
          <w:trHeight w:val="30"/>
        </w:trPr>
        <w:tc>
          <w:tcPr>
            <w:tcW w:w="5420" w:type="dxa"/>
            <w:vAlign w:val="bottom"/>
            <w:tcBorders>
              <w:bottom w:val="single" w:sz="8" w:color="A6A6A6"/>
              <w:right w:val="single" w:sz="8" w:color="004483"/>
            </w:tcBorders>
          </w:tcPr>
          <w:p>
            <w:pPr>
              <w:spacing w:after="0"/>
              <w:rPr>
                <w:sz w:val="2"/>
                <w:szCs w:val="2"/>
                <w:color w:val="auto"/>
              </w:rPr>
            </w:pPr>
          </w:p>
        </w:tc>
        <w:tc>
          <w:tcPr>
            <w:tcW w:w="360" w:type="dxa"/>
            <w:vAlign w:val="bottom"/>
            <w:tcBorders>
              <w:bottom w:val="single" w:sz="8" w:color="004483"/>
            </w:tcBorders>
            <w:shd w:val="clear" w:color="auto" w:fill="004483"/>
          </w:tcPr>
          <w:p>
            <w:pPr>
              <w:spacing w:after="0"/>
              <w:rPr>
                <w:sz w:val="2"/>
                <w:szCs w:val="2"/>
                <w:color w:val="auto"/>
              </w:rPr>
            </w:pPr>
          </w:p>
        </w:tc>
        <w:tc>
          <w:tcPr>
            <w:tcW w:w="860" w:type="dxa"/>
            <w:vAlign w:val="bottom"/>
            <w:tcBorders>
              <w:bottom w:val="single" w:sz="8" w:color="004483"/>
            </w:tcBorders>
            <w:shd w:val="clear" w:color="auto" w:fill="004483"/>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38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20" w:type="dxa"/>
            <w:vAlign w:val="bottom"/>
            <w:tcBorders>
              <w:bottom w:val="single" w:sz="8" w:color="004483"/>
            </w:tcBorders>
            <w:shd w:val="clear" w:color="auto" w:fill="004483"/>
          </w:tcPr>
          <w:p>
            <w:pPr>
              <w:spacing w:after="0"/>
              <w:rPr>
                <w:sz w:val="2"/>
                <w:szCs w:val="2"/>
                <w:color w:val="auto"/>
              </w:rPr>
            </w:pPr>
          </w:p>
        </w:tc>
        <w:tc>
          <w:tcPr>
            <w:tcW w:w="110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320" w:type="dxa"/>
            <w:vAlign w:val="bottom"/>
            <w:tcBorders>
              <w:bottom w:val="single" w:sz="8" w:color="004483"/>
            </w:tcBorders>
            <w:shd w:val="clear" w:color="auto" w:fill="004483"/>
          </w:tcPr>
          <w:p>
            <w:pPr>
              <w:spacing w:after="0"/>
              <w:rPr>
                <w:sz w:val="2"/>
                <w:szCs w:val="2"/>
                <w:color w:val="auto"/>
              </w:rPr>
            </w:pPr>
          </w:p>
        </w:tc>
        <w:tc>
          <w:tcPr>
            <w:tcW w:w="9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5420" w:type="dxa"/>
            <w:vAlign w:val="bottom"/>
          </w:tcPr>
          <w:p>
            <w:pPr>
              <w:spacing w:after="0"/>
              <w:rPr>
                <w:sz w:val="17"/>
                <w:szCs w:val="17"/>
                <w:color w:val="auto"/>
              </w:rPr>
            </w:pPr>
          </w:p>
        </w:tc>
        <w:tc>
          <w:tcPr>
            <w:tcW w:w="360" w:type="dxa"/>
            <w:vAlign w:val="bottom"/>
            <w:tcBorders>
              <w:bottom w:val="single" w:sz="8" w:color="004483"/>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605,068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004483"/>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509,694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1,166,455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004483"/>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985,464</w:t>
            </w:r>
          </w:p>
        </w:tc>
        <w:tc>
          <w:tcPr>
            <w:tcW w:w="100" w:type="dxa"/>
            <w:vAlign w:val="bottom"/>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1220" w:type="dxa"/>
            <w:vAlign w:val="bottom"/>
            <w:tcBorders>
              <w:bottom w:val="single" w:sz="8" w:color="004483"/>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004483"/>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60" w:type="dxa"/>
            <w:vAlign w:val="bottom"/>
            <w:tcBorders>
              <w:bottom w:val="single" w:sz="8" w:color="004483"/>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420" w:type="dxa"/>
            <w:vAlign w:val="bottom"/>
          </w:tcPr>
          <w:p>
            <w:pPr>
              <w:spacing w:after="0"/>
              <w:rPr>
                <w:sz w:val="24"/>
                <w:szCs w:val="24"/>
                <w:color w:val="auto"/>
              </w:rPr>
            </w:pPr>
          </w:p>
        </w:tc>
        <w:tc>
          <w:tcPr>
            <w:tcW w:w="124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1360" w:type="dxa"/>
            <w:vAlign w:val="bottom"/>
            <w:gridSpan w:val="3"/>
          </w:tcPr>
          <w:p>
            <w:pPr>
              <w:spacing w:after="0"/>
              <w:rPr>
                <w:sz w:val="24"/>
                <w:szCs w:val="24"/>
                <w:color w:val="auto"/>
              </w:rPr>
            </w:pPr>
          </w:p>
        </w:tc>
      </w:tr>
      <w:tr>
        <w:trPr>
          <w:trHeight w:val="162"/>
        </w:trPr>
        <w:tc>
          <w:tcPr>
            <w:tcW w:w="5420" w:type="dxa"/>
            <w:vAlign w:val="bottom"/>
          </w:tcPr>
          <w:p>
            <w:pPr>
              <w:spacing w:after="0"/>
              <w:rPr>
                <w:sz w:val="14"/>
                <w:szCs w:val="14"/>
                <w:color w:val="auto"/>
              </w:rPr>
            </w:pPr>
          </w:p>
        </w:tc>
        <w:tc>
          <w:tcPr>
            <w:tcW w:w="2860" w:type="dxa"/>
            <w:vAlign w:val="bottom"/>
            <w:gridSpan w:val="8"/>
            <w:shd w:val="clear" w:color="auto" w:fill="004483"/>
          </w:tcPr>
          <w:p>
            <w:pPr>
              <w:jc w:val="right"/>
              <w:ind w:right="180"/>
              <w:spacing w:after="0"/>
              <w:rPr>
                <w:sz w:val="20"/>
                <w:szCs w:val="20"/>
                <w:color w:val="auto"/>
              </w:rPr>
            </w:pPr>
            <w:r>
              <w:rPr>
                <w:rFonts w:ascii="Arial" w:cs="Arial" w:eastAsia="Arial" w:hAnsi="Arial"/>
                <w:sz w:val="13"/>
                <w:szCs w:val="13"/>
                <w:b w:val="1"/>
                <w:bCs w:val="1"/>
                <w:color w:val="FFFFFF"/>
                <w:w w:val="98"/>
              </w:rPr>
              <w:t>For the Three Months Ended September 30,</w:t>
            </w:r>
          </w:p>
        </w:tc>
        <w:tc>
          <w:tcPr>
            <w:tcW w:w="14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00" w:type="dxa"/>
            <w:vAlign w:val="bottom"/>
            <w:gridSpan w:val="7"/>
            <w:shd w:val="clear" w:color="auto" w:fill="004483"/>
          </w:tcPr>
          <w:p>
            <w:pPr>
              <w:jc w:val="right"/>
              <w:ind w:right="240"/>
              <w:spacing w:after="0"/>
              <w:rPr>
                <w:sz w:val="20"/>
                <w:szCs w:val="20"/>
                <w:color w:val="auto"/>
              </w:rPr>
            </w:pPr>
            <w:r>
              <w:rPr>
                <w:rFonts w:ascii="Arial" w:cs="Arial" w:eastAsia="Arial" w:hAnsi="Arial"/>
                <w:sz w:val="13"/>
                <w:szCs w:val="13"/>
                <w:b w:val="1"/>
                <w:bCs w:val="1"/>
                <w:color w:val="FFFFFF"/>
                <w:w w:val="96"/>
              </w:rPr>
              <w:t>For the Six Months Ended September 30,</w:t>
            </w:r>
          </w:p>
        </w:tc>
      </w:tr>
      <w:tr>
        <w:trPr>
          <w:trHeight w:val="156"/>
        </w:trPr>
        <w:tc>
          <w:tcPr>
            <w:tcW w:w="5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r>
      <w:tr>
        <w:trPr>
          <w:trHeight w:val="188"/>
        </w:trPr>
        <w:tc>
          <w:tcPr>
            <w:tcW w:w="5420" w:type="dxa"/>
            <w:vAlign w:val="bottom"/>
            <w:tcBorders>
              <w:bottom w:val="single" w:sz="8" w:color="004483"/>
            </w:tcBorders>
          </w:tcPr>
          <w:p>
            <w:pPr>
              <w:spacing w:after="0"/>
              <w:rPr>
                <w:sz w:val="16"/>
                <w:szCs w:val="16"/>
                <w:color w:val="auto"/>
              </w:rPr>
            </w:pPr>
          </w:p>
        </w:tc>
        <w:tc>
          <w:tcPr>
            <w:tcW w:w="360" w:type="dxa"/>
            <w:vAlign w:val="bottom"/>
            <w:tcBorders>
              <w:bottom w:val="single" w:sz="8" w:color="004483"/>
            </w:tcBorders>
          </w:tcPr>
          <w:p>
            <w:pPr>
              <w:spacing w:after="0"/>
              <w:rPr>
                <w:sz w:val="16"/>
                <w:szCs w:val="16"/>
                <w:color w:val="auto"/>
              </w:rPr>
            </w:pPr>
          </w:p>
        </w:tc>
        <w:tc>
          <w:tcPr>
            <w:tcW w:w="860" w:type="dxa"/>
            <w:vAlign w:val="bottom"/>
            <w:tcBorders>
              <w:bottom w:val="single" w:sz="8" w:color="004483"/>
            </w:tcBorders>
          </w:tcPr>
          <w:p>
            <w:pPr>
              <w:spacing w:after="0"/>
              <w:rPr>
                <w:sz w:val="16"/>
                <w:szCs w:val="16"/>
                <w:color w:val="auto"/>
              </w:rPr>
            </w:pPr>
          </w:p>
        </w:tc>
        <w:tc>
          <w:tcPr>
            <w:tcW w:w="2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380" w:type="dxa"/>
            <w:vAlign w:val="bottom"/>
            <w:tcBorders>
              <w:bottom w:val="single" w:sz="8" w:color="004483"/>
            </w:tcBorders>
          </w:tcPr>
          <w:p>
            <w:pPr>
              <w:spacing w:after="0"/>
              <w:rPr>
                <w:sz w:val="16"/>
                <w:szCs w:val="16"/>
                <w:color w:val="auto"/>
              </w:rPr>
            </w:pPr>
          </w:p>
        </w:tc>
        <w:tc>
          <w:tcPr>
            <w:tcW w:w="2460" w:type="dxa"/>
            <w:vAlign w:val="bottom"/>
            <w:tcBorders>
              <w:bottom w:val="single" w:sz="8" w:color="004483"/>
            </w:tcBorders>
            <w:gridSpan w:val="7"/>
          </w:tcPr>
          <w:p>
            <w:pPr>
              <w:ind w:left="380"/>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004483"/>
            </w:tcBorders>
          </w:tcPr>
          <w:p>
            <w:pPr>
              <w:spacing w:after="0"/>
              <w:rPr>
                <w:sz w:val="16"/>
                <w:szCs w:val="16"/>
                <w:color w:val="auto"/>
              </w:rPr>
            </w:pPr>
          </w:p>
        </w:tc>
        <w:tc>
          <w:tcPr>
            <w:tcW w:w="320" w:type="dxa"/>
            <w:vAlign w:val="bottom"/>
            <w:tcBorders>
              <w:bottom w:val="single" w:sz="8" w:color="004483"/>
            </w:tcBorders>
          </w:tcPr>
          <w:p>
            <w:pPr>
              <w:spacing w:after="0"/>
              <w:rPr>
                <w:sz w:val="16"/>
                <w:szCs w:val="16"/>
                <w:color w:val="auto"/>
              </w:rPr>
            </w:pPr>
          </w:p>
        </w:tc>
        <w:tc>
          <w:tcPr>
            <w:tcW w:w="94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4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Intersegment Revenue</w:t>
            </w:r>
          </w:p>
        </w:tc>
        <w:tc>
          <w:tcPr>
            <w:tcW w:w="36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spacing w:after="0"/>
              <w:rPr>
                <w:sz w:val="17"/>
                <w:szCs w:val="17"/>
                <w:color w:val="auto"/>
              </w:rPr>
            </w:pPr>
          </w:p>
        </w:tc>
        <w:tc>
          <w:tcPr>
            <w:tcW w:w="2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80" w:type="dxa"/>
            <w:vAlign w:val="bottom"/>
            <w:tcBorders>
              <w:bottom w:val="single" w:sz="8" w:color="A6A6A6"/>
            </w:tcBorders>
          </w:tcPr>
          <w:p>
            <w:pPr>
              <w:spacing w:after="0"/>
              <w:rPr>
                <w:sz w:val="17"/>
                <w:szCs w:val="17"/>
                <w:color w:val="auto"/>
              </w:rPr>
            </w:pPr>
          </w:p>
        </w:tc>
        <w:tc>
          <w:tcPr>
            <w:tcW w:w="88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320" w:type="dxa"/>
            <w:vAlign w:val="bottom"/>
            <w:tcBorders>
              <w:bottom w:val="single" w:sz="8" w:color="A6A6A6"/>
            </w:tcBorders>
          </w:tcPr>
          <w:p>
            <w:pPr>
              <w:spacing w:after="0"/>
              <w:rPr>
                <w:sz w:val="17"/>
                <w:szCs w:val="17"/>
                <w:color w:val="auto"/>
              </w:rPr>
            </w:pPr>
          </w:p>
        </w:tc>
        <w:tc>
          <w:tcPr>
            <w:tcW w:w="94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5420" w:type="dxa"/>
            <w:vAlign w:val="bottom"/>
          </w:tcPr>
          <w:p>
            <w:pPr>
              <w:ind w:left="200"/>
              <w:spacing w:after="0"/>
              <w:rPr>
                <w:sz w:val="20"/>
                <w:szCs w:val="20"/>
                <w:color w:val="auto"/>
              </w:rPr>
            </w:pPr>
            <w:r>
              <w:rPr>
                <w:rFonts w:ascii="Arial" w:cs="Arial" w:eastAsia="Arial" w:hAnsi="Arial"/>
                <w:sz w:val="16"/>
                <w:szCs w:val="16"/>
                <w:color w:val="004483"/>
              </w:rPr>
              <w:t>Cement</w:t>
            </w:r>
          </w:p>
        </w:tc>
        <w:tc>
          <w:tcPr>
            <w:tcW w:w="360" w:type="dxa"/>
            <w:vAlign w:val="bottom"/>
          </w:tcPr>
          <w:p>
            <w:pPr>
              <w:jc w:val="right"/>
              <w:ind w:right="187"/>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12,361</w:t>
            </w:r>
          </w:p>
        </w:tc>
        <w:tc>
          <w:tcPr>
            <w:tcW w:w="140" w:type="dxa"/>
            <w:vAlign w:val="bottom"/>
          </w:tcPr>
          <w:p>
            <w:pPr>
              <w:spacing w:after="0"/>
              <w:rPr>
                <w:sz w:val="16"/>
                <w:szCs w:val="16"/>
                <w:color w:val="auto"/>
              </w:rPr>
            </w:pP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5,223</w:t>
            </w:r>
          </w:p>
        </w:tc>
        <w:tc>
          <w:tcPr>
            <w:tcW w:w="10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18,652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13,056</w:t>
            </w:r>
          </w:p>
        </w:tc>
        <w:tc>
          <w:tcPr>
            <w:tcW w:w="100" w:type="dxa"/>
            <w:vAlign w:val="bottom"/>
          </w:tcPr>
          <w:p>
            <w:pPr>
              <w:spacing w:after="0"/>
              <w:rPr>
                <w:sz w:val="16"/>
                <w:szCs w:val="16"/>
                <w:color w:val="auto"/>
              </w:rPr>
            </w:pPr>
          </w:p>
        </w:tc>
      </w:tr>
      <w:tr>
        <w:trPr>
          <w:trHeight w:val="196"/>
        </w:trPr>
        <w:tc>
          <w:tcPr>
            <w:tcW w:w="5420" w:type="dxa"/>
            <w:vAlign w:val="bottom"/>
            <w:tcBorders>
              <w:top w:val="single" w:sz="8" w:color="A6A6A6"/>
            </w:tcBorders>
          </w:tcPr>
          <w:p>
            <w:pPr>
              <w:ind w:left="200"/>
              <w:spacing w:after="0"/>
              <w:rPr>
                <w:sz w:val="20"/>
                <w:szCs w:val="20"/>
                <w:color w:val="auto"/>
              </w:rPr>
            </w:pPr>
            <w:r>
              <w:rPr>
                <w:rFonts w:ascii="Arial" w:cs="Arial" w:eastAsia="Arial" w:hAnsi="Arial"/>
                <w:sz w:val="16"/>
                <w:szCs w:val="16"/>
                <w:color w:val="004483"/>
              </w:rPr>
              <w:t>Paperboard</w:t>
            </w:r>
          </w:p>
        </w:tc>
        <w:tc>
          <w:tcPr>
            <w:tcW w:w="360" w:type="dxa"/>
            <w:vAlign w:val="bottom"/>
            <w:tcBorders>
              <w:top w:val="single" w:sz="8" w:color="A6A6A6"/>
            </w:tcBorders>
          </w:tcPr>
          <w:p>
            <w:pPr>
              <w:spacing w:after="0"/>
              <w:rPr>
                <w:sz w:val="17"/>
                <w:szCs w:val="17"/>
                <w:color w:val="auto"/>
              </w:rPr>
            </w:pPr>
          </w:p>
        </w:tc>
        <w:tc>
          <w:tcPr>
            <w:tcW w:w="880" w:type="dxa"/>
            <w:vAlign w:val="bottom"/>
            <w:tcBorders>
              <w:top w:val="single" w:sz="8" w:color="A6A6A6"/>
            </w:tcBorders>
            <w:gridSpan w:val="2"/>
          </w:tcPr>
          <w:p>
            <w:pPr>
              <w:jc w:val="right"/>
              <w:spacing w:after="0"/>
              <w:rPr>
                <w:sz w:val="20"/>
                <w:szCs w:val="20"/>
                <w:color w:val="auto"/>
              </w:rPr>
            </w:pPr>
            <w:r>
              <w:rPr>
                <w:rFonts w:ascii="Arial" w:cs="Arial" w:eastAsia="Arial" w:hAnsi="Arial"/>
                <w:sz w:val="16"/>
                <w:szCs w:val="16"/>
                <w:color w:val="auto"/>
              </w:rPr>
              <w:t>24,825</w:t>
            </w:r>
          </w:p>
        </w:tc>
        <w:tc>
          <w:tcPr>
            <w:tcW w:w="140" w:type="dxa"/>
            <w:vAlign w:val="bottom"/>
          </w:tcPr>
          <w:p>
            <w:pPr>
              <w:spacing w:after="0"/>
              <w:rPr>
                <w:sz w:val="17"/>
                <w:szCs w:val="17"/>
                <w:color w:val="auto"/>
              </w:rPr>
            </w:pPr>
          </w:p>
        </w:tc>
        <w:tc>
          <w:tcPr>
            <w:tcW w:w="120" w:type="dxa"/>
            <w:vAlign w:val="bottom"/>
            <w:tcBorders>
              <w:top w:val="single" w:sz="8" w:color="A6A6A6"/>
            </w:tcBorders>
          </w:tcPr>
          <w:p>
            <w:pPr>
              <w:spacing w:after="0"/>
              <w:rPr>
                <w:sz w:val="17"/>
                <w:szCs w:val="17"/>
                <w:color w:val="auto"/>
              </w:rPr>
            </w:pPr>
          </w:p>
        </w:tc>
        <w:tc>
          <w:tcPr>
            <w:tcW w:w="380" w:type="dxa"/>
            <w:vAlign w:val="bottom"/>
            <w:tcBorders>
              <w:top w:val="single" w:sz="8" w:color="A6A6A6"/>
            </w:tcBorders>
          </w:tcPr>
          <w:p>
            <w:pPr>
              <w:spacing w:after="0"/>
              <w:rPr>
                <w:sz w:val="17"/>
                <w:szCs w:val="17"/>
                <w:color w:val="auto"/>
              </w:rPr>
            </w:pPr>
          </w:p>
        </w:tc>
        <w:tc>
          <w:tcPr>
            <w:tcW w:w="88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20,014</w:t>
            </w:r>
          </w:p>
        </w:tc>
        <w:tc>
          <w:tcPr>
            <w:tcW w:w="100" w:type="dxa"/>
            <w:vAlign w:val="bottom"/>
          </w:tcPr>
          <w:p>
            <w:pPr>
              <w:spacing w:after="0"/>
              <w:rPr>
                <w:sz w:val="17"/>
                <w:szCs w:val="17"/>
                <w:color w:val="auto"/>
              </w:rPr>
            </w:pPr>
          </w:p>
        </w:tc>
        <w:tc>
          <w:tcPr>
            <w:tcW w:w="140" w:type="dxa"/>
            <w:vAlign w:val="bottom"/>
            <w:tcBorders>
              <w:top w:val="single" w:sz="8" w:color="A6A6A6"/>
            </w:tcBorders>
          </w:tcPr>
          <w:p>
            <w:pPr>
              <w:spacing w:after="0"/>
              <w:rPr>
                <w:sz w:val="17"/>
                <w:szCs w:val="17"/>
                <w:color w:val="auto"/>
              </w:rPr>
            </w:pPr>
          </w:p>
        </w:tc>
        <w:tc>
          <w:tcPr>
            <w:tcW w:w="120" w:type="dxa"/>
            <w:vAlign w:val="bottom"/>
            <w:tcBorders>
              <w:top w:val="single" w:sz="8" w:color="A6A6A6"/>
            </w:tcBorders>
          </w:tcPr>
          <w:p>
            <w:pPr>
              <w:spacing w:after="0"/>
              <w:rPr>
                <w:sz w:val="17"/>
                <w:szCs w:val="17"/>
                <w:color w:val="auto"/>
              </w:rPr>
            </w:pPr>
          </w:p>
        </w:tc>
        <w:tc>
          <w:tcPr>
            <w:tcW w:w="110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47,366</w:t>
            </w:r>
          </w:p>
        </w:tc>
        <w:tc>
          <w:tcPr>
            <w:tcW w:w="100" w:type="dxa"/>
            <w:vAlign w:val="bottom"/>
          </w:tcPr>
          <w:p>
            <w:pPr>
              <w:spacing w:after="0"/>
              <w:rPr>
                <w:sz w:val="17"/>
                <w:szCs w:val="17"/>
                <w:color w:val="auto"/>
              </w:rPr>
            </w:pPr>
          </w:p>
        </w:tc>
        <w:tc>
          <w:tcPr>
            <w:tcW w:w="20" w:type="dxa"/>
            <w:vAlign w:val="bottom"/>
            <w:tcBorders>
              <w:top w:val="single" w:sz="8" w:color="A6A6A6"/>
            </w:tcBorders>
          </w:tcPr>
          <w:p>
            <w:pPr>
              <w:spacing w:after="0"/>
              <w:rPr>
                <w:sz w:val="17"/>
                <w:szCs w:val="17"/>
                <w:color w:val="auto"/>
              </w:rPr>
            </w:pPr>
          </w:p>
        </w:tc>
        <w:tc>
          <w:tcPr>
            <w:tcW w:w="120" w:type="dxa"/>
            <w:vAlign w:val="bottom"/>
            <w:tcBorders>
              <w:top w:val="single" w:sz="8" w:color="A6A6A6"/>
            </w:tcBorders>
          </w:tcPr>
          <w:p>
            <w:pPr>
              <w:spacing w:after="0"/>
              <w:rPr>
                <w:sz w:val="17"/>
                <w:szCs w:val="17"/>
                <w:color w:val="auto"/>
              </w:rPr>
            </w:pPr>
          </w:p>
        </w:tc>
        <w:tc>
          <w:tcPr>
            <w:tcW w:w="320" w:type="dxa"/>
            <w:vAlign w:val="bottom"/>
            <w:tcBorders>
              <w:top w:val="single" w:sz="8" w:color="A6A6A6"/>
            </w:tcBorders>
          </w:tcPr>
          <w:p>
            <w:pPr>
              <w:spacing w:after="0"/>
              <w:rPr>
                <w:sz w:val="17"/>
                <w:szCs w:val="17"/>
                <w:color w:val="auto"/>
              </w:rPr>
            </w:pPr>
          </w:p>
        </w:tc>
        <w:tc>
          <w:tcPr>
            <w:tcW w:w="940" w:type="dxa"/>
            <w:vAlign w:val="bottom"/>
            <w:tcBorders>
              <w:top w:val="single" w:sz="8" w:color="A6A6A6"/>
            </w:tcBorders>
          </w:tcPr>
          <w:p>
            <w:pPr>
              <w:jc w:val="right"/>
              <w:spacing w:after="0"/>
              <w:rPr>
                <w:sz w:val="20"/>
                <w:szCs w:val="20"/>
                <w:color w:val="auto"/>
              </w:rPr>
            </w:pPr>
            <w:r>
              <w:rPr>
                <w:rFonts w:ascii="Arial" w:cs="Arial" w:eastAsia="Arial" w:hAnsi="Arial"/>
                <w:sz w:val="16"/>
                <w:szCs w:val="16"/>
                <w:color w:val="auto"/>
              </w:rPr>
              <w:t>38,263</w:t>
            </w:r>
          </w:p>
        </w:tc>
        <w:tc>
          <w:tcPr>
            <w:tcW w:w="100" w:type="dxa"/>
            <w:vAlign w:val="bottom"/>
          </w:tcPr>
          <w:p>
            <w:pPr>
              <w:spacing w:after="0"/>
              <w:rPr>
                <w:sz w:val="17"/>
                <w:szCs w:val="17"/>
                <w:color w:val="auto"/>
              </w:rPr>
            </w:pPr>
          </w:p>
        </w:tc>
      </w:tr>
      <w:tr>
        <w:trPr>
          <w:trHeight w:val="30"/>
        </w:trPr>
        <w:tc>
          <w:tcPr>
            <w:tcW w:w="5420" w:type="dxa"/>
            <w:vAlign w:val="bottom"/>
            <w:tcBorders>
              <w:bottom w:val="single" w:sz="8" w:color="A6A6A6"/>
            </w:tcBorders>
          </w:tcPr>
          <w:p>
            <w:pPr>
              <w:spacing w:after="0"/>
              <w:rPr>
                <w:sz w:val="2"/>
                <w:szCs w:val="2"/>
                <w:color w:val="auto"/>
              </w:rPr>
            </w:pPr>
          </w:p>
        </w:tc>
        <w:tc>
          <w:tcPr>
            <w:tcW w:w="36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gridSpan w:val="2"/>
            <w:shd w:val="clear" w:color="auto" w:fill="004483"/>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380" w:type="dxa"/>
            <w:vAlign w:val="bottom"/>
            <w:tcBorders>
              <w:bottom w:val="single" w:sz="8" w:color="004483"/>
            </w:tcBorders>
            <w:shd w:val="clear" w:color="auto" w:fill="004483"/>
          </w:tcPr>
          <w:p>
            <w:pPr>
              <w:spacing w:after="0"/>
              <w:rPr>
                <w:sz w:val="2"/>
                <w:szCs w:val="2"/>
                <w:color w:val="auto"/>
              </w:rPr>
            </w:pPr>
          </w:p>
        </w:tc>
        <w:tc>
          <w:tcPr>
            <w:tcW w:w="88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20" w:type="dxa"/>
            <w:vAlign w:val="bottom"/>
            <w:tcBorders>
              <w:bottom w:val="single" w:sz="8" w:color="004483"/>
            </w:tcBorders>
            <w:shd w:val="clear" w:color="auto" w:fill="004483"/>
          </w:tcPr>
          <w:p>
            <w:pPr>
              <w:spacing w:after="0"/>
              <w:rPr>
                <w:sz w:val="2"/>
                <w:szCs w:val="2"/>
                <w:color w:val="auto"/>
              </w:rPr>
            </w:pPr>
          </w:p>
        </w:tc>
        <w:tc>
          <w:tcPr>
            <w:tcW w:w="110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6A6A6"/>
            </w:tcBorders>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320" w:type="dxa"/>
            <w:vAlign w:val="bottom"/>
            <w:tcBorders>
              <w:bottom w:val="single" w:sz="8" w:color="004483"/>
            </w:tcBorders>
            <w:shd w:val="clear" w:color="auto" w:fill="004483"/>
          </w:tcPr>
          <w:p>
            <w:pPr>
              <w:spacing w:after="0"/>
              <w:rPr>
                <w:sz w:val="2"/>
                <w:szCs w:val="2"/>
                <w:color w:val="auto"/>
              </w:rPr>
            </w:pPr>
          </w:p>
        </w:tc>
        <w:tc>
          <w:tcPr>
            <w:tcW w:w="9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5420" w:type="dxa"/>
            <w:vAlign w:val="bottom"/>
          </w:tcPr>
          <w:p>
            <w:pPr>
              <w:spacing w:after="0"/>
              <w:rPr>
                <w:sz w:val="17"/>
                <w:szCs w:val="17"/>
                <w:color w:val="auto"/>
              </w:rPr>
            </w:pPr>
          </w:p>
        </w:tc>
        <w:tc>
          <w:tcPr>
            <w:tcW w:w="360" w:type="dxa"/>
            <w:vAlign w:val="bottom"/>
            <w:tcBorders>
              <w:bottom w:val="single" w:sz="8" w:color="004483"/>
            </w:tcBorders>
          </w:tcPr>
          <w:p>
            <w:pPr>
              <w:jc w:val="right"/>
              <w:ind w:right="187"/>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37,186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004483"/>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25,237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66,018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004483"/>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51,319</w:t>
            </w:r>
          </w:p>
        </w:tc>
        <w:tc>
          <w:tcPr>
            <w:tcW w:w="100" w:type="dxa"/>
            <w:vAlign w:val="bottom"/>
          </w:tcPr>
          <w:p>
            <w:pPr>
              <w:spacing w:after="0"/>
              <w:rPr>
                <w:sz w:val="17"/>
                <w:szCs w:val="17"/>
                <w:color w:val="auto"/>
              </w:rPr>
            </w:pPr>
          </w:p>
        </w:tc>
      </w:tr>
      <w:tr>
        <w:trPr>
          <w:trHeight w:val="20"/>
        </w:trPr>
        <w:tc>
          <w:tcPr>
            <w:tcW w:w="5420" w:type="dxa"/>
            <w:vAlign w:val="bottom"/>
            <w:tcBorders>
              <w:bottom w:val="single" w:sz="8" w:color="A6A6A6"/>
            </w:tcBorders>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2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42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Cement Sales Volume (M tons)</w:t>
            </w:r>
          </w:p>
        </w:tc>
        <w:tc>
          <w:tcPr>
            <w:tcW w:w="36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spacing w:after="0"/>
              <w:rPr>
                <w:sz w:val="15"/>
                <w:szCs w:val="15"/>
                <w:color w:val="auto"/>
              </w:rPr>
            </w:pPr>
          </w:p>
        </w:tc>
        <w:tc>
          <w:tcPr>
            <w:tcW w:w="20" w:type="dxa"/>
            <w:vAlign w:val="bottom"/>
            <w:tcBorders>
              <w:bottom w:val="single" w:sz="8" w:color="A6A6A6"/>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80" w:type="dxa"/>
            <w:vAlign w:val="bottom"/>
            <w:tcBorders>
              <w:bottom w:val="single" w:sz="8" w:color="A6A6A6"/>
            </w:tcBorders>
          </w:tcPr>
          <w:p>
            <w:pPr>
              <w:spacing w:after="0"/>
              <w:rPr>
                <w:sz w:val="15"/>
                <w:szCs w:val="15"/>
                <w:color w:val="auto"/>
              </w:rPr>
            </w:pPr>
          </w:p>
        </w:tc>
        <w:tc>
          <w:tcPr>
            <w:tcW w:w="88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110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320" w:type="dxa"/>
            <w:vAlign w:val="bottom"/>
            <w:tcBorders>
              <w:bottom w:val="single" w:sz="8" w:color="A6A6A6"/>
            </w:tcBorders>
          </w:tcPr>
          <w:p>
            <w:pPr>
              <w:spacing w:after="0"/>
              <w:rPr>
                <w:sz w:val="15"/>
                <w:szCs w:val="15"/>
                <w:color w:val="auto"/>
              </w:rPr>
            </w:pPr>
          </w:p>
        </w:tc>
        <w:tc>
          <w:tcPr>
            <w:tcW w:w="94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54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Wholly Owned</w:t>
            </w:r>
          </w:p>
        </w:tc>
        <w:tc>
          <w:tcPr>
            <w:tcW w:w="360" w:type="dxa"/>
            <w:vAlign w:val="bottom"/>
            <w:tcBorders>
              <w:bottom w:val="single" w:sz="8" w:color="A6A6A6"/>
            </w:tcBorders>
          </w:tcPr>
          <w:p>
            <w:pPr>
              <w:spacing w:after="0"/>
              <w:rPr>
                <w:sz w:val="16"/>
                <w:szCs w:val="16"/>
                <w:color w:val="auto"/>
              </w:rPr>
            </w:pPr>
          </w:p>
        </w:tc>
        <w:tc>
          <w:tcPr>
            <w:tcW w:w="88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1,981</w:t>
            </w:r>
          </w:p>
        </w:tc>
        <w:tc>
          <w:tcPr>
            <w:tcW w:w="14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380" w:type="dxa"/>
            <w:vAlign w:val="bottom"/>
            <w:tcBorders>
              <w:bottom w:val="single" w:sz="8" w:color="A6A6A6"/>
            </w:tcBorders>
          </w:tcPr>
          <w:p>
            <w:pPr>
              <w:spacing w:after="0"/>
              <w:rPr>
                <w:sz w:val="16"/>
                <w:szCs w:val="16"/>
                <w:color w:val="auto"/>
              </w:rPr>
            </w:pPr>
          </w:p>
        </w:tc>
        <w:tc>
          <w:tcPr>
            <w:tcW w:w="8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1,983</w:t>
            </w:r>
          </w:p>
        </w:tc>
        <w:tc>
          <w:tcPr>
            <w:tcW w:w="100" w:type="dxa"/>
            <w:vAlign w:val="bottom"/>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10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3,786</w:t>
            </w:r>
          </w:p>
        </w:tc>
        <w:tc>
          <w:tcPr>
            <w:tcW w:w="100" w:type="dxa"/>
            <w:vAlign w:val="bottom"/>
          </w:tcPr>
          <w:p>
            <w:pPr>
              <w:spacing w:after="0"/>
              <w:rPr>
                <w:sz w:val="16"/>
                <w:szCs w:val="16"/>
                <w:color w:val="auto"/>
              </w:rPr>
            </w:pPr>
          </w:p>
        </w:tc>
        <w:tc>
          <w:tcPr>
            <w:tcW w:w="2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320" w:type="dxa"/>
            <w:vAlign w:val="bottom"/>
            <w:tcBorders>
              <w:bottom w:val="single" w:sz="8" w:color="A6A6A6"/>
            </w:tcBorders>
          </w:tcPr>
          <w:p>
            <w:pPr>
              <w:spacing w:after="0"/>
              <w:rPr>
                <w:sz w:val="16"/>
                <w:szCs w:val="16"/>
                <w:color w:val="auto"/>
              </w:rPr>
            </w:pPr>
          </w:p>
        </w:tc>
        <w:tc>
          <w:tcPr>
            <w:tcW w:w="94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3,835</w:t>
            </w:r>
          </w:p>
        </w:tc>
        <w:tc>
          <w:tcPr>
            <w:tcW w:w="100" w:type="dxa"/>
            <w:vAlign w:val="bottom"/>
          </w:tcPr>
          <w:p>
            <w:pPr>
              <w:spacing w:after="0"/>
              <w:rPr>
                <w:sz w:val="16"/>
                <w:szCs w:val="16"/>
                <w:color w:val="auto"/>
              </w:rPr>
            </w:pPr>
          </w:p>
        </w:tc>
      </w:tr>
      <w:tr>
        <w:trPr>
          <w:trHeight w:val="226"/>
        </w:trPr>
        <w:tc>
          <w:tcPr>
            <w:tcW w:w="542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Joint Venture</w:t>
            </w:r>
          </w:p>
        </w:tc>
        <w:tc>
          <w:tcPr>
            <w:tcW w:w="360" w:type="dxa"/>
            <w:vAlign w:val="bottom"/>
            <w:tcBorders>
              <w:bottom w:val="single" w:sz="8" w:color="004483"/>
            </w:tcBorders>
          </w:tcPr>
          <w:p>
            <w:pPr>
              <w:spacing w:after="0"/>
              <w:rPr>
                <w:sz w:val="19"/>
                <w:szCs w:val="19"/>
                <w:color w:val="auto"/>
              </w:rPr>
            </w:pPr>
          </w:p>
        </w:tc>
        <w:tc>
          <w:tcPr>
            <w:tcW w:w="88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164</w:t>
            </w:r>
          </w:p>
        </w:tc>
        <w:tc>
          <w:tcPr>
            <w:tcW w:w="14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380" w:type="dxa"/>
            <w:vAlign w:val="bottom"/>
            <w:tcBorders>
              <w:bottom w:val="single" w:sz="8" w:color="004483"/>
            </w:tcBorders>
          </w:tcPr>
          <w:p>
            <w:pPr>
              <w:spacing w:after="0"/>
              <w:rPr>
                <w:sz w:val="19"/>
                <w:szCs w:val="19"/>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9"/>
                <w:szCs w:val="19"/>
                <w:color w:val="auto"/>
              </w:rPr>
            </w:pPr>
          </w:p>
        </w:tc>
        <w:tc>
          <w:tcPr>
            <w:tcW w:w="20" w:type="dxa"/>
            <w:vAlign w:val="bottom"/>
            <w:tcBorders>
              <w:bottom w:val="single" w:sz="8" w:color="A6A6A6"/>
            </w:tcBorders>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320" w:type="dxa"/>
            <w:vAlign w:val="bottom"/>
            <w:tcBorders>
              <w:bottom w:val="single" w:sz="8" w:color="004483"/>
            </w:tcBorders>
          </w:tcPr>
          <w:p>
            <w:pPr>
              <w:spacing w:after="0"/>
              <w:rPr>
                <w:sz w:val="19"/>
                <w:szCs w:val="19"/>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9"/>
                <w:szCs w:val="19"/>
                <w:color w:val="auto"/>
              </w:rPr>
            </w:pPr>
          </w:p>
        </w:tc>
      </w:tr>
      <w:tr>
        <w:trPr>
          <w:trHeight w:val="196"/>
        </w:trPr>
        <w:tc>
          <w:tcPr>
            <w:tcW w:w="5420" w:type="dxa"/>
            <w:vAlign w:val="bottom"/>
          </w:tcPr>
          <w:p>
            <w:pPr>
              <w:spacing w:after="0"/>
              <w:rPr>
                <w:sz w:val="17"/>
                <w:szCs w:val="17"/>
                <w:color w:val="auto"/>
              </w:rPr>
            </w:pPr>
          </w:p>
        </w:tc>
        <w:tc>
          <w:tcPr>
            <w:tcW w:w="360" w:type="dxa"/>
            <w:vAlign w:val="bottom"/>
            <w:tcBorders>
              <w:bottom w:val="single" w:sz="8" w:color="004483"/>
            </w:tcBorders>
          </w:tcPr>
          <w:p>
            <w:pPr>
              <w:spacing w:after="0"/>
              <w:rPr>
                <w:sz w:val="17"/>
                <w:szCs w:val="17"/>
                <w:color w:val="auto"/>
              </w:rPr>
            </w:pPr>
          </w:p>
        </w:tc>
        <w:tc>
          <w:tcPr>
            <w:tcW w:w="88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2,145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004483"/>
            </w:tcBorders>
          </w:tcPr>
          <w:p>
            <w:pPr>
              <w:spacing w:after="0"/>
              <w:rPr>
                <w:sz w:val="17"/>
                <w:szCs w:val="17"/>
                <w:color w:val="auto"/>
              </w:rPr>
            </w:pPr>
          </w:p>
        </w:tc>
        <w:tc>
          <w:tcPr>
            <w:tcW w:w="8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2,198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004483"/>
            </w:tcBorders>
          </w:tcPr>
          <w:p>
            <w:pPr>
              <w:spacing w:after="0"/>
              <w:rPr>
                <w:sz w:val="17"/>
                <w:szCs w:val="17"/>
                <w:color w:val="auto"/>
              </w:rPr>
            </w:pP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4,138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004483"/>
            </w:tcBorders>
          </w:tcPr>
          <w:p>
            <w:pPr>
              <w:spacing w:after="0"/>
              <w:rPr>
                <w:sz w:val="17"/>
                <w:szCs w:val="17"/>
                <w:color w:val="auto"/>
              </w:rPr>
            </w:pPr>
          </w:p>
        </w:tc>
        <w:tc>
          <w:tcPr>
            <w:tcW w:w="9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4,234</w:t>
            </w:r>
          </w:p>
        </w:tc>
        <w:tc>
          <w:tcPr>
            <w:tcW w:w="100" w:type="dxa"/>
            <w:vAlign w:val="bottom"/>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36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2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004483"/>
            </w:tcBorders>
          </w:tcPr>
          <w:p>
            <w:pPr>
              <w:spacing w:after="0" w:line="20" w:lineRule="exact"/>
              <w:rPr>
                <w:sz w:val="1"/>
                <w:szCs w:val="1"/>
                <w:color w:val="auto"/>
              </w:rPr>
            </w:pPr>
          </w:p>
        </w:tc>
        <w:tc>
          <w:tcPr>
            <w:tcW w:w="9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8"/>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8"/>
            <w:shd w:val="clear" w:color="auto" w:fill="004483"/>
          </w:tcPr>
          <w:p>
            <w:pPr>
              <w:jc w:val="right"/>
              <w:ind w:right="200"/>
              <w:spacing w:after="0"/>
              <w:rPr>
                <w:sz w:val="20"/>
                <w:szCs w:val="20"/>
                <w:color w:val="auto"/>
              </w:rPr>
            </w:pPr>
            <w:r>
              <w:rPr>
                <w:rFonts w:ascii="Arial" w:cs="Arial" w:eastAsia="Arial" w:hAnsi="Arial"/>
                <w:sz w:val="13"/>
                <w:szCs w:val="13"/>
                <w:b w:val="1"/>
                <w:bCs w:val="1"/>
                <w:color w:val="FFFFFF"/>
                <w:w w:val="98"/>
              </w:rPr>
              <w:t>For the Three Months Ended September 30,</w:t>
            </w:r>
          </w:p>
        </w:tc>
        <w:tc>
          <w:tcPr>
            <w:tcW w:w="14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00" w:type="dxa"/>
            <w:vAlign w:val="bottom"/>
            <w:gridSpan w:val="8"/>
            <w:shd w:val="clear" w:color="auto" w:fill="004483"/>
          </w:tcPr>
          <w:p>
            <w:pPr>
              <w:jc w:val="right"/>
              <w:ind w:right="240"/>
              <w:spacing w:after="0"/>
              <w:rPr>
                <w:sz w:val="20"/>
                <w:szCs w:val="20"/>
                <w:color w:val="auto"/>
              </w:rPr>
            </w:pPr>
            <w:r>
              <w:rPr>
                <w:rFonts w:ascii="Arial" w:cs="Arial" w:eastAsia="Arial" w:hAnsi="Arial"/>
                <w:sz w:val="13"/>
                <w:szCs w:val="13"/>
                <w:b w:val="1"/>
                <w:bCs w:val="1"/>
                <w:color w:val="FFFFFF"/>
                <w:w w:val="96"/>
              </w:rPr>
              <w:t>For the Six Months Ended September 30,</w:t>
            </w:r>
          </w:p>
        </w:tc>
      </w:tr>
      <w:tr>
        <w:trPr>
          <w:trHeight w:val="156"/>
        </w:trPr>
        <w:tc>
          <w:tcPr>
            <w:tcW w:w="5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r>
      <w:tr>
        <w:trPr>
          <w:trHeight w:val="188"/>
        </w:trPr>
        <w:tc>
          <w:tcPr>
            <w:tcW w:w="524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380" w:type="dxa"/>
            <w:vAlign w:val="bottom"/>
            <w:tcBorders>
              <w:bottom w:val="single" w:sz="8" w:color="004483"/>
            </w:tcBorders>
          </w:tcPr>
          <w:p>
            <w:pPr>
              <w:spacing w:after="0"/>
              <w:rPr>
                <w:sz w:val="16"/>
                <w:szCs w:val="16"/>
                <w:color w:val="auto"/>
              </w:rPr>
            </w:pPr>
          </w:p>
        </w:tc>
        <w:tc>
          <w:tcPr>
            <w:tcW w:w="1700" w:type="dxa"/>
            <w:vAlign w:val="bottom"/>
            <w:tcBorders>
              <w:bottom w:val="single" w:sz="8" w:color="004483"/>
            </w:tcBorders>
            <w:gridSpan w:val="4"/>
          </w:tcPr>
          <w:p>
            <w:pPr>
              <w:jc w:val="right"/>
              <w:ind w:right="19"/>
              <w:spacing w:after="0"/>
              <w:rPr>
                <w:sz w:val="20"/>
                <w:szCs w:val="20"/>
                <w:color w:val="auto"/>
              </w:rPr>
            </w:pPr>
            <w:r>
              <w:rPr>
                <w:rFonts w:ascii="Arial" w:cs="Arial" w:eastAsia="Arial" w:hAnsi="Arial"/>
                <w:sz w:val="13"/>
                <w:szCs w:val="13"/>
                <w:color w:val="auto"/>
              </w:rPr>
              <w:t>(dollars in thousands)</w:t>
            </w:r>
          </w:p>
        </w:tc>
        <w:tc>
          <w:tcPr>
            <w:tcW w:w="260" w:type="dxa"/>
            <w:vAlign w:val="bottom"/>
            <w:tcBorders>
              <w:bottom w:val="single" w:sz="8" w:color="004483"/>
            </w:tcBorders>
          </w:tcPr>
          <w:p>
            <w:pPr>
              <w:spacing w:after="0"/>
              <w:rPr>
                <w:sz w:val="16"/>
                <w:szCs w:val="16"/>
                <w:color w:val="auto"/>
              </w:rPr>
            </w:pPr>
          </w:p>
        </w:tc>
        <w:tc>
          <w:tcPr>
            <w:tcW w:w="44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840" w:type="dxa"/>
            <w:vAlign w:val="bottom"/>
            <w:tcBorders>
              <w:bottom w:val="single" w:sz="8" w:color="004483"/>
            </w:tcBorders>
            <w:gridSpan w:val="6"/>
          </w:tcPr>
          <w:p>
            <w:pPr>
              <w:jc w:val="right"/>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40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Operating Earnings</w:t>
            </w:r>
          </w:p>
        </w:tc>
        <w:tc>
          <w:tcPr>
            <w:tcW w:w="38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560" w:type="dxa"/>
            <w:vAlign w:val="bottom"/>
            <w:tcBorders>
              <w:bottom w:val="single" w:sz="8" w:color="A6A6A6"/>
            </w:tcBorders>
          </w:tcPr>
          <w:p>
            <w:pPr>
              <w:spacing w:after="0"/>
              <w:rPr>
                <w:sz w:val="17"/>
                <w:szCs w:val="17"/>
                <w:color w:val="auto"/>
              </w:rPr>
            </w:pPr>
          </w:p>
        </w:tc>
        <w:tc>
          <w:tcPr>
            <w:tcW w:w="260" w:type="dxa"/>
            <w:vAlign w:val="bottom"/>
            <w:tcBorders>
              <w:bottom w:val="single" w:sz="8" w:color="A6A6A6"/>
            </w:tcBorders>
          </w:tcPr>
          <w:p>
            <w:pPr>
              <w:spacing w:after="0"/>
              <w:rPr>
                <w:sz w:val="17"/>
                <w:szCs w:val="17"/>
                <w:color w:val="auto"/>
              </w:rPr>
            </w:pPr>
          </w:p>
        </w:tc>
        <w:tc>
          <w:tcPr>
            <w:tcW w:w="44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240" w:type="dxa"/>
            <w:vAlign w:val="bottom"/>
            <w:tcBorders>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540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Cement</w:t>
            </w:r>
          </w:p>
        </w:tc>
        <w:tc>
          <w:tcPr>
            <w:tcW w:w="380" w:type="dxa"/>
            <w:vAlign w:val="bottom"/>
            <w:tcBorders>
              <w:bottom w:val="single" w:sz="8" w:color="A6A6A6"/>
            </w:tcBorders>
          </w:tcPr>
          <w:p>
            <w:pPr>
              <w:jc w:val="right"/>
              <w:ind w:right="20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98,779</w:t>
            </w:r>
          </w:p>
        </w:tc>
        <w:tc>
          <w:tcPr>
            <w:tcW w:w="140" w:type="dxa"/>
            <w:vAlign w:val="bottom"/>
          </w:tcPr>
          <w:p>
            <w:pPr>
              <w:spacing w:after="0"/>
              <w:rPr>
                <w:sz w:val="16"/>
                <w:szCs w:val="16"/>
                <w:color w:val="auto"/>
              </w:rPr>
            </w:pPr>
          </w:p>
        </w:tc>
        <w:tc>
          <w:tcPr>
            <w:tcW w:w="700" w:type="dxa"/>
            <w:vAlign w:val="bottom"/>
            <w:tcBorders>
              <w:bottom w:val="single" w:sz="8" w:color="A6A6A6"/>
            </w:tcBorders>
            <w:gridSpan w:val="2"/>
          </w:tcPr>
          <w:p>
            <w:pPr>
              <w:jc w:val="right"/>
              <w:ind w:right="3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88,750</w:t>
            </w:r>
          </w:p>
        </w:tc>
        <w:tc>
          <w:tcPr>
            <w:tcW w:w="100" w:type="dxa"/>
            <w:vAlign w:val="bottom"/>
          </w:tcPr>
          <w:p>
            <w:pPr>
              <w:spacing w:after="0"/>
              <w:rPr>
                <w:sz w:val="16"/>
                <w:szCs w:val="16"/>
                <w:color w:val="auto"/>
              </w:rPr>
            </w:pPr>
          </w:p>
        </w:tc>
        <w:tc>
          <w:tcPr>
            <w:tcW w:w="260" w:type="dxa"/>
            <w:vAlign w:val="bottom"/>
            <w:tcBorders>
              <w:bottom w:val="single" w:sz="8" w:color="A6A6A6"/>
            </w:tcBorders>
            <w:gridSpan w:val="2"/>
          </w:tcPr>
          <w:p>
            <w:pPr>
              <w:ind w:lef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161,127</w:t>
            </w:r>
          </w:p>
        </w:tc>
        <w:tc>
          <w:tcPr>
            <w:tcW w:w="120" w:type="dxa"/>
            <w:vAlign w:val="bottom"/>
          </w:tcPr>
          <w:p>
            <w:pPr>
              <w:spacing w:after="0"/>
              <w:rPr>
                <w:sz w:val="16"/>
                <w:szCs w:val="16"/>
                <w:color w:val="auto"/>
              </w:rPr>
            </w:pPr>
          </w:p>
        </w:tc>
        <w:tc>
          <w:tcPr>
            <w:tcW w:w="620" w:type="dxa"/>
            <w:vAlign w:val="bottom"/>
            <w:tcBorders>
              <w:bottom w:val="single" w:sz="8" w:color="A6A6A6"/>
            </w:tcBorders>
            <w:gridSpan w:val="2"/>
          </w:tcPr>
          <w:p>
            <w:pPr>
              <w:jc w:val="right"/>
              <w:ind w:right="2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151,297</w:t>
            </w:r>
          </w:p>
        </w:tc>
        <w:tc>
          <w:tcPr>
            <w:tcW w:w="100" w:type="dxa"/>
            <w:vAlign w:val="bottom"/>
          </w:tcPr>
          <w:p>
            <w:pPr>
              <w:spacing w:after="0"/>
              <w:rPr>
                <w:sz w:val="16"/>
                <w:szCs w:val="16"/>
                <w:color w:val="auto"/>
              </w:rPr>
            </w:pPr>
          </w:p>
        </w:tc>
      </w:tr>
      <w:tr>
        <w:trPr>
          <w:trHeight w:val="196"/>
        </w:trPr>
        <w:tc>
          <w:tcPr>
            <w:tcW w:w="540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Concrete and Aggregates</w:t>
            </w:r>
          </w:p>
        </w:tc>
        <w:tc>
          <w:tcPr>
            <w:tcW w:w="38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7,276</w:t>
            </w:r>
          </w:p>
        </w:tc>
        <w:tc>
          <w:tcPr>
            <w:tcW w:w="14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56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7,539</w:t>
            </w: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13,008</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12,883</w:t>
            </w:r>
          </w:p>
        </w:tc>
        <w:tc>
          <w:tcPr>
            <w:tcW w:w="100" w:type="dxa"/>
            <w:vAlign w:val="bottom"/>
          </w:tcPr>
          <w:p>
            <w:pPr>
              <w:spacing w:after="0"/>
              <w:rPr>
                <w:sz w:val="17"/>
                <w:szCs w:val="17"/>
                <w:color w:val="auto"/>
              </w:rPr>
            </w:pPr>
          </w:p>
        </w:tc>
      </w:tr>
      <w:tr>
        <w:trPr>
          <w:trHeight w:val="196"/>
        </w:trPr>
        <w:tc>
          <w:tcPr>
            <w:tcW w:w="540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Gypsum Wallboard</w:t>
            </w:r>
          </w:p>
        </w:tc>
        <w:tc>
          <w:tcPr>
            <w:tcW w:w="38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89,761</w:t>
            </w:r>
          </w:p>
        </w:tc>
        <w:tc>
          <w:tcPr>
            <w:tcW w:w="14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56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66,331</w:t>
            </w: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173,829</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129,584</w:t>
            </w:r>
          </w:p>
        </w:tc>
        <w:tc>
          <w:tcPr>
            <w:tcW w:w="100" w:type="dxa"/>
            <w:vAlign w:val="bottom"/>
          </w:tcPr>
          <w:p>
            <w:pPr>
              <w:spacing w:after="0"/>
              <w:rPr>
                <w:sz w:val="17"/>
                <w:szCs w:val="17"/>
                <w:color w:val="auto"/>
              </w:rPr>
            </w:pPr>
          </w:p>
        </w:tc>
      </w:tr>
      <w:tr>
        <w:trPr>
          <w:trHeight w:val="226"/>
        </w:trPr>
        <w:tc>
          <w:tcPr>
            <w:tcW w:w="540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Paperboard</w:t>
            </w:r>
          </w:p>
        </w:tc>
        <w:tc>
          <w:tcPr>
            <w:tcW w:w="380" w:type="dxa"/>
            <w:vAlign w:val="bottom"/>
            <w:tcBorders>
              <w:bottom w:val="single" w:sz="8" w:color="004483"/>
            </w:tcBorders>
          </w:tcPr>
          <w:p>
            <w:pPr>
              <w:spacing w:after="0"/>
              <w:rPr>
                <w:sz w:val="19"/>
                <w:szCs w:val="19"/>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5,579</w:t>
            </w:r>
          </w:p>
        </w:tc>
        <w:tc>
          <w:tcPr>
            <w:tcW w:w="14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560" w:type="dxa"/>
            <w:vAlign w:val="bottom"/>
            <w:tcBorders>
              <w:bottom w:val="single" w:sz="8" w:color="004483"/>
            </w:tcBorders>
          </w:tcPr>
          <w:p>
            <w:pPr>
              <w:spacing w:after="0"/>
              <w:rPr>
                <w:sz w:val="19"/>
                <w:szCs w:val="19"/>
                <w:color w:val="auto"/>
              </w:rPr>
            </w:pP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color w:val="auto"/>
              </w:rPr>
              <w:t>981</w:t>
            </w:r>
          </w:p>
        </w:tc>
        <w:tc>
          <w:tcPr>
            <w:tcW w:w="100" w:type="dxa"/>
            <w:vAlign w:val="bottom"/>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1100" w:type="dxa"/>
            <w:vAlign w:val="bottom"/>
            <w:tcBorders>
              <w:bottom w:val="single" w:sz="8" w:color="004483"/>
            </w:tcBorders>
            <w:gridSpan w:val="3"/>
          </w:tcPr>
          <w:p>
            <w:pPr>
              <w:jc w:val="right"/>
              <w:spacing w:after="0"/>
              <w:rPr>
                <w:sz w:val="20"/>
                <w:szCs w:val="20"/>
                <w:color w:val="auto"/>
              </w:rPr>
            </w:pPr>
            <w:r>
              <w:rPr>
                <w:rFonts w:ascii="Arial" w:cs="Arial" w:eastAsia="Arial" w:hAnsi="Arial"/>
                <w:sz w:val="16"/>
                <w:szCs w:val="16"/>
                <w:color w:val="auto"/>
              </w:rPr>
              <w:t>9,395</w:t>
            </w:r>
          </w:p>
        </w:tc>
        <w:tc>
          <w:tcPr>
            <w:tcW w:w="120" w:type="dxa"/>
            <w:vAlign w:val="bottom"/>
          </w:tcPr>
          <w:p>
            <w:pPr>
              <w:spacing w:after="0"/>
              <w:rPr>
                <w:sz w:val="19"/>
                <w:szCs w:val="19"/>
                <w:color w:val="auto"/>
              </w:rPr>
            </w:pPr>
          </w:p>
        </w:tc>
        <w:tc>
          <w:tcPr>
            <w:tcW w:w="120" w:type="dxa"/>
            <w:vAlign w:val="bottom"/>
            <w:tcBorders>
              <w:bottom w:val="single" w:sz="8" w:color="A6A6A6"/>
            </w:tcBorders>
          </w:tcPr>
          <w:p>
            <w:pPr>
              <w:spacing w:after="0"/>
              <w:rPr>
                <w:sz w:val="19"/>
                <w:szCs w:val="19"/>
                <w:color w:val="auto"/>
              </w:rPr>
            </w:pPr>
          </w:p>
        </w:tc>
        <w:tc>
          <w:tcPr>
            <w:tcW w:w="500" w:type="dxa"/>
            <w:vAlign w:val="bottom"/>
            <w:tcBorders>
              <w:bottom w:val="single" w:sz="8" w:color="004483"/>
            </w:tcBorders>
          </w:tcPr>
          <w:p>
            <w:pPr>
              <w:spacing w:after="0"/>
              <w:rPr>
                <w:sz w:val="19"/>
                <w:szCs w:val="19"/>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4,318</w:t>
            </w:r>
          </w:p>
        </w:tc>
        <w:tc>
          <w:tcPr>
            <w:tcW w:w="100" w:type="dxa"/>
            <w:vAlign w:val="bottom"/>
          </w:tcPr>
          <w:p>
            <w:pPr>
              <w:spacing w:after="0"/>
              <w:rPr>
                <w:sz w:val="19"/>
                <w:szCs w:val="19"/>
                <w:color w:val="auto"/>
              </w:rPr>
            </w:pPr>
          </w:p>
        </w:tc>
      </w:tr>
      <w:tr>
        <w:trPr>
          <w:trHeight w:val="193"/>
        </w:trPr>
        <w:tc>
          <w:tcPr>
            <w:tcW w:w="5400" w:type="dxa"/>
            <w:vAlign w:val="bottom"/>
            <w:tcBorders>
              <w:bottom w:val="single" w:sz="8" w:color="A6A6A6"/>
            </w:tcBorders>
            <w:gridSpan w:val="2"/>
          </w:tcPr>
          <w:p>
            <w:pPr>
              <w:ind w:left="380"/>
              <w:spacing w:after="0"/>
              <w:rPr>
                <w:sz w:val="20"/>
                <w:szCs w:val="20"/>
                <w:color w:val="auto"/>
              </w:rPr>
            </w:pPr>
            <w:r>
              <w:rPr>
                <w:rFonts w:ascii="Arial" w:cs="Arial" w:eastAsia="Arial" w:hAnsi="Arial"/>
                <w:sz w:val="16"/>
                <w:szCs w:val="16"/>
                <w:color w:val="004483"/>
              </w:rPr>
              <w:t>Sub-Total</w:t>
            </w:r>
          </w:p>
        </w:tc>
        <w:tc>
          <w:tcPr>
            <w:tcW w:w="380" w:type="dxa"/>
            <w:vAlign w:val="bottom"/>
            <w:tcBorders>
              <w:bottom w:val="single" w:sz="8" w:color="A6A6A6"/>
            </w:tcBorders>
          </w:tcPr>
          <w:p>
            <w:pPr>
              <w:spacing w:after="0"/>
              <w:rPr>
                <w:sz w:val="16"/>
                <w:szCs w:val="16"/>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201,395</w:t>
            </w:r>
          </w:p>
        </w:tc>
        <w:tc>
          <w:tcPr>
            <w:tcW w:w="140" w:type="dxa"/>
            <w:vAlign w:val="bottom"/>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560" w:type="dxa"/>
            <w:vAlign w:val="bottom"/>
            <w:tcBorders>
              <w:bottom w:val="single" w:sz="8" w:color="A6A6A6"/>
            </w:tcBorders>
          </w:tcPr>
          <w:p>
            <w:pPr>
              <w:spacing w:after="0"/>
              <w:rPr>
                <w:sz w:val="16"/>
                <w:szCs w:val="16"/>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163,601</w:t>
            </w:r>
          </w:p>
        </w:tc>
        <w:tc>
          <w:tcPr>
            <w:tcW w:w="100" w:type="dxa"/>
            <w:vAlign w:val="bottom"/>
          </w:tcPr>
          <w:p>
            <w:pPr>
              <w:spacing w:after="0"/>
              <w:rPr>
                <w:sz w:val="16"/>
                <w:szCs w:val="16"/>
                <w:color w:val="auto"/>
              </w:rPr>
            </w:pPr>
          </w:p>
        </w:tc>
        <w:tc>
          <w:tcPr>
            <w:tcW w:w="14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110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357,359</w:t>
            </w:r>
          </w:p>
        </w:tc>
        <w:tc>
          <w:tcPr>
            <w:tcW w:w="120" w:type="dxa"/>
            <w:vAlign w:val="bottom"/>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500" w:type="dxa"/>
            <w:vAlign w:val="bottom"/>
            <w:tcBorders>
              <w:bottom w:val="single" w:sz="8" w:color="A6A6A6"/>
            </w:tcBorders>
          </w:tcPr>
          <w:p>
            <w:pPr>
              <w:spacing w:after="0"/>
              <w:rPr>
                <w:sz w:val="16"/>
                <w:szCs w:val="16"/>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298,082</w:t>
            </w:r>
          </w:p>
        </w:tc>
        <w:tc>
          <w:tcPr>
            <w:tcW w:w="100" w:type="dxa"/>
            <w:vAlign w:val="bottom"/>
          </w:tcPr>
          <w:p>
            <w:pPr>
              <w:spacing w:after="0"/>
              <w:rPr>
                <w:sz w:val="16"/>
                <w:szCs w:val="16"/>
                <w:color w:val="auto"/>
              </w:rPr>
            </w:pPr>
          </w:p>
        </w:tc>
      </w:tr>
      <w:tr>
        <w:trPr>
          <w:trHeight w:val="196"/>
        </w:trPr>
        <w:tc>
          <w:tcPr>
            <w:tcW w:w="5400" w:type="dxa"/>
            <w:vAlign w:val="bottom"/>
            <w:gridSpan w:val="2"/>
          </w:tcPr>
          <w:p>
            <w:pPr>
              <w:ind w:left="200"/>
              <w:spacing w:after="0"/>
              <w:rPr>
                <w:sz w:val="20"/>
                <w:szCs w:val="20"/>
                <w:color w:val="auto"/>
              </w:rPr>
            </w:pPr>
            <w:r>
              <w:rPr>
                <w:rFonts w:ascii="Arial" w:cs="Arial" w:eastAsia="Arial" w:hAnsi="Arial"/>
                <w:sz w:val="16"/>
                <w:szCs w:val="16"/>
                <w:color w:val="004483"/>
              </w:rPr>
              <w:t>Corporate General and Administrative Expense</w:t>
            </w:r>
          </w:p>
        </w:tc>
        <w:tc>
          <w:tcPr>
            <w:tcW w:w="3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(13,627 )</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(10,667 )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4"/>
          </w:tcPr>
          <w:p>
            <w:pPr>
              <w:jc w:val="right"/>
              <w:spacing w:after="0"/>
              <w:rPr>
                <w:sz w:val="20"/>
                <w:szCs w:val="20"/>
                <w:color w:val="auto"/>
              </w:rPr>
            </w:pPr>
            <w:r>
              <w:rPr>
                <w:rFonts w:ascii="Arial" w:cs="Arial" w:eastAsia="Arial" w:hAnsi="Arial"/>
                <w:sz w:val="16"/>
                <w:szCs w:val="16"/>
                <w:color w:val="auto"/>
              </w:rPr>
              <w:t>(25,447 )</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(20,135 )</w:t>
            </w:r>
          </w:p>
        </w:tc>
      </w:tr>
      <w:tr>
        <w:trPr>
          <w:trHeight w:val="20"/>
        </w:trPr>
        <w:tc>
          <w:tcPr>
            <w:tcW w:w="52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380" w:type="dxa"/>
            <w:vAlign w:val="bottom"/>
            <w:shd w:val="clear" w:color="auto" w:fill="A6A6A6"/>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tcBorders>
              <w:right w:val="single" w:sz="8" w:color="A6A6A6"/>
            </w:tcBorders>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400" w:type="dxa"/>
            <w:vAlign w:val="bottom"/>
            <w:gridSpan w:val="2"/>
          </w:tcPr>
          <w:p>
            <w:pPr>
              <w:ind w:left="200"/>
              <w:spacing w:after="0"/>
              <w:rPr>
                <w:sz w:val="20"/>
                <w:szCs w:val="20"/>
                <w:color w:val="auto"/>
              </w:rPr>
            </w:pPr>
            <w:r>
              <w:rPr>
                <w:rFonts w:ascii="Arial" w:cs="Arial" w:eastAsia="Arial" w:hAnsi="Arial"/>
                <w:sz w:val="16"/>
                <w:szCs w:val="16"/>
                <w:color w:val="004483"/>
              </w:rPr>
              <w:t>Loss on Early Retirement of Senior Notes</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(8,407 )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ind w:right="6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(8,407 )</w:t>
            </w:r>
          </w:p>
        </w:tc>
      </w:tr>
      <w:tr>
        <w:trPr>
          <w:trHeight w:val="20"/>
        </w:trPr>
        <w:tc>
          <w:tcPr>
            <w:tcW w:w="52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380" w:type="dxa"/>
            <w:vAlign w:val="bottom"/>
            <w:shd w:val="clear" w:color="auto" w:fill="A6A6A6"/>
          </w:tcPr>
          <w:p>
            <w:pPr>
              <w:spacing w:after="0" w:line="20" w:lineRule="exact"/>
              <w:rPr>
                <w:sz w:val="1"/>
                <w:szCs w:val="1"/>
                <w:color w:val="auto"/>
              </w:rPr>
            </w:pPr>
          </w:p>
        </w:tc>
        <w:tc>
          <w:tcPr>
            <w:tcW w:w="86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260" w:type="dxa"/>
            <w:vAlign w:val="bottom"/>
            <w:shd w:val="clear" w:color="auto" w:fill="A6A6A6"/>
          </w:tcPr>
          <w:p>
            <w:pPr>
              <w:spacing w:after="0" w:line="20" w:lineRule="exact"/>
              <w:rPr>
                <w:sz w:val="1"/>
                <w:szCs w:val="1"/>
                <w:color w:val="auto"/>
              </w:rPr>
            </w:pPr>
          </w:p>
        </w:tc>
        <w:tc>
          <w:tcPr>
            <w:tcW w:w="44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860" w:type="dxa"/>
            <w:vAlign w:val="bottom"/>
            <w:gridSpan w:val="2"/>
            <w:shd w:val="clear" w:color="auto" w:fill="A6A6A6"/>
          </w:tcPr>
          <w:p>
            <w:pPr>
              <w:spacing w:after="0" w:line="20" w:lineRule="exact"/>
              <w:rPr>
                <w:sz w:val="1"/>
                <w:szCs w:val="1"/>
                <w:color w:val="auto"/>
              </w:rPr>
            </w:pPr>
          </w:p>
        </w:tc>
        <w:tc>
          <w:tcPr>
            <w:tcW w:w="240" w:type="dxa"/>
            <w:vAlign w:val="bottom"/>
            <w:tcBorders>
              <w:right w:val="single" w:sz="8" w:color="A6A6A6"/>
            </w:tcBorders>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7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400" w:type="dxa"/>
            <w:vAlign w:val="bottom"/>
            <w:gridSpan w:val="2"/>
          </w:tcPr>
          <w:p>
            <w:pPr>
              <w:ind w:left="200"/>
              <w:spacing w:after="0"/>
              <w:rPr>
                <w:sz w:val="20"/>
                <w:szCs w:val="20"/>
                <w:color w:val="auto"/>
              </w:rPr>
            </w:pPr>
            <w:r>
              <w:rPr>
                <w:rFonts w:ascii="Arial" w:cs="Arial" w:eastAsia="Arial" w:hAnsi="Arial"/>
                <w:sz w:val="16"/>
                <w:szCs w:val="16"/>
                <w:color w:val="004483"/>
              </w:rPr>
              <w:t>Other Non-Operating Income (Loss)</w:t>
            </w:r>
          </w:p>
        </w:tc>
        <w:tc>
          <w:tcPr>
            <w:tcW w:w="38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(664 )</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(944 )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6"/>
                <w:szCs w:val="16"/>
                <w:color w:val="auto"/>
              </w:rPr>
              <w:t>(1,299 )</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2,734</w:t>
            </w:r>
          </w:p>
        </w:tc>
        <w:tc>
          <w:tcPr>
            <w:tcW w:w="100" w:type="dxa"/>
            <w:vAlign w:val="bottom"/>
          </w:tcPr>
          <w:p>
            <w:pPr>
              <w:spacing w:after="0"/>
              <w:rPr>
                <w:sz w:val="19"/>
                <w:szCs w:val="19"/>
                <w:color w:val="auto"/>
              </w:rPr>
            </w:pPr>
          </w:p>
        </w:tc>
      </w:tr>
      <w:tr>
        <w:trPr>
          <w:trHeight w:val="193"/>
        </w:trPr>
        <w:tc>
          <w:tcPr>
            <w:tcW w:w="5400" w:type="dxa"/>
            <w:vAlign w:val="bottom"/>
            <w:tcBorders>
              <w:top w:val="single" w:sz="8" w:color="A6A6A6"/>
              <w:bottom w:val="single" w:sz="8" w:color="A6A6A6"/>
            </w:tcBorders>
            <w:gridSpan w:val="2"/>
          </w:tcPr>
          <w:p>
            <w:pPr>
              <w:ind w:left="200"/>
              <w:spacing w:after="0"/>
              <w:rPr>
                <w:sz w:val="20"/>
                <w:szCs w:val="20"/>
                <w:color w:val="auto"/>
              </w:rPr>
            </w:pPr>
            <w:r>
              <w:rPr>
                <w:rFonts w:ascii="Arial" w:cs="Arial" w:eastAsia="Arial" w:hAnsi="Arial"/>
                <w:sz w:val="16"/>
                <w:szCs w:val="16"/>
                <w:color w:val="004483"/>
              </w:rPr>
              <w:t>Earnings Before Interest and Income Taxes</w:t>
            </w:r>
          </w:p>
        </w:tc>
        <w:tc>
          <w:tcPr>
            <w:tcW w:w="380" w:type="dxa"/>
            <w:vAlign w:val="bottom"/>
            <w:tcBorders>
              <w:top w:val="single" w:sz="8" w:color="004483"/>
              <w:bottom w:val="single" w:sz="8" w:color="A6A6A6"/>
            </w:tcBorders>
          </w:tcPr>
          <w:p>
            <w:pPr>
              <w:spacing w:after="0"/>
              <w:rPr>
                <w:sz w:val="16"/>
                <w:szCs w:val="16"/>
                <w:color w:val="auto"/>
              </w:rPr>
            </w:pPr>
          </w:p>
        </w:tc>
        <w:tc>
          <w:tcPr>
            <w:tcW w:w="8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187,104</w:t>
            </w:r>
          </w:p>
        </w:tc>
        <w:tc>
          <w:tcPr>
            <w:tcW w:w="140" w:type="dxa"/>
            <w:vAlign w:val="bottom"/>
          </w:tcPr>
          <w:p>
            <w:pPr>
              <w:spacing w:after="0"/>
              <w:rPr>
                <w:sz w:val="16"/>
                <w:szCs w:val="16"/>
                <w:color w:val="auto"/>
              </w:rPr>
            </w:pPr>
          </w:p>
        </w:tc>
        <w:tc>
          <w:tcPr>
            <w:tcW w:w="140" w:type="dxa"/>
            <w:vAlign w:val="bottom"/>
            <w:tcBorders>
              <w:top w:val="single" w:sz="8" w:color="A6A6A6"/>
              <w:bottom w:val="single" w:sz="8" w:color="A6A6A6"/>
            </w:tcBorders>
          </w:tcPr>
          <w:p>
            <w:pPr>
              <w:spacing w:after="0"/>
              <w:rPr>
                <w:sz w:val="16"/>
                <w:szCs w:val="16"/>
                <w:color w:val="auto"/>
              </w:rPr>
            </w:pPr>
          </w:p>
        </w:tc>
        <w:tc>
          <w:tcPr>
            <w:tcW w:w="560" w:type="dxa"/>
            <w:vAlign w:val="bottom"/>
            <w:tcBorders>
              <w:top w:val="single" w:sz="8" w:color="004483"/>
              <w:bottom w:val="single" w:sz="8" w:color="A6A6A6"/>
            </w:tcBorders>
          </w:tcPr>
          <w:p>
            <w:pPr>
              <w:spacing w:after="0"/>
              <w:rPr>
                <w:sz w:val="16"/>
                <w:szCs w:val="16"/>
                <w:color w:val="auto"/>
              </w:rPr>
            </w:pPr>
          </w:p>
        </w:tc>
        <w:tc>
          <w:tcPr>
            <w:tcW w:w="700" w:type="dxa"/>
            <w:vAlign w:val="bottom"/>
            <w:tcBorders>
              <w:top w:val="single" w:sz="8" w:color="004483"/>
              <w:bottom w:val="single" w:sz="8" w:color="A6A6A6"/>
            </w:tcBorders>
            <w:gridSpan w:val="2"/>
          </w:tcPr>
          <w:p>
            <w:pPr>
              <w:jc w:val="right"/>
              <w:spacing w:after="0"/>
              <w:rPr>
                <w:sz w:val="20"/>
                <w:szCs w:val="20"/>
                <w:color w:val="auto"/>
              </w:rPr>
            </w:pPr>
            <w:r>
              <w:rPr>
                <w:rFonts w:ascii="Arial" w:cs="Arial" w:eastAsia="Arial" w:hAnsi="Arial"/>
                <w:sz w:val="16"/>
                <w:szCs w:val="16"/>
                <w:color w:val="auto"/>
              </w:rPr>
              <w:t>143,583</w:t>
            </w:r>
          </w:p>
        </w:tc>
        <w:tc>
          <w:tcPr>
            <w:tcW w:w="100" w:type="dxa"/>
            <w:vAlign w:val="bottom"/>
          </w:tcPr>
          <w:p>
            <w:pPr>
              <w:spacing w:after="0"/>
              <w:rPr>
                <w:sz w:val="16"/>
                <w:szCs w:val="16"/>
                <w:color w:val="auto"/>
              </w:rPr>
            </w:pPr>
          </w:p>
        </w:tc>
        <w:tc>
          <w:tcPr>
            <w:tcW w:w="140" w:type="dxa"/>
            <w:vAlign w:val="bottom"/>
            <w:tcBorders>
              <w:top w:val="single" w:sz="8" w:color="A6A6A6"/>
              <w:bottom w:val="single" w:sz="8" w:color="A6A6A6"/>
            </w:tcBorders>
          </w:tcPr>
          <w:p>
            <w:pPr>
              <w:spacing w:after="0"/>
              <w:rPr>
                <w:sz w:val="16"/>
                <w:szCs w:val="16"/>
                <w:color w:val="auto"/>
              </w:rPr>
            </w:pPr>
          </w:p>
        </w:tc>
        <w:tc>
          <w:tcPr>
            <w:tcW w:w="120" w:type="dxa"/>
            <w:vAlign w:val="bottom"/>
            <w:tcBorders>
              <w:top w:val="single" w:sz="8" w:color="004483"/>
              <w:bottom w:val="single" w:sz="8" w:color="A6A6A6"/>
            </w:tcBorders>
          </w:tcPr>
          <w:p>
            <w:pPr>
              <w:spacing w:after="0"/>
              <w:rPr>
                <w:sz w:val="16"/>
                <w:szCs w:val="16"/>
                <w:color w:val="auto"/>
              </w:rPr>
            </w:pPr>
          </w:p>
        </w:tc>
        <w:tc>
          <w:tcPr>
            <w:tcW w:w="1100" w:type="dxa"/>
            <w:vAlign w:val="bottom"/>
            <w:tcBorders>
              <w:top w:val="single" w:sz="8" w:color="004483"/>
              <w:bottom w:val="single" w:sz="8" w:color="A6A6A6"/>
            </w:tcBorders>
            <w:gridSpan w:val="3"/>
          </w:tcPr>
          <w:p>
            <w:pPr>
              <w:jc w:val="right"/>
              <w:spacing w:after="0"/>
              <w:rPr>
                <w:sz w:val="20"/>
                <w:szCs w:val="20"/>
                <w:color w:val="auto"/>
              </w:rPr>
            </w:pPr>
            <w:r>
              <w:rPr>
                <w:rFonts w:ascii="Arial" w:cs="Arial" w:eastAsia="Arial" w:hAnsi="Arial"/>
                <w:sz w:val="16"/>
                <w:szCs w:val="16"/>
                <w:color w:val="auto"/>
              </w:rPr>
              <w:t>330,613</w:t>
            </w:r>
          </w:p>
        </w:tc>
        <w:tc>
          <w:tcPr>
            <w:tcW w:w="120" w:type="dxa"/>
            <w:vAlign w:val="bottom"/>
          </w:tcPr>
          <w:p>
            <w:pPr>
              <w:spacing w:after="0"/>
              <w:rPr>
                <w:sz w:val="16"/>
                <w:szCs w:val="16"/>
                <w:color w:val="auto"/>
              </w:rPr>
            </w:pPr>
          </w:p>
        </w:tc>
        <w:tc>
          <w:tcPr>
            <w:tcW w:w="120" w:type="dxa"/>
            <w:vAlign w:val="bottom"/>
            <w:tcBorders>
              <w:top w:val="single" w:sz="8" w:color="A6A6A6"/>
              <w:bottom w:val="single" w:sz="8" w:color="A6A6A6"/>
            </w:tcBorders>
          </w:tcPr>
          <w:p>
            <w:pPr>
              <w:spacing w:after="0"/>
              <w:rPr>
                <w:sz w:val="16"/>
                <w:szCs w:val="16"/>
                <w:color w:val="auto"/>
              </w:rPr>
            </w:pPr>
          </w:p>
        </w:tc>
        <w:tc>
          <w:tcPr>
            <w:tcW w:w="500" w:type="dxa"/>
            <w:vAlign w:val="bottom"/>
            <w:tcBorders>
              <w:top w:val="single" w:sz="8" w:color="004483"/>
              <w:bottom w:val="single" w:sz="8" w:color="A6A6A6"/>
            </w:tcBorders>
          </w:tcPr>
          <w:p>
            <w:pPr>
              <w:spacing w:after="0"/>
              <w:rPr>
                <w:sz w:val="16"/>
                <w:szCs w:val="16"/>
                <w:color w:val="auto"/>
              </w:rPr>
            </w:pPr>
          </w:p>
        </w:tc>
        <w:tc>
          <w:tcPr>
            <w:tcW w:w="760" w:type="dxa"/>
            <w:vAlign w:val="bottom"/>
            <w:tcBorders>
              <w:top w:val="single" w:sz="8" w:color="004483"/>
              <w:bottom w:val="single" w:sz="8" w:color="A6A6A6"/>
            </w:tcBorders>
          </w:tcPr>
          <w:p>
            <w:pPr>
              <w:jc w:val="right"/>
              <w:spacing w:after="0"/>
              <w:rPr>
                <w:sz w:val="20"/>
                <w:szCs w:val="20"/>
                <w:color w:val="auto"/>
              </w:rPr>
            </w:pPr>
            <w:r>
              <w:rPr>
                <w:rFonts w:ascii="Arial" w:cs="Arial" w:eastAsia="Arial" w:hAnsi="Arial"/>
                <w:sz w:val="16"/>
                <w:szCs w:val="16"/>
                <w:color w:val="auto"/>
              </w:rPr>
              <w:t>272,274</w:t>
            </w:r>
          </w:p>
        </w:tc>
        <w:tc>
          <w:tcPr>
            <w:tcW w:w="100" w:type="dxa"/>
            <w:vAlign w:val="bottom"/>
          </w:tcPr>
          <w:p>
            <w:pPr>
              <w:spacing w:after="0"/>
              <w:rPr>
                <w:sz w:val="16"/>
                <w:szCs w:val="16"/>
                <w:color w:val="auto"/>
              </w:rPr>
            </w:pPr>
          </w:p>
        </w:tc>
      </w:tr>
      <w:tr>
        <w:trPr>
          <w:trHeight w:val="196"/>
        </w:trPr>
        <w:tc>
          <w:tcPr>
            <w:tcW w:w="5400" w:type="dxa"/>
            <w:vAlign w:val="bottom"/>
            <w:gridSpan w:val="2"/>
          </w:tcPr>
          <w:p>
            <w:pPr>
              <w:ind w:left="200"/>
              <w:spacing w:after="0"/>
              <w:rPr>
                <w:sz w:val="20"/>
                <w:szCs w:val="20"/>
                <w:color w:val="auto"/>
              </w:rPr>
            </w:pPr>
            <w:r>
              <w:rPr>
                <w:rFonts w:ascii="Arial" w:cs="Arial" w:eastAsia="Arial" w:hAnsi="Arial"/>
                <w:sz w:val="16"/>
                <w:szCs w:val="16"/>
                <w:color w:val="004483"/>
              </w:rPr>
              <w:t>Interest Expense, net</w:t>
            </w:r>
          </w:p>
        </w:tc>
        <w:tc>
          <w:tcPr>
            <w:tcW w:w="3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(8,580 )</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(12,268 )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4"/>
          </w:tcPr>
          <w:p>
            <w:pPr>
              <w:jc w:val="right"/>
              <w:spacing w:after="0"/>
              <w:rPr>
                <w:sz w:val="20"/>
                <w:szCs w:val="20"/>
                <w:color w:val="auto"/>
              </w:rPr>
            </w:pPr>
            <w:r>
              <w:rPr>
                <w:rFonts w:ascii="Arial" w:cs="Arial" w:eastAsia="Arial" w:hAnsi="Arial"/>
                <w:sz w:val="16"/>
                <w:szCs w:val="16"/>
                <w:color w:val="auto"/>
              </w:rPr>
              <w:t>(15,910 )</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(19,240 )</w:t>
            </w:r>
          </w:p>
        </w:tc>
      </w:tr>
      <w:tr>
        <w:trPr>
          <w:trHeight w:val="30"/>
        </w:trPr>
        <w:tc>
          <w:tcPr>
            <w:tcW w:w="5240" w:type="dxa"/>
            <w:vAlign w:val="bottom"/>
            <w:tcBorders>
              <w:bottom w:val="single" w:sz="8" w:color="A6A6A6"/>
            </w:tcBorders>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380" w:type="dxa"/>
            <w:vAlign w:val="bottom"/>
            <w:tcBorders>
              <w:bottom w:val="single" w:sz="8" w:color="004483"/>
            </w:tcBorders>
            <w:shd w:val="clear" w:color="auto" w:fill="004483"/>
          </w:tcPr>
          <w:p>
            <w:pPr>
              <w:spacing w:after="0"/>
              <w:rPr>
                <w:sz w:val="2"/>
                <w:szCs w:val="2"/>
                <w:color w:val="auto"/>
              </w:rPr>
            </w:pPr>
          </w:p>
        </w:tc>
        <w:tc>
          <w:tcPr>
            <w:tcW w:w="860" w:type="dxa"/>
            <w:vAlign w:val="bottom"/>
            <w:tcBorders>
              <w:bottom w:val="single" w:sz="8" w:color="004483"/>
            </w:tcBorders>
            <w:shd w:val="clear" w:color="auto" w:fill="004483"/>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560" w:type="dxa"/>
            <w:vAlign w:val="bottom"/>
            <w:tcBorders>
              <w:bottom w:val="single" w:sz="8" w:color="004483"/>
            </w:tcBorders>
            <w:shd w:val="clear" w:color="auto" w:fill="004483"/>
          </w:tcPr>
          <w:p>
            <w:pPr>
              <w:spacing w:after="0"/>
              <w:rPr>
                <w:sz w:val="2"/>
                <w:szCs w:val="2"/>
                <w:color w:val="auto"/>
              </w:rPr>
            </w:pPr>
          </w:p>
        </w:tc>
        <w:tc>
          <w:tcPr>
            <w:tcW w:w="260" w:type="dxa"/>
            <w:vAlign w:val="bottom"/>
            <w:tcBorders>
              <w:bottom w:val="single" w:sz="8" w:color="004483"/>
            </w:tcBorders>
            <w:shd w:val="clear" w:color="auto" w:fill="004483"/>
          </w:tcPr>
          <w:p>
            <w:pPr>
              <w:spacing w:after="0"/>
              <w:rPr>
                <w:sz w:val="2"/>
                <w:szCs w:val="2"/>
                <w:color w:val="auto"/>
              </w:rPr>
            </w:pPr>
          </w:p>
        </w:tc>
        <w:tc>
          <w:tcPr>
            <w:tcW w:w="4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20" w:type="dxa"/>
            <w:vAlign w:val="bottom"/>
            <w:tcBorders>
              <w:bottom w:val="single" w:sz="8" w:color="004483"/>
            </w:tcBorders>
            <w:shd w:val="clear" w:color="auto" w:fill="004483"/>
          </w:tcPr>
          <w:p>
            <w:pPr>
              <w:spacing w:after="0"/>
              <w:rPr>
                <w:sz w:val="2"/>
                <w:szCs w:val="2"/>
                <w:color w:val="auto"/>
              </w:rPr>
            </w:pPr>
          </w:p>
        </w:tc>
        <w:tc>
          <w:tcPr>
            <w:tcW w:w="860" w:type="dxa"/>
            <w:vAlign w:val="bottom"/>
            <w:tcBorders>
              <w:bottom w:val="single" w:sz="8" w:color="004483"/>
            </w:tcBorders>
            <w:gridSpan w:val="2"/>
            <w:shd w:val="clear" w:color="auto" w:fill="004483"/>
          </w:tcPr>
          <w:p>
            <w:pPr>
              <w:spacing w:after="0"/>
              <w:rPr>
                <w:sz w:val="2"/>
                <w:szCs w:val="2"/>
                <w:color w:val="auto"/>
              </w:rPr>
            </w:pPr>
          </w:p>
        </w:tc>
        <w:tc>
          <w:tcPr>
            <w:tcW w:w="240" w:type="dxa"/>
            <w:vAlign w:val="bottom"/>
            <w:tcBorders>
              <w:bottom w:val="single" w:sz="8" w:color="004483"/>
              <w:right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50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5400" w:type="dxa"/>
            <w:vAlign w:val="bottom"/>
            <w:gridSpan w:val="2"/>
          </w:tcPr>
          <w:p>
            <w:pPr>
              <w:ind w:left="200"/>
              <w:spacing w:after="0"/>
              <w:rPr>
                <w:sz w:val="20"/>
                <w:szCs w:val="20"/>
                <w:color w:val="auto"/>
              </w:rPr>
            </w:pPr>
            <w:r>
              <w:rPr>
                <w:rFonts w:ascii="Arial" w:cs="Arial" w:eastAsia="Arial" w:hAnsi="Arial"/>
                <w:sz w:val="16"/>
                <w:szCs w:val="16"/>
                <w:b w:val="1"/>
                <w:bCs w:val="1"/>
                <w:color w:val="auto"/>
              </w:rPr>
              <w:t>Earnings Before Income Taxes</w:t>
            </w:r>
          </w:p>
        </w:tc>
        <w:tc>
          <w:tcPr>
            <w:tcW w:w="380" w:type="dxa"/>
            <w:vAlign w:val="bottom"/>
            <w:tcBorders>
              <w:bottom w:val="single" w:sz="8" w:color="004483"/>
            </w:tcBorders>
          </w:tcPr>
          <w:p>
            <w:pPr>
              <w:jc w:val="right"/>
              <w:ind w:right="201"/>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178,524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bottom w:val="single" w:sz="8" w:color="004483"/>
            </w:tcBorders>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131,315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gridSpan w:val="3"/>
          </w:tcPr>
          <w:p>
            <w:pPr>
              <w:jc w:val="right"/>
              <w:spacing w:after="0"/>
              <w:rPr>
                <w:sz w:val="20"/>
                <w:szCs w:val="20"/>
                <w:color w:val="auto"/>
              </w:rPr>
            </w:pPr>
            <w:r>
              <w:rPr>
                <w:rFonts w:ascii="Arial" w:cs="Arial" w:eastAsia="Arial" w:hAnsi="Arial"/>
                <w:sz w:val="16"/>
                <w:szCs w:val="16"/>
                <w:b w:val="1"/>
                <w:bCs w:val="1"/>
                <w:color w:val="auto"/>
              </w:rPr>
              <w:t>314,703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004483"/>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253,034</w:t>
            </w:r>
          </w:p>
        </w:tc>
        <w:tc>
          <w:tcPr>
            <w:tcW w:w="100" w:type="dxa"/>
            <w:vAlign w:val="bottom"/>
          </w:tcPr>
          <w:p>
            <w:pPr>
              <w:spacing w:after="0"/>
              <w:rPr>
                <w:sz w:val="17"/>
                <w:szCs w:val="17"/>
                <w:color w:val="auto"/>
              </w:rPr>
            </w:pPr>
          </w:p>
        </w:tc>
      </w:tr>
      <w:tr>
        <w:trPr>
          <w:trHeight w:val="20"/>
        </w:trPr>
        <w:tc>
          <w:tcPr>
            <w:tcW w:w="524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004483"/>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0"/>
        </w:trPr>
        <w:tc>
          <w:tcPr>
            <w:tcW w:w="5400" w:type="dxa"/>
            <w:vAlign w:val="bottom"/>
            <w:tcBorders>
              <w:bottom w:val="single" w:sz="8" w:color="A6A6A6"/>
            </w:tcBorders>
            <w:gridSpan w:val="2"/>
          </w:tcPr>
          <w:p>
            <w:pPr>
              <w:ind w:left="20"/>
              <w:spacing w:after="0" w:line="180" w:lineRule="exact"/>
              <w:rPr>
                <w:sz w:val="20"/>
                <w:szCs w:val="20"/>
                <w:color w:val="auto"/>
              </w:rPr>
            </w:pPr>
            <w:r>
              <w:rPr>
                <w:rFonts w:ascii="Arial" w:cs="Arial" w:eastAsia="Arial" w:hAnsi="Arial"/>
                <w:sz w:val="16"/>
                <w:szCs w:val="16"/>
                <w:color w:val="004483"/>
              </w:rPr>
              <w:t>Cement Operating Earnings</w:t>
            </w:r>
          </w:p>
        </w:tc>
        <w:tc>
          <w:tcPr>
            <w:tcW w:w="3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44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40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Wholly Owned</w:t>
            </w:r>
          </w:p>
        </w:tc>
        <w:tc>
          <w:tcPr>
            <w:tcW w:w="380" w:type="dxa"/>
            <w:vAlign w:val="bottom"/>
            <w:tcBorders>
              <w:bottom w:val="single" w:sz="8" w:color="A6A6A6"/>
            </w:tcBorders>
          </w:tcPr>
          <w:p>
            <w:pPr>
              <w:jc w:val="right"/>
              <w:ind w:right="20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91,623</w:t>
            </w:r>
          </w:p>
        </w:tc>
        <w:tc>
          <w:tcPr>
            <w:tcW w:w="140" w:type="dxa"/>
            <w:vAlign w:val="bottom"/>
          </w:tcPr>
          <w:p>
            <w:pPr>
              <w:spacing w:after="0"/>
              <w:rPr>
                <w:sz w:val="17"/>
                <w:szCs w:val="17"/>
                <w:color w:val="auto"/>
              </w:rPr>
            </w:pPr>
          </w:p>
        </w:tc>
        <w:tc>
          <w:tcPr>
            <w:tcW w:w="700" w:type="dxa"/>
            <w:vAlign w:val="bottom"/>
            <w:tcBorders>
              <w:bottom w:val="single" w:sz="8" w:color="A6A6A6"/>
            </w:tcBorders>
            <w:gridSpan w:val="2"/>
          </w:tcPr>
          <w:p>
            <w:pPr>
              <w:jc w:val="right"/>
              <w:ind w:right="3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80,490</w:t>
            </w:r>
          </w:p>
        </w:tc>
        <w:tc>
          <w:tcPr>
            <w:tcW w:w="100" w:type="dxa"/>
            <w:vAlign w:val="bottom"/>
          </w:tcPr>
          <w:p>
            <w:pPr>
              <w:spacing w:after="0"/>
              <w:rPr>
                <w:sz w:val="17"/>
                <w:szCs w:val="17"/>
                <w:color w:val="auto"/>
              </w:rPr>
            </w:pPr>
          </w:p>
        </w:tc>
        <w:tc>
          <w:tcPr>
            <w:tcW w:w="260" w:type="dxa"/>
            <w:vAlign w:val="bottom"/>
            <w:tcBorders>
              <w:bottom w:val="single" w:sz="8" w:color="A6A6A6"/>
            </w:tcBorders>
            <w:gridSpan w:val="2"/>
          </w:tcPr>
          <w:p>
            <w:pPr>
              <w:ind w:lef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148,873</w:t>
            </w:r>
          </w:p>
        </w:tc>
        <w:tc>
          <w:tcPr>
            <w:tcW w:w="120" w:type="dxa"/>
            <w:vAlign w:val="bottom"/>
          </w:tcPr>
          <w:p>
            <w:pPr>
              <w:spacing w:after="0"/>
              <w:rPr>
                <w:sz w:val="17"/>
                <w:szCs w:val="17"/>
                <w:color w:val="auto"/>
              </w:rPr>
            </w:pPr>
          </w:p>
        </w:tc>
        <w:tc>
          <w:tcPr>
            <w:tcW w:w="620" w:type="dxa"/>
            <w:vAlign w:val="bottom"/>
            <w:tcBorders>
              <w:bottom w:val="single" w:sz="8" w:color="A6A6A6"/>
            </w:tcBorders>
            <w:gridSpan w:val="2"/>
          </w:tcPr>
          <w:p>
            <w:pPr>
              <w:jc w:val="right"/>
              <w:ind w:right="2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135,067</w:t>
            </w:r>
          </w:p>
        </w:tc>
        <w:tc>
          <w:tcPr>
            <w:tcW w:w="100" w:type="dxa"/>
            <w:vAlign w:val="bottom"/>
          </w:tcPr>
          <w:p>
            <w:pPr>
              <w:spacing w:after="0"/>
              <w:rPr>
                <w:sz w:val="17"/>
                <w:szCs w:val="17"/>
                <w:color w:val="auto"/>
              </w:rPr>
            </w:pPr>
          </w:p>
        </w:tc>
      </w:tr>
      <w:tr>
        <w:trPr>
          <w:trHeight w:val="196"/>
        </w:trPr>
        <w:tc>
          <w:tcPr>
            <w:tcW w:w="5400" w:type="dxa"/>
            <w:vAlign w:val="bottom"/>
            <w:gridSpan w:val="2"/>
          </w:tcPr>
          <w:p>
            <w:pPr>
              <w:ind w:left="200"/>
              <w:spacing w:after="0"/>
              <w:rPr>
                <w:sz w:val="20"/>
                <w:szCs w:val="20"/>
                <w:color w:val="auto"/>
              </w:rPr>
            </w:pPr>
            <w:r>
              <w:rPr>
                <w:rFonts w:ascii="Arial" w:cs="Arial" w:eastAsia="Arial" w:hAnsi="Arial"/>
                <w:sz w:val="16"/>
                <w:szCs w:val="16"/>
                <w:color w:val="004483"/>
              </w:rPr>
              <w:t>Joint Venture</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7,156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8,260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12,254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16,230</w:t>
            </w:r>
          </w:p>
        </w:tc>
        <w:tc>
          <w:tcPr>
            <w:tcW w:w="100" w:type="dxa"/>
            <w:vAlign w:val="bottom"/>
          </w:tcPr>
          <w:p>
            <w:pPr>
              <w:spacing w:after="0"/>
              <w:rPr>
                <w:sz w:val="17"/>
                <w:szCs w:val="17"/>
                <w:color w:val="auto"/>
              </w:rPr>
            </w:pPr>
          </w:p>
        </w:tc>
      </w:tr>
      <w:tr>
        <w:trPr>
          <w:trHeight w:val="30"/>
        </w:trPr>
        <w:tc>
          <w:tcPr>
            <w:tcW w:w="5240" w:type="dxa"/>
            <w:vAlign w:val="bottom"/>
            <w:tcBorders>
              <w:bottom w:val="single" w:sz="8" w:color="A6A6A6"/>
            </w:tcBorders>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380" w:type="dxa"/>
            <w:vAlign w:val="bottom"/>
            <w:tcBorders>
              <w:bottom w:val="single" w:sz="8" w:color="004483"/>
            </w:tcBorders>
            <w:shd w:val="clear" w:color="auto" w:fill="004483"/>
          </w:tcPr>
          <w:p>
            <w:pPr>
              <w:spacing w:after="0"/>
              <w:rPr>
                <w:sz w:val="2"/>
                <w:szCs w:val="2"/>
                <w:color w:val="auto"/>
              </w:rPr>
            </w:pPr>
          </w:p>
        </w:tc>
        <w:tc>
          <w:tcPr>
            <w:tcW w:w="860" w:type="dxa"/>
            <w:vAlign w:val="bottom"/>
            <w:tcBorders>
              <w:bottom w:val="single" w:sz="8" w:color="004483"/>
            </w:tcBorders>
            <w:shd w:val="clear" w:color="auto" w:fill="004483"/>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560" w:type="dxa"/>
            <w:vAlign w:val="bottom"/>
            <w:tcBorders>
              <w:bottom w:val="single" w:sz="8" w:color="004483"/>
            </w:tcBorders>
            <w:shd w:val="clear" w:color="auto" w:fill="004483"/>
          </w:tcPr>
          <w:p>
            <w:pPr>
              <w:spacing w:after="0"/>
              <w:rPr>
                <w:sz w:val="2"/>
                <w:szCs w:val="2"/>
                <w:color w:val="auto"/>
              </w:rPr>
            </w:pPr>
          </w:p>
        </w:tc>
        <w:tc>
          <w:tcPr>
            <w:tcW w:w="260" w:type="dxa"/>
            <w:vAlign w:val="bottom"/>
            <w:tcBorders>
              <w:bottom w:val="single" w:sz="8" w:color="004483"/>
            </w:tcBorders>
            <w:shd w:val="clear" w:color="auto" w:fill="004483"/>
          </w:tcPr>
          <w:p>
            <w:pPr>
              <w:spacing w:after="0"/>
              <w:rPr>
                <w:sz w:val="2"/>
                <w:szCs w:val="2"/>
                <w:color w:val="auto"/>
              </w:rPr>
            </w:pPr>
          </w:p>
        </w:tc>
        <w:tc>
          <w:tcPr>
            <w:tcW w:w="4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20" w:type="dxa"/>
            <w:vAlign w:val="bottom"/>
            <w:tcBorders>
              <w:bottom w:val="single" w:sz="8" w:color="004483"/>
            </w:tcBorders>
            <w:shd w:val="clear" w:color="auto" w:fill="004483"/>
          </w:tcPr>
          <w:p>
            <w:pPr>
              <w:spacing w:after="0"/>
              <w:rPr>
                <w:sz w:val="2"/>
                <w:szCs w:val="2"/>
                <w:color w:val="auto"/>
              </w:rPr>
            </w:pPr>
          </w:p>
        </w:tc>
        <w:tc>
          <w:tcPr>
            <w:tcW w:w="860" w:type="dxa"/>
            <w:vAlign w:val="bottom"/>
            <w:tcBorders>
              <w:bottom w:val="single" w:sz="8" w:color="004483"/>
            </w:tcBorders>
            <w:gridSpan w:val="2"/>
            <w:shd w:val="clear" w:color="auto" w:fill="004483"/>
          </w:tcPr>
          <w:p>
            <w:pPr>
              <w:spacing w:after="0"/>
              <w:rPr>
                <w:sz w:val="2"/>
                <w:szCs w:val="2"/>
                <w:color w:val="auto"/>
              </w:rPr>
            </w:pPr>
          </w:p>
        </w:tc>
        <w:tc>
          <w:tcPr>
            <w:tcW w:w="240" w:type="dxa"/>
            <w:vAlign w:val="bottom"/>
            <w:tcBorders>
              <w:bottom w:val="single" w:sz="8" w:color="004483"/>
              <w:right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50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bottom w:val="single" w:sz="8" w:color="004483"/>
            </w:tcBorders>
          </w:tcPr>
          <w:p>
            <w:pPr>
              <w:jc w:val="right"/>
              <w:ind w:right="201"/>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98,779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bottom w:val="single" w:sz="8" w:color="004483"/>
            </w:tcBorders>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88,750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gridSpan w:val="3"/>
          </w:tcPr>
          <w:p>
            <w:pPr>
              <w:jc w:val="right"/>
              <w:spacing w:after="0"/>
              <w:rPr>
                <w:sz w:val="20"/>
                <w:szCs w:val="20"/>
                <w:color w:val="auto"/>
              </w:rPr>
            </w:pPr>
            <w:r>
              <w:rPr>
                <w:rFonts w:ascii="Arial" w:cs="Arial" w:eastAsia="Arial" w:hAnsi="Arial"/>
                <w:sz w:val="16"/>
                <w:szCs w:val="16"/>
                <w:b w:val="1"/>
                <w:bCs w:val="1"/>
                <w:color w:val="auto"/>
              </w:rPr>
              <w:t>161,127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004483"/>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151,297</w:t>
            </w:r>
          </w:p>
        </w:tc>
        <w:tc>
          <w:tcPr>
            <w:tcW w:w="100" w:type="dxa"/>
            <w:vAlign w:val="bottom"/>
          </w:tcPr>
          <w:p>
            <w:pPr>
              <w:spacing w:after="0"/>
              <w:rPr>
                <w:sz w:val="17"/>
                <w:szCs w:val="17"/>
                <w:color w:val="auto"/>
              </w:rPr>
            </w:pPr>
          </w:p>
        </w:tc>
      </w:tr>
      <w:tr>
        <w:trPr>
          <w:trHeight w:val="20"/>
        </w:trPr>
        <w:tc>
          <w:tcPr>
            <w:tcW w:w="524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004483"/>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40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3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44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540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Cement</w:t>
            </w:r>
          </w:p>
        </w:tc>
        <w:tc>
          <w:tcPr>
            <w:tcW w:w="380" w:type="dxa"/>
            <w:vAlign w:val="bottom"/>
            <w:tcBorders>
              <w:bottom w:val="single" w:sz="8" w:color="A6A6A6"/>
            </w:tcBorders>
          </w:tcPr>
          <w:p>
            <w:pPr>
              <w:jc w:val="right"/>
              <w:ind w:right="20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4,893</w:t>
            </w:r>
          </w:p>
        </w:tc>
        <w:tc>
          <w:tcPr>
            <w:tcW w:w="140" w:type="dxa"/>
            <w:vAlign w:val="bottom"/>
          </w:tcPr>
          <w:p>
            <w:pPr>
              <w:spacing w:after="0"/>
              <w:rPr>
                <w:sz w:val="16"/>
                <w:szCs w:val="16"/>
                <w:color w:val="auto"/>
              </w:rPr>
            </w:pPr>
          </w:p>
        </w:tc>
        <w:tc>
          <w:tcPr>
            <w:tcW w:w="700" w:type="dxa"/>
            <w:vAlign w:val="bottom"/>
            <w:tcBorders>
              <w:bottom w:val="single" w:sz="8" w:color="A6A6A6"/>
            </w:tcBorders>
            <w:gridSpan w:val="2"/>
          </w:tcPr>
          <w:p>
            <w:pPr>
              <w:jc w:val="right"/>
              <w:ind w:right="3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6,976</w:t>
            </w:r>
          </w:p>
        </w:tc>
        <w:tc>
          <w:tcPr>
            <w:tcW w:w="100" w:type="dxa"/>
            <w:vAlign w:val="bottom"/>
          </w:tcPr>
          <w:p>
            <w:pPr>
              <w:spacing w:after="0"/>
              <w:rPr>
                <w:sz w:val="16"/>
                <w:szCs w:val="16"/>
                <w:color w:val="auto"/>
              </w:rPr>
            </w:pPr>
          </w:p>
        </w:tc>
        <w:tc>
          <w:tcPr>
            <w:tcW w:w="260" w:type="dxa"/>
            <w:vAlign w:val="bottom"/>
            <w:tcBorders>
              <w:bottom w:val="single" w:sz="8" w:color="A6A6A6"/>
            </w:tcBorders>
            <w:gridSpan w:val="2"/>
          </w:tcPr>
          <w:p>
            <w:pPr>
              <w:ind w:lef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13,879</w:t>
            </w:r>
          </w:p>
        </w:tc>
        <w:tc>
          <w:tcPr>
            <w:tcW w:w="120" w:type="dxa"/>
            <w:vAlign w:val="bottom"/>
          </w:tcPr>
          <w:p>
            <w:pPr>
              <w:spacing w:after="0"/>
              <w:rPr>
                <w:sz w:val="16"/>
                <w:szCs w:val="16"/>
                <w:color w:val="auto"/>
              </w:rPr>
            </w:pPr>
          </w:p>
        </w:tc>
        <w:tc>
          <w:tcPr>
            <w:tcW w:w="620" w:type="dxa"/>
            <w:vAlign w:val="bottom"/>
            <w:tcBorders>
              <w:bottom w:val="single" w:sz="8" w:color="A6A6A6"/>
            </w:tcBorders>
            <w:gridSpan w:val="2"/>
          </w:tcPr>
          <w:p>
            <w:pPr>
              <w:jc w:val="right"/>
              <w:ind w:right="2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14,943</w:t>
            </w:r>
          </w:p>
        </w:tc>
        <w:tc>
          <w:tcPr>
            <w:tcW w:w="100" w:type="dxa"/>
            <w:vAlign w:val="bottom"/>
          </w:tcPr>
          <w:p>
            <w:pPr>
              <w:spacing w:after="0"/>
              <w:rPr>
                <w:sz w:val="16"/>
                <w:szCs w:val="16"/>
                <w:color w:val="auto"/>
              </w:rPr>
            </w:pPr>
          </w:p>
        </w:tc>
      </w:tr>
      <w:tr>
        <w:trPr>
          <w:trHeight w:val="196"/>
        </w:trPr>
        <w:tc>
          <w:tcPr>
            <w:tcW w:w="540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Concrete and Aggregates</w:t>
            </w:r>
          </w:p>
        </w:tc>
        <w:tc>
          <w:tcPr>
            <w:tcW w:w="38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13,688</w:t>
            </w:r>
          </w:p>
        </w:tc>
        <w:tc>
          <w:tcPr>
            <w:tcW w:w="14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56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14,340</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1,073</w:t>
            </w:r>
          </w:p>
        </w:tc>
        <w:tc>
          <w:tcPr>
            <w:tcW w:w="100" w:type="dxa"/>
            <w:vAlign w:val="bottom"/>
          </w:tcPr>
          <w:p>
            <w:pPr>
              <w:spacing w:after="0"/>
              <w:rPr>
                <w:sz w:val="17"/>
                <w:szCs w:val="17"/>
                <w:color w:val="auto"/>
              </w:rPr>
            </w:pPr>
          </w:p>
        </w:tc>
      </w:tr>
      <w:tr>
        <w:trPr>
          <w:trHeight w:val="196"/>
        </w:trPr>
        <w:tc>
          <w:tcPr>
            <w:tcW w:w="52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Gypsum Wallboard</w:t>
            </w:r>
          </w:p>
        </w:tc>
        <w:tc>
          <w:tcPr>
            <w:tcW w:w="160" w:type="dxa"/>
            <w:vAlign w:val="bottom"/>
          </w:tcPr>
          <w:p>
            <w:pPr>
              <w:spacing w:after="0"/>
              <w:rPr>
                <w:sz w:val="17"/>
                <w:szCs w:val="17"/>
                <w:color w:val="auto"/>
              </w:rPr>
            </w:pPr>
          </w:p>
        </w:tc>
        <w:tc>
          <w:tcPr>
            <w:tcW w:w="38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8,391</w:t>
            </w:r>
          </w:p>
        </w:tc>
        <w:tc>
          <w:tcPr>
            <w:tcW w:w="14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56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6,345</w:t>
            </w: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12,470</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8,039</w:t>
            </w:r>
          </w:p>
        </w:tc>
        <w:tc>
          <w:tcPr>
            <w:tcW w:w="100" w:type="dxa"/>
            <w:vAlign w:val="bottom"/>
          </w:tcPr>
          <w:p>
            <w:pPr>
              <w:spacing w:after="0"/>
              <w:rPr>
                <w:sz w:val="17"/>
                <w:szCs w:val="17"/>
                <w:color w:val="auto"/>
              </w:rPr>
            </w:pPr>
          </w:p>
        </w:tc>
      </w:tr>
      <w:tr>
        <w:trPr>
          <w:trHeight w:val="196"/>
        </w:trPr>
        <w:tc>
          <w:tcPr>
            <w:tcW w:w="540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Paperboard</w:t>
            </w:r>
          </w:p>
        </w:tc>
        <w:tc>
          <w:tcPr>
            <w:tcW w:w="38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1,018</w:t>
            </w:r>
          </w:p>
        </w:tc>
        <w:tc>
          <w:tcPr>
            <w:tcW w:w="14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56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1,855</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1,492</w:t>
            </w:r>
          </w:p>
        </w:tc>
        <w:tc>
          <w:tcPr>
            <w:tcW w:w="100" w:type="dxa"/>
            <w:vAlign w:val="bottom"/>
          </w:tcPr>
          <w:p>
            <w:pPr>
              <w:spacing w:after="0"/>
              <w:rPr>
                <w:sz w:val="17"/>
                <w:szCs w:val="17"/>
                <w:color w:val="auto"/>
              </w:rPr>
            </w:pPr>
          </w:p>
        </w:tc>
      </w:tr>
      <w:tr>
        <w:trPr>
          <w:trHeight w:val="196"/>
        </w:trPr>
        <w:tc>
          <w:tcPr>
            <w:tcW w:w="5400" w:type="dxa"/>
            <w:vAlign w:val="bottom"/>
            <w:gridSpan w:val="2"/>
          </w:tcPr>
          <w:p>
            <w:pPr>
              <w:ind w:left="200"/>
              <w:spacing w:after="0"/>
              <w:rPr>
                <w:sz w:val="20"/>
                <w:szCs w:val="20"/>
                <w:color w:val="auto"/>
              </w:rPr>
            </w:pPr>
            <w:r>
              <w:rPr>
                <w:rFonts w:ascii="Arial" w:cs="Arial" w:eastAsia="Arial" w:hAnsi="Arial"/>
                <w:sz w:val="16"/>
                <w:szCs w:val="16"/>
                <w:color w:val="004483"/>
              </w:rPr>
              <w:t>Corporate and Other</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705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17"/>
                <w:szCs w:val="17"/>
                <w:color w:val="auto"/>
              </w:rPr>
            </w:pPr>
          </w:p>
        </w:tc>
      </w:tr>
      <w:tr>
        <w:trPr>
          <w:trHeight w:val="30"/>
        </w:trPr>
        <w:tc>
          <w:tcPr>
            <w:tcW w:w="5240" w:type="dxa"/>
            <w:vAlign w:val="bottom"/>
            <w:tcBorders>
              <w:bottom w:val="single" w:sz="8" w:color="A6A6A6"/>
            </w:tcBorders>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380" w:type="dxa"/>
            <w:vAlign w:val="bottom"/>
            <w:tcBorders>
              <w:bottom w:val="single" w:sz="8" w:color="004483"/>
            </w:tcBorders>
            <w:shd w:val="clear" w:color="auto" w:fill="004483"/>
          </w:tcPr>
          <w:p>
            <w:pPr>
              <w:spacing w:after="0"/>
              <w:rPr>
                <w:sz w:val="2"/>
                <w:szCs w:val="2"/>
                <w:color w:val="auto"/>
              </w:rPr>
            </w:pPr>
          </w:p>
        </w:tc>
        <w:tc>
          <w:tcPr>
            <w:tcW w:w="860" w:type="dxa"/>
            <w:vAlign w:val="bottom"/>
            <w:tcBorders>
              <w:bottom w:val="single" w:sz="8" w:color="004483"/>
            </w:tcBorders>
            <w:shd w:val="clear" w:color="auto" w:fill="004483"/>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560" w:type="dxa"/>
            <w:vAlign w:val="bottom"/>
            <w:tcBorders>
              <w:bottom w:val="single" w:sz="8" w:color="004483"/>
            </w:tcBorders>
            <w:shd w:val="clear" w:color="auto" w:fill="004483"/>
          </w:tcPr>
          <w:p>
            <w:pPr>
              <w:spacing w:after="0"/>
              <w:rPr>
                <w:sz w:val="2"/>
                <w:szCs w:val="2"/>
                <w:color w:val="auto"/>
              </w:rPr>
            </w:pPr>
          </w:p>
        </w:tc>
        <w:tc>
          <w:tcPr>
            <w:tcW w:w="260" w:type="dxa"/>
            <w:vAlign w:val="bottom"/>
            <w:tcBorders>
              <w:bottom w:val="single" w:sz="8" w:color="004483"/>
            </w:tcBorders>
            <w:shd w:val="clear" w:color="auto" w:fill="004483"/>
          </w:tcPr>
          <w:p>
            <w:pPr>
              <w:spacing w:after="0"/>
              <w:rPr>
                <w:sz w:val="2"/>
                <w:szCs w:val="2"/>
                <w:color w:val="auto"/>
              </w:rPr>
            </w:pPr>
          </w:p>
        </w:tc>
        <w:tc>
          <w:tcPr>
            <w:tcW w:w="4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20" w:type="dxa"/>
            <w:vAlign w:val="bottom"/>
            <w:tcBorders>
              <w:bottom w:val="single" w:sz="8" w:color="004483"/>
            </w:tcBorders>
            <w:shd w:val="clear" w:color="auto" w:fill="004483"/>
          </w:tcPr>
          <w:p>
            <w:pPr>
              <w:spacing w:after="0"/>
              <w:rPr>
                <w:sz w:val="2"/>
                <w:szCs w:val="2"/>
                <w:color w:val="auto"/>
              </w:rPr>
            </w:pPr>
          </w:p>
        </w:tc>
        <w:tc>
          <w:tcPr>
            <w:tcW w:w="860" w:type="dxa"/>
            <w:vAlign w:val="bottom"/>
            <w:tcBorders>
              <w:bottom w:val="single" w:sz="8" w:color="004483"/>
            </w:tcBorders>
            <w:gridSpan w:val="2"/>
            <w:shd w:val="clear" w:color="auto" w:fill="004483"/>
          </w:tcPr>
          <w:p>
            <w:pPr>
              <w:spacing w:after="0"/>
              <w:rPr>
                <w:sz w:val="2"/>
                <w:szCs w:val="2"/>
                <w:color w:val="auto"/>
              </w:rPr>
            </w:pPr>
          </w:p>
        </w:tc>
        <w:tc>
          <w:tcPr>
            <w:tcW w:w="240" w:type="dxa"/>
            <w:vAlign w:val="bottom"/>
            <w:tcBorders>
              <w:bottom w:val="single" w:sz="8" w:color="004483"/>
              <w:right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50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bottom w:val="single" w:sz="8" w:color="004483"/>
            </w:tcBorders>
          </w:tcPr>
          <w:p>
            <w:pPr>
              <w:jc w:val="right"/>
              <w:ind w:right="201"/>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28,335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bottom w:val="single" w:sz="8" w:color="004483"/>
            </w:tcBorders>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14,842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gridSpan w:val="3"/>
          </w:tcPr>
          <w:p>
            <w:pPr>
              <w:jc w:val="right"/>
              <w:spacing w:after="0"/>
              <w:rPr>
                <w:sz w:val="20"/>
                <w:szCs w:val="20"/>
                <w:color w:val="auto"/>
              </w:rPr>
            </w:pPr>
            <w:r>
              <w:rPr>
                <w:rFonts w:ascii="Arial" w:cs="Arial" w:eastAsia="Arial" w:hAnsi="Arial"/>
                <w:sz w:val="16"/>
                <w:szCs w:val="16"/>
                <w:b w:val="1"/>
                <w:bCs w:val="1"/>
                <w:color w:val="auto"/>
              </w:rPr>
              <w:t>43,249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004483"/>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26,777</w:t>
            </w:r>
          </w:p>
        </w:tc>
        <w:tc>
          <w:tcPr>
            <w:tcW w:w="100" w:type="dxa"/>
            <w:vAlign w:val="bottom"/>
          </w:tcPr>
          <w:p>
            <w:pPr>
              <w:spacing w:after="0"/>
              <w:rPr>
                <w:sz w:val="17"/>
                <w:szCs w:val="17"/>
                <w:color w:val="auto"/>
              </w:rPr>
            </w:pPr>
          </w:p>
        </w:tc>
      </w:tr>
      <w:tr>
        <w:trPr>
          <w:trHeight w:val="20"/>
        </w:trPr>
        <w:tc>
          <w:tcPr>
            <w:tcW w:w="524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560" w:type="dxa"/>
            <w:vAlign w:val="bottom"/>
            <w:tcBorders>
              <w:bottom w:val="single" w:sz="8" w:color="004483"/>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6A6A6"/>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6A6A6"/>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40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Depreciation, Depletion, and Amortization</w:t>
            </w:r>
          </w:p>
        </w:tc>
        <w:tc>
          <w:tcPr>
            <w:tcW w:w="380" w:type="dxa"/>
            <w:vAlign w:val="bottom"/>
            <w:tcBorders>
              <w:bottom w:val="single" w:sz="8" w:color="A6A6A6"/>
            </w:tcBorders>
          </w:tcPr>
          <w:p>
            <w:pPr>
              <w:spacing w:after="0"/>
              <w:rPr>
                <w:sz w:val="15"/>
                <w:szCs w:val="15"/>
                <w:color w:val="auto"/>
              </w:rPr>
            </w:pPr>
          </w:p>
        </w:tc>
        <w:tc>
          <w:tcPr>
            <w:tcW w:w="860" w:type="dxa"/>
            <w:vAlign w:val="bottom"/>
            <w:tcBorders>
              <w:bottom w:val="single" w:sz="8" w:color="A6A6A6"/>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560" w:type="dxa"/>
            <w:vAlign w:val="bottom"/>
            <w:tcBorders>
              <w:bottom w:val="single" w:sz="8" w:color="A6A6A6"/>
            </w:tcBorders>
          </w:tcPr>
          <w:p>
            <w:pPr>
              <w:spacing w:after="0"/>
              <w:rPr>
                <w:sz w:val="15"/>
                <w:szCs w:val="15"/>
                <w:color w:val="auto"/>
              </w:rPr>
            </w:pPr>
          </w:p>
        </w:tc>
        <w:tc>
          <w:tcPr>
            <w:tcW w:w="260" w:type="dxa"/>
            <w:vAlign w:val="bottom"/>
            <w:tcBorders>
              <w:bottom w:val="single" w:sz="8" w:color="A6A6A6"/>
            </w:tcBorders>
          </w:tcPr>
          <w:p>
            <w:pPr>
              <w:spacing w:after="0"/>
              <w:rPr>
                <w:sz w:val="15"/>
                <w:szCs w:val="15"/>
                <w:color w:val="auto"/>
              </w:rPr>
            </w:pPr>
          </w:p>
        </w:tc>
        <w:tc>
          <w:tcPr>
            <w:tcW w:w="44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6A6A6"/>
            </w:tcBorders>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spacing w:after="0"/>
              <w:rPr>
                <w:sz w:val="15"/>
                <w:szCs w:val="15"/>
                <w:color w:val="auto"/>
              </w:rPr>
            </w:pPr>
          </w:p>
        </w:tc>
        <w:tc>
          <w:tcPr>
            <w:tcW w:w="100" w:type="dxa"/>
            <w:vAlign w:val="bottom"/>
            <w:tcBorders>
              <w:bottom w:val="single" w:sz="8" w:color="A6A6A6"/>
            </w:tcBorders>
          </w:tcPr>
          <w:p>
            <w:pPr>
              <w:spacing w:after="0"/>
              <w:rPr>
                <w:sz w:val="15"/>
                <w:szCs w:val="15"/>
                <w:color w:val="auto"/>
              </w:rPr>
            </w:pPr>
          </w:p>
        </w:tc>
        <w:tc>
          <w:tcPr>
            <w:tcW w:w="240" w:type="dxa"/>
            <w:vAlign w:val="bottom"/>
            <w:tcBorders>
              <w:bottom w:val="single" w:sz="8" w:color="A6A6A6"/>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6A6A6"/>
            </w:tcBorders>
          </w:tcPr>
          <w:p>
            <w:pPr>
              <w:spacing w:after="0"/>
              <w:rPr>
                <w:sz w:val="15"/>
                <w:szCs w:val="15"/>
                <w:color w:val="auto"/>
              </w:rPr>
            </w:pPr>
          </w:p>
        </w:tc>
        <w:tc>
          <w:tcPr>
            <w:tcW w:w="500" w:type="dxa"/>
            <w:vAlign w:val="bottom"/>
            <w:tcBorders>
              <w:bottom w:val="single" w:sz="8" w:color="A6A6A6"/>
            </w:tcBorders>
          </w:tcPr>
          <w:p>
            <w:pPr>
              <w:spacing w:after="0"/>
              <w:rPr>
                <w:sz w:val="15"/>
                <w:szCs w:val="15"/>
                <w:color w:val="auto"/>
              </w:rPr>
            </w:pPr>
          </w:p>
        </w:tc>
        <w:tc>
          <w:tcPr>
            <w:tcW w:w="760" w:type="dxa"/>
            <w:vAlign w:val="bottom"/>
            <w:tcBorders>
              <w:bottom w:val="single" w:sz="8" w:color="A6A6A6"/>
            </w:tcBorders>
          </w:tcPr>
          <w:p>
            <w:pPr>
              <w:spacing w:after="0"/>
              <w:rPr>
                <w:sz w:val="15"/>
                <w:szCs w:val="15"/>
                <w:color w:val="auto"/>
              </w:rPr>
            </w:pPr>
          </w:p>
        </w:tc>
        <w:tc>
          <w:tcPr>
            <w:tcW w:w="100" w:type="dxa"/>
            <w:vAlign w:val="bottom"/>
          </w:tcPr>
          <w:p>
            <w:pPr>
              <w:spacing w:after="0"/>
              <w:rPr>
                <w:sz w:val="15"/>
                <w:szCs w:val="15"/>
                <w:color w:val="auto"/>
              </w:rPr>
            </w:pPr>
          </w:p>
        </w:tc>
      </w:tr>
      <w:tr>
        <w:trPr>
          <w:trHeight w:val="193"/>
        </w:trPr>
        <w:tc>
          <w:tcPr>
            <w:tcW w:w="540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Cement</w:t>
            </w:r>
          </w:p>
        </w:tc>
        <w:tc>
          <w:tcPr>
            <w:tcW w:w="380" w:type="dxa"/>
            <w:vAlign w:val="bottom"/>
            <w:tcBorders>
              <w:bottom w:val="single" w:sz="8" w:color="A6A6A6"/>
            </w:tcBorders>
          </w:tcPr>
          <w:p>
            <w:pPr>
              <w:jc w:val="right"/>
              <w:ind w:right="20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20,258</w:t>
            </w:r>
          </w:p>
        </w:tc>
        <w:tc>
          <w:tcPr>
            <w:tcW w:w="140" w:type="dxa"/>
            <w:vAlign w:val="bottom"/>
          </w:tcPr>
          <w:p>
            <w:pPr>
              <w:spacing w:after="0"/>
              <w:rPr>
                <w:sz w:val="16"/>
                <w:szCs w:val="16"/>
                <w:color w:val="auto"/>
              </w:rPr>
            </w:pPr>
          </w:p>
        </w:tc>
        <w:tc>
          <w:tcPr>
            <w:tcW w:w="700" w:type="dxa"/>
            <w:vAlign w:val="bottom"/>
            <w:tcBorders>
              <w:bottom w:val="single" w:sz="8" w:color="A6A6A6"/>
            </w:tcBorders>
            <w:gridSpan w:val="2"/>
          </w:tcPr>
          <w:p>
            <w:pPr>
              <w:jc w:val="right"/>
              <w:ind w:right="3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20,019</w:t>
            </w:r>
          </w:p>
        </w:tc>
        <w:tc>
          <w:tcPr>
            <w:tcW w:w="100" w:type="dxa"/>
            <w:vAlign w:val="bottom"/>
          </w:tcPr>
          <w:p>
            <w:pPr>
              <w:spacing w:after="0"/>
              <w:rPr>
                <w:sz w:val="16"/>
                <w:szCs w:val="16"/>
                <w:color w:val="auto"/>
              </w:rPr>
            </w:pPr>
          </w:p>
        </w:tc>
        <w:tc>
          <w:tcPr>
            <w:tcW w:w="260" w:type="dxa"/>
            <w:vAlign w:val="bottom"/>
            <w:tcBorders>
              <w:bottom w:val="single" w:sz="8" w:color="A6A6A6"/>
            </w:tcBorders>
            <w:gridSpan w:val="2"/>
          </w:tcPr>
          <w:p>
            <w:pPr>
              <w:ind w:lef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40,311</w:t>
            </w:r>
          </w:p>
        </w:tc>
        <w:tc>
          <w:tcPr>
            <w:tcW w:w="120" w:type="dxa"/>
            <w:vAlign w:val="bottom"/>
          </w:tcPr>
          <w:p>
            <w:pPr>
              <w:spacing w:after="0"/>
              <w:rPr>
                <w:sz w:val="16"/>
                <w:szCs w:val="16"/>
                <w:color w:val="auto"/>
              </w:rPr>
            </w:pPr>
          </w:p>
        </w:tc>
        <w:tc>
          <w:tcPr>
            <w:tcW w:w="620" w:type="dxa"/>
            <w:vAlign w:val="bottom"/>
            <w:tcBorders>
              <w:bottom w:val="single" w:sz="8" w:color="A6A6A6"/>
            </w:tcBorders>
            <w:gridSpan w:val="2"/>
          </w:tcPr>
          <w:p>
            <w:pPr>
              <w:jc w:val="right"/>
              <w:ind w:right="2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39,550</w:t>
            </w:r>
          </w:p>
        </w:tc>
        <w:tc>
          <w:tcPr>
            <w:tcW w:w="100" w:type="dxa"/>
            <w:vAlign w:val="bottom"/>
          </w:tcPr>
          <w:p>
            <w:pPr>
              <w:spacing w:after="0"/>
              <w:rPr>
                <w:sz w:val="16"/>
                <w:szCs w:val="16"/>
                <w:color w:val="auto"/>
              </w:rPr>
            </w:pPr>
          </w:p>
        </w:tc>
      </w:tr>
      <w:tr>
        <w:trPr>
          <w:trHeight w:val="196"/>
        </w:trPr>
        <w:tc>
          <w:tcPr>
            <w:tcW w:w="540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Concrete and Aggregates</w:t>
            </w:r>
          </w:p>
        </w:tc>
        <w:tc>
          <w:tcPr>
            <w:tcW w:w="38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4,351</w:t>
            </w:r>
          </w:p>
        </w:tc>
        <w:tc>
          <w:tcPr>
            <w:tcW w:w="14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56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2,470</w:t>
            </w: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8,552</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5,048</w:t>
            </w:r>
          </w:p>
        </w:tc>
        <w:tc>
          <w:tcPr>
            <w:tcW w:w="100" w:type="dxa"/>
            <w:vAlign w:val="bottom"/>
          </w:tcPr>
          <w:p>
            <w:pPr>
              <w:spacing w:after="0"/>
              <w:rPr>
                <w:sz w:val="17"/>
                <w:szCs w:val="17"/>
                <w:color w:val="auto"/>
              </w:rPr>
            </w:pPr>
          </w:p>
        </w:tc>
      </w:tr>
      <w:tr>
        <w:trPr>
          <w:trHeight w:val="196"/>
        </w:trPr>
        <w:tc>
          <w:tcPr>
            <w:tcW w:w="540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Gypsum Wallboard</w:t>
            </w:r>
          </w:p>
        </w:tc>
        <w:tc>
          <w:tcPr>
            <w:tcW w:w="38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5,589</w:t>
            </w:r>
          </w:p>
        </w:tc>
        <w:tc>
          <w:tcPr>
            <w:tcW w:w="14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56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5,484</w:t>
            </w: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11,152</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10,880</w:t>
            </w:r>
          </w:p>
        </w:tc>
        <w:tc>
          <w:tcPr>
            <w:tcW w:w="100" w:type="dxa"/>
            <w:vAlign w:val="bottom"/>
          </w:tcPr>
          <w:p>
            <w:pPr>
              <w:spacing w:after="0"/>
              <w:rPr>
                <w:sz w:val="17"/>
                <w:szCs w:val="17"/>
                <w:color w:val="auto"/>
              </w:rPr>
            </w:pPr>
          </w:p>
        </w:tc>
      </w:tr>
      <w:tr>
        <w:trPr>
          <w:trHeight w:val="196"/>
        </w:trPr>
        <w:tc>
          <w:tcPr>
            <w:tcW w:w="540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Paperboard</w:t>
            </w:r>
          </w:p>
        </w:tc>
        <w:tc>
          <w:tcPr>
            <w:tcW w:w="38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3,742</w:t>
            </w:r>
          </w:p>
        </w:tc>
        <w:tc>
          <w:tcPr>
            <w:tcW w:w="14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560" w:type="dxa"/>
            <w:vAlign w:val="bottom"/>
            <w:tcBorders>
              <w:bottom w:val="single" w:sz="8" w:color="A6A6A6"/>
            </w:tcBorders>
          </w:tcPr>
          <w:p>
            <w:pPr>
              <w:spacing w:after="0"/>
              <w:rPr>
                <w:sz w:val="17"/>
                <w:szCs w:val="17"/>
                <w:color w:val="auto"/>
              </w:rPr>
            </w:pPr>
          </w:p>
        </w:tc>
        <w:tc>
          <w:tcPr>
            <w:tcW w:w="70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3,663</w:t>
            </w:r>
          </w:p>
        </w:tc>
        <w:tc>
          <w:tcPr>
            <w:tcW w:w="100" w:type="dxa"/>
            <w:vAlign w:val="bottom"/>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10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7,459</w:t>
            </w:r>
          </w:p>
        </w:tc>
        <w:tc>
          <w:tcPr>
            <w:tcW w:w="120" w:type="dxa"/>
            <w:vAlign w:val="bottom"/>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7,331</w:t>
            </w:r>
          </w:p>
        </w:tc>
        <w:tc>
          <w:tcPr>
            <w:tcW w:w="100" w:type="dxa"/>
            <w:vAlign w:val="bottom"/>
          </w:tcPr>
          <w:p>
            <w:pPr>
              <w:spacing w:after="0"/>
              <w:rPr>
                <w:sz w:val="17"/>
                <w:szCs w:val="17"/>
                <w:color w:val="auto"/>
              </w:rPr>
            </w:pPr>
          </w:p>
        </w:tc>
      </w:tr>
      <w:tr>
        <w:trPr>
          <w:trHeight w:val="196"/>
        </w:trPr>
        <w:tc>
          <w:tcPr>
            <w:tcW w:w="5400" w:type="dxa"/>
            <w:vAlign w:val="bottom"/>
            <w:gridSpan w:val="2"/>
          </w:tcPr>
          <w:p>
            <w:pPr>
              <w:ind w:left="200"/>
              <w:spacing w:after="0"/>
              <w:rPr>
                <w:sz w:val="20"/>
                <w:szCs w:val="20"/>
                <w:color w:val="auto"/>
              </w:rPr>
            </w:pPr>
            <w:r>
              <w:rPr>
                <w:rFonts w:ascii="Arial" w:cs="Arial" w:eastAsia="Arial" w:hAnsi="Arial"/>
                <w:sz w:val="16"/>
                <w:szCs w:val="16"/>
                <w:color w:val="004483"/>
              </w:rPr>
              <w:t>Corporate and Other</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1,400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1,475</w:t>
            </w:r>
          </w:p>
        </w:tc>
        <w:tc>
          <w:tcPr>
            <w:tcW w:w="100" w:type="dxa"/>
            <w:vAlign w:val="bottom"/>
          </w:tcPr>
          <w:p>
            <w:pPr>
              <w:spacing w:after="0"/>
              <w:rPr>
                <w:sz w:val="17"/>
                <w:szCs w:val="17"/>
                <w:color w:val="auto"/>
              </w:rPr>
            </w:pPr>
          </w:p>
        </w:tc>
      </w:tr>
      <w:tr>
        <w:trPr>
          <w:trHeight w:val="30"/>
        </w:trPr>
        <w:tc>
          <w:tcPr>
            <w:tcW w:w="5240" w:type="dxa"/>
            <w:vAlign w:val="bottom"/>
            <w:tcBorders>
              <w:bottom w:val="single" w:sz="8" w:color="A6A6A6"/>
            </w:tcBorders>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380" w:type="dxa"/>
            <w:vAlign w:val="bottom"/>
            <w:tcBorders>
              <w:bottom w:val="single" w:sz="8" w:color="004483"/>
            </w:tcBorders>
            <w:shd w:val="clear" w:color="auto" w:fill="004483"/>
          </w:tcPr>
          <w:p>
            <w:pPr>
              <w:spacing w:after="0"/>
              <w:rPr>
                <w:sz w:val="2"/>
                <w:szCs w:val="2"/>
                <w:color w:val="auto"/>
              </w:rPr>
            </w:pPr>
          </w:p>
        </w:tc>
        <w:tc>
          <w:tcPr>
            <w:tcW w:w="860" w:type="dxa"/>
            <w:vAlign w:val="bottom"/>
            <w:tcBorders>
              <w:bottom w:val="single" w:sz="8" w:color="004483"/>
            </w:tcBorders>
            <w:shd w:val="clear" w:color="auto" w:fill="004483"/>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560" w:type="dxa"/>
            <w:vAlign w:val="bottom"/>
            <w:tcBorders>
              <w:bottom w:val="single" w:sz="8" w:color="004483"/>
            </w:tcBorders>
            <w:shd w:val="clear" w:color="auto" w:fill="004483"/>
          </w:tcPr>
          <w:p>
            <w:pPr>
              <w:spacing w:after="0"/>
              <w:rPr>
                <w:sz w:val="2"/>
                <w:szCs w:val="2"/>
                <w:color w:val="auto"/>
              </w:rPr>
            </w:pPr>
          </w:p>
        </w:tc>
        <w:tc>
          <w:tcPr>
            <w:tcW w:w="260" w:type="dxa"/>
            <w:vAlign w:val="bottom"/>
            <w:tcBorders>
              <w:bottom w:val="single" w:sz="8" w:color="004483"/>
            </w:tcBorders>
            <w:shd w:val="clear" w:color="auto" w:fill="004483"/>
          </w:tcPr>
          <w:p>
            <w:pPr>
              <w:spacing w:after="0"/>
              <w:rPr>
                <w:sz w:val="2"/>
                <w:szCs w:val="2"/>
                <w:color w:val="auto"/>
              </w:rPr>
            </w:pPr>
          </w:p>
        </w:tc>
        <w:tc>
          <w:tcPr>
            <w:tcW w:w="4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20" w:type="dxa"/>
            <w:vAlign w:val="bottom"/>
            <w:tcBorders>
              <w:bottom w:val="single" w:sz="8" w:color="004483"/>
            </w:tcBorders>
            <w:shd w:val="clear" w:color="auto" w:fill="004483"/>
          </w:tcPr>
          <w:p>
            <w:pPr>
              <w:spacing w:after="0"/>
              <w:rPr>
                <w:sz w:val="2"/>
                <w:szCs w:val="2"/>
                <w:color w:val="auto"/>
              </w:rPr>
            </w:pPr>
          </w:p>
        </w:tc>
        <w:tc>
          <w:tcPr>
            <w:tcW w:w="860" w:type="dxa"/>
            <w:vAlign w:val="bottom"/>
            <w:tcBorders>
              <w:bottom w:val="single" w:sz="8" w:color="004483"/>
            </w:tcBorders>
            <w:gridSpan w:val="2"/>
            <w:shd w:val="clear" w:color="auto" w:fill="004483"/>
          </w:tcPr>
          <w:p>
            <w:pPr>
              <w:spacing w:after="0"/>
              <w:rPr>
                <w:sz w:val="2"/>
                <w:szCs w:val="2"/>
                <w:color w:val="auto"/>
              </w:rPr>
            </w:pPr>
          </w:p>
        </w:tc>
        <w:tc>
          <w:tcPr>
            <w:tcW w:w="240" w:type="dxa"/>
            <w:vAlign w:val="bottom"/>
            <w:tcBorders>
              <w:bottom w:val="single" w:sz="8" w:color="004483"/>
              <w:right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500" w:type="dxa"/>
            <w:vAlign w:val="bottom"/>
            <w:tcBorders>
              <w:bottom w:val="single" w:sz="8" w:color="004483"/>
            </w:tcBorders>
            <w:shd w:val="clear" w:color="auto" w:fill="004483"/>
          </w:tcPr>
          <w:p>
            <w:pPr>
              <w:spacing w:after="0"/>
              <w:rPr>
                <w:sz w:val="2"/>
                <w:szCs w:val="2"/>
                <w:color w:val="auto"/>
              </w:rPr>
            </w:pPr>
          </w:p>
        </w:tc>
        <w:tc>
          <w:tcPr>
            <w:tcW w:w="7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bottom w:val="single" w:sz="8" w:color="004483"/>
            </w:tcBorders>
          </w:tcPr>
          <w:p>
            <w:pPr>
              <w:jc w:val="right"/>
              <w:ind w:right="201"/>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34,645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Borders>
              <w:bottom w:val="single" w:sz="8" w:color="004483"/>
            </w:tcBorders>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004483"/>
            </w:tcBorders>
            <w:gridSpan w:val="2"/>
          </w:tcPr>
          <w:p>
            <w:pPr>
              <w:jc w:val="right"/>
              <w:spacing w:after="0"/>
              <w:rPr>
                <w:sz w:val="20"/>
                <w:szCs w:val="20"/>
                <w:color w:val="auto"/>
              </w:rPr>
            </w:pPr>
            <w:r>
              <w:rPr>
                <w:rFonts w:ascii="Arial" w:cs="Arial" w:eastAsia="Arial" w:hAnsi="Arial"/>
                <w:sz w:val="16"/>
                <w:szCs w:val="16"/>
                <w:b w:val="1"/>
                <w:bCs w:val="1"/>
                <w:color w:val="auto"/>
              </w:rPr>
              <w:t>32,340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004483"/>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gridSpan w:val="3"/>
          </w:tcPr>
          <w:p>
            <w:pPr>
              <w:jc w:val="right"/>
              <w:spacing w:after="0"/>
              <w:rPr>
                <w:sz w:val="20"/>
                <w:szCs w:val="20"/>
                <w:color w:val="auto"/>
              </w:rPr>
            </w:pPr>
            <w:r>
              <w:rPr>
                <w:rFonts w:ascii="Arial" w:cs="Arial" w:eastAsia="Arial" w:hAnsi="Arial"/>
                <w:sz w:val="16"/>
                <w:szCs w:val="16"/>
                <w:b w:val="1"/>
                <w:bCs w:val="1"/>
                <w:color w:val="auto"/>
              </w:rPr>
              <w:t>68,874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bottom w:val="single" w:sz="8" w:color="004483"/>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64,284</w:t>
            </w:r>
          </w:p>
        </w:tc>
        <w:tc>
          <w:tcPr>
            <w:tcW w:w="100" w:type="dxa"/>
            <w:vAlign w:val="bottom"/>
          </w:tcPr>
          <w:p>
            <w:pPr>
              <w:spacing w:after="0"/>
              <w:rPr>
                <w:sz w:val="17"/>
                <w:szCs w:val="17"/>
                <w:color w:val="auto"/>
              </w:rPr>
            </w:pPr>
          </w:p>
        </w:tc>
      </w:tr>
      <w:tr>
        <w:trPr>
          <w:trHeight w:val="20"/>
        </w:trPr>
        <w:tc>
          <w:tcPr>
            <w:tcW w:w="5240" w:type="dxa"/>
            <w:vAlign w:val="bottom"/>
            <w:tcBorders>
              <w:bottom w:val="single" w:sz="8" w:color="A6A6A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004483"/>
            </w:tcBorders>
          </w:tcPr>
          <w:p>
            <w:pPr>
              <w:spacing w:after="0" w:line="20" w:lineRule="exact"/>
              <w:rPr>
                <w:sz w:val="1"/>
                <w:szCs w:val="1"/>
                <w:color w:val="auto"/>
              </w:rPr>
            </w:pPr>
          </w:p>
        </w:tc>
        <w:tc>
          <w:tcPr>
            <w:tcW w:w="260" w:type="dxa"/>
            <w:vAlign w:val="bottom"/>
            <w:tcBorders>
              <w:bottom w:val="single" w:sz="8" w:color="004483"/>
            </w:tcBorders>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r>
      <w:tr>
        <w:trPr>
          <w:trHeight w:val="162"/>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880" w:type="dxa"/>
            <w:vAlign w:val="bottom"/>
            <w:gridSpan w:val="2"/>
            <w:shd w:val="clear" w:color="auto" w:fill="004483"/>
          </w:tcPr>
          <w:p>
            <w:pPr>
              <w:spacing w:after="0"/>
              <w:rPr>
                <w:sz w:val="20"/>
                <w:szCs w:val="20"/>
                <w:color w:val="auto"/>
              </w:rPr>
            </w:pPr>
            <w:r>
              <w:rPr>
                <w:rFonts w:ascii="Arial" w:cs="Arial" w:eastAsia="Arial" w:hAnsi="Arial"/>
                <w:sz w:val="13"/>
                <w:szCs w:val="13"/>
                <w:b w:val="1"/>
                <w:bCs w:val="1"/>
                <w:color w:val="FFFFFF"/>
                <w:w w:val="96"/>
              </w:rPr>
              <w:t>September 30,</w:t>
            </w:r>
          </w:p>
        </w:tc>
        <w:tc>
          <w:tcPr>
            <w:tcW w:w="100" w:type="dxa"/>
            <w:vAlign w:val="bottom"/>
            <w:shd w:val="clear" w:color="auto" w:fill="004483"/>
          </w:tcPr>
          <w:p>
            <w:pPr>
              <w:spacing w:after="0"/>
              <w:rPr>
                <w:sz w:val="14"/>
                <w:szCs w:val="14"/>
                <w:color w:val="auto"/>
              </w:rPr>
            </w:pPr>
          </w:p>
        </w:tc>
        <w:tc>
          <w:tcPr>
            <w:tcW w:w="240" w:type="dxa"/>
            <w:vAlign w:val="bottom"/>
            <w:tcBorders>
              <w:right w:val="single" w:sz="8" w:color="004483"/>
            </w:tcBorders>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500" w:type="dxa"/>
            <w:vAlign w:val="bottom"/>
            <w:shd w:val="clear" w:color="auto" w:fill="004483"/>
          </w:tcPr>
          <w:p>
            <w:pPr>
              <w:spacing w:after="0"/>
              <w:rPr>
                <w:sz w:val="14"/>
                <w:szCs w:val="14"/>
                <w:color w:val="auto"/>
              </w:rPr>
            </w:pPr>
          </w:p>
        </w:tc>
        <w:tc>
          <w:tcPr>
            <w:tcW w:w="860" w:type="dxa"/>
            <w:vAlign w:val="bottom"/>
            <w:gridSpan w:val="2"/>
            <w:shd w:val="clear" w:color="auto" w:fill="004483"/>
          </w:tcPr>
          <w:p>
            <w:pPr>
              <w:jc w:val="right"/>
              <w:ind w:right="120"/>
              <w:spacing w:after="0"/>
              <w:rPr>
                <w:sz w:val="20"/>
                <w:szCs w:val="20"/>
                <w:color w:val="auto"/>
              </w:rPr>
            </w:pPr>
            <w:r>
              <w:rPr>
                <w:rFonts w:ascii="Arial" w:cs="Arial" w:eastAsia="Arial" w:hAnsi="Arial"/>
                <w:sz w:val="13"/>
                <w:szCs w:val="13"/>
                <w:b w:val="1"/>
                <w:bCs w:val="1"/>
                <w:color w:val="FFFFFF"/>
              </w:rPr>
              <w:t>March 31,</w:t>
            </w:r>
          </w:p>
        </w:tc>
      </w:tr>
      <w:tr>
        <w:trPr>
          <w:trHeight w:val="156"/>
        </w:trPr>
        <w:tc>
          <w:tcPr>
            <w:tcW w:w="5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r>
      <w:tr>
        <w:trPr>
          <w:trHeight w:val="188"/>
        </w:trPr>
        <w:tc>
          <w:tcPr>
            <w:tcW w:w="524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380" w:type="dxa"/>
            <w:vAlign w:val="bottom"/>
            <w:tcBorders>
              <w:bottom w:val="single" w:sz="8" w:color="004483"/>
            </w:tcBorders>
          </w:tcPr>
          <w:p>
            <w:pPr>
              <w:spacing w:after="0"/>
              <w:rPr>
                <w:sz w:val="16"/>
                <w:szCs w:val="16"/>
                <w:color w:val="auto"/>
              </w:rPr>
            </w:pPr>
          </w:p>
        </w:tc>
        <w:tc>
          <w:tcPr>
            <w:tcW w:w="86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560" w:type="dxa"/>
            <w:vAlign w:val="bottom"/>
            <w:tcBorders>
              <w:bottom w:val="single" w:sz="8" w:color="004483"/>
            </w:tcBorders>
          </w:tcPr>
          <w:p>
            <w:pPr>
              <w:spacing w:after="0"/>
              <w:rPr>
                <w:sz w:val="16"/>
                <w:szCs w:val="16"/>
                <w:color w:val="auto"/>
              </w:rPr>
            </w:pPr>
          </w:p>
        </w:tc>
        <w:tc>
          <w:tcPr>
            <w:tcW w:w="260" w:type="dxa"/>
            <w:vAlign w:val="bottom"/>
            <w:tcBorders>
              <w:bottom w:val="single" w:sz="8" w:color="004483"/>
            </w:tcBorders>
          </w:tcPr>
          <w:p>
            <w:pPr>
              <w:spacing w:after="0"/>
              <w:rPr>
                <w:sz w:val="16"/>
                <w:szCs w:val="16"/>
                <w:color w:val="auto"/>
              </w:rPr>
            </w:pPr>
          </w:p>
        </w:tc>
        <w:tc>
          <w:tcPr>
            <w:tcW w:w="440" w:type="dxa"/>
            <w:vAlign w:val="bottom"/>
            <w:tcBorders>
              <w:bottom w:val="single" w:sz="8" w:color="004483"/>
            </w:tcBorders>
          </w:tcPr>
          <w:p>
            <w:pPr>
              <w:spacing w:after="0"/>
              <w:rPr>
                <w:sz w:val="16"/>
                <w:szCs w:val="16"/>
                <w:color w:val="auto"/>
              </w:rPr>
            </w:pPr>
          </w:p>
        </w:tc>
        <w:tc>
          <w:tcPr>
            <w:tcW w:w="10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840" w:type="dxa"/>
            <w:vAlign w:val="bottom"/>
            <w:tcBorders>
              <w:bottom w:val="single" w:sz="8" w:color="004483"/>
            </w:tcBorders>
            <w:gridSpan w:val="6"/>
          </w:tcPr>
          <w:p>
            <w:pPr>
              <w:jc w:val="right"/>
              <w:ind w:right="259"/>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400" w:type="dxa"/>
            <w:vAlign w:val="bottom"/>
            <w:tcBorders>
              <w:bottom w:val="single" w:sz="8" w:color="A6A6A6"/>
            </w:tcBorders>
            <w:gridSpan w:val="2"/>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38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560" w:type="dxa"/>
            <w:vAlign w:val="bottom"/>
            <w:tcBorders>
              <w:bottom w:val="single" w:sz="8" w:color="A6A6A6"/>
            </w:tcBorders>
          </w:tcPr>
          <w:p>
            <w:pPr>
              <w:spacing w:after="0"/>
              <w:rPr>
                <w:sz w:val="17"/>
                <w:szCs w:val="17"/>
                <w:color w:val="auto"/>
              </w:rPr>
            </w:pPr>
          </w:p>
        </w:tc>
        <w:tc>
          <w:tcPr>
            <w:tcW w:w="260" w:type="dxa"/>
            <w:vAlign w:val="bottom"/>
            <w:tcBorders>
              <w:bottom w:val="single" w:sz="8" w:color="A6A6A6"/>
            </w:tcBorders>
          </w:tcPr>
          <w:p>
            <w:pPr>
              <w:spacing w:after="0"/>
              <w:rPr>
                <w:sz w:val="17"/>
                <w:szCs w:val="17"/>
                <w:color w:val="auto"/>
              </w:rPr>
            </w:pPr>
          </w:p>
        </w:tc>
        <w:tc>
          <w:tcPr>
            <w:tcW w:w="44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5400" w:type="dxa"/>
            <w:vAlign w:val="bottom"/>
            <w:gridSpan w:val="2"/>
          </w:tcPr>
          <w:p>
            <w:pPr>
              <w:ind w:left="200"/>
              <w:spacing w:after="0"/>
              <w:rPr>
                <w:sz w:val="20"/>
                <w:szCs w:val="20"/>
                <w:color w:val="auto"/>
              </w:rPr>
            </w:pPr>
            <w:r>
              <w:rPr>
                <w:rFonts w:ascii="Arial" w:cs="Arial" w:eastAsia="Arial" w:hAnsi="Arial"/>
                <w:sz w:val="16"/>
                <w:szCs w:val="16"/>
                <w:color w:val="004483"/>
              </w:rPr>
              <w:t>Cement</w:t>
            </w: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1,903,575</w:t>
            </w:r>
          </w:p>
        </w:tc>
        <w:tc>
          <w:tcPr>
            <w:tcW w:w="460" w:type="dxa"/>
            <w:vAlign w:val="bottom"/>
            <w:gridSpan w:val="3"/>
          </w:tcPr>
          <w:p>
            <w:pPr>
              <w:jc w:val="right"/>
              <w:ind w:right="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1,860,649</w:t>
            </w:r>
          </w:p>
        </w:tc>
        <w:tc>
          <w:tcPr>
            <w:tcW w:w="100" w:type="dxa"/>
            <w:vAlign w:val="bottom"/>
          </w:tcPr>
          <w:p>
            <w:pPr>
              <w:spacing w:after="0"/>
              <w:rPr>
                <w:sz w:val="16"/>
                <w:szCs w:val="16"/>
                <w:color w:val="auto"/>
              </w:rPr>
            </w:pPr>
          </w:p>
        </w:tc>
      </w:tr>
      <w:tr>
        <w:trPr>
          <w:trHeight w:val="196"/>
        </w:trPr>
        <w:tc>
          <w:tcPr>
            <w:tcW w:w="5400" w:type="dxa"/>
            <w:vAlign w:val="bottom"/>
            <w:tcBorders>
              <w:top w:val="single" w:sz="8" w:color="A6A6A6"/>
              <w:bottom w:val="single" w:sz="8" w:color="A6A6A6"/>
            </w:tcBorders>
            <w:gridSpan w:val="2"/>
          </w:tcPr>
          <w:p>
            <w:pPr>
              <w:ind w:left="200"/>
              <w:spacing w:after="0"/>
              <w:rPr>
                <w:sz w:val="20"/>
                <w:szCs w:val="20"/>
                <w:color w:val="auto"/>
              </w:rPr>
            </w:pPr>
            <w:r>
              <w:rPr>
                <w:rFonts w:ascii="Arial" w:cs="Arial" w:eastAsia="Arial" w:hAnsi="Arial"/>
                <w:sz w:val="16"/>
                <w:szCs w:val="16"/>
                <w:color w:val="004483"/>
              </w:rPr>
              <w:t>Concrete and Aggregates</w:t>
            </w:r>
          </w:p>
        </w:tc>
        <w:tc>
          <w:tcPr>
            <w:tcW w:w="380" w:type="dxa"/>
            <w:vAlign w:val="bottom"/>
            <w:tcBorders>
              <w:top w:val="single" w:sz="8" w:color="A6A6A6"/>
              <w:bottom w:val="single" w:sz="8" w:color="A6A6A6"/>
            </w:tcBorders>
          </w:tcPr>
          <w:p>
            <w:pPr>
              <w:spacing w:after="0"/>
              <w:rPr>
                <w:sz w:val="17"/>
                <w:szCs w:val="17"/>
                <w:color w:val="auto"/>
              </w:rPr>
            </w:pPr>
          </w:p>
        </w:tc>
        <w:tc>
          <w:tcPr>
            <w:tcW w:w="860" w:type="dxa"/>
            <w:vAlign w:val="bottom"/>
            <w:tcBorders>
              <w:top w:val="single" w:sz="8" w:color="A6A6A6"/>
              <w:bottom w:val="single" w:sz="8" w:color="A6A6A6"/>
            </w:tcBorders>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560" w:type="dxa"/>
            <w:vAlign w:val="bottom"/>
            <w:tcBorders>
              <w:top w:val="single" w:sz="8" w:color="A6A6A6"/>
              <w:bottom w:val="single" w:sz="8" w:color="A6A6A6"/>
            </w:tcBorders>
          </w:tcPr>
          <w:p>
            <w:pPr>
              <w:spacing w:after="0"/>
              <w:rPr>
                <w:sz w:val="17"/>
                <w:szCs w:val="17"/>
                <w:color w:val="auto"/>
              </w:rPr>
            </w:pPr>
          </w:p>
        </w:tc>
        <w:tc>
          <w:tcPr>
            <w:tcW w:w="260" w:type="dxa"/>
            <w:vAlign w:val="bottom"/>
            <w:tcBorders>
              <w:top w:val="single" w:sz="8" w:color="A6A6A6"/>
              <w:bottom w:val="single" w:sz="8" w:color="A6A6A6"/>
            </w:tcBorders>
          </w:tcPr>
          <w:p>
            <w:pPr>
              <w:spacing w:after="0"/>
              <w:rPr>
                <w:sz w:val="17"/>
                <w:szCs w:val="17"/>
                <w:color w:val="auto"/>
              </w:rPr>
            </w:pPr>
          </w:p>
        </w:tc>
        <w:tc>
          <w:tcPr>
            <w:tcW w:w="440" w:type="dxa"/>
            <w:vAlign w:val="bottom"/>
            <w:tcBorders>
              <w:top w:val="single" w:sz="8" w:color="A6A6A6"/>
              <w:bottom w:val="single" w:sz="8" w:color="A6A6A6"/>
            </w:tcBorders>
          </w:tcPr>
          <w:p>
            <w:pPr>
              <w:spacing w:after="0"/>
              <w:rPr>
                <w:sz w:val="17"/>
                <w:szCs w:val="17"/>
                <w:color w:val="auto"/>
              </w:rPr>
            </w:pPr>
          </w:p>
        </w:tc>
        <w:tc>
          <w:tcPr>
            <w:tcW w:w="100" w:type="dxa"/>
            <w:vAlign w:val="bottom"/>
            <w:tcBorders>
              <w:top w:val="single" w:sz="8" w:color="A6A6A6"/>
              <w:bottom w:val="single" w:sz="8" w:color="A6A6A6"/>
            </w:tcBorders>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224,578</w:t>
            </w:r>
          </w:p>
        </w:tc>
        <w:tc>
          <w:tcPr>
            <w:tcW w:w="100" w:type="dxa"/>
            <w:vAlign w:val="bottom"/>
          </w:tcPr>
          <w:p>
            <w:pPr>
              <w:spacing w:after="0"/>
              <w:rPr>
                <w:sz w:val="17"/>
                <w:szCs w:val="17"/>
                <w:color w:val="auto"/>
              </w:rPr>
            </w:pPr>
          </w:p>
        </w:tc>
        <w:tc>
          <w:tcPr>
            <w:tcW w:w="240" w:type="dxa"/>
            <w:vAlign w:val="bottom"/>
            <w:tcBorders>
              <w:top w:val="single" w:sz="8" w:color="A6A6A6"/>
              <w:bottom w:val="single" w:sz="8" w:color="A6A6A6"/>
            </w:tcBorders>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500" w:type="dxa"/>
            <w:vAlign w:val="bottom"/>
            <w:tcBorders>
              <w:top w:val="single" w:sz="8" w:color="A6A6A6"/>
              <w:bottom w:val="single" w:sz="8" w:color="A6A6A6"/>
            </w:tcBorders>
          </w:tcPr>
          <w:p>
            <w:pPr>
              <w:spacing w:after="0"/>
              <w:rPr>
                <w:sz w:val="17"/>
                <w:szCs w:val="17"/>
                <w:color w:val="auto"/>
              </w:rPr>
            </w:pPr>
          </w:p>
        </w:tc>
        <w:tc>
          <w:tcPr>
            <w:tcW w:w="7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89,405</w:t>
            </w:r>
          </w:p>
        </w:tc>
        <w:tc>
          <w:tcPr>
            <w:tcW w:w="100" w:type="dxa"/>
            <w:vAlign w:val="bottom"/>
          </w:tcPr>
          <w:p>
            <w:pPr>
              <w:spacing w:after="0"/>
              <w:rPr>
                <w:sz w:val="17"/>
                <w:szCs w:val="17"/>
                <w:color w:val="auto"/>
              </w:rPr>
            </w:pPr>
          </w:p>
        </w:tc>
      </w:tr>
      <w:tr>
        <w:trPr>
          <w:trHeight w:val="196"/>
        </w:trPr>
        <w:tc>
          <w:tcPr>
            <w:tcW w:w="540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Gypsum Wallboard</w:t>
            </w:r>
          </w:p>
        </w:tc>
        <w:tc>
          <w:tcPr>
            <w:tcW w:w="38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560" w:type="dxa"/>
            <w:vAlign w:val="bottom"/>
            <w:tcBorders>
              <w:bottom w:val="single" w:sz="8" w:color="A6A6A6"/>
            </w:tcBorders>
          </w:tcPr>
          <w:p>
            <w:pPr>
              <w:spacing w:after="0"/>
              <w:rPr>
                <w:sz w:val="17"/>
                <w:szCs w:val="17"/>
                <w:color w:val="auto"/>
              </w:rPr>
            </w:pPr>
          </w:p>
        </w:tc>
        <w:tc>
          <w:tcPr>
            <w:tcW w:w="260" w:type="dxa"/>
            <w:vAlign w:val="bottom"/>
            <w:tcBorders>
              <w:bottom w:val="single" w:sz="8" w:color="A6A6A6"/>
            </w:tcBorders>
          </w:tcPr>
          <w:p>
            <w:pPr>
              <w:spacing w:after="0"/>
              <w:rPr>
                <w:sz w:val="17"/>
                <w:szCs w:val="17"/>
                <w:color w:val="auto"/>
              </w:rPr>
            </w:pPr>
          </w:p>
        </w:tc>
        <w:tc>
          <w:tcPr>
            <w:tcW w:w="44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396,655</w:t>
            </w:r>
          </w:p>
        </w:tc>
        <w:tc>
          <w:tcPr>
            <w:tcW w:w="100" w:type="dxa"/>
            <w:vAlign w:val="bottom"/>
          </w:tcPr>
          <w:p>
            <w:pPr>
              <w:spacing w:after="0"/>
              <w:rPr>
                <w:sz w:val="17"/>
                <w:szCs w:val="17"/>
                <w:color w:val="auto"/>
              </w:rPr>
            </w:pPr>
          </w:p>
        </w:tc>
        <w:tc>
          <w:tcPr>
            <w:tcW w:w="2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397,486</w:t>
            </w:r>
          </w:p>
        </w:tc>
        <w:tc>
          <w:tcPr>
            <w:tcW w:w="100" w:type="dxa"/>
            <w:vAlign w:val="bottom"/>
          </w:tcPr>
          <w:p>
            <w:pPr>
              <w:spacing w:after="0"/>
              <w:rPr>
                <w:sz w:val="17"/>
                <w:szCs w:val="17"/>
                <w:color w:val="auto"/>
              </w:rPr>
            </w:pPr>
          </w:p>
        </w:tc>
      </w:tr>
      <w:tr>
        <w:trPr>
          <w:trHeight w:val="196"/>
        </w:trPr>
        <w:tc>
          <w:tcPr>
            <w:tcW w:w="540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Paperboard</w:t>
            </w:r>
          </w:p>
        </w:tc>
        <w:tc>
          <w:tcPr>
            <w:tcW w:w="38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560" w:type="dxa"/>
            <w:vAlign w:val="bottom"/>
            <w:tcBorders>
              <w:bottom w:val="single" w:sz="8" w:color="A6A6A6"/>
            </w:tcBorders>
          </w:tcPr>
          <w:p>
            <w:pPr>
              <w:spacing w:after="0"/>
              <w:rPr>
                <w:sz w:val="17"/>
                <w:szCs w:val="17"/>
                <w:color w:val="auto"/>
              </w:rPr>
            </w:pPr>
          </w:p>
        </w:tc>
        <w:tc>
          <w:tcPr>
            <w:tcW w:w="260" w:type="dxa"/>
            <w:vAlign w:val="bottom"/>
            <w:tcBorders>
              <w:bottom w:val="single" w:sz="8" w:color="A6A6A6"/>
            </w:tcBorders>
          </w:tcPr>
          <w:p>
            <w:pPr>
              <w:spacing w:after="0"/>
              <w:rPr>
                <w:sz w:val="17"/>
                <w:szCs w:val="17"/>
                <w:color w:val="auto"/>
              </w:rPr>
            </w:pPr>
          </w:p>
        </w:tc>
        <w:tc>
          <w:tcPr>
            <w:tcW w:w="440" w:type="dxa"/>
            <w:vAlign w:val="bottom"/>
            <w:tcBorders>
              <w:bottom w:val="single" w:sz="8" w:color="A6A6A6"/>
            </w:tcBorders>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174,261</w:t>
            </w:r>
          </w:p>
        </w:tc>
        <w:tc>
          <w:tcPr>
            <w:tcW w:w="100" w:type="dxa"/>
            <w:vAlign w:val="bottom"/>
          </w:tcPr>
          <w:p>
            <w:pPr>
              <w:spacing w:after="0"/>
              <w:rPr>
                <w:sz w:val="17"/>
                <w:szCs w:val="17"/>
                <w:color w:val="auto"/>
              </w:rPr>
            </w:pPr>
          </w:p>
        </w:tc>
        <w:tc>
          <w:tcPr>
            <w:tcW w:w="2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50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180,025</w:t>
            </w:r>
          </w:p>
        </w:tc>
        <w:tc>
          <w:tcPr>
            <w:tcW w:w="100" w:type="dxa"/>
            <w:vAlign w:val="bottom"/>
          </w:tcPr>
          <w:p>
            <w:pPr>
              <w:spacing w:after="0"/>
              <w:rPr>
                <w:sz w:val="17"/>
                <w:szCs w:val="17"/>
                <w:color w:val="auto"/>
              </w:rPr>
            </w:pPr>
          </w:p>
        </w:tc>
      </w:tr>
      <w:tr>
        <w:trPr>
          <w:trHeight w:val="226"/>
        </w:trPr>
        <w:tc>
          <w:tcPr>
            <w:tcW w:w="5400" w:type="dxa"/>
            <w:vAlign w:val="bottom"/>
            <w:tcBorders>
              <w:bottom w:val="single" w:sz="8" w:color="A6A6A6"/>
            </w:tcBorders>
            <w:gridSpan w:val="2"/>
          </w:tcPr>
          <w:p>
            <w:pPr>
              <w:ind w:left="200"/>
              <w:spacing w:after="0"/>
              <w:rPr>
                <w:sz w:val="20"/>
                <w:szCs w:val="20"/>
                <w:color w:val="auto"/>
              </w:rPr>
            </w:pPr>
            <w:r>
              <w:rPr>
                <w:rFonts w:ascii="Arial" w:cs="Arial" w:eastAsia="Arial" w:hAnsi="Arial"/>
                <w:sz w:val="16"/>
                <w:szCs w:val="16"/>
                <w:color w:val="004483"/>
              </w:rPr>
              <w:t>Other, net</w:t>
            </w:r>
          </w:p>
        </w:tc>
        <w:tc>
          <w:tcPr>
            <w:tcW w:w="380" w:type="dxa"/>
            <w:vAlign w:val="bottom"/>
            <w:tcBorders>
              <w:bottom w:val="single" w:sz="8" w:color="A6A6A6"/>
            </w:tcBorders>
          </w:tcPr>
          <w:p>
            <w:pPr>
              <w:spacing w:after="0"/>
              <w:rPr>
                <w:sz w:val="19"/>
                <w:szCs w:val="19"/>
                <w:color w:val="auto"/>
              </w:rPr>
            </w:pPr>
          </w:p>
        </w:tc>
        <w:tc>
          <w:tcPr>
            <w:tcW w:w="860" w:type="dxa"/>
            <w:vAlign w:val="bottom"/>
            <w:tcBorders>
              <w:bottom w:val="single" w:sz="8" w:color="A6A6A6"/>
            </w:tcBorders>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140" w:type="dxa"/>
            <w:vAlign w:val="bottom"/>
            <w:tcBorders>
              <w:bottom w:val="single" w:sz="8" w:color="A6A6A6"/>
            </w:tcBorders>
          </w:tcPr>
          <w:p>
            <w:pPr>
              <w:spacing w:after="0"/>
              <w:rPr>
                <w:sz w:val="19"/>
                <w:szCs w:val="19"/>
                <w:color w:val="auto"/>
              </w:rPr>
            </w:pPr>
          </w:p>
        </w:tc>
        <w:tc>
          <w:tcPr>
            <w:tcW w:w="560" w:type="dxa"/>
            <w:vAlign w:val="bottom"/>
            <w:tcBorders>
              <w:bottom w:val="single" w:sz="8" w:color="A6A6A6"/>
            </w:tcBorders>
          </w:tcPr>
          <w:p>
            <w:pPr>
              <w:spacing w:after="0"/>
              <w:rPr>
                <w:sz w:val="19"/>
                <w:szCs w:val="19"/>
                <w:color w:val="auto"/>
              </w:rPr>
            </w:pPr>
          </w:p>
        </w:tc>
        <w:tc>
          <w:tcPr>
            <w:tcW w:w="260" w:type="dxa"/>
            <w:vAlign w:val="bottom"/>
            <w:tcBorders>
              <w:bottom w:val="single" w:sz="8" w:color="A6A6A6"/>
            </w:tcBorders>
          </w:tcPr>
          <w:p>
            <w:pPr>
              <w:spacing w:after="0"/>
              <w:rPr>
                <w:sz w:val="19"/>
                <w:szCs w:val="19"/>
                <w:color w:val="auto"/>
              </w:rPr>
            </w:pPr>
          </w:p>
        </w:tc>
        <w:tc>
          <w:tcPr>
            <w:tcW w:w="440" w:type="dxa"/>
            <w:vAlign w:val="bottom"/>
            <w:tcBorders>
              <w:bottom w:val="single" w:sz="8" w:color="004483"/>
            </w:tcBorders>
          </w:tcPr>
          <w:p>
            <w:pPr>
              <w:spacing w:after="0"/>
              <w:rPr>
                <w:sz w:val="19"/>
                <w:szCs w:val="19"/>
                <w:color w:val="auto"/>
              </w:rPr>
            </w:pPr>
          </w:p>
        </w:tc>
        <w:tc>
          <w:tcPr>
            <w:tcW w:w="100" w:type="dxa"/>
            <w:vAlign w:val="bottom"/>
            <w:tcBorders>
              <w:bottom w:val="single" w:sz="8" w:color="004483"/>
            </w:tcBorders>
          </w:tcPr>
          <w:p>
            <w:pPr>
              <w:spacing w:after="0"/>
              <w:rPr>
                <w:sz w:val="19"/>
                <w:szCs w:val="19"/>
                <w:color w:val="auto"/>
              </w:rPr>
            </w:pPr>
          </w:p>
        </w:tc>
        <w:tc>
          <w:tcPr>
            <w:tcW w:w="140" w:type="dxa"/>
            <w:vAlign w:val="bottom"/>
            <w:tcBorders>
              <w:bottom w:val="single" w:sz="8" w:color="004483"/>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110,080</w:t>
            </w:r>
          </w:p>
        </w:tc>
        <w:tc>
          <w:tcPr>
            <w:tcW w:w="100" w:type="dxa"/>
            <w:vAlign w:val="bottom"/>
          </w:tcPr>
          <w:p>
            <w:pPr>
              <w:spacing w:after="0"/>
              <w:rPr>
                <w:sz w:val="19"/>
                <w:szCs w:val="19"/>
                <w:color w:val="auto"/>
              </w:rPr>
            </w:pPr>
          </w:p>
        </w:tc>
        <w:tc>
          <w:tcPr>
            <w:tcW w:w="240" w:type="dxa"/>
            <w:vAlign w:val="bottom"/>
            <w:tcBorders>
              <w:bottom w:val="single" w:sz="8" w:color="A6A6A6"/>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120" w:type="dxa"/>
            <w:vAlign w:val="bottom"/>
            <w:tcBorders>
              <w:bottom w:val="single" w:sz="8" w:color="004483"/>
            </w:tcBorders>
          </w:tcPr>
          <w:p>
            <w:pPr>
              <w:spacing w:after="0"/>
              <w:rPr>
                <w:sz w:val="19"/>
                <w:szCs w:val="19"/>
                <w:color w:val="auto"/>
              </w:rPr>
            </w:pPr>
          </w:p>
        </w:tc>
        <w:tc>
          <w:tcPr>
            <w:tcW w:w="500" w:type="dxa"/>
            <w:vAlign w:val="bottom"/>
            <w:tcBorders>
              <w:bottom w:val="single" w:sz="8" w:color="004483"/>
            </w:tcBorders>
          </w:tcPr>
          <w:p>
            <w:pPr>
              <w:spacing w:after="0"/>
              <w:rPr>
                <w:sz w:val="19"/>
                <w:szCs w:val="19"/>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color w:val="auto"/>
              </w:rPr>
              <w:t>52,087</w:t>
            </w:r>
          </w:p>
        </w:tc>
        <w:tc>
          <w:tcPr>
            <w:tcW w:w="100" w:type="dxa"/>
            <w:vAlign w:val="bottom"/>
          </w:tcPr>
          <w:p>
            <w:pPr>
              <w:spacing w:after="0"/>
              <w:rPr>
                <w:sz w:val="19"/>
                <w:szCs w:val="19"/>
                <w:color w:val="auto"/>
              </w:rPr>
            </w:pPr>
          </w:p>
        </w:tc>
      </w:tr>
      <w:tr>
        <w:trPr>
          <w:trHeight w:val="196"/>
        </w:trPr>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Borders>
              <w:bottom w:val="single" w:sz="8" w:color="004483"/>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0" w:type="dxa"/>
            <w:vAlign w:val="bottom"/>
            <w:tcBorders>
              <w:bottom w:val="single" w:sz="8" w:color="004483"/>
            </w:tcBorders>
          </w:tcPr>
          <w:p>
            <w:pPr>
              <w:spacing w:after="0"/>
              <w:rPr>
                <w:sz w:val="17"/>
                <w:szCs w:val="17"/>
                <w:color w:val="auto"/>
              </w:rPr>
            </w:pPr>
          </w:p>
        </w:tc>
        <w:tc>
          <w:tcPr>
            <w:tcW w:w="140" w:type="dxa"/>
            <w:vAlign w:val="bottom"/>
            <w:tcBorders>
              <w:bottom w:val="single" w:sz="8" w:color="004483"/>
            </w:tcBorders>
          </w:tcPr>
          <w:p>
            <w:pPr>
              <w:spacing w:after="0"/>
              <w:rPr>
                <w:sz w:val="17"/>
                <w:szCs w:val="17"/>
                <w:color w:val="auto"/>
              </w:rPr>
            </w:pPr>
          </w:p>
        </w:tc>
        <w:tc>
          <w:tcPr>
            <w:tcW w:w="120" w:type="dxa"/>
            <w:vAlign w:val="bottom"/>
            <w:tcBorders>
              <w:bottom w:val="single" w:sz="8" w:color="004483"/>
            </w:tcBorders>
          </w:tcPr>
          <w:p>
            <w:pPr>
              <w:spacing w:after="0"/>
              <w:rPr>
                <w:sz w:val="17"/>
                <w:szCs w:val="17"/>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2,809,149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004483"/>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20" w:type="dxa"/>
            <w:vAlign w:val="bottom"/>
            <w:tcBorders>
              <w:bottom w:val="single" w:sz="8" w:color="004483"/>
            </w:tcBorders>
          </w:tcPr>
          <w:p>
            <w:pPr>
              <w:spacing w:after="0"/>
              <w:rPr>
                <w:sz w:val="17"/>
                <w:szCs w:val="17"/>
                <w:color w:val="auto"/>
              </w:rPr>
            </w:pPr>
          </w:p>
        </w:tc>
        <w:tc>
          <w:tcPr>
            <w:tcW w:w="500" w:type="dxa"/>
            <w:vAlign w:val="bottom"/>
            <w:tcBorders>
              <w:bottom w:val="single" w:sz="8" w:color="004483"/>
            </w:tcBorders>
          </w:tcPr>
          <w:p>
            <w:pPr>
              <w:spacing w:after="0"/>
              <w:rPr>
                <w:sz w:val="17"/>
                <w:szCs w:val="17"/>
                <w:color w:val="auto"/>
              </w:rPr>
            </w:pPr>
          </w:p>
        </w:tc>
        <w:tc>
          <w:tcPr>
            <w:tcW w:w="7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2,579,652</w:t>
            </w:r>
          </w:p>
        </w:tc>
        <w:tc>
          <w:tcPr>
            <w:tcW w:w="100" w:type="dxa"/>
            <w:vAlign w:val="bottom"/>
          </w:tcPr>
          <w:p>
            <w:pPr>
              <w:spacing w:after="0"/>
              <w:rPr>
                <w:sz w:val="17"/>
                <w:szCs w:val="17"/>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100" w:type="dxa"/>
            <w:vAlign w:val="bottom"/>
            <w:tcBorders>
              <w:bottom w:val="single" w:sz="8" w:color="004483"/>
            </w:tcBorders>
          </w:tcPr>
          <w:p>
            <w:pPr>
              <w:spacing w:after="0" w:line="20" w:lineRule="exact"/>
              <w:rPr>
                <w:sz w:val="1"/>
                <w:szCs w:val="1"/>
                <w:color w:val="auto"/>
              </w:rPr>
            </w:pPr>
          </w:p>
        </w:tc>
        <w:tc>
          <w:tcPr>
            <w:tcW w:w="14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500" w:type="dxa"/>
            <w:vAlign w:val="bottom"/>
            <w:tcBorders>
              <w:bottom w:val="single" w:sz="8" w:color="004483"/>
            </w:tcBorders>
          </w:tcPr>
          <w:p>
            <w:pPr>
              <w:spacing w:after="0" w:line="20" w:lineRule="exact"/>
              <w:rPr>
                <w:sz w:val="1"/>
                <w:szCs w:val="1"/>
                <w:color w:val="auto"/>
              </w:rPr>
            </w:pPr>
          </w:p>
        </w:tc>
        <w:tc>
          <w:tcPr>
            <w:tcW w:w="7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We account for intersegment sales at market prices. Corporate assets consist mainly of cash and cash equivalents, general office assets, and miscellaneous other assets.</w:t>
      </w:r>
    </w:p>
    <w:p>
      <w:pPr>
        <w:spacing w:after="0" w:line="9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basis used to disclose Identifiable Assets; Capital Expenditures; and Depreciation, Depletion, and Amortization conforms with the equity method, and is similar to how we disclose these accounts in our Unaudited Consolidated Balance Sheets and Unaudited Consolidated Statements of Earnings.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segment breakdown of Goodwill is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40" w:type="dxa"/>
            <w:vAlign w:val="bottom"/>
          </w:tcPr>
          <w:p>
            <w:pPr>
              <w:spacing w:after="0"/>
              <w:rPr>
                <w:sz w:val="14"/>
                <w:szCs w:val="14"/>
                <w:color w:val="auto"/>
              </w:rPr>
            </w:pPr>
          </w:p>
        </w:tc>
        <w:tc>
          <w:tcPr>
            <w:tcW w:w="400" w:type="dxa"/>
            <w:vAlign w:val="bottom"/>
            <w:shd w:val="clear" w:color="auto" w:fill="004483"/>
          </w:tcPr>
          <w:p>
            <w:pPr>
              <w:spacing w:after="0"/>
              <w:rPr>
                <w:sz w:val="14"/>
                <w:szCs w:val="14"/>
                <w:color w:val="auto"/>
              </w:rPr>
            </w:pPr>
          </w:p>
        </w:tc>
        <w:tc>
          <w:tcPr>
            <w:tcW w:w="1160" w:type="dxa"/>
            <w:vAlign w:val="bottom"/>
            <w:shd w:val="clear" w:color="auto" w:fill="004483"/>
          </w:tcPr>
          <w:p>
            <w:pPr>
              <w:jc w:val="right"/>
              <w:spacing w:after="0"/>
              <w:rPr>
                <w:sz w:val="20"/>
                <w:szCs w:val="20"/>
                <w:color w:val="auto"/>
              </w:rPr>
            </w:pPr>
            <w:r>
              <w:rPr>
                <w:rFonts w:ascii="Arial" w:cs="Arial" w:eastAsia="Arial" w:hAnsi="Arial"/>
                <w:sz w:val="13"/>
                <w:szCs w:val="13"/>
                <w:b w:val="1"/>
                <w:bCs w:val="1"/>
                <w:color w:val="FFFFFF"/>
              </w:rPr>
              <w:t>September 30,</w:t>
            </w:r>
          </w:p>
        </w:tc>
        <w:tc>
          <w:tcPr>
            <w:tcW w:w="100" w:type="dxa"/>
            <w:vAlign w:val="bottom"/>
            <w:shd w:val="clear" w:color="auto" w:fill="004483"/>
          </w:tcPr>
          <w:p>
            <w:pPr>
              <w:spacing w:after="0"/>
              <w:rPr>
                <w:sz w:val="14"/>
                <w:szCs w:val="14"/>
                <w:color w:val="auto"/>
              </w:rPr>
            </w:pPr>
          </w:p>
        </w:tc>
        <w:tc>
          <w:tcPr>
            <w:tcW w:w="200" w:type="dxa"/>
            <w:vAlign w:val="bottom"/>
            <w:shd w:val="clear" w:color="auto" w:fill="004483"/>
          </w:tcPr>
          <w:p>
            <w:pPr>
              <w:spacing w:after="0"/>
              <w:rPr>
                <w:sz w:val="14"/>
                <w:szCs w:val="14"/>
                <w:color w:val="auto"/>
              </w:rPr>
            </w:pPr>
          </w:p>
        </w:tc>
        <w:tc>
          <w:tcPr>
            <w:tcW w:w="680" w:type="dxa"/>
            <w:vAlign w:val="bottom"/>
            <w:shd w:val="clear" w:color="auto" w:fill="004483"/>
          </w:tcPr>
          <w:p>
            <w:pPr>
              <w:spacing w:after="0"/>
              <w:rPr>
                <w:sz w:val="14"/>
                <w:szCs w:val="14"/>
                <w:color w:val="auto"/>
              </w:rPr>
            </w:pPr>
          </w:p>
        </w:tc>
        <w:tc>
          <w:tcPr>
            <w:tcW w:w="960" w:type="dxa"/>
            <w:vAlign w:val="bottom"/>
            <w:gridSpan w:val="2"/>
            <w:shd w:val="clear" w:color="auto" w:fill="004483"/>
          </w:tcPr>
          <w:p>
            <w:pPr>
              <w:ind w:left="260"/>
              <w:spacing w:after="0"/>
              <w:rPr>
                <w:sz w:val="20"/>
                <w:szCs w:val="20"/>
                <w:color w:val="auto"/>
              </w:rPr>
            </w:pPr>
            <w:r>
              <w:rPr>
                <w:rFonts w:ascii="Arial" w:cs="Arial" w:eastAsia="Arial" w:hAnsi="Arial"/>
                <w:sz w:val="13"/>
                <w:szCs w:val="13"/>
                <w:b w:val="1"/>
                <w:bCs w:val="1"/>
                <w:color w:val="FFFFFF"/>
              </w:rPr>
              <w:t>March 31,</w:t>
            </w:r>
          </w:p>
        </w:tc>
        <w:tc>
          <w:tcPr>
            <w:tcW w:w="0" w:type="dxa"/>
            <w:vAlign w:val="bottom"/>
          </w:tcPr>
          <w:p>
            <w:pPr>
              <w:spacing w:after="0"/>
              <w:rPr>
                <w:sz w:val="1"/>
                <w:szCs w:val="1"/>
                <w:color w:val="auto"/>
              </w:rPr>
            </w:pPr>
          </w:p>
        </w:tc>
      </w:tr>
      <w:tr>
        <w:trPr>
          <w:trHeight w:val="156"/>
        </w:trPr>
        <w:tc>
          <w:tcPr>
            <w:tcW w:w="7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740" w:type="dxa"/>
            <w:vAlign w:val="bottom"/>
            <w:tcBorders>
              <w:bottom w:val="single" w:sz="8" w:color="004483"/>
            </w:tcBorders>
          </w:tcPr>
          <w:p>
            <w:pPr>
              <w:spacing w:after="0"/>
              <w:rPr>
                <w:sz w:val="16"/>
                <w:szCs w:val="16"/>
                <w:color w:val="auto"/>
              </w:rPr>
            </w:pPr>
          </w:p>
        </w:tc>
        <w:tc>
          <w:tcPr>
            <w:tcW w:w="400" w:type="dxa"/>
            <w:vAlign w:val="bottom"/>
            <w:tcBorders>
              <w:bottom w:val="single" w:sz="8" w:color="004483"/>
            </w:tcBorders>
          </w:tcPr>
          <w:p>
            <w:pPr>
              <w:spacing w:after="0"/>
              <w:rPr>
                <w:sz w:val="16"/>
                <w:szCs w:val="16"/>
                <w:color w:val="auto"/>
              </w:rPr>
            </w:pPr>
          </w:p>
        </w:tc>
        <w:tc>
          <w:tcPr>
            <w:tcW w:w="2140" w:type="dxa"/>
            <w:vAlign w:val="bottom"/>
            <w:tcBorders>
              <w:bottom w:val="single" w:sz="8" w:color="004483"/>
            </w:tcBorders>
            <w:gridSpan w:val="4"/>
          </w:tcPr>
          <w:p>
            <w:pPr>
              <w:jc w:val="right"/>
              <w:ind w:right="159"/>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740" w:type="dxa"/>
            <w:vAlign w:val="bottom"/>
          </w:tcPr>
          <w:p>
            <w:pPr>
              <w:ind w:left="20"/>
              <w:spacing w:after="0"/>
              <w:rPr>
                <w:sz w:val="20"/>
                <w:szCs w:val="20"/>
                <w:color w:val="auto"/>
              </w:rPr>
            </w:pPr>
            <w:r>
              <w:rPr>
                <w:rFonts w:ascii="Arial" w:cs="Arial" w:eastAsia="Arial" w:hAnsi="Arial"/>
                <w:sz w:val="16"/>
                <w:szCs w:val="16"/>
                <w:color w:val="004483"/>
              </w:rPr>
              <w:t>Cement</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213,320</w:t>
            </w:r>
          </w:p>
        </w:tc>
        <w:tc>
          <w:tcPr>
            <w:tcW w:w="980" w:type="dxa"/>
            <w:vAlign w:val="bottom"/>
            <w:gridSpan w:val="3"/>
          </w:tcPr>
          <w:p>
            <w:pPr>
              <w:jc w:val="right"/>
              <w:ind w:right="4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203,342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Concrete and Aggregates</w:t>
            </w:r>
          </w:p>
        </w:tc>
        <w:tc>
          <w:tcPr>
            <w:tcW w:w="400" w:type="dxa"/>
            <w:vAlign w:val="bottom"/>
            <w:tcBorders>
              <w:top w:val="single" w:sz="8" w:color="A6A6A6"/>
              <w:bottom w:val="single" w:sz="8" w:color="A6A6A6"/>
            </w:tcBorders>
          </w:tcPr>
          <w:p>
            <w:pPr>
              <w:spacing w:after="0"/>
              <w:rPr>
                <w:sz w:val="17"/>
                <w:szCs w:val="17"/>
                <w:color w:val="auto"/>
              </w:rPr>
            </w:pPr>
          </w:p>
        </w:tc>
        <w:tc>
          <w:tcPr>
            <w:tcW w:w="11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40,774</w:t>
            </w:r>
          </w:p>
        </w:tc>
        <w:tc>
          <w:tcPr>
            <w:tcW w:w="100" w:type="dxa"/>
            <w:vAlign w:val="bottom"/>
          </w:tcPr>
          <w:p>
            <w:pPr>
              <w:spacing w:after="0"/>
              <w:rPr>
                <w:sz w:val="17"/>
                <w:szCs w:val="17"/>
                <w:color w:val="auto"/>
              </w:rPr>
            </w:pPr>
          </w:p>
        </w:tc>
        <w:tc>
          <w:tcPr>
            <w:tcW w:w="200" w:type="dxa"/>
            <w:vAlign w:val="bottom"/>
            <w:tcBorders>
              <w:top w:val="single" w:sz="8" w:color="A6A6A6"/>
              <w:bottom w:val="single" w:sz="8" w:color="A6A6A6"/>
            </w:tcBorders>
          </w:tcPr>
          <w:p>
            <w:pPr>
              <w:spacing w:after="0"/>
              <w:rPr>
                <w:sz w:val="17"/>
                <w:szCs w:val="17"/>
                <w:color w:val="auto"/>
              </w:rPr>
            </w:pPr>
          </w:p>
        </w:tc>
        <w:tc>
          <w:tcPr>
            <w:tcW w:w="680" w:type="dxa"/>
            <w:vAlign w:val="bottom"/>
            <w:tcBorders>
              <w:top w:val="single" w:sz="8" w:color="A6A6A6"/>
              <w:bottom w:val="single" w:sz="8" w:color="A6A6A6"/>
            </w:tcBorders>
          </w:tcPr>
          <w:p>
            <w:pPr>
              <w:spacing w:after="0"/>
              <w:rPr>
                <w:sz w:val="17"/>
                <w:szCs w:val="17"/>
                <w:color w:val="auto"/>
              </w:rPr>
            </w:pPr>
          </w:p>
        </w:tc>
        <w:tc>
          <w:tcPr>
            <w:tcW w:w="8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1,639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Gypsum Wallboard</w:t>
            </w:r>
          </w:p>
        </w:tc>
        <w:tc>
          <w:tcPr>
            <w:tcW w:w="400" w:type="dxa"/>
            <w:vAlign w:val="bottom"/>
            <w:tcBorders>
              <w:bottom w:val="single" w:sz="8" w:color="A6A6A6"/>
            </w:tcBorders>
          </w:tcPr>
          <w:p>
            <w:pPr>
              <w:spacing w:after="0"/>
              <w:rPr>
                <w:sz w:val="17"/>
                <w:szCs w:val="17"/>
                <w:color w:val="auto"/>
              </w:rPr>
            </w:pPr>
          </w:p>
        </w:tc>
        <w:tc>
          <w:tcPr>
            <w:tcW w:w="11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116,618</w:t>
            </w:r>
          </w:p>
        </w:tc>
        <w:tc>
          <w:tcPr>
            <w:tcW w:w="100" w:type="dxa"/>
            <w:vAlign w:val="bottom"/>
          </w:tcPr>
          <w:p>
            <w:pPr>
              <w:spacing w:after="0"/>
              <w:rPr>
                <w:sz w:val="17"/>
                <w:szCs w:val="17"/>
                <w:color w:val="auto"/>
              </w:rPr>
            </w:pPr>
          </w:p>
        </w:tc>
        <w:tc>
          <w:tcPr>
            <w:tcW w:w="200" w:type="dxa"/>
            <w:vAlign w:val="bottom"/>
            <w:tcBorders>
              <w:bottom w:val="single" w:sz="8" w:color="A6A6A6"/>
            </w:tcBorders>
          </w:tcPr>
          <w:p>
            <w:pPr>
              <w:spacing w:after="0"/>
              <w:rPr>
                <w:sz w:val="17"/>
                <w:szCs w:val="17"/>
                <w:color w:val="auto"/>
              </w:rPr>
            </w:pPr>
          </w:p>
        </w:tc>
        <w:tc>
          <w:tcPr>
            <w:tcW w:w="68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116,618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6"/>
                <w:szCs w:val="16"/>
                <w:color w:val="004483"/>
              </w:rPr>
              <w:t>Paperboard</w:t>
            </w:r>
          </w:p>
        </w:tc>
        <w:tc>
          <w:tcPr>
            <w:tcW w:w="4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7,538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7740" w:type="dxa"/>
            <w:vAlign w:val="bottom"/>
            <w:tcBorders>
              <w:bottom w:val="single" w:sz="8" w:color="A6A6A6"/>
            </w:tcBorders>
          </w:tcPr>
          <w:p>
            <w:pPr>
              <w:spacing w:after="0"/>
              <w:rPr>
                <w:sz w:val="2"/>
                <w:szCs w:val="2"/>
                <w:color w:val="auto"/>
              </w:rPr>
            </w:pPr>
          </w:p>
        </w:tc>
        <w:tc>
          <w:tcPr>
            <w:tcW w:w="400" w:type="dxa"/>
            <w:vAlign w:val="bottom"/>
            <w:tcBorders>
              <w:bottom w:val="single" w:sz="8" w:color="004483"/>
            </w:tcBorders>
            <w:shd w:val="clear" w:color="auto" w:fill="004483"/>
          </w:tcPr>
          <w:p>
            <w:pPr>
              <w:spacing w:after="0"/>
              <w:rPr>
                <w:sz w:val="2"/>
                <w:szCs w:val="2"/>
                <w:color w:val="auto"/>
              </w:rPr>
            </w:pPr>
          </w:p>
        </w:tc>
        <w:tc>
          <w:tcPr>
            <w:tcW w:w="116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spacing w:after="0"/>
              <w:rPr>
                <w:sz w:val="2"/>
                <w:szCs w:val="2"/>
                <w:color w:val="auto"/>
              </w:rPr>
            </w:pPr>
          </w:p>
        </w:tc>
        <w:tc>
          <w:tcPr>
            <w:tcW w:w="200" w:type="dxa"/>
            <w:vAlign w:val="bottom"/>
            <w:tcBorders>
              <w:bottom w:val="single" w:sz="8" w:color="A6A6A6"/>
            </w:tcBorders>
          </w:tcPr>
          <w:p>
            <w:pPr>
              <w:spacing w:after="0"/>
              <w:rPr>
                <w:sz w:val="2"/>
                <w:szCs w:val="2"/>
                <w:color w:val="auto"/>
              </w:rPr>
            </w:pPr>
          </w:p>
        </w:tc>
        <w:tc>
          <w:tcPr>
            <w:tcW w:w="680" w:type="dxa"/>
            <w:vAlign w:val="bottom"/>
            <w:tcBorders>
              <w:bottom w:val="single" w:sz="8" w:color="004483"/>
            </w:tcBorders>
            <w:shd w:val="clear" w:color="auto" w:fill="004483"/>
          </w:tcPr>
          <w:p>
            <w:pPr>
              <w:spacing w:after="0"/>
              <w:rPr>
                <w:sz w:val="2"/>
                <w:szCs w:val="2"/>
                <w:color w:val="auto"/>
              </w:rPr>
            </w:pPr>
          </w:p>
        </w:tc>
        <w:tc>
          <w:tcPr>
            <w:tcW w:w="8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740" w:type="dxa"/>
            <w:vAlign w:val="bottom"/>
          </w:tcPr>
          <w:p>
            <w:pPr>
              <w:spacing w:after="0"/>
              <w:rPr>
                <w:sz w:val="17"/>
                <w:szCs w:val="17"/>
                <w:color w:val="auto"/>
              </w:rPr>
            </w:pPr>
          </w:p>
        </w:tc>
        <w:tc>
          <w:tcPr>
            <w:tcW w:w="400" w:type="dxa"/>
            <w:vAlign w:val="bottom"/>
            <w:tcBorders>
              <w:bottom w:val="single" w:sz="8" w:color="004483"/>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378,250</w:t>
            </w:r>
          </w:p>
        </w:tc>
        <w:tc>
          <w:tcPr>
            <w:tcW w:w="1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bottom w:val="single" w:sz="8" w:color="004483"/>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329,137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400" w:type="dxa"/>
            <w:vAlign w:val="bottom"/>
            <w:tcBorders>
              <w:bottom w:val="single" w:sz="8" w:color="004483"/>
            </w:tcBorders>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8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increase in Goodwill in the Cement and Concrete and Aggregates segments is related to the Terminal Acquisition and ConAgg Acquisition, respectively. The purchase price allocation for the Terminal Acquisition still in progress, and may affect the recorded balance of Goodwill when completed.</w:t>
      </w:r>
    </w:p>
    <w:p>
      <w:pPr>
        <w:spacing w:after="0" w:line="94" w:lineRule="exact"/>
        <w:rPr>
          <w:sz w:val="20"/>
          <w:szCs w:val="20"/>
          <w:color w:val="auto"/>
        </w:rPr>
      </w:pPr>
    </w:p>
    <w:p>
      <w:pPr>
        <w:ind w:right="620"/>
        <w:spacing w:after="0" w:line="293" w:lineRule="auto"/>
        <w:rPr>
          <w:sz w:val="20"/>
          <w:szCs w:val="20"/>
          <w:color w:val="auto"/>
        </w:rPr>
      </w:pPr>
      <w:r>
        <w:rPr>
          <w:rFonts w:ascii="Arial" w:cs="Arial" w:eastAsia="Arial" w:hAnsi="Arial"/>
          <w:sz w:val="18"/>
          <w:szCs w:val="18"/>
          <w:color w:val="auto"/>
        </w:rPr>
        <w:t>Summarized financial information for the Joint Venture that is not consolidated is set out below. This summarized financial information includes the total amount for the Joint Venture and not our 50% interest in those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420" w:type="dxa"/>
            <w:vAlign w:val="bottom"/>
          </w:tcPr>
          <w:p>
            <w:pPr>
              <w:spacing w:after="0"/>
              <w:rPr>
                <w:sz w:val="14"/>
                <w:szCs w:val="14"/>
                <w:color w:val="auto"/>
              </w:rPr>
            </w:pPr>
          </w:p>
        </w:tc>
        <w:tc>
          <w:tcPr>
            <w:tcW w:w="2860" w:type="dxa"/>
            <w:vAlign w:val="bottom"/>
            <w:gridSpan w:val="7"/>
            <w:shd w:val="clear" w:color="auto" w:fill="004483"/>
          </w:tcPr>
          <w:p>
            <w:pPr>
              <w:ind w:left="80"/>
              <w:spacing w:after="0"/>
              <w:rPr>
                <w:sz w:val="20"/>
                <w:szCs w:val="20"/>
                <w:color w:val="auto"/>
              </w:rPr>
            </w:pPr>
            <w:r>
              <w:rPr>
                <w:rFonts w:ascii="Arial" w:cs="Arial" w:eastAsia="Arial" w:hAnsi="Arial"/>
                <w:sz w:val="13"/>
                <w:szCs w:val="13"/>
                <w:b w:val="1"/>
                <w:bCs w:val="1"/>
                <w:color w:val="FFFFFF"/>
              </w:rPr>
              <w:t>For the Three Months Ended September 30,</w:t>
            </w:r>
          </w:p>
        </w:tc>
        <w:tc>
          <w:tcPr>
            <w:tcW w:w="14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00" w:type="dxa"/>
            <w:vAlign w:val="bottom"/>
            <w:gridSpan w:val="7"/>
            <w:shd w:val="clear" w:color="auto" w:fill="004483"/>
          </w:tcPr>
          <w:p>
            <w:pPr>
              <w:ind w:left="20"/>
              <w:spacing w:after="0"/>
              <w:rPr>
                <w:sz w:val="20"/>
                <w:szCs w:val="20"/>
                <w:color w:val="auto"/>
              </w:rPr>
            </w:pPr>
            <w:r>
              <w:rPr>
                <w:rFonts w:ascii="Arial" w:cs="Arial" w:eastAsia="Arial" w:hAnsi="Arial"/>
                <w:sz w:val="13"/>
                <w:szCs w:val="13"/>
                <w:b w:val="1"/>
                <w:bCs w:val="1"/>
                <w:color w:val="FFFFFF"/>
              </w:rPr>
              <w:t>For the Six Months Ended September 30,</w:t>
            </w:r>
          </w:p>
        </w:tc>
      </w:tr>
      <w:tr>
        <w:trPr>
          <w:trHeight w:val="156"/>
        </w:trPr>
        <w:tc>
          <w:tcPr>
            <w:tcW w:w="5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r>
      <w:tr>
        <w:trPr>
          <w:trHeight w:val="188"/>
        </w:trPr>
        <w:tc>
          <w:tcPr>
            <w:tcW w:w="5420" w:type="dxa"/>
            <w:vAlign w:val="bottom"/>
            <w:tcBorders>
              <w:bottom w:val="single" w:sz="8" w:color="004483"/>
            </w:tcBorders>
          </w:tcPr>
          <w:p>
            <w:pPr>
              <w:spacing w:after="0"/>
              <w:rPr>
                <w:sz w:val="16"/>
                <w:szCs w:val="16"/>
                <w:color w:val="auto"/>
              </w:rPr>
            </w:pPr>
          </w:p>
        </w:tc>
        <w:tc>
          <w:tcPr>
            <w:tcW w:w="420" w:type="dxa"/>
            <w:vAlign w:val="bottom"/>
            <w:tcBorders>
              <w:bottom w:val="single" w:sz="8" w:color="004483"/>
            </w:tcBorders>
          </w:tcPr>
          <w:p>
            <w:pPr>
              <w:spacing w:after="0"/>
              <w:rPr>
                <w:sz w:val="16"/>
                <w:szCs w:val="16"/>
                <w:color w:val="auto"/>
              </w:rPr>
            </w:pPr>
          </w:p>
        </w:tc>
        <w:tc>
          <w:tcPr>
            <w:tcW w:w="1700" w:type="dxa"/>
            <w:vAlign w:val="bottom"/>
            <w:tcBorders>
              <w:bottom w:val="single" w:sz="8" w:color="004483"/>
            </w:tcBorders>
            <w:gridSpan w:val="3"/>
          </w:tcPr>
          <w:p>
            <w:pPr>
              <w:jc w:val="right"/>
              <w:ind w:right="59"/>
              <w:spacing w:after="0"/>
              <w:rPr>
                <w:sz w:val="20"/>
                <w:szCs w:val="20"/>
                <w:color w:val="auto"/>
              </w:rPr>
            </w:pPr>
            <w:r>
              <w:rPr>
                <w:rFonts w:ascii="Arial" w:cs="Arial" w:eastAsia="Arial" w:hAnsi="Arial"/>
                <w:sz w:val="13"/>
                <w:szCs w:val="13"/>
                <w:color w:val="auto"/>
              </w:rPr>
              <w:t>(dollars in thousands)</w:t>
            </w:r>
          </w:p>
        </w:tc>
        <w:tc>
          <w:tcPr>
            <w:tcW w:w="200" w:type="dxa"/>
            <w:vAlign w:val="bottom"/>
            <w:tcBorders>
              <w:bottom w:val="single" w:sz="8" w:color="004483"/>
            </w:tcBorders>
          </w:tcPr>
          <w:p>
            <w:pPr>
              <w:spacing w:after="0"/>
              <w:rPr>
                <w:sz w:val="16"/>
                <w:szCs w:val="16"/>
                <w:color w:val="auto"/>
              </w:rPr>
            </w:pPr>
          </w:p>
        </w:tc>
        <w:tc>
          <w:tcPr>
            <w:tcW w:w="44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920" w:type="dxa"/>
            <w:vAlign w:val="bottom"/>
            <w:tcBorders>
              <w:bottom w:val="single" w:sz="8" w:color="004483"/>
            </w:tcBorders>
            <w:gridSpan w:val="5"/>
          </w:tcPr>
          <w:p>
            <w:pPr>
              <w:jc w:val="right"/>
              <w:spacing w:after="0"/>
              <w:rPr>
                <w:sz w:val="20"/>
                <w:szCs w:val="20"/>
                <w:color w:val="auto"/>
              </w:rPr>
            </w:pPr>
            <w:r>
              <w:rPr>
                <w:rFonts w:ascii="Arial" w:cs="Arial" w:eastAsia="Arial" w:hAnsi="Arial"/>
                <w:sz w:val="13"/>
                <w:szCs w:val="13"/>
                <w:color w:val="auto"/>
              </w:rPr>
              <w:t>(dollars in thousands)</w:t>
            </w:r>
          </w:p>
        </w:tc>
        <w:tc>
          <w:tcPr>
            <w:tcW w:w="68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54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Revenue</w:t>
            </w:r>
          </w:p>
        </w:tc>
        <w:tc>
          <w:tcPr>
            <w:tcW w:w="42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50,259</w:t>
            </w:r>
          </w:p>
        </w:tc>
        <w:tc>
          <w:tcPr>
            <w:tcW w:w="120" w:type="dxa"/>
            <w:vAlign w:val="bottom"/>
          </w:tcPr>
          <w:p>
            <w:pPr>
              <w:spacing w:after="0"/>
              <w:rPr>
                <w:sz w:val="17"/>
                <w:szCs w:val="17"/>
                <w:color w:val="auto"/>
              </w:rPr>
            </w:pPr>
          </w:p>
        </w:tc>
        <w:tc>
          <w:tcPr>
            <w:tcW w:w="760" w:type="dxa"/>
            <w:vAlign w:val="bottom"/>
            <w:tcBorders>
              <w:bottom w:val="single" w:sz="8" w:color="A6A6A6"/>
            </w:tcBorders>
          </w:tcPr>
          <w:p>
            <w:pPr>
              <w:jc w:val="right"/>
              <w:ind w:right="4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gridSpan w:val="2"/>
          </w:tcPr>
          <w:p>
            <w:pPr>
              <w:jc w:val="right"/>
              <w:ind w:right="20"/>
              <w:spacing w:after="0"/>
              <w:rPr>
                <w:sz w:val="20"/>
                <w:szCs w:val="20"/>
                <w:color w:val="auto"/>
              </w:rPr>
            </w:pPr>
            <w:r>
              <w:rPr>
                <w:rFonts w:ascii="Arial" w:cs="Arial" w:eastAsia="Arial" w:hAnsi="Arial"/>
                <w:sz w:val="16"/>
                <w:szCs w:val="16"/>
                <w:color w:val="auto"/>
              </w:rPr>
              <w:t>53,852</w:t>
            </w:r>
          </w:p>
        </w:tc>
        <w:tc>
          <w:tcPr>
            <w:tcW w:w="100" w:type="dxa"/>
            <w:vAlign w:val="bottom"/>
          </w:tcPr>
          <w:p>
            <w:pPr>
              <w:spacing w:after="0"/>
              <w:rPr>
                <w:sz w:val="17"/>
                <w:szCs w:val="17"/>
                <w:color w:val="auto"/>
              </w:rPr>
            </w:pPr>
          </w:p>
        </w:tc>
        <w:tc>
          <w:tcPr>
            <w:tcW w:w="260" w:type="dxa"/>
            <w:vAlign w:val="bottom"/>
            <w:tcBorders>
              <w:bottom w:val="single" w:sz="8" w:color="A6A6A6"/>
            </w:tcBorders>
            <w:gridSpan w:val="2"/>
          </w:tcPr>
          <w:p>
            <w:pPr>
              <w:ind w:lef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102,889</w:t>
            </w:r>
          </w:p>
        </w:tc>
        <w:tc>
          <w:tcPr>
            <w:tcW w:w="100" w:type="dxa"/>
            <w:vAlign w:val="bottom"/>
          </w:tcPr>
          <w:p>
            <w:pPr>
              <w:spacing w:after="0"/>
              <w:rPr>
                <w:sz w:val="17"/>
                <w:szCs w:val="17"/>
                <w:color w:val="auto"/>
              </w:rPr>
            </w:pPr>
          </w:p>
        </w:tc>
        <w:tc>
          <w:tcPr>
            <w:tcW w:w="720" w:type="dxa"/>
            <w:vAlign w:val="bottom"/>
            <w:tcBorders>
              <w:bottom w:val="single" w:sz="8" w:color="A6A6A6"/>
            </w:tcBorders>
          </w:tcPr>
          <w:p>
            <w:pPr>
              <w:jc w:val="right"/>
              <w:ind w:right="39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99,234</w:t>
            </w:r>
          </w:p>
        </w:tc>
        <w:tc>
          <w:tcPr>
            <w:tcW w:w="100" w:type="dxa"/>
            <w:vAlign w:val="bottom"/>
          </w:tcPr>
          <w:p>
            <w:pPr>
              <w:spacing w:after="0"/>
              <w:rPr>
                <w:sz w:val="17"/>
                <w:szCs w:val="17"/>
                <w:color w:val="auto"/>
              </w:rPr>
            </w:pPr>
          </w:p>
        </w:tc>
      </w:tr>
      <w:tr>
        <w:trPr>
          <w:trHeight w:val="196"/>
        </w:trPr>
        <w:tc>
          <w:tcPr>
            <w:tcW w:w="54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Gross Margin</w:t>
            </w:r>
          </w:p>
        </w:tc>
        <w:tc>
          <w:tcPr>
            <w:tcW w:w="42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15,977</w:t>
            </w:r>
          </w:p>
        </w:tc>
        <w:tc>
          <w:tcPr>
            <w:tcW w:w="120" w:type="dxa"/>
            <w:vAlign w:val="bottom"/>
          </w:tcPr>
          <w:p>
            <w:pPr>
              <w:spacing w:after="0"/>
              <w:rPr>
                <w:sz w:val="17"/>
                <w:szCs w:val="17"/>
                <w:color w:val="auto"/>
              </w:rPr>
            </w:pPr>
          </w:p>
        </w:tc>
        <w:tc>
          <w:tcPr>
            <w:tcW w:w="760" w:type="dxa"/>
            <w:vAlign w:val="bottom"/>
            <w:tcBorders>
              <w:bottom w:val="single" w:sz="8" w:color="A6A6A6"/>
            </w:tcBorders>
          </w:tcPr>
          <w:p>
            <w:pPr>
              <w:jc w:val="right"/>
              <w:ind w:right="4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gridSpan w:val="2"/>
          </w:tcPr>
          <w:p>
            <w:pPr>
              <w:jc w:val="right"/>
              <w:ind w:right="20"/>
              <w:spacing w:after="0"/>
              <w:rPr>
                <w:sz w:val="20"/>
                <w:szCs w:val="20"/>
                <w:color w:val="auto"/>
              </w:rPr>
            </w:pPr>
            <w:r>
              <w:rPr>
                <w:rFonts w:ascii="Arial" w:cs="Arial" w:eastAsia="Arial" w:hAnsi="Arial"/>
                <w:sz w:val="16"/>
                <w:szCs w:val="16"/>
                <w:color w:val="auto"/>
              </w:rPr>
              <w:t>17,776</w:t>
            </w:r>
          </w:p>
        </w:tc>
        <w:tc>
          <w:tcPr>
            <w:tcW w:w="100" w:type="dxa"/>
            <w:vAlign w:val="bottom"/>
          </w:tcPr>
          <w:p>
            <w:pPr>
              <w:spacing w:after="0"/>
              <w:rPr>
                <w:sz w:val="17"/>
                <w:szCs w:val="17"/>
                <w:color w:val="auto"/>
              </w:rPr>
            </w:pPr>
          </w:p>
        </w:tc>
        <w:tc>
          <w:tcPr>
            <w:tcW w:w="260" w:type="dxa"/>
            <w:vAlign w:val="bottom"/>
            <w:tcBorders>
              <w:bottom w:val="single" w:sz="8" w:color="A6A6A6"/>
            </w:tcBorders>
            <w:gridSpan w:val="2"/>
          </w:tcPr>
          <w:p>
            <w:pPr>
              <w:ind w:lef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28,003</w:t>
            </w:r>
          </w:p>
        </w:tc>
        <w:tc>
          <w:tcPr>
            <w:tcW w:w="100" w:type="dxa"/>
            <w:vAlign w:val="bottom"/>
          </w:tcPr>
          <w:p>
            <w:pPr>
              <w:spacing w:after="0"/>
              <w:rPr>
                <w:sz w:val="17"/>
                <w:szCs w:val="17"/>
                <w:color w:val="auto"/>
              </w:rPr>
            </w:pPr>
          </w:p>
        </w:tc>
        <w:tc>
          <w:tcPr>
            <w:tcW w:w="720" w:type="dxa"/>
            <w:vAlign w:val="bottom"/>
            <w:tcBorders>
              <w:bottom w:val="single" w:sz="8" w:color="A6A6A6"/>
            </w:tcBorders>
          </w:tcPr>
          <w:p>
            <w:pPr>
              <w:jc w:val="right"/>
              <w:ind w:right="39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34,609</w:t>
            </w:r>
          </w:p>
        </w:tc>
        <w:tc>
          <w:tcPr>
            <w:tcW w:w="100" w:type="dxa"/>
            <w:vAlign w:val="bottom"/>
          </w:tcPr>
          <w:p>
            <w:pPr>
              <w:spacing w:after="0"/>
              <w:rPr>
                <w:sz w:val="17"/>
                <w:szCs w:val="17"/>
                <w:color w:val="auto"/>
              </w:rPr>
            </w:pPr>
          </w:p>
        </w:tc>
      </w:tr>
      <w:tr>
        <w:trPr>
          <w:trHeight w:val="196"/>
        </w:trPr>
        <w:tc>
          <w:tcPr>
            <w:tcW w:w="54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Earnings Before Income Taxes</w:t>
            </w:r>
          </w:p>
        </w:tc>
        <w:tc>
          <w:tcPr>
            <w:tcW w:w="420" w:type="dxa"/>
            <w:vAlign w:val="bottom"/>
            <w:tcBorders>
              <w:bottom w:val="single" w:sz="8" w:color="A6A6A6"/>
            </w:tcBorders>
          </w:tcPr>
          <w:p>
            <w:pPr>
              <w:jc w:val="right"/>
              <w:ind w:right="244"/>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14,312</w:t>
            </w:r>
          </w:p>
        </w:tc>
        <w:tc>
          <w:tcPr>
            <w:tcW w:w="120" w:type="dxa"/>
            <w:vAlign w:val="bottom"/>
          </w:tcPr>
          <w:p>
            <w:pPr>
              <w:spacing w:after="0"/>
              <w:rPr>
                <w:sz w:val="17"/>
                <w:szCs w:val="17"/>
                <w:color w:val="auto"/>
              </w:rPr>
            </w:pPr>
          </w:p>
        </w:tc>
        <w:tc>
          <w:tcPr>
            <w:tcW w:w="760" w:type="dxa"/>
            <w:vAlign w:val="bottom"/>
            <w:tcBorders>
              <w:bottom w:val="single" w:sz="8" w:color="A6A6A6"/>
            </w:tcBorders>
          </w:tcPr>
          <w:p>
            <w:pPr>
              <w:jc w:val="right"/>
              <w:ind w:right="4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6A6A6"/>
            </w:tcBorders>
            <w:gridSpan w:val="2"/>
          </w:tcPr>
          <w:p>
            <w:pPr>
              <w:jc w:val="right"/>
              <w:ind w:right="20"/>
              <w:spacing w:after="0"/>
              <w:rPr>
                <w:sz w:val="20"/>
                <w:szCs w:val="20"/>
                <w:color w:val="auto"/>
              </w:rPr>
            </w:pPr>
            <w:r>
              <w:rPr>
                <w:rFonts w:ascii="Arial" w:cs="Arial" w:eastAsia="Arial" w:hAnsi="Arial"/>
                <w:sz w:val="16"/>
                <w:szCs w:val="16"/>
                <w:color w:val="auto"/>
              </w:rPr>
              <w:t>16,519</w:t>
            </w:r>
          </w:p>
        </w:tc>
        <w:tc>
          <w:tcPr>
            <w:tcW w:w="100" w:type="dxa"/>
            <w:vAlign w:val="bottom"/>
          </w:tcPr>
          <w:p>
            <w:pPr>
              <w:spacing w:after="0"/>
              <w:rPr>
                <w:sz w:val="17"/>
                <w:szCs w:val="17"/>
                <w:color w:val="auto"/>
              </w:rPr>
            </w:pPr>
          </w:p>
        </w:tc>
        <w:tc>
          <w:tcPr>
            <w:tcW w:w="260" w:type="dxa"/>
            <w:vAlign w:val="bottom"/>
            <w:tcBorders>
              <w:bottom w:val="single" w:sz="8" w:color="A6A6A6"/>
            </w:tcBorders>
            <w:gridSpan w:val="2"/>
          </w:tcPr>
          <w:p>
            <w:pPr>
              <w:ind w:left="16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6A6A6"/>
            </w:tcBorders>
            <w:gridSpan w:val="3"/>
          </w:tcPr>
          <w:p>
            <w:pPr>
              <w:jc w:val="right"/>
              <w:spacing w:after="0"/>
              <w:rPr>
                <w:sz w:val="20"/>
                <w:szCs w:val="20"/>
                <w:color w:val="auto"/>
              </w:rPr>
            </w:pPr>
            <w:r>
              <w:rPr>
                <w:rFonts w:ascii="Arial" w:cs="Arial" w:eastAsia="Arial" w:hAnsi="Arial"/>
                <w:sz w:val="16"/>
                <w:szCs w:val="16"/>
                <w:color w:val="auto"/>
              </w:rPr>
              <w:t>24,508</w:t>
            </w:r>
          </w:p>
        </w:tc>
        <w:tc>
          <w:tcPr>
            <w:tcW w:w="100" w:type="dxa"/>
            <w:vAlign w:val="bottom"/>
          </w:tcPr>
          <w:p>
            <w:pPr>
              <w:spacing w:after="0"/>
              <w:rPr>
                <w:sz w:val="17"/>
                <w:szCs w:val="17"/>
                <w:color w:val="auto"/>
              </w:rPr>
            </w:pPr>
          </w:p>
        </w:tc>
        <w:tc>
          <w:tcPr>
            <w:tcW w:w="720" w:type="dxa"/>
            <w:vAlign w:val="bottom"/>
            <w:tcBorders>
              <w:bottom w:val="single" w:sz="8" w:color="A6A6A6"/>
            </w:tcBorders>
          </w:tcPr>
          <w:p>
            <w:pPr>
              <w:jc w:val="right"/>
              <w:ind w:right="39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32,459</w:t>
            </w:r>
          </w:p>
        </w:tc>
        <w:tc>
          <w:tcPr>
            <w:tcW w:w="100" w:type="dxa"/>
            <w:vAlign w:val="bottom"/>
          </w:tcPr>
          <w:p>
            <w:pPr>
              <w:spacing w:after="0"/>
              <w:rPr>
                <w:sz w:val="17"/>
                <w:szCs w:val="17"/>
                <w:color w:val="auto"/>
              </w:rPr>
            </w:pPr>
          </w:p>
        </w:tc>
      </w:tr>
      <w:tr>
        <w:trPr>
          <w:trHeight w:val="199"/>
        </w:trPr>
        <w:tc>
          <w:tcPr>
            <w:tcW w:w="5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r>
      <w:tr>
        <w:trPr>
          <w:trHeight w:val="162"/>
        </w:trPr>
        <w:tc>
          <w:tcPr>
            <w:tcW w:w="5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c>
          <w:tcPr>
            <w:tcW w:w="140" w:type="dxa"/>
            <w:vAlign w:val="bottom"/>
            <w:shd w:val="clear" w:color="auto" w:fill="004483"/>
          </w:tcPr>
          <w:p>
            <w:pPr>
              <w:spacing w:after="0"/>
              <w:rPr>
                <w:sz w:val="14"/>
                <w:szCs w:val="14"/>
                <w:color w:val="auto"/>
              </w:rPr>
            </w:pPr>
          </w:p>
        </w:tc>
        <w:tc>
          <w:tcPr>
            <w:tcW w:w="880" w:type="dxa"/>
            <w:vAlign w:val="bottom"/>
            <w:gridSpan w:val="2"/>
            <w:shd w:val="clear" w:color="auto" w:fill="004483"/>
          </w:tcPr>
          <w:p>
            <w:pPr>
              <w:spacing w:after="0"/>
              <w:rPr>
                <w:sz w:val="20"/>
                <w:szCs w:val="20"/>
                <w:color w:val="auto"/>
              </w:rPr>
            </w:pPr>
            <w:r>
              <w:rPr>
                <w:rFonts w:ascii="Arial" w:cs="Arial" w:eastAsia="Arial" w:hAnsi="Arial"/>
                <w:sz w:val="13"/>
                <w:szCs w:val="13"/>
                <w:b w:val="1"/>
                <w:bCs w:val="1"/>
                <w:color w:val="FFFFFF"/>
                <w:w w:val="96"/>
              </w:rPr>
              <w:t>September 30,</w:t>
            </w:r>
          </w:p>
        </w:tc>
        <w:tc>
          <w:tcPr>
            <w:tcW w:w="100" w:type="dxa"/>
            <w:vAlign w:val="bottom"/>
            <w:shd w:val="clear" w:color="auto" w:fill="004483"/>
          </w:tcPr>
          <w:p>
            <w:pPr>
              <w:spacing w:after="0"/>
              <w:rPr>
                <w:sz w:val="14"/>
                <w:szCs w:val="14"/>
                <w:color w:val="auto"/>
              </w:rPr>
            </w:pPr>
          </w:p>
        </w:tc>
        <w:tc>
          <w:tcPr>
            <w:tcW w:w="24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c>
          <w:tcPr>
            <w:tcW w:w="720" w:type="dxa"/>
            <w:vAlign w:val="bottom"/>
            <w:shd w:val="clear" w:color="auto" w:fill="004483"/>
          </w:tcPr>
          <w:p>
            <w:pPr>
              <w:spacing w:after="0"/>
              <w:rPr>
                <w:sz w:val="14"/>
                <w:szCs w:val="14"/>
                <w:color w:val="auto"/>
              </w:rPr>
            </w:pPr>
          </w:p>
        </w:tc>
        <w:tc>
          <w:tcPr>
            <w:tcW w:w="780" w:type="dxa"/>
            <w:vAlign w:val="bottom"/>
            <w:gridSpan w:val="2"/>
            <w:shd w:val="clear" w:color="auto" w:fill="004483"/>
          </w:tcPr>
          <w:p>
            <w:pPr>
              <w:ind w:left="80"/>
              <w:spacing w:after="0"/>
              <w:rPr>
                <w:sz w:val="20"/>
                <w:szCs w:val="20"/>
                <w:color w:val="auto"/>
              </w:rPr>
            </w:pPr>
            <w:r>
              <w:rPr>
                <w:rFonts w:ascii="Arial" w:cs="Arial" w:eastAsia="Arial" w:hAnsi="Arial"/>
                <w:sz w:val="13"/>
                <w:szCs w:val="13"/>
                <w:b w:val="1"/>
                <w:bCs w:val="1"/>
                <w:color w:val="FFFFFF"/>
              </w:rPr>
              <w:t>March 31,</w:t>
            </w:r>
          </w:p>
        </w:tc>
      </w:tr>
      <w:tr>
        <w:trPr>
          <w:trHeight w:val="156"/>
        </w:trPr>
        <w:tc>
          <w:tcPr>
            <w:tcW w:w="5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r>
      <w:tr>
        <w:trPr>
          <w:trHeight w:val="188"/>
        </w:trPr>
        <w:tc>
          <w:tcPr>
            <w:tcW w:w="5420" w:type="dxa"/>
            <w:vAlign w:val="bottom"/>
            <w:tcBorders>
              <w:bottom w:val="single" w:sz="8" w:color="004483"/>
            </w:tcBorders>
          </w:tcPr>
          <w:p>
            <w:pPr>
              <w:spacing w:after="0"/>
              <w:rPr>
                <w:sz w:val="16"/>
                <w:szCs w:val="16"/>
                <w:color w:val="auto"/>
              </w:rPr>
            </w:pPr>
          </w:p>
        </w:tc>
        <w:tc>
          <w:tcPr>
            <w:tcW w:w="420" w:type="dxa"/>
            <w:vAlign w:val="bottom"/>
            <w:tcBorders>
              <w:bottom w:val="single" w:sz="8" w:color="004483"/>
            </w:tcBorders>
          </w:tcPr>
          <w:p>
            <w:pPr>
              <w:spacing w:after="0"/>
              <w:rPr>
                <w:sz w:val="16"/>
                <w:szCs w:val="16"/>
                <w:color w:val="auto"/>
              </w:rPr>
            </w:pPr>
          </w:p>
        </w:tc>
        <w:tc>
          <w:tcPr>
            <w:tcW w:w="82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760" w:type="dxa"/>
            <w:vAlign w:val="bottom"/>
            <w:tcBorders>
              <w:bottom w:val="single" w:sz="8" w:color="004483"/>
            </w:tcBorders>
          </w:tcPr>
          <w:p>
            <w:pPr>
              <w:spacing w:after="0"/>
              <w:rPr>
                <w:sz w:val="16"/>
                <w:szCs w:val="16"/>
                <w:color w:val="auto"/>
              </w:rPr>
            </w:pPr>
          </w:p>
        </w:tc>
        <w:tc>
          <w:tcPr>
            <w:tcW w:w="200" w:type="dxa"/>
            <w:vAlign w:val="bottom"/>
            <w:tcBorders>
              <w:bottom w:val="single" w:sz="8" w:color="004483"/>
            </w:tcBorders>
          </w:tcPr>
          <w:p>
            <w:pPr>
              <w:spacing w:after="0"/>
              <w:rPr>
                <w:sz w:val="16"/>
                <w:szCs w:val="16"/>
                <w:color w:val="auto"/>
              </w:rPr>
            </w:pPr>
          </w:p>
        </w:tc>
        <w:tc>
          <w:tcPr>
            <w:tcW w:w="440" w:type="dxa"/>
            <w:vAlign w:val="bottom"/>
            <w:tcBorders>
              <w:bottom w:val="single" w:sz="8" w:color="004483"/>
            </w:tcBorders>
          </w:tcPr>
          <w:p>
            <w:pPr>
              <w:spacing w:after="0"/>
              <w:rPr>
                <w:sz w:val="16"/>
                <w:szCs w:val="16"/>
                <w:color w:val="auto"/>
              </w:rPr>
            </w:pPr>
          </w:p>
        </w:tc>
        <w:tc>
          <w:tcPr>
            <w:tcW w:w="100" w:type="dxa"/>
            <w:vAlign w:val="bottom"/>
            <w:tcBorders>
              <w:bottom w:val="single" w:sz="8" w:color="004483"/>
            </w:tcBorders>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920" w:type="dxa"/>
            <w:vAlign w:val="bottom"/>
            <w:tcBorders>
              <w:bottom w:val="single" w:sz="8" w:color="004483"/>
            </w:tcBorders>
            <w:gridSpan w:val="5"/>
          </w:tcPr>
          <w:p>
            <w:pPr>
              <w:jc w:val="right"/>
              <w:ind w:right="339"/>
              <w:spacing w:after="0"/>
              <w:rPr>
                <w:sz w:val="20"/>
                <w:szCs w:val="20"/>
                <w:color w:val="auto"/>
              </w:rPr>
            </w:pPr>
            <w:r>
              <w:rPr>
                <w:rFonts w:ascii="Arial" w:cs="Arial" w:eastAsia="Arial" w:hAnsi="Arial"/>
                <w:sz w:val="13"/>
                <w:szCs w:val="13"/>
                <w:color w:val="auto"/>
              </w:rPr>
              <w:t>(dollars in thousands)</w:t>
            </w:r>
          </w:p>
        </w:tc>
        <w:tc>
          <w:tcPr>
            <w:tcW w:w="68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54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Current Assets</w:t>
            </w:r>
          </w:p>
        </w:tc>
        <w:tc>
          <w:tcPr>
            <w:tcW w:w="420" w:type="dxa"/>
            <w:vAlign w:val="bottom"/>
            <w:tcBorders>
              <w:bottom w:val="single" w:sz="8" w:color="A6A6A6"/>
            </w:tcBorders>
          </w:tcPr>
          <w:p>
            <w:pPr>
              <w:spacing w:after="0"/>
              <w:rPr>
                <w:sz w:val="17"/>
                <w:szCs w:val="17"/>
                <w:color w:val="auto"/>
              </w:rPr>
            </w:pPr>
          </w:p>
        </w:tc>
        <w:tc>
          <w:tcPr>
            <w:tcW w:w="8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640" w:type="dxa"/>
            <w:vAlign w:val="bottom"/>
            <w:tcBorders>
              <w:bottom w:val="single" w:sz="8" w:color="A6A6A6"/>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84,701</w:t>
            </w:r>
          </w:p>
        </w:tc>
        <w:tc>
          <w:tcPr>
            <w:tcW w:w="100" w:type="dxa"/>
            <w:vAlign w:val="bottom"/>
          </w:tcPr>
          <w:p>
            <w:pPr>
              <w:spacing w:after="0"/>
              <w:rPr>
                <w:sz w:val="17"/>
                <w:szCs w:val="17"/>
                <w:color w:val="auto"/>
              </w:rPr>
            </w:pPr>
          </w:p>
        </w:tc>
        <w:tc>
          <w:tcPr>
            <w:tcW w:w="340" w:type="dxa"/>
            <w:vAlign w:val="bottom"/>
            <w:tcBorders>
              <w:bottom w:val="single" w:sz="8" w:color="A6A6A6"/>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6A6A6"/>
            </w:tcBorders>
          </w:tcPr>
          <w:p>
            <w:pPr>
              <w:spacing w:after="0"/>
              <w:rPr>
                <w:sz w:val="17"/>
                <w:szCs w:val="17"/>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69,492</w:t>
            </w:r>
          </w:p>
        </w:tc>
        <w:tc>
          <w:tcPr>
            <w:tcW w:w="100" w:type="dxa"/>
            <w:vAlign w:val="bottom"/>
          </w:tcPr>
          <w:p>
            <w:pPr>
              <w:spacing w:after="0"/>
              <w:rPr>
                <w:sz w:val="17"/>
                <w:szCs w:val="17"/>
                <w:color w:val="auto"/>
              </w:rPr>
            </w:pPr>
          </w:p>
        </w:tc>
      </w:tr>
      <w:tr>
        <w:trPr>
          <w:trHeight w:val="196"/>
        </w:trPr>
        <w:tc>
          <w:tcPr>
            <w:tcW w:w="54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Noncurrent Assets</w:t>
            </w:r>
          </w:p>
        </w:tc>
        <w:tc>
          <w:tcPr>
            <w:tcW w:w="420" w:type="dxa"/>
            <w:vAlign w:val="bottom"/>
            <w:tcBorders>
              <w:bottom w:val="single" w:sz="8" w:color="A6A6A6"/>
            </w:tcBorders>
          </w:tcPr>
          <w:p>
            <w:pPr>
              <w:spacing w:after="0"/>
              <w:rPr>
                <w:sz w:val="17"/>
                <w:szCs w:val="17"/>
                <w:color w:val="auto"/>
              </w:rPr>
            </w:pPr>
          </w:p>
        </w:tc>
        <w:tc>
          <w:tcPr>
            <w:tcW w:w="8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640" w:type="dxa"/>
            <w:vAlign w:val="bottom"/>
            <w:tcBorders>
              <w:bottom w:val="single" w:sz="8" w:color="A6A6A6"/>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114,764</w:t>
            </w:r>
          </w:p>
        </w:tc>
        <w:tc>
          <w:tcPr>
            <w:tcW w:w="100" w:type="dxa"/>
            <w:vAlign w:val="bottom"/>
          </w:tcPr>
          <w:p>
            <w:pPr>
              <w:spacing w:after="0"/>
              <w:rPr>
                <w:sz w:val="17"/>
                <w:szCs w:val="17"/>
                <w:color w:val="auto"/>
              </w:rPr>
            </w:pPr>
          </w:p>
        </w:tc>
        <w:tc>
          <w:tcPr>
            <w:tcW w:w="340" w:type="dxa"/>
            <w:vAlign w:val="bottom"/>
            <w:tcBorders>
              <w:bottom w:val="single" w:sz="8" w:color="A6A6A6"/>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6A6A6"/>
            </w:tcBorders>
          </w:tcPr>
          <w:p>
            <w:pPr>
              <w:spacing w:after="0"/>
              <w:rPr>
                <w:sz w:val="17"/>
                <w:szCs w:val="17"/>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112,926</w:t>
            </w:r>
          </w:p>
        </w:tc>
        <w:tc>
          <w:tcPr>
            <w:tcW w:w="100" w:type="dxa"/>
            <w:vAlign w:val="bottom"/>
          </w:tcPr>
          <w:p>
            <w:pPr>
              <w:spacing w:after="0"/>
              <w:rPr>
                <w:sz w:val="17"/>
                <w:szCs w:val="17"/>
                <w:color w:val="auto"/>
              </w:rPr>
            </w:pPr>
          </w:p>
        </w:tc>
      </w:tr>
      <w:tr>
        <w:trPr>
          <w:trHeight w:val="196"/>
        </w:trPr>
        <w:tc>
          <w:tcPr>
            <w:tcW w:w="542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Current Liabilities</w:t>
            </w:r>
          </w:p>
        </w:tc>
        <w:tc>
          <w:tcPr>
            <w:tcW w:w="420" w:type="dxa"/>
            <w:vAlign w:val="bottom"/>
            <w:tcBorders>
              <w:bottom w:val="single" w:sz="8" w:color="A6A6A6"/>
            </w:tcBorders>
          </w:tcPr>
          <w:p>
            <w:pPr>
              <w:spacing w:after="0"/>
              <w:rPr>
                <w:sz w:val="17"/>
                <w:szCs w:val="17"/>
                <w:color w:val="auto"/>
              </w:rPr>
            </w:pPr>
          </w:p>
        </w:tc>
        <w:tc>
          <w:tcPr>
            <w:tcW w:w="82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spacing w:after="0"/>
              <w:rPr>
                <w:sz w:val="17"/>
                <w:szCs w:val="17"/>
                <w:color w:val="auto"/>
              </w:rPr>
            </w:pPr>
          </w:p>
        </w:tc>
        <w:tc>
          <w:tcPr>
            <w:tcW w:w="640" w:type="dxa"/>
            <w:vAlign w:val="bottom"/>
            <w:tcBorders>
              <w:bottom w:val="single" w:sz="8" w:color="A6A6A6"/>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6A6A6"/>
            </w:tcBorders>
          </w:tcPr>
          <w:p>
            <w:pPr>
              <w:spacing w:after="0"/>
              <w:rPr>
                <w:sz w:val="17"/>
                <w:szCs w:val="17"/>
                <w:color w:val="auto"/>
              </w:rPr>
            </w:pPr>
          </w:p>
        </w:tc>
        <w:tc>
          <w:tcPr>
            <w:tcW w:w="140" w:type="dxa"/>
            <w:vAlign w:val="bottom"/>
            <w:tcBorders>
              <w:bottom w:val="single" w:sz="8" w:color="A6A6A6"/>
            </w:tcBorders>
          </w:tcPr>
          <w:p>
            <w:pPr>
              <w:spacing w:after="0"/>
              <w:rPr>
                <w:sz w:val="17"/>
                <w:szCs w:val="17"/>
                <w:color w:val="auto"/>
              </w:rPr>
            </w:pPr>
          </w:p>
        </w:tc>
        <w:tc>
          <w:tcPr>
            <w:tcW w:w="120" w:type="dxa"/>
            <w:vAlign w:val="bottom"/>
            <w:tcBorders>
              <w:bottom w:val="single" w:sz="8" w:color="A6A6A6"/>
            </w:tcBorders>
          </w:tcPr>
          <w:p>
            <w:pPr>
              <w:spacing w:after="0"/>
              <w:rPr>
                <w:sz w:val="17"/>
                <w:szCs w:val="17"/>
                <w:color w:val="auto"/>
              </w:rPr>
            </w:pPr>
          </w:p>
        </w:tc>
        <w:tc>
          <w:tcPr>
            <w:tcW w:w="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23,152</w:t>
            </w:r>
          </w:p>
        </w:tc>
        <w:tc>
          <w:tcPr>
            <w:tcW w:w="100" w:type="dxa"/>
            <w:vAlign w:val="bottom"/>
          </w:tcPr>
          <w:p>
            <w:pPr>
              <w:spacing w:after="0"/>
              <w:rPr>
                <w:sz w:val="17"/>
                <w:szCs w:val="17"/>
                <w:color w:val="auto"/>
              </w:rPr>
            </w:pPr>
          </w:p>
        </w:tc>
        <w:tc>
          <w:tcPr>
            <w:tcW w:w="340" w:type="dxa"/>
            <w:vAlign w:val="bottom"/>
            <w:tcBorders>
              <w:bottom w:val="single" w:sz="8" w:color="A6A6A6"/>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6A6A6"/>
            </w:tcBorders>
          </w:tcPr>
          <w:p>
            <w:pPr>
              <w:spacing w:after="0"/>
              <w:rPr>
                <w:sz w:val="17"/>
                <w:szCs w:val="17"/>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18,276</w:t>
            </w:r>
          </w:p>
        </w:tc>
        <w:tc>
          <w:tcPr>
            <w:tcW w:w="1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 INTEREST EXPENSE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components are included in Interest Expense, net: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400" w:type="dxa"/>
            <w:vAlign w:val="bottom"/>
          </w:tcPr>
          <w:p>
            <w:pPr>
              <w:spacing w:after="0"/>
              <w:rPr>
                <w:sz w:val="14"/>
                <w:szCs w:val="14"/>
                <w:color w:val="auto"/>
              </w:rPr>
            </w:pPr>
          </w:p>
        </w:tc>
        <w:tc>
          <w:tcPr>
            <w:tcW w:w="2880" w:type="dxa"/>
            <w:vAlign w:val="bottom"/>
            <w:gridSpan w:val="7"/>
            <w:shd w:val="clear" w:color="auto" w:fill="004483"/>
          </w:tcPr>
          <w:p>
            <w:pPr>
              <w:jc w:val="right"/>
              <w:ind w:right="200"/>
              <w:spacing w:after="0"/>
              <w:rPr>
                <w:sz w:val="20"/>
                <w:szCs w:val="20"/>
                <w:color w:val="auto"/>
              </w:rPr>
            </w:pPr>
            <w:r>
              <w:rPr>
                <w:rFonts w:ascii="Arial" w:cs="Arial" w:eastAsia="Arial" w:hAnsi="Arial"/>
                <w:sz w:val="13"/>
                <w:szCs w:val="13"/>
                <w:b w:val="1"/>
                <w:bCs w:val="1"/>
                <w:color w:val="FFFFFF"/>
                <w:w w:val="98"/>
              </w:rPr>
              <w:t>For the Three Months Ended September 30,</w:t>
            </w:r>
          </w:p>
        </w:tc>
        <w:tc>
          <w:tcPr>
            <w:tcW w:w="140" w:type="dxa"/>
            <w:vAlign w:val="bottom"/>
          </w:tcPr>
          <w:p>
            <w:pPr>
              <w:spacing w:after="0"/>
              <w:rPr>
                <w:sz w:val="14"/>
                <w:szCs w:val="14"/>
                <w:color w:val="auto"/>
              </w:rPr>
            </w:pPr>
          </w:p>
        </w:tc>
        <w:tc>
          <w:tcPr>
            <w:tcW w:w="120" w:type="dxa"/>
            <w:vAlign w:val="bottom"/>
            <w:shd w:val="clear" w:color="auto" w:fill="004483"/>
          </w:tcPr>
          <w:p>
            <w:pPr>
              <w:spacing w:after="0"/>
              <w:rPr>
                <w:sz w:val="14"/>
                <w:szCs w:val="14"/>
                <w:color w:val="auto"/>
              </w:rPr>
            </w:pPr>
          </w:p>
        </w:tc>
        <w:tc>
          <w:tcPr>
            <w:tcW w:w="2700" w:type="dxa"/>
            <w:vAlign w:val="bottom"/>
            <w:gridSpan w:val="6"/>
            <w:shd w:val="clear" w:color="auto" w:fill="004483"/>
          </w:tcPr>
          <w:p>
            <w:pPr>
              <w:jc w:val="right"/>
              <w:ind w:right="240"/>
              <w:spacing w:after="0"/>
              <w:rPr>
                <w:sz w:val="20"/>
                <w:szCs w:val="20"/>
                <w:color w:val="auto"/>
              </w:rPr>
            </w:pPr>
            <w:r>
              <w:rPr>
                <w:rFonts w:ascii="Arial" w:cs="Arial" w:eastAsia="Arial" w:hAnsi="Arial"/>
                <w:sz w:val="13"/>
                <w:szCs w:val="13"/>
                <w:b w:val="1"/>
                <w:bCs w:val="1"/>
                <w:color w:val="FFFFFF"/>
                <w:w w:val="96"/>
              </w:rPr>
              <w:t>For the Six Months Ended September 30,</w:t>
            </w:r>
          </w:p>
        </w:tc>
      </w:tr>
      <w:tr>
        <w:trPr>
          <w:trHeight w:val="156"/>
        </w:trPr>
        <w:tc>
          <w:tcPr>
            <w:tcW w:w="5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r>
      <w:tr>
        <w:trPr>
          <w:trHeight w:val="188"/>
        </w:trPr>
        <w:tc>
          <w:tcPr>
            <w:tcW w:w="5400" w:type="dxa"/>
            <w:vAlign w:val="bottom"/>
            <w:tcBorders>
              <w:bottom w:val="single" w:sz="8" w:color="004483"/>
            </w:tcBorders>
          </w:tcPr>
          <w:p>
            <w:pPr>
              <w:spacing w:after="0"/>
              <w:rPr>
                <w:sz w:val="16"/>
                <w:szCs w:val="16"/>
                <w:color w:val="auto"/>
              </w:rPr>
            </w:pPr>
          </w:p>
        </w:tc>
        <w:tc>
          <w:tcPr>
            <w:tcW w:w="440" w:type="dxa"/>
            <w:vAlign w:val="bottom"/>
            <w:tcBorders>
              <w:bottom w:val="single" w:sz="8" w:color="004483"/>
            </w:tcBorders>
          </w:tcPr>
          <w:p>
            <w:pPr>
              <w:spacing w:after="0"/>
              <w:rPr>
                <w:sz w:val="16"/>
                <w:szCs w:val="16"/>
                <w:color w:val="auto"/>
              </w:rPr>
            </w:pPr>
          </w:p>
        </w:tc>
        <w:tc>
          <w:tcPr>
            <w:tcW w:w="1680" w:type="dxa"/>
            <w:vAlign w:val="bottom"/>
            <w:tcBorders>
              <w:bottom w:val="single" w:sz="8" w:color="004483"/>
            </w:tcBorders>
            <w:gridSpan w:val="4"/>
          </w:tcPr>
          <w:p>
            <w:pPr>
              <w:jc w:val="right"/>
              <w:ind w:right="59"/>
              <w:spacing w:after="0"/>
              <w:rPr>
                <w:sz w:val="20"/>
                <w:szCs w:val="20"/>
                <w:color w:val="auto"/>
              </w:rPr>
            </w:pPr>
            <w:r>
              <w:rPr>
                <w:rFonts w:ascii="Arial" w:cs="Arial" w:eastAsia="Arial" w:hAnsi="Arial"/>
                <w:sz w:val="13"/>
                <w:szCs w:val="13"/>
                <w:color w:val="auto"/>
              </w:rPr>
              <w:t>(dollars in thousands)</w:t>
            </w:r>
          </w:p>
        </w:tc>
        <w:tc>
          <w:tcPr>
            <w:tcW w:w="66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004483"/>
            </w:tcBorders>
          </w:tcPr>
          <w:p>
            <w:pPr>
              <w:spacing w:after="0"/>
              <w:rPr>
                <w:sz w:val="16"/>
                <w:szCs w:val="16"/>
                <w:color w:val="auto"/>
              </w:rPr>
            </w:pPr>
          </w:p>
        </w:tc>
        <w:tc>
          <w:tcPr>
            <w:tcW w:w="120" w:type="dxa"/>
            <w:vAlign w:val="bottom"/>
            <w:tcBorders>
              <w:bottom w:val="single" w:sz="8" w:color="004483"/>
            </w:tcBorders>
          </w:tcPr>
          <w:p>
            <w:pPr>
              <w:spacing w:after="0"/>
              <w:rPr>
                <w:sz w:val="16"/>
                <w:szCs w:val="16"/>
                <w:color w:val="auto"/>
              </w:rPr>
            </w:pPr>
          </w:p>
        </w:tc>
        <w:tc>
          <w:tcPr>
            <w:tcW w:w="1960" w:type="dxa"/>
            <w:vAlign w:val="bottom"/>
            <w:tcBorders>
              <w:bottom w:val="single" w:sz="8" w:color="004483"/>
            </w:tcBorders>
            <w:gridSpan w:val="4"/>
          </w:tcPr>
          <w:p>
            <w:pPr>
              <w:jc w:val="right"/>
              <w:ind w:right="39"/>
              <w:spacing w:after="0"/>
              <w:rPr>
                <w:sz w:val="20"/>
                <w:szCs w:val="20"/>
                <w:color w:val="auto"/>
              </w:rPr>
            </w:pPr>
            <w:r>
              <w:rPr>
                <w:rFonts w:ascii="Arial" w:cs="Arial" w:eastAsia="Arial" w:hAnsi="Arial"/>
                <w:sz w:val="13"/>
                <w:szCs w:val="13"/>
                <w:color w:val="auto"/>
              </w:rPr>
              <w:t>(dollars in thousands)</w:t>
            </w:r>
          </w:p>
        </w:tc>
        <w:tc>
          <w:tcPr>
            <w:tcW w:w="64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r>
      <w:tr>
        <w:trPr>
          <w:trHeight w:val="200"/>
        </w:trPr>
        <w:tc>
          <w:tcPr>
            <w:tcW w:w="5400" w:type="dxa"/>
            <w:vAlign w:val="bottom"/>
          </w:tcPr>
          <w:p>
            <w:pPr>
              <w:ind w:left="20"/>
              <w:spacing w:after="0"/>
              <w:rPr>
                <w:sz w:val="20"/>
                <w:szCs w:val="20"/>
                <w:color w:val="auto"/>
              </w:rPr>
            </w:pPr>
            <w:r>
              <w:rPr>
                <w:rFonts w:ascii="Arial" w:cs="Arial" w:eastAsia="Arial" w:hAnsi="Arial"/>
                <w:sz w:val="16"/>
                <w:szCs w:val="16"/>
                <w:color w:val="004483"/>
              </w:rPr>
              <w:t>Interest Income</w:t>
            </w:r>
          </w:p>
        </w:tc>
        <w:tc>
          <w:tcPr>
            <w:tcW w:w="440" w:type="dxa"/>
            <w:vAlign w:val="bottom"/>
          </w:tcPr>
          <w:p>
            <w:pPr>
              <w:jc w:val="right"/>
              <w:ind w:right="265"/>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(70 )</w:t>
            </w:r>
          </w:p>
        </w:tc>
        <w:tc>
          <w:tcPr>
            <w:tcW w:w="74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(13 )</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(82 )</w:t>
            </w:r>
          </w:p>
        </w:tc>
        <w:tc>
          <w:tcPr>
            <w:tcW w:w="74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(38 )</w:t>
            </w:r>
          </w:p>
        </w:tc>
      </w:tr>
      <w:tr>
        <w:trPr>
          <w:trHeight w:val="196"/>
        </w:trPr>
        <w:tc>
          <w:tcPr>
            <w:tcW w:w="540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Interest Expense</w:t>
            </w:r>
          </w:p>
        </w:tc>
        <w:tc>
          <w:tcPr>
            <w:tcW w:w="440" w:type="dxa"/>
            <w:vAlign w:val="bottom"/>
            <w:tcBorders>
              <w:top w:val="single" w:sz="8" w:color="A6A6A6"/>
              <w:bottom w:val="single" w:sz="8" w:color="A6A6A6"/>
            </w:tcBorders>
          </w:tcPr>
          <w:p>
            <w:pPr>
              <w:spacing w:after="0"/>
              <w:rPr>
                <w:sz w:val="17"/>
                <w:szCs w:val="17"/>
                <w:color w:val="auto"/>
              </w:rPr>
            </w:pPr>
          </w:p>
        </w:tc>
        <w:tc>
          <w:tcPr>
            <w:tcW w:w="8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8,176</w:t>
            </w:r>
          </w:p>
        </w:tc>
        <w:tc>
          <w:tcPr>
            <w:tcW w:w="140" w:type="dxa"/>
            <w:vAlign w:val="bottom"/>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600" w:type="dxa"/>
            <w:vAlign w:val="bottom"/>
            <w:tcBorders>
              <w:top w:val="single" w:sz="8" w:color="A6A6A6"/>
              <w:bottom w:val="single" w:sz="8" w:color="A6A6A6"/>
            </w:tcBorders>
          </w:tcPr>
          <w:p>
            <w:pPr>
              <w:spacing w:after="0"/>
              <w:rPr>
                <w:sz w:val="17"/>
                <w:szCs w:val="17"/>
                <w:color w:val="auto"/>
              </w:rPr>
            </w:pPr>
          </w:p>
        </w:tc>
        <w:tc>
          <w:tcPr>
            <w:tcW w:w="6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5,425</w:t>
            </w:r>
          </w:p>
        </w:tc>
        <w:tc>
          <w:tcPr>
            <w:tcW w:w="100" w:type="dxa"/>
            <w:vAlign w:val="bottom"/>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11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15,055</w:t>
            </w:r>
          </w:p>
        </w:tc>
        <w:tc>
          <w:tcPr>
            <w:tcW w:w="12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620" w:type="dxa"/>
            <w:vAlign w:val="bottom"/>
            <w:tcBorders>
              <w:top w:val="single" w:sz="8" w:color="A6A6A6"/>
              <w:bottom w:val="single" w:sz="8" w:color="A6A6A6"/>
            </w:tcBorders>
          </w:tcPr>
          <w:p>
            <w:pPr>
              <w:spacing w:after="0"/>
              <w:rPr>
                <w:sz w:val="17"/>
                <w:szCs w:val="17"/>
                <w:color w:val="auto"/>
              </w:rPr>
            </w:pPr>
          </w:p>
        </w:tc>
        <w:tc>
          <w:tcPr>
            <w:tcW w:w="64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11,551</w:t>
            </w:r>
          </w:p>
        </w:tc>
        <w:tc>
          <w:tcPr>
            <w:tcW w:w="100" w:type="dxa"/>
            <w:vAlign w:val="bottom"/>
          </w:tcPr>
          <w:p>
            <w:pPr>
              <w:spacing w:after="0"/>
              <w:rPr>
                <w:sz w:val="17"/>
                <w:szCs w:val="17"/>
                <w:color w:val="auto"/>
              </w:rPr>
            </w:pPr>
          </w:p>
        </w:tc>
      </w:tr>
      <w:tr>
        <w:trPr>
          <w:trHeight w:val="196"/>
        </w:trPr>
        <w:tc>
          <w:tcPr>
            <w:tcW w:w="5400" w:type="dxa"/>
            <w:vAlign w:val="bottom"/>
          </w:tcPr>
          <w:p>
            <w:pPr>
              <w:ind w:left="20"/>
              <w:spacing w:after="0"/>
              <w:rPr>
                <w:sz w:val="20"/>
                <w:szCs w:val="20"/>
                <w:color w:val="auto"/>
              </w:rPr>
            </w:pPr>
            <w:r>
              <w:rPr>
                <w:rFonts w:ascii="Arial" w:cs="Arial" w:eastAsia="Arial" w:hAnsi="Arial"/>
                <w:sz w:val="16"/>
                <w:szCs w:val="16"/>
                <w:color w:val="004483"/>
              </w:rPr>
              <w:t>Other Expenses</w:t>
            </w: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7,727</w:t>
            </w:r>
          </w:p>
        </w:tc>
        <w:tc>
          <w:tcPr>
            <w:tcW w:w="100" w:type="dxa"/>
            <w:vAlign w:val="bottom"/>
          </w:tcPr>
          <w:p>
            <w:pPr>
              <w:spacing w:after="0"/>
              <w:rPr>
                <w:sz w:val="17"/>
                <w:szCs w:val="17"/>
                <w:color w:val="auto"/>
              </w:rPr>
            </w:pPr>
          </w:p>
        </w:tc>
      </w:tr>
      <w:tr>
        <w:trPr>
          <w:trHeight w:val="30"/>
        </w:trPr>
        <w:tc>
          <w:tcPr>
            <w:tcW w:w="5400" w:type="dxa"/>
            <w:vAlign w:val="bottom"/>
            <w:tcBorders>
              <w:bottom w:val="single" w:sz="8" w:color="A6A6A6"/>
            </w:tcBorders>
          </w:tcPr>
          <w:p>
            <w:pPr>
              <w:spacing w:after="0"/>
              <w:rPr>
                <w:sz w:val="2"/>
                <w:szCs w:val="2"/>
                <w:color w:val="auto"/>
              </w:rPr>
            </w:pPr>
          </w:p>
        </w:tc>
        <w:tc>
          <w:tcPr>
            <w:tcW w:w="440" w:type="dxa"/>
            <w:vAlign w:val="bottom"/>
            <w:tcBorders>
              <w:bottom w:val="single" w:sz="8" w:color="004483"/>
            </w:tcBorders>
            <w:shd w:val="clear" w:color="auto" w:fill="004483"/>
          </w:tcPr>
          <w:p>
            <w:pPr>
              <w:spacing w:after="0"/>
              <w:rPr>
                <w:sz w:val="2"/>
                <w:szCs w:val="2"/>
                <w:color w:val="auto"/>
              </w:rPr>
            </w:pPr>
          </w:p>
        </w:tc>
        <w:tc>
          <w:tcPr>
            <w:tcW w:w="800" w:type="dxa"/>
            <w:vAlign w:val="bottom"/>
            <w:tcBorders>
              <w:bottom w:val="single" w:sz="8" w:color="004483"/>
            </w:tcBorders>
            <w:shd w:val="clear" w:color="auto" w:fill="004483"/>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600" w:type="dxa"/>
            <w:vAlign w:val="bottom"/>
            <w:tcBorders>
              <w:bottom w:val="single" w:sz="8" w:color="004483"/>
            </w:tcBorders>
            <w:shd w:val="clear" w:color="auto" w:fill="004483"/>
          </w:tcPr>
          <w:p>
            <w:pPr>
              <w:spacing w:after="0"/>
              <w:rPr>
                <w:sz w:val="2"/>
                <w:szCs w:val="2"/>
                <w:color w:val="auto"/>
              </w:rPr>
            </w:pPr>
          </w:p>
        </w:tc>
        <w:tc>
          <w:tcPr>
            <w:tcW w:w="66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6A6A6"/>
            </w:tcBorders>
          </w:tcPr>
          <w:p>
            <w:pPr>
              <w:spacing w:after="0"/>
              <w:rPr>
                <w:sz w:val="2"/>
                <w:szCs w:val="2"/>
                <w:color w:val="auto"/>
              </w:rPr>
            </w:pPr>
          </w:p>
        </w:tc>
        <w:tc>
          <w:tcPr>
            <w:tcW w:w="120" w:type="dxa"/>
            <w:vAlign w:val="bottom"/>
            <w:tcBorders>
              <w:bottom w:val="single" w:sz="8" w:color="004483"/>
            </w:tcBorders>
            <w:shd w:val="clear" w:color="auto" w:fill="004483"/>
          </w:tcPr>
          <w:p>
            <w:pPr>
              <w:spacing w:after="0"/>
              <w:rPr>
                <w:sz w:val="2"/>
                <w:szCs w:val="2"/>
                <w:color w:val="auto"/>
              </w:rPr>
            </w:pPr>
          </w:p>
        </w:tc>
        <w:tc>
          <w:tcPr>
            <w:tcW w:w="110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6A6A6"/>
            </w:tcBorders>
          </w:tcPr>
          <w:p>
            <w:pPr>
              <w:spacing w:after="0"/>
              <w:rPr>
                <w:sz w:val="2"/>
                <w:szCs w:val="2"/>
                <w:color w:val="auto"/>
              </w:rPr>
            </w:pPr>
          </w:p>
        </w:tc>
        <w:tc>
          <w:tcPr>
            <w:tcW w:w="620" w:type="dxa"/>
            <w:vAlign w:val="bottom"/>
            <w:tcBorders>
              <w:bottom w:val="single" w:sz="8" w:color="004483"/>
            </w:tcBorders>
            <w:shd w:val="clear" w:color="auto" w:fill="004483"/>
          </w:tcPr>
          <w:p>
            <w:pPr>
              <w:spacing w:after="0"/>
              <w:rPr>
                <w:sz w:val="2"/>
                <w:szCs w:val="2"/>
                <w:color w:val="auto"/>
              </w:rPr>
            </w:pPr>
          </w:p>
        </w:tc>
        <w:tc>
          <w:tcPr>
            <w:tcW w:w="64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r>
      <w:tr>
        <w:trPr>
          <w:trHeight w:val="196"/>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440" w:type="dxa"/>
            <w:vAlign w:val="bottom"/>
            <w:tcBorders>
              <w:bottom w:val="single" w:sz="8" w:color="004483"/>
            </w:tcBorders>
          </w:tcPr>
          <w:p>
            <w:pPr>
              <w:jc w:val="right"/>
              <w:ind w:right="265"/>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8,580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bottom w:val="single" w:sz="8" w:color="004483"/>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12,268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15,910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004483"/>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19,240</w:t>
            </w:r>
          </w:p>
        </w:tc>
        <w:tc>
          <w:tcPr>
            <w:tcW w:w="100" w:type="dxa"/>
            <w:vAlign w:val="bottom"/>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440" w:type="dxa"/>
            <w:vAlign w:val="bottom"/>
            <w:tcBorders>
              <w:bottom w:val="single" w:sz="8" w:color="004483"/>
            </w:tcBorders>
          </w:tcPr>
          <w:p>
            <w:pPr>
              <w:spacing w:after="0" w:line="20" w:lineRule="exact"/>
              <w:rPr>
                <w:sz w:val="1"/>
                <w:szCs w:val="1"/>
                <w:color w:val="auto"/>
              </w:rPr>
            </w:pPr>
          </w:p>
        </w:tc>
        <w:tc>
          <w:tcPr>
            <w:tcW w:w="800" w:type="dxa"/>
            <w:vAlign w:val="bottom"/>
            <w:tcBorders>
              <w:bottom w:val="single" w:sz="8" w:color="004483"/>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6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004483"/>
            </w:tcBorders>
          </w:tcPr>
          <w:p>
            <w:pPr>
              <w:spacing w:after="0" w:line="20" w:lineRule="exact"/>
              <w:rPr>
                <w:sz w:val="1"/>
                <w:szCs w:val="1"/>
                <w:color w:val="auto"/>
              </w:rPr>
            </w:pPr>
          </w:p>
        </w:tc>
        <w:tc>
          <w:tcPr>
            <w:tcW w:w="11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004483"/>
            </w:tcBorders>
          </w:tcPr>
          <w:p>
            <w:pPr>
              <w:spacing w:after="0" w:line="20" w:lineRule="exact"/>
              <w:rPr>
                <w:sz w:val="1"/>
                <w:szCs w:val="1"/>
                <w:color w:val="auto"/>
              </w:rPr>
            </w:pPr>
          </w:p>
        </w:tc>
        <w:tc>
          <w:tcPr>
            <w:tcW w:w="64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Interest Income includes interest earned on investments of excess cash. Components of Interest Expense include interest associated with the Revolving Credit Facility, Term Loan, Senior Unsecured Notes, and commitment fees based on the unused portion of the Revolving Credit Facility. Other Expenses include amortization of debt issuance costs and Revolving Credit Facility costs.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(P) COMMITMENTS AND CONTINGENCIES</w:t>
      </w:r>
    </w:p>
    <w:p>
      <w:pPr>
        <w:spacing w:after="0" w:line="148"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September 30, 2022, we had contingent liabilities under these outstanding letters of credit of approximately $6.4 million.</w:t>
      </w:r>
    </w:p>
    <w:p>
      <w:pPr>
        <w:spacing w:after="0" w:line="97"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In the ordinary course of business, we execute contracts involving indemnifications that are both standard in the industry and specific to a transaction, such as the sale of a business. These indemnifications may include claims relating to any of the following: environmental and tax matters; intellectual property rights; governmental regulations and employment-related matters; customer, supplier, and other commercial contractual relationships; and construction contracts and financial matters. While the maximum amount to which the Company may be exposed under such agreements cannot be estimated, management believes these indemnifications will not have a material adverse effect on our consolidated financial position, results of operations, or cash flows. We currently have no outstanding guarantees.</w:t>
      </w:r>
    </w:p>
    <w:p>
      <w:pPr>
        <w:spacing w:after="0" w:line="96"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We are currently contingently liable for performance under $26.8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past experience, no material claims have been made against these financial instruments.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 FAIR VALUE OF FINANCIAL INSTRUMENTS</w:t>
      </w:r>
    </w:p>
    <w:p>
      <w:pPr>
        <w:spacing w:after="0" w:line="148"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The fair value of our long-term debt has been estimated based upon our current incremental borrowing rates for similar types of borrowing arrangements. The fair value of our 2.500% Senior Unsecured Notes at September 30, 2022, is as follows:</w:t>
      </w:r>
    </w:p>
    <w:p>
      <w:pPr>
        <w:spacing w:after="0" w:line="297" w:lineRule="exact"/>
        <w:rPr>
          <w:sz w:val="20"/>
          <w:szCs w:val="20"/>
          <w:color w:val="auto"/>
        </w:rPr>
      </w:pPr>
    </w:p>
    <w:p>
      <w:pPr>
        <w:jc w:val="right"/>
        <w:ind w:right="80"/>
        <w:spacing w:after="0"/>
        <w:rPr>
          <w:sz w:val="20"/>
          <w:szCs w:val="20"/>
          <w:color w:val="auto"/>
        </w:rPr>
      </w:pPr>
      <w:r>
        <w:rPr>
          <w:rFonts w:ascii="Arial" w:cs="Arial" w:eastAsia="Arial" w:hAnsi="Arial"/>
          <w:sz w:val="13"/>
          <w:szCs w:val="13"/>
          <w:b w:val="1"/>
          <w:bCs w:val="1"/>
          <w:color w:val="auto"/>
        </w:rPr>
        <w:t>Fair Value</w:t>
      </w:r>
    </w:p>
    <w:p>
      <w:pPr>
        <w:spacing w:after="0" w:line="29" w:lineRule="exact"/>
        <w:rPr>
          <w:sz w:val="20"/>
          <w:szCs w:val="20"/>
          <w:color w:val="auto"/>
        </w:rPr>
      </w:pPr>
    </w:p>
    <w:p>
      <w:pPr>
        <w:jc w:val="right"/>
        <w:ind w:right="8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06374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63740" cy="26035"/>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8940" w:val="left"/>
          <w:tab w:leader="none" w:pos="10520" w:val="left"/>
        </w:tabs>
        <w:rPr>
          <w:sz w:val="20"/>
          <w:szCs w:val="20"/>
          <w:color w:val="auto"/>
        </w:rPr>
      </w:pPr>
      <w:r>
        <w:rPr>
          <w:rFonts w:ascii="Arial" w:cs="Arial" w:eastAsia="Arial" w:hAnsi="Arial"/>
          <w:sz w:val="16"/>
          <w:szCs w:val="16"/>
          <w:color w:val="004483"/>
        </w:rPr>
        <w:t>2.500% Senior Unsecured Notes Due 2031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550,193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0637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39"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color w:val="auto"/>
        </w:rPr>
        <w:t>The estimated fair value of our long-term debt was based on quoted prices of similar debt instruments with similar terms that are publicly traded (level 1 input). The carrying values of Cash and Cash Equivalents, Accounts Receivable, Notes Receivable, Accounts Payable, and Accrued Liabilities approximate their fair values at September 30, 2022, due to the short-term maturities of these assets and liabilities. The fair value of our Revolving Credit Facility and Term Loan also approximates the carrying value at September 30, 2022.</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2" w:name="page23"/>
    <w:bookmarkEnd w:id="22"/>
    <w:p>
      <w:pPr>
        <w:spacing w:after="0"/>
        <w:rPr>
          <w:sz w:val="20"/>
          <w:szCs w:val="20"/>
          <w:color w:val="auto"/>
        </w:rPr>
      </w:pPr>
      <w:r>
        <w:rPr>
          <w:rFonts w:ascii="Arial" w:cs="Arial" w:eastAsia="Arial" w:hAnsi="Arial"/>
          <w:sz w:val="23"/>
          <w:szCs w:val="23"/>
          <w:b w:val="1"/>
          <w:bCs w:val="1"/>
          <w:color w:val="auto"/>
        </w:rPr>
        <w:t>ITEM 2. Management’s Discussion and Analysis of Financial Condition and Results of Operations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7"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color w:val="auto"/>
        </w:rPr>
        <w:t>We are a leading manufacturer of heavy construction materials and light building materials in the United States. Our primary products, Portland Cement and Gypsum Wallboard, are commodities that are essential in commercial and residential construction; public construction projects; and projects to build, expand, and repair roads and highways. Demand for our products is generally cyclical and seasonal, depending on economic and geographic conditions. We distribute our products throughout most of the United States, except the Northeast, which provides us with regional economic diversification. However, general economic downturns or localized downturns in the regions where we have operations may have a material adverse effect on our business, financial condition, and results of operations.</w:t>
      </w:r>
    </w:p>
    <w:p>
      <w:pPr>
        <w:spacing w:after="0" w:line="96"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Our business is organized into two sectors: Heavy Materials, which includes the Cement and Concrete and Aggregates segments; and Light Materials, which includes the Gypsum Wallboard and Recycled Paperboard segments. Financial results and other information for the three and six months ended September 30, 2022 and 2021, are presented on a consolidated basis and by these business segments – Cement, Concrete and Aggregates, Gypsum Wallboard, and Recycled Paperboard.</w:t>
      </w:r>
    </w:p>
    <w:p>
      <w:pPr>
        <w:spacing w:after="0" w:line="97" w:lineRule="exact"/>
        <w:rPr>
          <w:sz w:val="20"/>
          <w:szCs w:val="20"/>
          <w:color w:val="auto"/>
        </w:rPr>
      </w:pPr>
    </w:p>
    <w:p>
      <w:pPr>
        <w:ind w:right="180"/>
        <w:spacing w:after="0" w:line="284" w:lineRule="auto"/>
        <w:rPr>
          <w:sz w:val="20"/>
          <w:szCs w:val="20"/>
          <w:color w:val="auto"/>
        </w:rPr>
      </w:pPr>
      <w:r>
        <w:rPr>
          <w:rFonts w:ascii="Arial" w:cs="Arial" w:eastAsia="Arial" w:hAnsi="Arial"/>
          <w:sz w:val="18"/>
          <w:szCs w:val="18"/>
          <w:color w:val="auto"/>
        </w:rPr>
        <w:t>We conduct one of our cement operations through a joint venture, Texas Lehigh Cement Company LP, which is located in Buda, Texas (the Joint Venture).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the segments within the Company for making operating decisions and assessing performance.</w:t>
      </w:r>
    </w:p>
    <w:p>
      <w:pPr>
        <w:spacing w:after="0" w:line="98" w:lineRule="exact"/>
        <w:rPr>
          <w:sz w:val="20"/>
          <w:szCs w:val="20"/>
          <w:color w:val="auto"/>
        </w:rPr>
      </w:pPr>
    </w:p>
    <w:p>
      <w:pPr>
        <w:ind w:right="300"/>
        <w:spacing w:after="0" w:line="284" w:lineRule="auto"/>
        <w:rPr>
          <w:sz w:val="20"/>
          <w:szCs w:val="20"/>
          <w:color w:val="auto"/>
        </w:rPr>
      </w:pPr>
      <w:r>
        <w:rPr>
          <w:rFonts w:ascii="Arial" w:cs="Arial" w:eastAsia="Arial" w:hAnsi="Arial"/>
          <w:sz w:val="18"/>
          <w:szCs w:val="18"/>
          <w:color w:val="auto"/>
        </w:rPr>
        <w:t>All our business activities are conducted in the United States. These activities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On April 22, 2022, we completed the ConAgg Acquisition. The Purchase Price of the ConAgg Acquisition was approximately $120.2 million.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ConAgg Acquisition is included in our Heavy Materials sector, in the Concrete and Aggregates business segment.</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On September 16, 2022, we acquired a cement distribution terminal located in Nashville, Tennessee (the Terminal Acquisition). The purchase price of the Terminal Acquisition was approximately $39.5 million. The Terminal Acquisition is included in our Heavy Materials sector, in the Cement business segment.</w:t>
      </w:r>
    </w:p>
    <w:p>
      <w:pPr>
        <w:spacing w:after="0" w:line="94" w:lineRule="exact"/>
        <w:rPr>
          <w:sz w:val="20"/>
          <w:szCs w:val="20"/>
          <w:color w:val="auto"/>
        </w:rPr>
      </w:pPr>
    </w:p>
    <w:p>
      <w:pPr>
        <w:ind w:right="620"/>
        <w:spacing w:after="0" w:line="293" w:lineRule="auto"/>
        <w:rPr>
          <w:sz w:val="20"/>
          <w:szCs w:val="20"/>
          <w:color w:val="auto"/>
        </w:rPr>
      </w:pPr>
      <w:r>
        <w:rPr>
          <w:rFonts w:ascii="Arial" w:cs="Arial" w:eastAsia="Arial" w:hAnsi="Arial"/>
          <w:sz w:val="18"/>
          <w:szCs w:val="18"/>
          <w:color w:val="auto"/>
        </w:rPr>
        <w:t>See Footnote (B) in the Unaudited Consolidated Financial Statements for more information regarding the ConAgg Acquisition and the Terminal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CONDITIONS AND OUTLOOK</w:t>
      </w:r>
    </w:p>
    <w:p>
      <w:pPr>
        <w:spacing w:after="0" w:line="139" w:lineRule="exact"/>
        <w:rPr>
          <w:sz w:val="20"/>
          <w:szCs w:val="20"/>
          <w:color w:val="auto"/>
        </w:rPr>
      </w:pPr>
    </w:p>
    <w:p>
      <w:pPr>
        <w:ind w:right="260"/>
        <w:spacing w:after="0" w:line="284" w:lineRule="auto"/>
        <w:rPr>
          <w:sz w:val="20"/>
          <w:szCs w:val="20"/>
          <w:color w:val="auto"/>
        </w:rPr>
      </w:pPr>
      <w:r>
        <w:rPr>
          <w:rFonts w:ascii="Arial" w:cs="Arial" w:eastAsia="Arial" w:hAnsi="Arial"/>
          <w:sz w:val="18"/>
          <w:szCs w:val="18"/>
          <w:color w:val="auto"/>
        </w:rPr>
        <w:t>During the first half of fiscal 2023, our end markets generally remained resilient despite external challenges, such as transportation disruptions, supply chain constraints, and increasing interest rates and inflation. Construction activity in most of our regional markets continued to outpace the national average, and sales volume in our largest business lines remained strong during the three months ended September 30, 2022 – our Gypsum Wallboard shipments were up 6%, and although our Cement sales volume decreased 2%, it remains historically high.</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Demand Outlook</w:t>
      </w:r>
    </w:p>
    <w:p>
      <w:pPr>
        <w:spacing w:after="0" w:line="162"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 xml:space="preserve">The principal end-use market of Cement is public infrastructure (i.e. roads, bridges, and highways). Our Cement business remains in a near sold-out position. We expect demand for cement to remain strong as the </w:t>
      </w:r>
      <w:r>
        <w:rPr>
          <w:rFonts w:ascii="Arial" w:cs="Arial" w:eastAsia="Arial" w:hAnsi="Arial"/>
          <w:sz w:val="18"/>
          <w:szCs w:val="18"/>
          <w:i w:val="1"/>
          <w:iCs w:val="1"/>
          <w:color w:val="auto"/>
        </w:rPr>
        <w:t>Infrastructure Investment and Jobs Act</w:t>
      </w:r>
      <w:r>
        <w:rPr>
          <w:rFonts w:ascii="Arial" w:cs="Arial" w:eastAsia="Arial" w:hAnsi="Arial"/>
          <w:sz w:val="18"/>
          <w:szCs w:val="18"/>
          <w:color w:val="auto"/>
        </w:rPr>
        <w:t xml:space="preserve"> accelerates federal funding of infrastructure construction and repair projects during the latter half of this fiscal year and throughout calendar 2023. However, despite underlying demand growth, our ability to achieve further Cement sales volume growth from our existing facilities is limited, because our integrated cement sales network is operating at high utilization levels.</w:t>
      </w:r>
    </w:p>
    <w:p>
      <w:pPr>
        <w:spacing w:after="0" w:line="98" w:lineRule="exact"/>
        <w:rPr>
          <w:sz w:val="20"/>
          <w:szCs w:val="20"/>
          <w:color w:val="auto"/>
        </w:rPr>
      </w:pPr>
    </w:p>
    <w:p>
      <w:pPr>
        <w:spacing w:after="0" w:line="303" w:lineRule="auto"/>
        <w:rPr>
          <w:sz w:val="20"/>
          <w:szCs w:val="20"/>
          <w:color w:val="auto"/>
        </w:rPr>
      </w:pPr>
      <w:r>
        <w:rPr>
          <w:rFonts w:ascii="Arial" w:cs="Arial" w:eastAsia="Arial" w:hAnsi="Arial"/>
          <w:sz w:val="17"/>
          <w:szCs w:val="17"/>
          <w:color w:val="auto"/>
        </w:rPr>
        <w:t>The principal end use for gypsum wallboard is residential housing, consisting of new construction (both single-family and multi-family homes) as well as repair and remodel. The construction of single-family homes tend to be more wallboard-intensive than multi-family homes. Gypsum Wallboard shipments and orders currently remain steady, and we expect home construction backlogs to support product demand throughout the remainder of our fiscal year. However, we recognize tighter U.S. fiscal policy, which has resulted in the highest mortgage rates in the last 20 years, will likely have an adverse impact on residential construction activity in the future. Our Recycled Paperboard business sells paper primarily into the gypsum wallboard market, and demand for our paper generally follows the demand for gypsum wallboard.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Outlook</w:t>
      </w:r>
    </w:p>
    <w:p>
      <w:pPr>
        <w:spacing w:after="0" w:line="162"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color w:val="auto"/>
        </w:rPr>
        <w:t>We are well positioned to manage our cost structure and meet our customers’ needs during the remainder of the fiscal year, despite rising inflation and increased transportation costs. Our substantial raw material reserves for our Cement, Aggregates, and Gypsum Wallboard businesses, and their proximity to our respective manufacturing facilities, support our low-cost producer position across all our business segments.</w:t>
      </w:r>
    </w:p>
    <w:p>
      <w:pPr>
        <w:spacing w:after="0" w:line="97" w:lineRule="exact"/>
        <w:rPr>
          <w:sz w:val="20"/>
          <w:szCs w:val="20"/>
          <w:color w:val="auto"/>
        </w:rPr>
      </w:pPr>
    </w:p>
    <w:p>
      <w:pPr>
        <w:ind w:right="140"/>
        <w:spacing w:after="0" w:line="284" w:lineRule="auto"/>
        <w:rPr>
          <w:sz w:val="20"/>
          <w:szCs w:val="20"/>
          <w:color w:val="auto"/>
        </w:rPr>
      </w:pPr>
      <w:r>
        <w:rPr>
          <w:rFonts w:ascii="Arial" w:cs="Arial" w:eastAsia="Arial" w:hAnsi="Arial"/>
          <w:sz w:val="18"/>
          <w:szCs w:val="18"/>
          <w:color w:val="auto"/>
        </w:rPr>
        <w:t>Energy and freight costs increased in all our businesses during fiscal 2022, as well as the first half of fiscal 2023, and we anticipate further increases into fiscal 2024. The increases in energy costs are related to rising demand and disruption in the global supply of natural gas and solid fuels. We have forward purchase contracts for approximately 50% of our natural gas needs at $5.53 per mmbtu across all our businesses for the remainder of fiscal 2023. For freight, several factors are contributing to higher costs, including limited availability of trucking and rail service, congestion on the shipping routes, and the increase in price of diesel fuel, all of which have constrained freight capacity. We do not expect these factors to improve in the near term.</w:t>
      </w:r>
    </w:p>
    <w:p>
      <w:pPr>
        <w:spacing w:after="0" w:line="96" w:lineRule="exact"/>
        <w:rPr>
          <w:sz w:val="20"/>
          <w:szCs w:val="20"/>
          <w:color w:val="auto"/>
        </w:rPr>
      </w:pPr>
    </w:p>
    <w:p>
      <w:pPr>
        <w:ind w:right="40"/>
        <w:spacing w:after="0" w:line="284" w:lineRule="auto"/>
        <w:rPr>
          <w:sz w:val="20"/>
          <w:szCs w:val="20"/>
          <w:color w:val="auto"/>
        </w:rPr>
      </w:pPr>
      <w:r>
        <w:rPr>
          <w:rFonts w:ascii="Arial" w:cs="Arial" w:eastAsia="Arial" w:hAnsi="Arial"/>
          <w:sz w:val="18"/>
          <w:szCs w:val="18"/>
          <w:color w:val="auto"/>
        </w:rPr>
        <w:t>The primary raw material used to produce paperboard is OCC. Prices for OCC significantly increased during the prior year, but have recently declined. We expect OCC prices to remain relatively level for the remainder of fiscal 2023. Our current customer contracts for gypsum liner include price adjustments that partially compensate for changes in raw material fiber prices. However, because these price adjustments are not realized until future quarters, material costs in our Gypsum Wallboard segment are likely to be lower in the period that these price adjustments are realized.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2022, COMPARED WITH THREE MONTHS ENDED SEPTEMBER 30, 2021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shd w:val="clear" w:color="auto" w:fill="004483"/>
          </w:tcPr>
          <w:p>
            <w:pPr>
              <w:spacing w:after="0"/>
              <w:rPr>
                <w:sz w:val="14"/>
                <w:szCs w:val="14"/>
                <w:color w:val="auto"/>
              </w:rPr>
            </w:pPr>
          </w:p>
        </w:tc>
        <w:tc>
          <w:tcPr>
            <w:tcW w:w="3160" w:type="dxa"/>
            <w:vAlign w:val="bottom"/>
            <w:gridSpan w:val="6"/>
            <w:shd w:val="clear" w:color="auto" w:fill="004483"/>
          </w:tcPr>
          <w:p>
            <w:pPr>
              <w:jc w:val="right"/>
              <w:ind w:right="440"/>
              <w:spacing w:after="0"/>
              <w:rPr>
                <w:sz w:val="20"/>
                <w:szCs w:val="20"/>
                <w:color w:val="auto"/>
              </w:rPr>
            </w:pPr>
            <w:r>
              <w:rPr>
                <w:rFonts w:ascii="Arial" w:cs="Arial" w:eastAsia="Arial" w:hAnsi="Arial"/>
                <w:sz w:val="13"/>
                <w:szCs w:val="13"/>
                <w:b w:val="1"/>
                <w:bCs w:val="1"/>
                <w:color w:val="FFFFFF"/>
              </w:rPr>
              <w:t>For the Three Months Ended September 30,</w:t>
            </w:r>
          </w:p>
        </w:tc>
        <w:tc>
          <w:tcPr>
            <w:tcW w:w="166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56"/>
        </w:trPr>
        <w:tc>
          <w:tcPr>
            <w:tcW w:w="6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140" w:type="dxa"/>
            <w:vAlign w:val="bottom"/>
            <w:tcBorders>
              <w:bottom w:val="single" w:sz="8" w:color="004483"/>
            </w:tcBorders>
          </w:tcPr>
          <w:p>
            <w:pPr>
              <w:spacing w:after="0"/>
              <w:rPr>
                <w:sz w:val="16"/>
                <w:szCs w:val="16"/>
                <w:color w:val="auto"/>
              </w:rPr>
            </w:pPr>
          </w:p>
        </w:tc>
        <w:tc>
          <w:tcPr>
            <w:tcW w:w="160" w:type="dxa"/>
            <w:vAlign w:val="bottom"/>
            <w:tcBorders>
              <w:bottom w:val="single" w:sz="8" w:color="004483"/>
            </w:tcBorders>
          </w:tcPr>
          <w:p>
            <w:pPr>
              <w:spacing w:after="0"/>
              <w:rPr>
                <w:sz w:val="16"/>
                <w:szCs w:val="16"/>
                <w:color w:val="auto"/>
              </w:rPr>
            </w:pPr>
          </w:p>
        </w:tc>
        <w:tc>
          <w:tcPr>
            <w:tcW w:w="220" w:type="dxa"/>
            <w:vAlign w:val="bottom"/>
            <w:tcBorders>
              <w:bottom w:val="single" w:sz="8" w:color="004483"/>
            </w:tcBorders>
          </w:tcPr>
          <w:p>
            <w:pPr>
              <w:spacing w:after="0"/>
              <w:rPr>
                <w:sz w:val="16"/>
                <w:szCs w:val="16"/>
                <w:color w:val="auto"/>
              </w:rPr>
            </w:pPr>
          </w:p>
        </w:tc>
        <w:tc>
          <w:tcPr>
            <w:tcW w:w="3040" w:type="dxa"/>
            <w:vAlign w:val="bottom"/>
            <w:tcBorders>
              <w:bottom w:val="single" w:sz="8" w:color="004483"/>
            </w:tcBorders>
            <w:gridSpan w:val="5"/>
          </w:tcPr>
          <w:p>
            <w:pPr>
              <w:jc w:val="right"/>
              <w:ind w:right="440"/>
              <w:spacing w:after="0"/>
              <w:rPr>
                <w:sz w:val="20"/>
                <w:szCs w:val="20"/>
                <w:color w:val="auto"/>
              </w:rPr>
            </w:pPr>
            <w:r>
              <w:rPr>
                <w:rFonts w:ascii="Arial" w:cs="Arial" w:eastAsia="Arial" w:hAnsi="Arial"/>
                <w:sz w:val="13"/>
                <w:szCs w:val="13"/>
                <w:color w:val="auto"/>
              </w:rPr>
              <w:t>(dollars in thousands, except per share)</w:t>
            </w:r>
          </w:p>
        </w:tc>
        <w:tc>
          <w:tcPr>
            <w:tcW w:w="120" w:type="dxa"/>
            <w:vAlign w:val="bottom"/>
          </w:tcPr>
          <w:p>
            <w:pPr>
              <w:spacing w:after="0"/>
              <w:rPr>
                <w:sz w:val="16"/>
                <w:szCs w:val="16"/>
                <w:color w:val="auto"/>
              </w:rPr>
            </w:pPr>
          </w:p>
        </w:tc>
        <w:tc>
          <w:tcPr>
            <w:tcW w:w="1460" w:type="dxa"/>
            <w:vAlign w:val="bottom"/>
            <w:tcBorders>
              <w:bottom w:val="single" w:sz="8" w:color="004483"/>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300" w:type="dxa"/>
            <w:vAlign w:val="bottom"/>
            <w:gridSpan w:val="2"/>
          </w:tcPr>
          <w:p>
            <w:pPr>
              <w:ind w:left="20"/>
              <w:spacing w:after="0"/>
              <w:rPr>
                <w:sz w:val="20"/>
                <w:szCs w:val="20"/>
                <w:color w:val="auto"/>
              </w:rPr>
            </w:pPr>
            <w:r>
              <w:rPr>
                <w:rFonts w:ascii="Arial" w:cs="Arial" w:eastAsia="Arial" w:hAnsi="Arial"/>
                <w:sz w:val="16"/>
                <w:szCs w:val="16"/>
                <w:color w:val="004483"/>
              </w:rPr>
              <w:t>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605,068</w:t>
            </w:r>
          </w:p>
        </w:tc>
        <w:tc>
          <w:tcPr>
            <w:tcW w:w="120" w:type="dxa"/>
            <w:vAlign w:val="bottom"/>
          </w:tcPr>
          <w:p>
            <w:pPr>
              <w:spacing w:after="0"/>
              <w:rPr>
                <w:sz w:val="17"/>
                <w:szCs w:val="17"/>
                <w:color w:val="auto"/>
              </w:rPr>
            </w:pPr>
          </w:p>
        </w:tc>
        <w:tc>
          <w:tcPr>
            <w:tcW w:w="62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509,694</w:t>
            </w:r>
          </w:p>
        </w:tc>
        <w:tc>
          <w:tcPr>
            <w:tcW w:w="12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0"/>
        </w:trPr>
        <w:tc>
          <w:tcPr>
            <w:tcW w:w="6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6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300" w:type="dxa"/>
            <w:vAlign w:val="bottom"/>
            <w:gridSpan w:val="2"/>
          </w:tcPr>
          <w:p>
            <w:pPr>
              <w:ind w:left="20"/>
              <w:spacing w:after="0"/>
              <w:rPr>
                <w:sz w:val="20"/>
                <w:szCs w:val="20"/>
                <w:color w:val="auto"/>
              </w:rPr>
            </w:pPr>
            <w:r>
              <w:rPr>
                <w:rFonts w:ascii="Arial" w:cs="Arial" w:eastAsia="Arial" w:hAnsi="Arial"/>
                <w:sz w:val="16"/>
                <w:szCs w:val="16"/>
                <w:color w:val="004483"/>
              </w:rPr>
              <w:t>Cost of Goods Sold</w:t>
            </w:r>
          </w:p>
        </w:tc>
        <w:tc>
          <w:tcPr>
            <w:tcW w:w="22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(410,829 )</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(354,353 )</w:t>
            </w: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0"/>
        </w:trPr>
        <w:tc>
          <w:tcPr>
            <w:tcW w:w="6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20" w:type="dxa"/>
            <w:vAlign w:val="bottom"/>
            <w:tcBorders>
              <w:top w:val="single" w:sz="8" w:color="004483"/>
            </w:tcBorders>
            <w:shd w:val="clear" w:color="auto" w:fill="004483"/>
          </w:tcPr>
          <w:p>
            <w:pPr>
              <w:spacing w:after="0" w:line="20" w:lineRule="exact"/>
              <w:rPr>
                <w:sz w:val="1"/>
                <w:szCs w:val="1"/>
                <w:color w:val="auto"/>
              </w:rPr>
            </w:pPr>
          </w:p>
        </w:tc>
        <w:tc>
          <w:tcPr>
            <w:tcW w:w="128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60" w:type="dxa"/>
            <w:vAlign w:val="bottom"/>
            <w:tcBorders>
              <w:top w:val="single" w:sz="8" w:color="004483"/>
            </w:tcBorders>
            <w:shd w:val="clear" w:color="auto" w:fill="004483"/>
          </w:tcPr>
          <w:p>
            <w:pPr>
              <w:spacing w:after="0" w:line="20" w:lineRule="exact"/>
              <w:rPr>
                <w:sz w:val="1"/>
                <w:szCs w:val="1"/>
                <w:color w:val="auto"/>
              </w:rPr>
            </w:pPr>
          </w:p>
        </w:tc>
        <w:tc>
          <w:tcPr>
            <w:tcW w:w="102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300" w:type="dxa"/>
            <w:vAlign w:val="bottom"/>
            <w:gridSpan w:val="2"/>
          </w:tcPr>
          <w:p>
            <w:pPr>
              <w:ind w:left="20"/>
              <w:spacing w:after="0"/>
              <w:rPr>
                <w:sz w:val="20"/>
                <w:szCs w:val="20"/>
                <w:color w:val="auto"/>
              </w:rPr>
            </w:pPr>
            <w:r>
              <w:rPr>
                <w:rFonts w:ascii="Arial" w:cs="Arial" w:eastAsia="Arial" w:hAnsi="Arial"/>
                <w:sz w:val="16"/>
                <w:szCs w:val="16"/>
                <w:color w:val="004483"/>
              </w:rPr>
              <w:t>Gross Profit</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194,239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155,341</w:t>
            </w:r>
          </w:p>
        </w:tc>
        <w:tc>
          <w:tcPr>
            <w:tcW w:w="120" w:type="dxa"/>
            <w:vAlign w:val="bottom"/>
          </w:tcPr>
          <w:p>
            <w:pPr>
              <w:spacing w:after="0"/>
              <w:rPr>
                <w:sz w:val="16"/>
                <w:szCs w:val="16"/>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0"/>
        </w:trPr>
        <w:tc>
          <w:tcPr>
            <w:tcW w:w="6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6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gridSpan w:val="2"/>
          </w:tcPr>
          <w:p>
            <w:pPr>
              <w:ind w:left="20"/>
              <w:spacing w:after="0"/>
              <w:rPr>
                <w:sz w:val="20"/>
                <w:szCs w:val="20"/>
                <w:color w:val="auto"/>
              </w:rPr>
            </w:pPr>
            <w:r>
              <w:rPr>
                <w:rFonts w:ascii="Arial" w:cs="Arial" w:eastAsia="Arial" w:hAnsi="Arial"/>
                <w:sz w:val="16"/>
                <w:szCs w:val="16"/>
                <w:color w:val="004483"/>
              </w:rPr>
              <w:t>Equity in Earnings of Unconsolidated Joint Venture</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8,260</w:t>
            </w:r>
          </w:p>
        </w:tc>
        <w:tc>
          <w:tcPr>
            <w:tcW w:w="120" w:type="dxa"/>
            <w:vAlign w:val="bottom"/>
          </w:tcPr>
          <w:p>
            <w:pPr>
              <w:spacing w:after="0"/>
              <w:rPr>
                <w:sz w:val="17"/>
                <w:szCs w:val="17"/>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0"/>
        </w:trPr>
        <w:tc>
          <w:tcPr>
            <w:tcW w:w="6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6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gridSpan w:val="2"/>
          </w:tcPr>
          <w:p>
            <w:pPr>
              <w:ind w:left="20"/>
              <w:spacing w:after="0"/>
              <w:rPr>
                <w:sz w:val="20"/>
                <w:szCs w:val="20"/>
                <w:color w:val="auto"/>
              </w:rPr>
            </w:pPr>
            <w:r>
              <w:rPr>
                <w:rFonts w:ascii="Arial" w:cs="Arial" w:eastAsia="Arial" w:hAnsi="Arial"/>
                <w:sz w:val="16"/>
                <w:szCs w:val="16"/>
                <w:color w:val="004483"/>
              </w:rPr>
              <w:t>Corporate General and Administrative Expense</w:t>
            </w:r>
          </w:p>
        </w:tc>
        <w:tc>
          <w:tcPr>
            <w:tcW w:w="22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(13,627 )</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(10,667 )</w:t>
            </w: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0"/>
        </w:trPr>
        <w:tc>
          <w:tcPr>
            <w:tcW w:w="6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6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gridSpan w:val="2"/>
          </w:tcPr>
          <w:p>
            <w:pPr>
              <w:ind w:left="20"/>
              <w:spacing w:after="0"/>
              <w:rPr>
                <w:sz w:val="20"/>
                <w:szCs w:val="20"/>
                <w:color w:val="auto"/>
              </w:rPr>
            </w:pPr>
            <w:r>
              <w:rPr>
                <w:rFonts w:ascii="Arial" w:cs="Arial" w:eastAsia="Arial" w:hAnsi="Arial"/>
                <w:sz w:val="16"/>
                <w:szCs w:val="16"/>
                <w:color w:val="004483"/>
              </w:rPr>
              <w:t>Loss on Early Retirement of Senior Notes</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(8,407 )</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6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6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gridSpan w:val="2"/>
          </w:tcPr>
          <w:p>
            <w:pPr>
              <w:ind w:left="20"/>
              <w:spacing w:after="0"/>
              <w:rPr>
                <w:sz w:val="20"/>
                <w:szCs w:val="20"/>
                <w:color w:val="auto"/>
              </w:rPr>
            </w:pPr>
            <w:r>
              <w:rPr>
                <w:rFonts w:ascii="Arial" w:cs="Arial" w:eastAsia="Arial" w:hAnsi="Arial"/>
                <w:sz w:val="16"/>
                <w:szCs w:val="16"/>
                <w:color w:val="004483"/>
              </w:rPr>
              <w:t>Other Non-Operating Loss</w:t>
            </w:r>
          </w:p>
        </w:tc>
        <w:tc>
          <w:tcPr>
            <w:tcW w:w="22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(664 )</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(944 )</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0"/>
        </w:trPr>
        <w:tc>
          <w:tcPr>
            <w:tcW w:w="6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6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300" w:type="dxa"/>
            <w:vAlign w:val="bottom"/>
            <w:gridSpan w:val="2"/>
          </w:tcPr>
          <w:p>
            <w:pPr>
              <w:ind w:left="20"/>
              <w:spacing w:after="0"/>
              <w:rPr>
                <w:sz w:val="20"/>
                <w:szCs w:val="20"/>
                <w:color w:val="auto"/>
              </w:rPr>
            </w:pPr>
            <w:r>
              <w:rPr>
                <w:rFonts w:ascii="Arial" w:cs="Arial" w:eastAsia="Arial" w:hAnsi="Arial"/>
                <w:sz w:val="16"/>
                <w:szCs w:val="16"/>
                <w:color w:val="004483"/>
              </w:rPr>
              <w:t>Interest Expense, net</w:t>
            </w:r>
          </w:p>
        </w:tc>
        <w:tc>
          <w:tcPr>
            <w:tcW w:w="22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(8,580 )</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(12,268 )</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0"/>
        </w:trPr>
        <w:tc>
          <w:tcPr>
            <w:tcW w:w="6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20" w:type="dxa"/>
            <w:vAlign w:val="bottom"/>
            <w:tcBorders>
              <w:top w:val="single" w:sz="8" w:color="004483"/>
            </w:tcBorders>
            <w:shd w:val="clear" w:color="auto" w:fill="004483"/>
          </w:tcPr>
          <w:p>
            <w:pPr>
              <w:spacing w:after="0" w:line="20" w:lineRule="exact"/>
              <w:rPr>
                <w:sz w:val="1"/>
                <w:szCs w:val="1"/>
                <w:color w:val="auto"/>
              </w:rPr>
            </w:pPr>
          </w:p>
        </w:tc>
        <w:tc>
          <w:tcPr>
            <w:tcW w:w="128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60" w:type="dxa"/>
            <w:vAlign w:val="bottom"/>
            <w:tcBorders>
              <w:top w:val="single" w:sz="8" w:color="004483"/>
            </w:tcBorders>
            <w:shd w:val="clear" w:color="auto" w:fill="004483"/>
          </w:tcPr>
          <w:p>
            <w:pPr>
              <w:spacing w:after="0" w:line="20" w:lineRule="exact"/>
              <w:rPr>
                <w:sz w:val="1"/>
                <w:szCs w:val="1"/>
                <w:color w:val="auto"/>
              </w:rPr>
            </w:pPr>
          </w:p>
        </w:tc>
        <w:tc>
          <w:tcPr>
            <w:tcW w:w="102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300" w:type="dxa"/>
            <w:vAlign w:val="bottom"/>
            <w:gridSpan w:val="2"/>
          </w:tcPr>
          <w:p>
            <w:pPr>
              <w:ind w:left="20"/>
              <w:spacing w:after="0"/>
              <w:rPr>
                <w:sz w:val="20"/>
                <w:szCs w:val="20"/>
                <w:color w:val="auto"/>
              </w:rPr>
            </w:pPr>
            <w:r>
              <w:rPr>
                <w:rFonts w:ascii="Arial" w:cs="Arial" w:eastAsia="Arial" w:hAnsi="Arial"/>
                <w:sz w:val="16"/>
                <w:szCs w:val="16"/>
                <w:color w:val="004483"/>
              </w:rPr>
              <w:t>Earnings Before Income Taxes</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178,524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131,315</w:t>
            </w:r>
          </w:p>
        </w:tc>
        <w:tc>
          <w:tcPr>
            <w:tcW w:w="120" w:type="dxa"/>
            <w:vAlign w:val="bottom"/>
          </w:tcPr>
          <w:p>
            <w:pPr>
              <w:spacing w:after="0"/>
              <w:rPr>
                <w:sz w:val="16"/>
                <w:szCs w:val="16"/>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0"/>
        </w:trPr>
        <w:tc>
          <w:tcPr>
            <w:tcW w:w="6140" w:type="dxa"/>
            <w:vAlign w:val="bottom"/>
            <w:shd w:val="clear" w:color="auto" w:fill="A6A6A6"/>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12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6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300" w:type="dxa"/>
            <w:vAlign w:val="bottom"/>
            <w:gridSpan w:val="2"/>
          </w:tcPr>
          <w:p>
            <w:pPr>
              <w:ind w:left="20"/>
              <w:spacing w:after="0"/>
              <w:rPr>
                <w:sz w:val="20"/>
                <w:szCs w:val="20"/>
                <w:color w:val="auto"/>
              </w:rPr>
            </w:pPr>
            <w:r>
              <w:rPr>
                <w:rFonts w:ascii="Arial" w:cs="Arial" w:eastAsia="Arial" w:hAnsi="Arial"/>
                <w:sz w:val="16"/>
                <w:szCs w:val="16"/>
                <w:color w:val="004483"/>
              </w:rPr>
              <w:t>Income Tax Expense</w:t>
            </w:r>
          </w:p>
        </w:tc>
        <w:tc>
          <w:tcPr>
            <w:tcW w:w="22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(39,529 )</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(29,190 )</w:t>
            </w: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27"/>
        </w:trPr>
        <w:tc>
          <w:tcPr>
            <w:tcW w:w="6140" w:type="dxa"/>
            <w:vAlign w:val="bottom"/>
            <w:tcBorders>
              <w:bottom w:val="single" w:sz="8" w:color="A6A6A6"/>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220" w:type="dxa"/>
            <w:vAlign w:val="bottom"/>
            <w:tcBorders>
              <w:bottom w:val="single" w:sz="8" w:color="004483"/>
            </w:tcBorders>
            <w:shd w:val="clear" w:color="auto" w:fill="004483"/>
          </w:tcPr>
          <w:p>
            <w:pPr>
              <w:spacing w:after="0"/>
              <w:rPr>
                <w:sz w:val="2"/>
                <w:szCs w:val="2"/>
                <w:color w:val="auto"/>
              </w:rPr>
            </w:pPr>
          </w:p>
        </w:tc>
        <w:tc>
          <w:tcPr>
            <w:tcW w:w="128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460" w:type="dxa"/>
            <w:vAlign w:val="bottom"/>
            <w:tcBorders>
              <w:bottom w:val="single" w:sz="8" w:color="004483"/>
            </w:tcBorders>
            <w:shd w:val="clear" w:color="auto" w:fill="004483"/>
          </w:tcPr>
          <w:p>
            <w:pPr>
              <w:spacing w:after="0"/>
              <w:rPr>
                <w:sz w:val="2"/>
                <w:szCs w:val="2"/>
                <w:color w:val="auto"/>
              </w:rPr>
            </w:pPr>
          </w:p>
        </w:tc>
        <w:tc>
          <w:tcPr>
            <w:tcW w:w="102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6A6A6"/>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14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160" w:type="dxa"/>
            <w:vAlign w:val="bottom"/>
            <w:vMerge w:val="continue"/>
          </w:tcPr>
          <w:p>
            <w:pPr>
              <w:spacing w:after="0"/>
              <w:rPr>
                <w:sz w:val="17"/>
                <w:szCs w:val="17"/>
                <w:color w:val="auto"/>
              </w:rPr>
            </w:pPr>
          </w:p>
        </w:tc>
        <w:tc>
          <w:tcPr>
            <w:tcW w:w="220" w:type="dxa"/>
            <w:vAlign w:val="bottom"/>
            <w:tcBorders>
              <w:bottom w:val="single" w:sz="8" w:color="004483"/>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138,995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102,125</w:t>
            </w:r>
          </w:p>
        </w:tc>
        <w:tc>
          <w:tcPr>
            <w:tcW w:w="12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36 %</w:t>
            </w:r>
          </w:p>
        </w:tc>
        <w:tc>
          <w:tcPr>
            <w:tcW w:w="0" w:type="dxa"/>
            <w:vAlign w:val="bottom"/>
          </w:tcPr>
          <w:p>
            <w:pPr>
              <w:spacing w:after="0"/>
              <w:rPr>
                <w:sz w:val="1"/>
                <w:szCs w:val="1"/>
                <w:color w:val="auto"/>
              </w:rPr>
            </w:pPr>
          </w:p>
        </w:tc>
      </w:tr>
      <w:tr>
        <w:trPr>
          <w:trHeight w:val="20"/>
        </w:trPr>
        <w:tc>
          <w:tcPr>
            <w:tcW w:w="614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gridSpan w:val="2"/>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20" w:type="dxa"/>
            <w:vAlign w:val="bottom"/>
            <w:tcBorders>
              <w:bottom w:val="single" w:sz="8" w:color="004483"/>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3.72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2.46</w:t>
            </w:r>
          </w:p>
        </w:tc>
        <w:tc>
          <w:tcPr>
            <w:tcW w:w="120" w:type="dxa"/>
            <w:vAlign w:val="bottom"/>
          </w:tcPr>
          <w:p>
            <w:pPr>
              <w:spacing w:after="0"/>
              <w:rPr>
                <w:sz w:val="15"/>
                <w:szCs w:val="15"/>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51 %</w:t>
            </w:r>
          </w:p>
        </w:tc>
        <w:tc>
          <w:tcPr>
            <w:tcW w:w="0" w:type="dxa"/>
            <w:vAlign w:val="bottom"/>
          </w:tcPr>
          <w:p>
            <w:pPr>
              <w:spacing w:after="0"/>
              <w:rPr>
                <w:sz w:val="1"/>
                <w:szCs w:val="1"/>
                <w:color w:val="auto"/>
              </w:rPr>
            </w:pPr>
          </w:p>
        </w:tc>
      </w:tr>
      <w:tr>
        <w:trPr>
          <w:trHeight w:val="20"/>
        </w:trPr>
        <w:tc>
          <w:tcPr>
            <w:tcW w:w="6140" w:type="dxa"/>
            <w:vAlign w:val="bottom"/>
            <w:tcBorders>
              <w:bottom w:val="single" w:sz="8" w:color="A6A6A6"/>
            </w:tcBorders>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220" w:type="dxa"/>
            <w:vAlign w:val="bottom"/>
            <w:tcBorders>
              <w:bottom w:val="single" w:sz="8" w:color="004483"/>
            </w:tcBorders>
          </w:tcPr>
          <w:p>
            <w:pPr>
              <w:spacing w:after="0" w:line="20" w:lineRule="exact"/>
              <w:rPr>
                <w:sz w:val="1"/>
                <w:szCs w:val="1"/>
                <w:color w:val="auto"/>
              </w:rPr>
            </w:pPr>
          </w:p>
        </w:tc>
        <w:tc>
          <w:tcPr>
            <w:tcW w:w="12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66"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color w:val="auto"/>
        </w:rPr>
        <w:t>Revenue increased by $95.4 million, or 19%, to $605.1 million for the three months ended September 30, 2022. The ConAgg Acquisition contributed $13.9 million of Revenue during the three months ended September 30, 2022. Excluding the ConAgg Acquisition, Revenue improved by $81.5 million, or 16%, largely because of increases in both gross sales prices and Sales Volume. The increases in gross sales prices and Sales Volume positively affected Revenue by approximately $75.3 million and $6.2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66" w:lineRule="exact"/>
        <w:rPr>
          <w:sz w:val="20"/>
          <w:szCs w:val="20"/>
          <w:color w:val="auto"/>
        </w:rPr>
      </w:pPr>
    </w:p>
    <w:p>
      <w:pPr>
        <w:ind w:right="300"/>
        <w:spacing w:after="0" w:line="284" w:lineRule="auto"/>
        <w:rPr>
          <w:sz w:val="20"/>
          <w:szCs w:val="20"/>
          <w:color w:val="auto"/>
        </w:rPr>
      </w:pPr>
      <w:r>
        <w:rPr>
          <w:rFonts w:ascii="Arial" w:cs="Arial" w:eastAsia="Arial" w:hAnsi="Arial"/>
          <w:sz w:val="18"/>
          <w:szCs w:val="18"/>
          <w:color w:val="auto"/>
        </w:rPr>
        <w:t>Cost of Goods Sold increased by $56.4 million, or 16%, to $410.8 million for the three months ended September 30, 2022. The ConAgg Acquisition contributed $12.1 million of Cost of Goods Sold during the three months ended September 30, 2022. Excluding the ConAgg Acquisition, Cost of Goods Sold increased by $44.3 million, or 13%. The increase was due to higher Sales Volume and operating costs of $2.5 million and $41.8 million, respectively. Higher operating costs were primarily related to our Cement, Gypsum Wallboard, and Recycled Paperboard segments, which are discussed further in the segment analysis.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6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Gross Profit increased 25% to $194.2 million during the three months ended September 30, 2022. The improvement was primarily related to higher gross sales prices and Sales Volume, partially offset by increased operating costs. The gross margin increased to 32%, with higher gross sales prices being partially offset by higher operating costs.</w:t>
      </w:r>
    </w:p>
    <w:p>
      <w:pPr>
        <w:spacing w:after="0" w:line="37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5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EQUITY IN EARNINGS OF UNCONSOLIDATED JOINT VENTURE</w:t>
      </w:r>
    </w:p>
    <w:p>
      <w:pPr>
        <w:spacing w:after="0" w:line="166"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Equity in Earnings of our Unconsolidated Joint Venture declined $1.1 million, or 13%, for the three months ended September 30, 2022. The decrease was primarily due to lower Sales Volume and increased operating costs, which adversely affected earnings by approximately $2.0 million and $3.5 million, respectively. This was partially offset by higher gross sales prices which positively affected earnings by $4.4 million. The decline in Sales Volume was mostly due to extended equipment downtime that reduced production during the quarter. The increase in operating costs was primarily related to higher energy and purchased cement costs, which reduced operating earnings by $1.0 million and $2.4 million,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GENERAL AND ADMINISTRATIVE EXPENSE</w:t>
      </w:r>
    </w:p>
    <w:p>
      <w:pPr>
        <w:spacing w:after="0" w:line="166"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Corporate General and Administrative Expense increased by approximately $2.9 million, or 28%, for the three months ended September 30, 2022. The increase was primarily due to higher salary and incentive compensation, information and technology upgrades, and legal and professional expenses of $0.8 million, $0.6 million, and $0.5 million, respectively. The increase in salary and incentive compensation was due to higher earnings in the second quarter of fiscal 2023, while the increase in legal and professional expenses was primarily related to the Terminal Acquisition.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EARLY RETIREMENT OF SENIOR NOTES</w:t>
      </w:r>
    </w:p>
    <w:p>
      <w:pPr>
        <w:spacing w:after="0" w:line="15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July 2021, the Company redeemed and retired its 4.500% Senior Unsecured Notes due in 2026 prior to the maturity date. As a result of the early retirement, the Company paid a premium of $8.4 million. See Footnote (M) to the Unaudited Consolidated Financial Statements for more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w:t>
      </w:r>
    </w:p>
    <w:p>
      <w:pPr>
        <w:spacing w:after="0" w:line="153"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Other Non-Operating Income consists of a variety of items that are unrelated to segment operations and include non-inventoried Aggregates income, asset sales, and other miscellaneous income and cost items.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53"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Interest Expense, net decreased by approximately $3.7 million, or 30%, during the three months ended September 30, 2022. This was primarily due to the write off of approximately $6.1 million of debt issue costs related to our 4.500% Unsecured Senior Notes due in 2026 and the Term Loan Credit Agreement during the three months ended September 30, 2021. This was partially offset by $2.7 million of increased interest expense in the current-year quarter due to higher interest rates and average balance outstanding under our Revolving Credit Facility. See Footnote (M) to the Unaudited Consolidated Financial Statements for more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INCOME TAXES</w:t>
      </w:r>
    </w:p>
    <w:p>
      <w:pPr>
        <w:spacing w:after="0" w:line="15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Earnings Before Income Taxes increased to $178.5 million during the three months ended September 30, 2022, primarily as because of higher Gross Profit and lower Interest Expense, net. This was partially offset by higher Corporate General and Administrative Expenses, as well as lower Equity in Earnings of Unconsolidated Joint Venture.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66" w:lineRule="exact"/>
        <w:rPr>
          <w:sz w:val="20"/>
          <w:szCs w:val="20"/>
          <w:color w:val="auto"/>
        </w:rPr>
      </w:pPr>
    </w:p>
    <w:p>
      <w:pPr>
        <w:ind w:right="240"/>
        <w:spacing w:after="0" w:line="293" w:lineRule="auto"/>
        <w:rPr>
          <w:sz w:val="20"/>
          <w:szCs w:val="20"/>
          <w:color w:val="auto"/>
        </w:rPr>
      </w:pPr>
      <w:r>
        <w:rPr>
          <w:rFonts w:ascii="Arial" w:cs="Arial" w:eastAsia="Arial" w:hAnsi="Arial"/>
          <w:sz w:val="18"/>
          <w:szCs w:val="18"/>
          <w:color w:val="auto"/>
        </w:rPr>
        <w:t>Income Tax Expense was $39.5 million for the three months ended September 30, 2022, compared with $29.2 million for the three months ended September 30, 2021. The effective tax rate remained flat at 22%.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Net Earnings increased 36% to $139.0 million for the three months ended September 30, 2022, as shown in the table above.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SEPTEMBER 30, 2022, COMPARED WITH SIX MONTHS ENDED SEPTEMBER 30, 2021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shd w:val="clear" w:color="auto" w:fill="004483"/>
          </w:tcPr>
          <w:p>
            <w:pPr>
              <w:spacing w:after="0"/>
              <w:rPr>
                <w:sz w:val="14"/>
                <w:szCs w:val="14"/>
                <w:color w:val="auto"/>
              </w:rPr>
            </w:pPr>
          </w:p>
        </w:tc>
        <w:tc>
          <w:tcPr>
            <w:tcW w:w="3080" w:type="dxa"/>
            <w:vAlign w:val="bottom"/>
            <w:gridSpan w:val="6"/>
            <w:shd w:val="clear" w:color="auto" w:fill="004483"/>
          </w:tcPr>
          <w:p>
            <w:pPr>
              <w:jc w:val="right"/>
              <w:ind w:right="500"/>
              <w:spacing w:after="0"/>
              <w:rPr>
                <w:sz w:val="20"/>
                <w:szCs w:val="20"/>
                <w:color w:val="auto"/>
              </w:rPr>
            </w:pPr>
            <w:r>
              <w:rPr>
                <w:rFonts w:ascii="Arial" w:cs="Arial" w:eastAsia="Arial" w:hAnsi="Arial"/>
                <w:sz w:val="13"/>
                <w:szCs w:val="13"/>
                <w:b w:val="1"/>
                <w:bCs w:val="1"/>
                <w:color w:val="FFFFFF"/>
              </w:rPr>
              <w:t>For the Six Months Ended September 30,</w:t>
            </w:r>
          </w:p>
        </w:tc>
        <w:tc>
          <w:tcPr>
            <w:tcW w:w="174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56"/>
        </w:trPr>
        <w:tc>
          <w:tcPr>
            <w:tcW w:w="6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100" w:type="dxa"/>
            <w:vAlign w:val="bottom"/>
            <w:tcBorders>
              <w:bottom w:val="single" w:sz="8" w:color="004483"/>
            </w:tcBorders>
          </w:tcPr>
          <w:p>
            <w:pPr>
              <w:spacing w:after="0"/>
              <w:rPr>
                <w:sz w:val="16"/>
                <w:szCs w:val="16"/>
                <w:color w:val="auto"/>
              </w:rPr>
            </w:pPr>
          </w:p>
        </w:tc>
        <w:tc>
          <w:tcPr>
            <w:tcW w:w="180" w:type="dxa"/>
            <w:vAlign w:val="bottom"/>
            <w:tcBorders>
              <w:bottom w:val="single" w:sz="8" w:color="004483"/>
            </w:tcBorders>
          </w:tcPr>
          <w:p>
            <w:pPr>
              <w:spacing w:after="0"/>
              <w:rPr>
                <w:sz w:val="16"/>
                <w:szCs w:val="16"/>
                <w:color w:val="auto"/>
              </w:rPr>
            </w:pPr>
          </w:p>
        </w:tc>
        <w:tc>
          <w:tcPr>
            <w:tcW w:w="240" w:type="dxa"/>
            <w:vAlign w:val="bottom"/>
            <w:tcBorders>
              <w:bottom w:val="single" w:sz="8" w:color="004483"/>
            </w:tcBorders>
          </w:tcPr>
          <w:p>
            <w:pPr>
              <w:spacing w:after="0"/>
              <w:rPr>
                <w:sz w:val="16"/>
                <w:szCs w:val="16"/>
                <w:color w:val="auto"/>
              </w:rPr>
            </w:pPr>
          </w:p>
        </w:tc>
        <w:tc>
          <w:tcPr>
            <w:tcW w:w="2960" w:type="dxa"/>
            <w:vAlign w:val="bottom"/>
            <w:tcBorders>
              <w:bottom w:val="single" w:sz="8" w:color="004483"/>
            </w:tcBorders>
            <w:gridSpan w:val="5"/>
          </w:tcPr>
          <w:p>
            <w:pPr>
              <w:jc w:val="right"/>
              <w:ind w:right="420"/>
              <w:spacing w:after="0"/>
              <w:rPr>
                <w:sz w:val="20"/>
                <w:szCs w:val="20"/>
                <w:color w:val="auto"/>
              </w:rPr>
            </w:pPr>
            <w:r>
              <w:rPr>
                <w:rFonts w:ascii="Arial" w:cs="Arial" w:eastAsia="Arial" w:hAnsi="Arial"/>
                <w:sz w:val="13"/>
                <w:szCs w:val="13"/>
                <w:color w:val="auto"/>
              </w:rPr>
              <w:t>(dollars in thousands, except per share)</w:t>
            </w:r>
          </w:p>
        </w:tc>
        <w:tc>
          <w:tcPr>
            <w:tcW w:w="120" w:type="dxa"/>
            <w:vAlign w:val="bottom"/>
          </w:tcPr>
          <w:p>
            <w:pPr>
              <w:spacing w:after="0"/>
              <w:rPr>
                <w:sz w:val="16"/>
                <w:szCs w:val="16"/>
                <w:color w:val="auto"/>
              </w:rPr>
            </w:pPr>
          </w:p>
        </w:tc>
        <w:tc>
          <w:tcPr>
            <w:tcW w:w="1540" w:type="dxa"/>
            <w:vAlign w:val="bottom"/>
            <w:tcBorders>
              <w:bottom w:val="single" w:sz="8" w:color="004483"/>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280" w:type="dxa"/>
            <w:vAlign w:val="bottom"/>
            <w:gridSpan w:val="2"/>
          </w:tcPr>
          <w:p>
            <w:pPr>
              <w:ind w:left="20"/>
              <w:spacing w:after="0"/>
              <w:rPr>
                <w:sz w:val="20"/>
                <w:szCs w:val="20"/>
                <w:color w:val="auto"/>
              </w:rPr>
            </w:pPr>
            <w:r>
              <w:rPr>
                <w:rFonts w:ascii="Arial" w:cs="Arial" w:eastAsia="Arial" w:hAnsi="Arial"/>
                <w:sz w:val="16"/>
                <w:szCs w:val="16"/>
                <w:color w:val="004483"/>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1,166,455</w:t>
            </w:r>
          </w:p>
        </w:tc>
        <w:tc>
          <w:tcPr>
            <w:tcW w:w="120" w:type="dxa"/>
            <w:vAlign w:val="bottom"/>
          </w:tcPr>
          <w:p>
            <w:pPr>
              <w:spacing w:after="0"/>
              <w:rPr>
                <w:sz w:val="17"/>
                <w:szCs w:val="17"/>
                <w:color w:val="auto"/>
              </w:rPr>
            </w:pPr>
          </w:p>
        </w:tc>
        <w:tc>
          <w:tcPr>
            <w:tcW w:w="62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985,464</w:t>
            </w:r>
          </w:p>
        </w:tc>
        <w:tc>
          <w:tcPr>
            <w:tcW w:w="120" w:type="dxa"/>
            <w:vAlign w:val="bottom"/>
          </w:tcPr>
          <w:p>
            <w:pPr>
              <w:spacing w:after="0"/>
              <w:rPr>
                <w:sz w:val="17"/>
                <w:szCs w:val="17"/>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0"/>
        </w:trPr>
        <w:tc>
          <w:tcPr>
            <w:tcW w:w="610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6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280" w:type="dxa"/>
            <w:vAlign w:val="bottom"/>
            <w:gridSpan w:val="2"/>
          </w:tcPr>
          <w:p>
            <w:pPr>
              <w:ind w:left="20"/>
              <w:spacing w:after="0"/>
              <w:rPr>
                <w:sz w:val="20"/>
                <w:szCs w:val="20"/>
                <w:color w:val="auto"/>
              </w:rPr>
            </w:pPr>
            <w:r>
              <w:rPr>
                <w:rFonts w:ascii="Arial" w:cs="Arial" w:eastAsia="Arial" w:hAnsi="Arial"/>
                <w:sz w:val="16"/>
                <w:szCs w:val="16"/>
                <w:color w:val="004483"/>
              </w:rPr>
              <w:t>Cost of Goods Sold</w:t>
            </w:r>
          </w:p>
        </w:tc>
        <w:tc>
          <w:tcPr>
            <w:tcW w:w="2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(821,350 )</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(703,612 )</w:t>
            </w:r>
          </w:p>
        </w:tc>
        <w:tc>
          <w:tcPr>
            <w:tcW w:w="1740" w:type="dxa"/>
            <w:vAlign w:val="bottom"/>
            <w:gridSpan w:val="2"/>
          </w:tcPr>
          <w:p>
            <w:pPr>
              <w:jc w:val="right"/>
              <w:ind w:right="60"/>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0"/>
        </w:trPr>
        <w:tc>
          <w:tcPr>
            <w:tcW w:w="610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12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60" w:type="dxa"/>
            <w:vAlign w:val="bottom"/>
            <w:tcBorders>
              <w:top w:val="single" w:sz="8" w:color="004483"/>
            </w:tcBorders>
            <w:shd w:val="clear" w:color="auto" w:fill="004483"/>
          </w:tcPr>
          <w:p>
            <w:pPr>
              <w:spacing w:after="0" w:line="20" w:lineRule="exact"/>
              <w:rPr>
                <w:sz w:val="1"/>
                <w:szCs w:val="1"/>
                <w:color w:val="auto"/>
              </w:rPr>
            </w:pPr>
          </w:p>
        </w:tc>
        <w:tc>
          <w:tcPr>
            <w:tcW w:w="102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280" w:type="dxa"/>
            <w:vAlign w:val="bottom"/>
            <w:gridSpan w:val="2"/>
          </w:tcPr>
          <w:p>
            <w:pPr>
              <w:ind w:left="20"/>
              <w:spacing w:after="0"/>
              <w:rPr>
                <w:sz w:val="20"/>
                <w:szCs w:val="20"/>
                <w:color w:val="auto"/>
              </w:rPr>
            </w:pPr>
            <w:r>
              <w:rPr>
                <w:rFonts w:ascii="Arial" w:cs="Arial" w:eastAsia="Arial" w:hAnsi="Arial"/>
                <w:sz w:val="16"/>
                <w:szCs w:val="16"/>
                <w:color w:val="004483"/>
              </w:rPr>
              <w:t>Gross Profit</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345,105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281,852</w:t>
            </w:r>
          </w:p>
        </w:tc>
        <w:tc>
          <w:tcPr>
            <w:tcW w:w="120" w:type="dxa"/>
            <w:vAlign w:val="bottom"/>
          </w:tcPr>
          <w:p>
            <w:pPr>
              <w:spacing w:after="0"/>
              <w:rPr>
                <w:sz w:val="16"/>
                <w:szCs w:val="16"/>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0"/>
        </w:trPr>
        <w:tc>
          <w:tcPr>
            <w:tcW w:w="610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6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80" w:type="dxa"/>
            <w:vAlign w:val="bottom"/>
            <w:gridSpan w:val="2"/>
          </w:tcPr>
          <w:p>
            <w:pPr>
              <w:ind w:left="20"/>
              <w:spacing w:after="0"/>
              <w:rPr>
                <w:sz w:val="20"/>
                <w:szCs w:val="20"/>
                <w:color w:val="auto"/>
              </w:rPr>
            </w:pPr>
            <w:r>
              <w:rPr>
                <w:rFonts w:ascii="Arial" w:cs="Arial" w:eastAsia="Arial" w:hAnsi="Arial"/>
                <w:sz w:val="16"/>
                <w:szCs w:val="16"/>
                <w:color w:val="004483"/>
              </w:rPr>
              <w:t>Equity in Earnings of Unconsolidated Joint Venture</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12,254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16,230</w:t>
            </w:r>
          </w:p>
        </w:tc>
        <w:tc>
          <w:tcPr>
            <w:tcW w:w="12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0"/>
        </w:trPr>
        <w:tc>
          <w:tcPr>
            <w:tcW w:w="610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6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80" w:type="dxa"/>
            <w:vAlign w:val="bottom"/>
            <w:gridSpan w:val="2"/>
          </w:tcPr>
          <w:p>
            <w:pPr>
              <w:ind w:left="20"/>
              <w:spacing w:after="0"/>
              <w:rPr>
                <w:sz w:val="20"/>
                <w:szCs w:val="20"/>
                <w:color w:val="auto"/>
              </w:rPr>
            </w:pPr>
            <w:r>
              <w:rPr>
                <w:rFonts w:ascii="Arial" w:cs="Arial" w:eastAsia="Arial" w:hAnsi="Arial"/>
                <w:sz w:val="16"/>
                <w:szCs w:val="16"/>
                <w:color w:val="004483"/>
              </w:rPr>
              <w:t>Corporate General and Administrative Expense</w:t>
            </w:r>
          </w:p>
        </w:tc>
        <w:tc>
          <w:tcPr>
            <w:tcW w:w="2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(25,447 )</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(20,135 )</w:t>
            </w:r>
          </w:p>
        </w:tc>
        <w:tc>
          <w:tcPr>
            <w:tcW w:w="1740" w:type="dxa"/>
            <w:vAlign w:val="bottom"/>
            <w:gridSpan w:val="2"/>
          </w:tcPr>
          <w:p>
            <w:pPr>
              <w:jc w:val="right"/>
              <w:ind w:right="60"/>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0"/>
        </w:trPr>
        <w:tc>
          <w:tcPr>
            <w:tcW w:w="610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6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80" w:type="dxa"/>
            <w:vAlign w:val="bottom"/>
            <w:gridSpan w:val="2"/>
          </w:tcPr>
          <w:p>
            <w:pPr>
              <w:ind w:left="20"/>
              <w:spacing w:after="0"/>
              <w:rPr>
                <w:sz w:val="20"/>
                <w:szCs w:val="20"/>
                <w:color w:val="auto"/>
              </w:rPr>
            </w:pPr>
            <w:r>
              <w:rPr>
                <w:rFonts w:ascii="Arial" w:cs="Arial" w:eastAsia="Arial" w:hAnsi="Arial"/>
                <w:sz w:val="16"/>
                <w:szCs w:val="16"/>
                <w:color w:val="004483"/>
              </w:rPr>
              <w:t>Loss on Early Retirement of Senior Notes</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(8,407 )</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610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6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80" w:type="dxa"/>
            <w:vAlign w:val="bottom"/>
            <w:gridSpan w:val="2"/>
          </w:tcPr>
          <w:p>
            <w:pPr>
              <w:ind w:left="20"/>
              <w:spacing w:after="0"/>
              <w:rPr>
                <w:sz w:val="20"/>
                <w:szCs w:val="20"/>
                <w:color w:val="auto"/>
              </w:rPr>
            </w:pPr>
            <w:r>
              <w:rPr>
                <w:rFonts w:ascii="Arial" w:cs="Arial" w:eastAsia="Arial" w:hAnsi="Arial"/>
                <w:sz w:val="16"/>
                <w:szCs w:val="16"/>
                <w:color w:val="004483"/>
              </w:rPr>
              <w:t>Other Non-Operating Income (Loss)</w:t>
            </w:r>
          </w:p>
        </w:tc>
        <w:tc>
          <w:tcPr>
            <w:tcW w:w="2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(1,299 )</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2,734</w:t>
            </w:r>
          </w:p>
        </w:tc>
        <w:tc>
          <w:tcPr>
            <w:tcW w:w="120" w:type="dxa"/>
            <w:vAlign w:val="bottom"/>
          </w:tcPr>
          <w:p>
            <w:pPr>
              <w:spacing w:after="0"/>
              <w:rPr>
                <w:sz w:val="17"/>
                <w:szCs w:val="17"/>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(148 )%</w:t>
            </w:r>
          </w:p>
        </w:tc>
        <w:tc>
          <w:tcPr>
            <w:tcW w:w="0" w:type="dxa"/>
            <w:vAlign w:val="bottom"/>
          </w:tcPr>
          <w:p>
            <w:pPr>
              <w:spacing w:after="0"/>
              <w:rPr>
                <w:sz w:val="1"/>
                <w:szCs w:val="1"/>
                <w:color w:val="auto"/>
              </w:rPr>
            </w:pPr>
          </w:p>
        </w:tc>
      </w:tr>
      <w:tr>
        <w:trPr>
          <w:trHeight w:val="20"/>
        </w:trPr>
        <w:tc>
          <w:tcPr>
            <w:tcW w:w="610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6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280" w:type="dxa"/>
            <w:vAlign w:val="bottom"/>
            <w:gridSpan w:val="2"/>
          </w:tcPr>
          <w:p>
            <w:pPr>
              <w:ind w:left="20"/>
              <w:spacing w:after="0"/>
              <w:rPr>
                <w:sz w:val="20"/>
                <w:szCs w:val="20"/>
                <w:color w:val="auto"/>
              </w:rPr>
            </w:pPr>
            <w:r>
              <w:rPr>
                <w:rFonts w:ascii="Arial" w:cs="Arial" w:eastAsia="Arial" w:hAnsi="Arial"/>
                <w:sz w:val="16"/>
                <w:szCs w:val="16"/>
                <w:color w:val="004483"/>
              </w:rPr>
              <w:t>Interest Expense, net</w:t>
            </w:r>
          </w:p>
        </w:tc>
        <w:tc>
          <w:tcPr>
            <w:tcW w:w="2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(15,910 )</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(19,240 )</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0"/>
        </w:trPr>
        <w:tc>
          <w:tcPr>
            <w:tcW w:w="610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12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60" w:type="dxa"/>
            <w:vAlign w:val="bottom"/>
            <w:tcBorders>
              <w:top w:val="single" w:sz="8" w:color="004483"/>
            </w:tcBorders>
            <w:shd w:val="clear" w:color="auto" w:fill="004483"/>
          </w:tcPr>
          <w:p>
            <w:pPr>
              <w:spacing w:after="0" w:line="20" w:lineRule="exact"/>
              <w:rPr>
                <w:sz w:val="1"/>
                <w:szCs w:val="1"/>
                <w:color w:val="auto"/>
              </w:rPr>
            </w:pPr>
          </w:p>
        </w:tc>
        <w:tc>
          <w:tcPr>
            <w:tcW w:w="102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280" w:type="dxa"/>
            <w:vAlign w:val="bottom"/>
            <w:gridSpan w:val="2"/>
          </w:tcPr>
          <w:p>
            <w:pPr>
              <w:ind w:left="20"/>
              <w:spacing w:after="0"/>
              <w:rPr>
                <w:sz w:val="20"/>
                <w:szCs w:val="20"/>
                <w:color w:val="auto"/>
              </w:rPr>
            </w:pPr>
            <w:r>
              <w:rPr>
                <w:rFonts w:ascii="Arial" w:cs="Arial" w:eastAsia="Arial" w:hAnsi="Arial"/>
                <w:sz w:val="16"/>
                <w:szCs w:val="16"/>
                <w:color w:val="004483"/>
              </w:rPr>
              <w:t>Earnings Before Income Taxes</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314,703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253,034</w:t>
            </w:r>
          </w:p>
        </w:tc>
        <w:tc>
          <w:tcPr>
            <w:tcW w:w="120" w:type="dxa"/>
            <w:vAlign w:val="bottom"/>
          </w:tcPr>
          <w:p>
            <w:pPr>
              <w:spacing w:after="0"/>
              <w:rPr>
                <w:sz w:val="16"/>
                <w:szCs w:val="16"/>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0"/>
        </w:trPr>
        <w:tc>
          <w:tcPr>
            <w:tcW w:w="6100" w:type="dxa"/>
            <w:vAlign w:val="bottom"/>
            <w:shd w:val="clear" w:color="auto" w:fill="A6A6A6"/>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12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A6A6A6"/>
          </w:tcPr>
          <w:p>
            <w:pPr>
              <w:spacing w:after="0" w:line="20" w:lineRule="exact"/>
              <w:rPr>
                <w:sz w:val="1"/>
                <w:szCs w:val="1"/>
                <w:color w:val="auto"/>
              </w:rPr>
            </w:pPr>
          </w:p>
        </w:tc>
        <w:tc>
          <w:tcPr>
            <w:tcW w:w="460" w:type="dxa"/>
            <w:vAlign w:val="bottom"/>
            <w:shd w:val="clear" w:color="auto" w:fill="A6A6A6"/>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280" w:type="dxa"/>
            <w:vAlign w:val="bottom"/>
            <w:gridSpan w:val="2"/>
          </w:tcPr>
          <w:p>
            <w:pPr>
              <w:ind w:left="20"/>
              <w:spacing w:after="0"/>
              <w:rPr>
                <w:sz w:val="20"/>
                <w:szCs w:val="20"/>
                <w:color w:val="auto"/>
              </w:rPr>
            </w:pPr>
            <w:r>
              <w:rPr>
                <w:rFonts w:ascii="Arial" w:cs="Arial" w:eastAsia="Arial" w:hAnsi="Arial"/>
                <w:sz w:val="16"/>
                <w:szCs w:val="16"/>
                <w:color w:val="004483"/>
              </w:rPr>
              <w:t>Income Tax Expense</w:t>
            </w:r>
          </w:p>
        </w:tc>
        <w:tc>
          <w:tcPr>
            <w:tcW w:w="2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(70,703 )</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6"/>
                <w:szCs w:val="16"/>
                <w:color w:val="auto"/>
              </w:rPr>
              <w:t>(55,582 )</w:t>
            </w:r>
          </w:p>
        </w:tc>
        <w:tc>
          <w:tcPr>
            <w:tcW w:w="1740" w:type="dxa"/>
            <w:vAlign w:val="bottom"/>
            <w:gridSpan w:val="2"/>
          </w:tcPr>
          <w:p>
            <w:pPr>
              <w:jc w:val="right"/>
              <w:ind w:right="60"/>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7"/>
        </w:trPr>
        <w:tc>
          <w:tcPr>
            <w:tcW w:w="6100" w:type="dxa"/>
            <w:vAlign w:val="bottom"/>
            <w:tcBorders>
              <w:bottom w:val="single" w:sz="8" w:color="A6A6A6"/>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240" w:type="dxa"/>
            <w:vAlign w:val="bottom"/>
            <w:tcBorders>
              <w:bottom w:val="single" w:sz="8" w:color="004483"/>
            </w:tcBorders>
            <w:shd w:val="clear" w:color="auto" w:fill="004483"/>
          </w:tcPr>
          <w:p>
            <w:pPr>
              <w:spacing w:after="0"/>
              <w:rPr>
                <w:sz w:val="2"/>
                <w:szCs w:val="2"/>
                <w:color w:val="auto"/>
              </w:rPr>
            </w:pPr>
          </w:p>
        </w:tc>
        <w:tc>
          <w:tcPr>
            <w:tcW w:w="120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6A6A6"/>
            </w:tcBorders>
          </w:tcPr>
          <w:p>
            <w:pPr>
              <w:spacing w:after="0"/>
              <w:rPr>
                <w:sz w:val="2"/>
                <w:szCs w:val="2"/>
                <w:color w:val="auto"/>
              </w:rPr>
            </w:pPr>
          </w:p>
        </w:tc>
        <w:tc>
          <w:tcPr>
            <w:tcW w:w="460" w:type="dxa"/>
            <w:vAlign w:val="bottom"/>
            <w:tcBorders>
              <w:bottom w:val="single" w:sz="8" w:color="004483"/>
            </w:tcBorders>
            <w:shd w:val="clear" w:color="auto" w:fill="004483"/>
          </w:tcPr>
          <w:p>
            <w:pPr>
              <w:spacing w:after="0"/>
              <w:rPr>
                <w:sz w:val="2"/>
                <w:szCs w:val="2"/>
                <w:color w:val="auto"/>
              </w:rPr>
            </w:pPr>
          </w:p>
        </w:tc>
        <w:tc>
          <w:tcPr>
            <w:tcW w:w="102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6A6A6"/>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10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180" w:type="dxa"/>
            <w:vAlign w:val="bottom"/>
            <w:vMerge w:val="continue"/>
          </w:tcPr>
          <w:p>
            <w:pPr>
              <w:spacing w:after="0"/>
              <w:rPr>
                <w:sz w:val="17"/>
                <w:szCs w:val="17"/>
                <w:color w:val="auto"/>
              </w:rPr>
            </w:pP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244,000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197,452</w:t>
            </w:r>
          </w:p>
        </w:tc>
        <w:tc>
          <w:tcPr>
            <w:tcW w:w="120" w:type="dxa"/>
            <w:vAlign w:val="bottom"/>
          </w:tcPr>
          <w:p>
            <w:pPr>
              <w:spacing w:after="0"/>
              <w:rPr>
                <w:sz w:val="17"/>
                <w:szCs w:val="17"/>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24 %</w:t>
            </w:r>
          </w:p>
        </w:tc>
        <w:tc>
          <w:tcPr>
            <w:tcW w:w="0" w:type="dxa"/>
            <w:vAlign w:val="bottom"/>
          </w:tcPr>
          <w:p>
            <w:pPr>
              <w:spacing w:after="0"/>
              <w:rPr>
                <w:sz w:val="1"/>
                <w:szCs w:val="1"/>
                <w:color w:val="auto"/>
              </w:rPr>
            </w:pPr>
          </w:p>
        </w:tc>
      </w:tr>
      <w:tr>
        <w:trPr>
          <w:trHeight w:val="20"/>
        </w:trPr>
        <w:tc>
          <w:tcPr>
            <w:tcW w:w="610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2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gridSpan w:val="2"/>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40" w:type="dxa"/>
            <w:vAlign w:val="bottom"/>
            <w:tcBorders>
              <w:bottom w:val="single" w:sz="8" w:color="004483"/>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6.46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Borders>
              <w:bottom w:val="single" w:sz="8" w:color="004483"/>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4.70</w:t>
            </w:r>
          </w:p>
        </w:tc>
        <w:tc>
          <w:tcPr>
            <w:tcW w:w="120" w:type="dxa"/>
            <w:vAlign w:val="bottom"/>
          </w:tcPr>
          <w:p>
            <w:pPr>
              <w:spacing w:after="0"/>
              <w:rPr>
                <w:sz w:val="15"/>
                <w:szCs w:val="15"/>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37 %</w:t>
            </w:r>
          </w:p>
        </w:tc>
        <w:tc>
          <w:tcPr>
            <w:tcW w:w="0" w:type="dxa"/>
            <w:vAlign w:val="bottom"/>
          </w:tcPr>
          <w:p>
            <w:pPr>
              <w:spacing w:after="0"/>
              <w:rPr>
                <w:sz w:val="1"/>
                <w:szCs w:val="1"/>
                <w:color w:val="auto"/>
              </w:rPr>
            </w:pPr>
          </w:p>
        </w:tc>
      </w:tr>
      <w:tr>
        <w:trPr>
          <w:trHeight w:val="20"/>
        </w:trPr>
        <w:tc>
          <w:tcPr>
            <w:tcW w:w="6100" w:type="dxa"/>
            <w:vAlign w:val="bottom"/>
            <w:tcBorders>
              <w:bottom w:val="single" w:sz="8" w:color="A6A6A6"/>
            </w:tcBorders>
          </w:tcPr>
          <w:p>
            <w:pPr>
              <w:spacing w:after="0" w:line="20" w:lineRule="exact"/>
              <w:rPr>
                <w:sz w:val="1"/>
                <w:szCs w:val="1"/>
                <w:color w:val="auto"/>
              </w:rPr>
            </w:pPr>
          </w:p>
        </w:tc>
        <w:tc>
          <w:tcPr>
            <w:tcW w:w="180" w:type="dxa"/>
            <w:vAlign w:val="bottom"/>
            <w:tcBorders>
              <w:bottom w:val="single" w:sz="8" w:color="A6A6A6"/>
            </w:tcBorders>
          </w:tcPr>
          <w:p>
            <w:pPr>
              <w:spacing w:after="0" w:line="20" w:lineRule="exact"/>
              <w:rPr>
                <w:sz w:val="1"/>
                <w:szCs w:val="1"/>
                <w:color w:val="auto"/>
              </w:rPr>
            </w:pPr>
          </w:p>
        </w:tc>
        <w:tc>
          <w:tcPr>
            <w:tcW w:w="240" w:type="dxa"/>
            <w:vAlign w:val="bottom"/>
            <w:tcBorders>
              <w:bottom w:val="single" w:sz="8" w:color="004483"/>
            </w:tcBorders>
          </w:tcPr>
          <w:p>
            <w:pPr>
              <w:spacing w:after="0" w:line="20" w:lineRule="exact"/>
              <w:rPr>
                <w:sz w:val="1"/>
                <w:szCs w:val="1"/>
                <w:color w:val="auto"/>
              </w:rPr>
            </w:pPr>
          </w:p>
        </w:tc>
        <w:tc>
          <w:tcPr>
            <w:tcW w:w="120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6A6A6"/>
            </w:tcBorders>
          </w:tcPr>
          <w:p>
            <w:pPr>
              <w:spacing w:after="0" w:line="20" w:lineRule="exact"/>
              <w:rPr>
                <w:sz w:val="1"/>
                <w:szCs w:val="1"/>
                <w:color w:val="auto"/>
              </w:rPr>
            </w:pPr>
          </w:p>
        </w:tc>
        <w:tc>
          <w:tcPr>
            <w:tcW w:w="460" w:type="dxa"/>
            <w:vAlign w:val="bottom"/>
            <w:tcBorders>
              <w:bottom w:val="single" w:sz="8" w:color="004483"/>
            </w:tcBorders>
          </w:tcPr>
          <w:p>
            <w:pPr>
              <w:spacing w:after="0" w:line="20" w:lineRule="exact"/>
              <w:rPr>
                <w:sz w:val="1"/>
                <w:szCs w:val="1"/>
                <w:color w:val="auto"/>
              </w:rPr>
            </w:pPr>
          </w:p>
        </w:tc>
        <w:tc>
          <w:tcPr>
            <w:tcW w:w="102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6A6A6"/>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66"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color w:val="auto"/>
        </w:rPr>
        <w:t>Revenue increased by $181.0 million, or 18%, to $1,166.5 million for the six months ended September 30, 2022. The ConAgg Acquisition contributed $24.9 million of Revenue during the six months ended September 30, 2022. Excluding the ConAgg Acquisition, Revenue improved by $156.1 million, or 16%, largely because of increases in both gross sales prices and Sales Volume. The increases in gross sales prices and Sales Volume positively affected Revenue by approximately $146.9 million and $9.2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66" w:lineRule="exact"/>
        <w:rPr>
          <w:sz w:val="20"/>
          <w:szCs w:val="20"/>
          <w:color w:val="auto"/>
        </w:rPr>
      </w:pPr>
    </w:p>
    <w:p>
      <w:pPr>
        <w:ind w:right="320"/>
        <w:spacing w:after="0" w:line="284" w:lineRule="auto"/>
        <w:rPr>
          <w:sz w:val="20"/>
          <w:szCs w:val="20"/>
          <w:color w:val="auto"/>
        </w:rPr>
      </w:pPr>
      <w:r>
        <w:rPr>
          <w:rFonts w:ascii="Arial" w:cs="Arial" w:eastAsia="Arial" w:hAnsi="Arial"/>
          <w:sz w:val="18"/>
          <w:szCs w:val="18"/>
          <w:color w:val="auto"/>
        </w:rPr>
        <w:t>Cost of Goods Sold increased by $117.8 million, or 17%, to $821.4 million for the six months ended September 30, 2022. The ConAgg Acquisition contributed $23.3 million of Cost of Goods Sold during the six months ended September 30, 2022. Excluding the ConAgg Acquisition, Cost of Goods Sold increased by $94.5 million, or 13%. The increase was due to higher operating costs and Sales Volume of $90.5 million and $4.0 million, respectively. Higher operating costs were primarily related to our Cement and Gypsum Wallboard segments, which are discussed further in the segment analysis.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66" w:lineRule="exact"/>
        <w:rPr>
          <w:sz w:val="20"/>
          <w:szCs w:val="20"/>
          <w:color w:val="auto"/>
        </w:rPr>
      </w:pPr>
    </w:p>
    <w:p>
      <w:pPr>
        <w:jc w:val="both"/>
        <w:ind w:right="380"/>
        <w:spacing w:after="0" w:line="287" w:lineRule="auto"/>
        <w:rPr>
          <w:sz w:val="20"/>
          <w:szCs w:val="20"/>
          <w:color w:val="auto"/>
        </w:rPr>
      </w:pPr>
      <w:r>
        <w:rPr>
          <w:rFonts w:ascii="Arial" w:cs="Arial" w:eastAsia="Arial" w:hAnsi="Arial"/>
          <w:sz w:val="18"/>
          <w:szCs w:val="18"/>
          <w:color w:val="auto"/>
        </w:rPr>
        <w:t>Gross Profit increased 22% to $345.1 million during the six months ended September 30, 2022. The improvement was primarily related to higher gross sales prices and Sales Volume, partially offset by increased operating costs. The gross margin increased to 30%, with higher gross sales prices being partially offset by an increase in operating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OF UNCONSOLIDATED JOINT VENTURE</w:t>
      </w:r>
    </w:p>
    <w:p>
      <w:pPr>
        <w:spacing w:after="0" w:line="166" w:lineRule="exact"/>
        <w:rPr>
          <w:sz w:val="20"/>
          <w:szCs w:val="20"/>
          <w:color w:val="auto"/>
        </w:rPr>
      </w:pPr>
    </w:p>
    <w:p>
      <w:pPr>
        <w:ind w:right="240"/>
        <w:spacing w:after="0" w:line="284" w:lineRule="auto"/>
        <w:rPr>
          <w:sz w:val="20"/>
          <w:szCs w:val="20"/>
          <w:color w:val="auto"/>
        </w:rPr>
      </w:pPr>
      <w:r>
        <w:rPr>
          <w:rFonts w:ascii="Arial" w:cs="Arial" w:eastAsia="Arial" w:hAnsi="Arial"/>
          <w:sz w:val="18"/>
          <w:szCs w:val="18"/>
          <w:color w:val="auto"/>
        </w:rPr>
        <w:t>Equity in Earnings of our Unconsolidated Joint Venture declined $3.9 million, or 24%, for the six months ended September 30, 2022. The decrease was primarily due to lower Sales Volume and increased operating costs, which adversely affected earnings by approximately $1.9 million and $9.7 million, respectively. This was partially offset by higher gross sales prices which positively affected earnings by $7.7 million. The increase in operating costs was primarily related to extended equipment downtime that reduced cement production, energy, and higher purchased cement costs, which reduced operating earnings by $2.3 million, $1.0 million, and $5.4 million, respectively.</w:t>
      </w:r>
    </w:p>
    <w:p>
      <w:pPr>
        <w:spacing w:after="0" w:line="159"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5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CORPORATE GENERAL AND ADMINISTRATIVE EXPENSE</w:t>
      </w:r>
    </w:p>
    <w:p>
      <w:pPr>
        <w:spacing w:after="0" w:line="166"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Corporate General and Administrative Expense increased by approximately $5.3 million, or 26%, for the six months ended September 30, 2022. The increase was primarily due to higher incentive compensation, information and technology upgrades, and legal and professional expenses of $3.2 million, $0.9 million, and $0.6 million, respectively. The increase in incentive compensation was mostly due to executive retirements during the first quarter of fiscal 2023, while the increase in legal and professional expenses was primarily related to the Terminal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EARLY RETIREMENT OF SENIOR NOTES</w:t>
      </w:r>
    </w:p>
    <w:p>
      <w:pPr>
        <w:spacing w:after="0" w:line="16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July 2021, the Company redeemed and retired its 4.500% Senior Unsecured Notes due in 2026 prior to the maturity date. As a result of the early retirement, the Company paid a premium of $8.4 million. See Footnote (M) to the Unaudited Consolidated Financial Statements for more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w:t>
      </w:r>
    </w:p>
    <w:p>
      <w:pPr>
        <w:spacing w:after="0" w:line="153"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Other Non-Operating Income consists of a variety of items that are unrelated to segment operations and include non-inventoried Aggregates income, asset sales, and other miscellaneous income and cost items.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53"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Interest Expense, net decreased by approximately $3.3 million, or 17%, during the six months ended September 30, 2022. This was primarily due to the write off of approximately $6.1 million of debt issue costs related to our 4.500% Unsecured Senior Notes due in 2026 and the Term Loan Credit Agreement during the six months ended September 30, 2021. This was partially offset by $3.3 million of increased interest expense in the current-year due to higher interest rates and average balance outstanding under our Revolving Credit Facility. See Footnote (M) to the Unaudited Consolidated Financial Statements for more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INCOME TAXES</w:t>
      </w:r>
    </w:p>
    <w:p>
      <w:pPr>
        <w:spacing w:after="0" w:line="153" w:lineRule="exact"/>
        <w:rPr>
          <w:sz w:val="20"/>
          <w:szCs w:val="20"/>
          <w:color w:val="auto"/>
        </w:rPr>
      </w:pPr>
    </w:p>
    <w:p>
      <w:pPr>
        <w:jc w:val="both"/>
        <w:ind w:right="280"/>
        <w:spacing w:after="0" w:line="287" w:lineRule="auto"/>
        <w:rPr>
          <w:sz w:val="20"/>
          <w:szCs w:val="20"/>
          <w:color w:val="auto"/>
        </w:rPr>
      </w:pPr>
      <w:r>
        <w:rPr>
          <w:rFonts w:ascii="Arial" w:cs="Arial" w:eastAsia="Arial" w:hAnsi="Arial"/>
          <w:sz w:val="18"/>
          <w:szCs w:val="18"/>
          <w:color w:val="auto"/>
        </w:rPr>
        <w:t>Earnings Before Income Taxes increased to $314.7 million during the six months ended September 30, 2022, primarily because of higher Gross Profit and lower Interest Expense, net. This was partially offset by higher Corporate General and Administrative Expense and lower Equity in Earnings of Unconsolidated Joint Venture.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66" w:lineRule="exact"/>
        <w:rPr>
          <w:sz w:val="20"/>
          <w:szCs w:val="20"/>
          <w:color w:val="auto"/>
        </w:rPr>
      </w:pPr>
    </w:p>
    <w:p>
      <w:pPr>
        <w:ind w:right="60"/>
        <w:spacing w:after="0" w:line="293" w:lineRule="auto"/>
        <w:rPr>
          <w:sz w:val="20"/>
          <w:szCs w:val="20"/>
          <w:color w:val="auto"/>
        </w:rPr>
      </w:pPr>
      <w:r>
        <w:rPr>
          <w:rFonts w:ascii="Arial" w:cs="Arial" w:eastAsia="Arial" w:hAnsi="Arial"/>
          <w:sz w:val="18"/>
          <w:szCs w:val="18"/>
          <w:color w:val="auto"/>
        </w:rPr>
        <w:t>Income Tax Expense was $70.7 million for the six months ended September 30, 2022, compared with $55.6 million for the six months ended September 30, 2021. The effective tax rate remained consistent with the prior-year period at 22%.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Net Earnings increased 24% to $244.0 million for the six months ended September 30, 2022, as shown in the table above.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THREE AND SIX MONTHS ENDED SEPTEMBER 30, 2022 vs. THREE AND SIX MONTHS ENDED SEPTEMBER 30, 2021 BY SEGMENT</w:t>
      </w:r>
    </w:p>
    <w:p>
      <w:pPr>
        <w:spacing w:after="0" w:line="166" w:lineRule="exact"/>
        <w:rPr>
          <w:sz w:val="20"/>
          <w:szCs w:val="20"/>
          <w:color w:val="auto"/>
        </w:rPr>
      </w:pPr>
    </w:p>
    <w:p>
      <w:pPr>
        <w:ind w:right="220"/>
        <w:spacing w:after="0" w:line="293" w:lineRule="auto"/>
        <w:rPr>
          <w:sz w:val="20"/>
          <w:szCs w:val="20"/>
          <w:color w:val="auto"/>
        </w:rPr>
      </w:pPr>
      <w:r>
        <w:rPr>
          <w:rFonts w:ascii="Arial" w:cs="Arial" w:eastAsia="Arial" w:hAnsi="Arial"/>
          <w:sz w:val="18"/>
          <w:szCs w:val="18"/>
          <w:color w:val="auto"/>
        </w:rPr>
        <w:t>The following presents results within our two business sectors for the three and six months ended September 30, 2022, and 2021. Revenue and operating results are organized by sector and discussed by individual business segment within each respective business sector.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Heavy Materials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CEMENT </w:t>
      </w:r>
      <w:r>
        <w:rPr>
          <w:rFonts w:ascii="Arial" w:cs="Arial" w:eastAsia="Arial" w:hAnsi="Arial"/>
          <w:sz w:val="24"/>
          <w:szCs w:val="24"/>
          <w:b w:val="1"/>
          <w:bCs w:val="1"/>
          <w:color w:val="auto"/>
          <w:vertAlign w:val="superscript"/>
        </w:rPr>
        <w:t>(1)</w:t>
      </w:r>
    </w:p>
    <w:p>
      <w:pPr>
        <w:sectPr>
          <w:pgSz w:w="11900" w:h="16838" w:orient="portrait"/>
          <w:cols w:equalWidth="0" w:num="1">
            <w:col w:w="11340"/>
          </w:cols>
          <w:pgMar w:left="320" w:top="576" w:right="239" w:bottom="1440" w:gutter="0" w:footer="0" w:header="0"/>
        </w:sectPr>
      </w:pPr>
    </w:p>
    <w:p>
      <w:pPr>
        <w:jc w:val="center"/>
        <w:ind w:left="4220"/>
        <w:spacing w:after="0" w:line="211" w:lineRule="auto"/>
        <w:rPr>
          <w:sz w:val="20"/>
          <w:szCs w:val="20"/>
          <w:color w:val="auto"/>
        </w:rPr>
      </w:pPr>
      <w:r>
        <w:rPr>
          <w:rFonts w:ascii="Arial" w:cs="Arial" w:eastAsia="Arial" w:hAnsi="Arial"/>
          <w:sz w:val="12"/>
          <w:szCs w:val="12"/>
          <w:b w:val="1"/>
          <w:bCs w:val="1"/>
          <w:color w:val="FFFFFF"/>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-72390</wp:posOffset>
            </wp:positionV>
            <wp:extent cx="1405890" cy="22459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405890" cy="2245995"/>
                    </a:xfrm>
                    <a:prstGeom prst="rect">
                      <a:avLst/>
                    </a:prstGeom>
                    <a:noFill/>
                  </pic:spPr>
                </pic:pic>
              </a:graphicData>
            </a:graphic>
          </wp:anchor>
        </w:drawing>
      </w:r>
    </w:p>
    <w:p>
      <w:pPr>
        <w:jc w:val="center"/>
        <w:ind w:left="4260"/>
        <w:spacing w:after="0"/>
        <w:rPr>
          <w:sz w:val="20"/>
          <w:szCs w:val="20"/>
          <w:color w:val="auto"/>
        </w:rPr>
      </w:pPr>
      <w:r>
        <w:rPr>
          <w:rFonts w:ascii="Arial" w:cs="Arial" w:eastAsia="Arial" w:hAnsi="Arial"/>
          <w:sz w:val="13"/>
          <w:szCs w:val="13"/>
          <w:b w:val="1"/>
          <w:bCs w:val="1"/>
          <w:color w:val="FFFFFF"/>
        </w:rPr>
        <w:t>September 30,</w:t>
      </w:r>
    </w:p>
    <w:p>
      <w:pPr>
        <w:spacing w:after="0" w:line="159" w:lineRule="exact"/>
        <w:rPr>
          <w:sz w:val="20"/>
          <w:szCs w:val="20"/>
          <w:color w:val="auto"/>
        </w:rPr>
      </w:pPr>
    </w:p>
    <w:p>
      <w:pPr>
        <w:jc w:val="both"/>
        <w:ind w:left="4900"/>
        <w:spacing w:after="0"/>
        <w:tabs>
          <w:tab w:leader="none" w:pos="606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2021</w:t>
      </w:r>
    </w:p>
    <w:p>
      <w:pPr>
        <w:spacing w:after="0" w:line="1" w:lineRule="exact"/>
        <w:rPr>
          <w:sz w:val="20"/>
          <w:szCs w:val="20"/>
          <w:color w:val="auto"/>
        </w:rPr>
      </w:pPr>
    </w:p>
    <w:p>
      <w:pPr>
        <w:jc w:val="center"/>
        <w:ind w:left="4220"/>
        <w:spacing w:after="0"/>
        <w:rPr>
          <w:sz w:val="20"/>
          <w:szCs w:val="20"/>
          <w:color w:val="auto"/>
        </w:rPr>
      </w:pPr>
      <w:r>
        <w:rPr>
          <w:rFonts w:ascii="Arial" w:cs="Arial" w:eastAsia="Arial" w:hAnsi="Arial"/>
          <w:sz w:val="13"/>
          <w:szCs w:val="13"/>
          <w:color w:val="auto"/>
        </w:rPr>
        <w:t>(in thousands, except per ton</w:t>
      </w:r>
    </w:p>
    <w:p>
      <w:pPr>
        <w:jc w:val="center"/>
        <w:ind w:left="4260"/>
        <w:spacing w:after="0"/>
        <w:rPr>
          <w:sz w:val="20"/>
          <w:szCs w:val="20"/>
          <w:color w:val="auto"/>
        </w:rPr>
      </w:pPr>
      <w:r>
        <w:rPr>
          <w:rFonts w:ascii="Arial" w:cs="Arial" w:eastAsia="Arial" w:hAnsi="Arial"/>
          <w:sz w:val="13"/>
          <w:szCs w:val="13"/>
          <w:color w:val="auto"/>
        </w:rPr>
        <w:t>information)</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Percentage</w:t>
      </w:r>
    </w:p>
    <w:p>
      <w:pPr>
        <w:ind w:left="120"/>
        <w:spacing w:after="0"/>
        <w:rPr>
          <w:sz w:val="20"/>
          <w:szCs w:val="20"/>
          <w:color w:val="auto"/>
        </w:rPr>
      </w:pP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br w:type="column"/>
      </w:r>
    </w:p>
    <w:p>
      <w:pPr>
        <w:jc w:val="center"/>
        <w:ind w:right="220"/>
        <w:spacing w:after="0" w:line="195" w:lineRule="auto"/>
        <w:rPr>
          <w:sz w:val="20"/>
          <w:szCs w:val="20"/>
          <w:color w:val="auto"/>
        </w:rPr>
      </w:pPr>
      <w:r>
        <w:rPr>
          <w:rFonts w:ascii="Arial" w:cs="Arial" w:eastAsia="Arial" w:hAnsi="Arial"/>
          <w:sz w:val="13"/>
          <w:szCs w:val="13"/>
          <w:b w:val="1"/>
          <w:bCs w:val="1"/>
          <w:color w:val="FFFFFF"/>
        </w:rPr>
        <w:t>For the 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-72390</wp:posOffset>
            </wp:positionV>
            <wp:extent cx="1362710" cy="22459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62710" cy="2245995"/>
                    </a:xfrm>
                    <a:prstGeom prst="rect">
                      <a:avLst/>
                    </a:prstGeom>
                    <a:noFill/>
                  </pic:spPr>
                </pic:pic>
              </a:graphicData>
            </a:graphic>
          </wp:anchor>
        </w:drawing>
      </w:r>
    </w:p>
    <w:p>
      <w:pPr>
        <w:jc w:val="center"/>
        <w:ind w:right="180"/>
        <w:spacing w:after="0"/>
        <w:rPr>
          <w:sz w:val="20"/>
          <w:szCs w:val="20"/>
          <w:color w:val="auto"/>
        </w:rPr>
      </w:pPr>
      <w:r>
        <w:rPr>
          <w:rFonts w:ascii="Arial" w:cs="Arial" w:eastAsia="Arial" w:hAnsi="Arial"/>
          <w:sz w:val="13"/>
          <w:szCs w:val="13"/>
          <w:b w:val="1"/>
          <w:bCs w:val="1"/>
          <w:color w:val="FFFFFF"/>
        </w:rPr>
        <w:t>September 30,</w:t>
      </w:r>
    </w:p>
    <w:p>
      <w:pPr>
        <w:spacing w:after="0" w:line="159" w:lineRule="exact"/>
        <w:rPr>
          <w:sz w:val="20"/>
          <w:szCs w:val="20"/>
          <w:color w:val="auto"/>
        </w:rPr>
      </w:pPr>
    </w:p>
    <w:p>
      <w:pPr>
        <w:jc w:val="both"/>
        <w:ind w:left="420"/>
        <w:spacing w:after="0"/>
        <w:tabs>
          <w:tab w:leader="none" w:pos="1540" w:val="left"/>
        </w:tabs>
        <w:rPr>
          <w:sz w:val="20"/>
          <w:szCs w:val="20"/>
          <w:color w:val="auto"/>
        </w:rPr>
      </w:pPr>
      <w:r>
        <w:rPr>
          <w:rFonts w:ascii="Arial" w:cs="Arial" w:eastAsia="Arial" w:hAnsi="Arial"/>
          <w:sz w:val="13"/>
          <w:szCs w:val="13"/>
          <w:b w:val="1"/>
          <w:bCs w:val="1"/>
          <w:color w:val="auto"/>
        </w:rPr>
        <w:t>2022</w:t>
      </w:r>
      <w:r>
        <w:rPr>
          <w:sz w:val="20"/>
          <w:szCs w:val="20"/>
          <w:color w:val="auto"/>
        </w:rPr>
        <w:tab/>
      </w:r>
      <w:r>
        <w:rPr>
          <w:rFonts w:ascii="Arial" w:cs="Arial" w:eastAsia="Arial" w:hAnsi="Arial"/>
          <w:sz w:val="13"/>
          <w:szCs w:val="13"/>
          <w:b w:val="1"/>
          <w:bCs w:val="1"/>
          <w:color w:val="auto"/>
        </w:rPr>
        <w:t>2021</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(in thousands, except per ton</w:t>
      </w:r>
    </w:p>
    <w:p>
      <w:pPr>
        <w:jc w:val="center"/>
        <w:ind w:right="180"/>
        <w:spacing w:after="0"/>
        <w:rPr>
          <w:sz w:val="20"/>
          <w:szCs w:val="20"/>
          <w:color w:val="auto"/>
        </w:rPr>
      </w:pPr>
      <w:r>
        <w:rPr>
          <w:rFonts w:ascii="Arial" w:cs="Arial" w:eastAsia="Arial" w:hAnsi="Arial"/>
          <w:sz w:val="13"/>
          <w:szCs w:val="13"/>
          <w:color w:val="auto"/>
        </w:rPr>
        <w:t>information)</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Percentage</w:t>
      </w:r>
    </w:p>
    <w:p>
      <w:pPr>
        <w:ind w:left="120"/>
        <w:spacing w:after="0"/>
        <w:rPr>
          <w:sz w:val="20"/>
          <w:szCs w:val="20"/>
          <w:color w:val="auto"/>
        </w:rPr>
      </w:pPr>
      <w:r>
        <w:rPr>
          <w:rFonts w:ascii="Arial" w:cs="Arial" w:eastAsia="Arial" w:hAnsi="Arial"/>
          <w:sz w:val="13"/>
          <w:szCs w:val="13"/>
          <w:b w:val="1"/>
          <w:bCs w:val="1"/>
          <w:color w:val="auto"/>
        </w:rPr>
        <w:t>Change</w:t>
      </w:r>
    </w:p>
    <w:p>
      <w:pPr>
        <w:spacing w:after="0" w:line="308" w:lineRule="exact"/>
        <w:rPr>
          <w:sz w:val="20"/>
          <w:szCs w:val="20"/>
          <w:color w:val="auto"/>
        </w:rPr>
      </w:pPr>
    </w:p>
    <w:p>
      <w:pPr>
        <w:sectPr>
          <w:pgSz w:w="11900" w:h="16838" w:orient="portrait"/>
          <w:cols w:equalWidth="0" w:num="4">
            <w:col w:w="6360" w:space="360"/>
            <w:col w:w="680" w:space="560"/>
            <w:col w:w="1840" w:space="420"/>
            <w:col w:w="1120"/>
          </w:cols>
          <w:pgMar w:left="320" w:top="576" w:right="2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4260" w:type="dxa"/>
            <w:vAlign w:val="bottom"/>
            <w:tcBorders>
              <w:top w:val="single" w:sz="8" w:color="17385E"/>
            </w:tcBorders>
          </w:tcPr>
          <w:p>
            <w:pPr>
              <w:ind w:left="20"/>
              <w:spacing w:after="0"/>
              <w:rPr>
                <w:sz w:val="20"/>
                <w:szCs w:val="20"/>
                <w:color w:val="auto"/>
              </w:rPr>
            </w:pPr>
            <w:r>
              <w:rPr>
                <w:rFonts w:ascii="Arial" w:cs="Arial" w:eastAsia="Arial" w:hAnsi="Arial"/>
                <w:sz w:val="16"/>
                <w:szCs w:val="16"/>
                <w:color w:val="004483"/>
              </w:rPr>
              <w:t>Gross Revenue, including Intersegment and Joint</w:t>
            </w:r>
          </w:p>
        </w:tc>
        <w:tc>
          <w:tcPr>
            <w:tcW w:w="220" w:type="dxa"/>
            <w:vAlign w:val="bottom"/>
            <w:tcBorders>
              <w:top w:val="single" w:sz="8" w:color="17385E"/>
            </w:tcBorders>
          </w:tcPr>
          <w:p>
            <w:pPr>
              <w:spacing w:after="0"/>
              <w:rPr>
                <w:sz w:val="17"/>
                <w:szCs w:val="17"/>
                <w:color w:val="auto"/>
              </w:rPr>
            </w:pPr>
          </w:p>
        </w:tc>
        <w:tc>
          <w:tcPr>
            <w:tcW w:w="720" w:type="dxa"/>
            <w:vAlign w:val="bottom"/>
            <w:tcBorders>
              <w:top w:val="single" w:sz="8" w:color="17385E"/>
            </w:tcBorders>
          </w:tcPr>
          <w:p>
            <w:pPr>
              <w:spacing w:after="0"/>
              <w:rPr>
                <w:sz w:val="17"/>
                <w:szCs w:val="17"/>
                <w:color w:val="auto"/>
              </w:rPr>
            </w:pPr>
          </w:p>
        </w:tc>
        <w:tc>
          <w:tcPr>
            <w:tcW w:w="120" w:type="dxa"/>
            <w:vAlign w:val="bottom"/>
            <w:tcBorders>
              <w:top w:val="single" w:sz="8" w:color="17385E"/>
            </w:tcBorders>
          </w:tcPr>
          <w:p>
            <w:pPr>
              <w:spacing w:after="0"/>
              <w:rPr>
                <w:sz w:val="17"/>
                <w:szCs w:val="17"/>
                <w:color w:val="auto"/>
              </w:rPr>
            </w:pPr>
          </w:p>
        </w:tc>
        <w:tc>
          <w:tcPr>
            <w:tcW w:w="120" w:type="dxa"/>
            <w:vAlign w:val="bottom"/>
            <w:tcBorders>
              <w:top w:val="single" w:sz="8" w:color="17385E"/>
            </w:tcBorders>
          </w:tcPr>
          <w:p>
            <w:pPr>
              <w:spacing w:after="0"/>
              <w:rPr>
                <w:sz w:val="17"/>
                <w:szCs w:val="17"/>
                <w:color w:val="auto"/>
              </w:rPr>
            </w:pPr>
          </w:p>
        </w:tc>
        <w:tc>
          <w:tcPr>
            <w:tcW w:w="220" w:type="dxa"/>
            <w:vAlign w:val="bottom"/>
            <w:tcBorders>
              <w:top w:val="single" w:sz="8" w:color="17385E"/>
            </w:tcBorders>
          </w:tcPr>
          <w:p>
            <w:pPr>
              <w:spacing w:after="0"/>
              <w:rPr>
                <w:sz w:val="17"/>
                <w:szCs w:val="17"/>
                <w:color w:val="auto"/>
              </w:rPr>
            </w:pPr>
          </w:p>
        </w:tc>
        <w:tc>
          <w:tcPr>
            <w:tcW w:w="700" w:type="dxa"/>
            <w:vAlign w:val="bottom"/>
            <w:tcBorders>
              <w:top w:val="single" w:sz="8" w:color="17385E"/>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17385E"/>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17385E"/>
            </w:tcBorders>
          </w:tcPr>
          <w:p>
            <w:pPr>
              <w:spacing w:after="0"/>
              <w:rPr>
                <w:sz w:val="17"/>
                <w:szCs w:val="17"/>
                <w:color w:val="auto"/>
              </w:rPr>
            </w:pPr>
          </w:p>
        </w:tc>
        <w:tc>
          <w:tcPr>
            <w:tcW w:w="200" w:type="dxa"/>
            <w:vAlign w:val="bottom"/>
            <w:tcBorders>
              <w:top w:val="single" w:sz="8" w:color="17385E"/>
            </w:tcBorders>
          </w:tcPr>
          <w:p>
            <w:pPr>
              <w:spacing w:after="0"/>
              <w:rPr>
                <w:sz w:val="17"/>
                <w:szCs w:val="17"/>
                <w:color w:val="auto"/>
              </w:rPr>
            </w:pPr>
          </w:p>
        </w:tc>
        <w:tc>
          <w:tcPr>
            <w:tcW w:w="700" w:type="dxa"/>
            <w:vAlign w:val="bottom"/>
            <w:tcBorders>
              <w:top w:val="single" w:sz="8" w:color="17385E"/>
            </w:tcBorders>
          </w:tcPr>
          <w:p>
            <w:pPr>
              <w:spacing w:after="0"/>
              <w:rPr>
                <w:sz w:val="17"/>
                <w:szCs w:val="17"/>
                <w:color w:val="auto"/>
              </w:rPr>
            </w:pPr>
          </w:p>
        </w:tc>
        <w:tc>
          <w:tcPr>
            <w:tcW w:w="100" w:type="dxa"/>
            <w:vAlign w:val="bottom"/>
            <w:tcBorders>
              <w:top w:val="single" w:sz="8" w:color="17385E"/>
            </w:tcBorders>
          </w:tcPr>
          <w:p>
            <w:pPr>
              <w:spacing w:after="0"/>
              <w:rPr>
                <w:sz w:val="17"/>
                <w:szCs w:val="17"/>
                <w:color w:val="auto"/>
              </w:rPr>
            </w:pPr>
          </w:p>
        </w:tc>
        <w:tc>
          <w:tcPr>
            <w:tcW w:w="120" w:type="dxa"/>
            <w:vAlign w:val="bottom"/>
            <w:tcBorders>
              <w:top w:val="single" w:sz="8" w:color="17385E"/>
            </w:tcBorders>
          </w:tcPr>
          <w:p>
            <w:pPr>
              <w:spacing w:after="0"/>
              <w:rPr>
                <w:sz w:val="17"/>
                <w:szCs w:val="17"/>
                <w:color w:val="auto"/>
              </w:rPr>
            </w:pPr>
          </w:p>
        </w:tc>
        <w:tc>
          <w:tcPr>
            <w:tcW w:w="200" w:type="dxa"/>
            <w:vAlign w:val="bottom"/>
            <w:tcBorders>
              <w:top w:val="single" w:sz="8" w:color="17385E"/>
            </w:tcBorders>
          </w:tcPr>
          <w:p>
            <w:pPr>
              <w:spacing w:after="0"/>
              <w:rPr>
                <w:sz w:val="17"/>
                <w:szCs w:val="17"/>
                <w:color w:val="auto"/>
              </w:rPr>
            </w:pPr>
          </w:p>
        </w:tc>
        <w:tc>
          <w:tcPr>
            <w:tcW w:w="700" w:type="dxa"/>
            <w:vAlign w:val="bottom"/>
            <w:tcBorders>
              <w:top w:val="single" w:sz="8" w:color="17385E"/>
            </w:tcBorders>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top w:val="single" w:sz="8" w:color="17385E"/>
            </w:tcBorders>
          </w:tcPr>
          <w:p>
            <w:pPr>
              <w:spacing w:after="0"/>
              <w:rPr>
                <w:sz w:val="17"/>
                <w:szCs w:val="17"/>
                <w:color w:val="auto"/>
              </w:rPr>
            </w:pPr>
          </w:p>
        </w:tc>
        <w:tc>
          <w:tcPr>
            <w:tcW w:w="200" w:type="dxa"/>
            <w:vAlign w:val="bottom"/>
          </w:tcPr>
          <w:p>
            <w:pPr>
              <w:spacing w:after="0"/>
              <w:rPr>
                <w:sz w:val="17"/>
                <w:szCs w:val="17"/>
                <w:color w:val="auto"/>
              </w:rPr>
            </w:pPr>
          </w:p>
        </w:tc>
      </w:tr>
      <w:tr>
        <w:trPr>
          <w:trHeight w:val="198"/>
        </w:trPr>
        <w:tc>
          <w:tcPr>
            <w:tcW w:w="4260" w:type="dxa"/>
            <w:vAlign w:val="bottom"/>
          </w:tcPr>
          <w:p>
            <w:pPr>
              <w:ind w:left="20"/>
              <w:spacing w:after="0"/>
              <w:rPr>
                <w:sz w:val="20"/>
                <w:szCs w:val="20"/>
                <w:color w:val="auto"/>
              </w:rPr>
            </w:pPr>
            <w:r>
              <w:rPr>
                <w:rFonts w:ascii="Arial" w:cs="Arial" w:eastAsia="Arial" w:hAnsi="Arial"/>
                <w:sz w:val="16"/>
                <w:szCs w:val="16"/>
                <w:color w:val="004483"/>
              </w:rPr>
              <w:t>Venture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319,460</w:t>
            </w:r>
          </w:p>
        </w:tc>
        <w:tc>
          <w:tcPr>
            <w:tcW w:w="120" w:type="dxa"/>
            <w:vAlign w:val="bottom"/>
          </w:tcPr>
          <w:p>
            <w:pPr>
              <w:spacing w:after="0"/>
              <w:rPr>
                <w:sz w:val="17"/>
                <w:szCs w:val="17"/>
                <w:color w:val="auto"/>
              </w:rPr>
            </w:pP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288,324</w:t>
            </w:r>
          </w:p>
        </w:tc>
        <w:tc>
          <w:tcPr>
            <w:tcW w:w="120" w:type="dxa"/>
            <w:vAlign w:val="bottom"/>
          </w:tcPr>
          <w:p>
            <w:pPr>
              <w:spacing w:after="0"/>
              <w:rPr>
                <w:sz w:val="17"/>
                <w:szCs w:val="17"/>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6"/>
                <w:szCs w:val="16"/>
                <w:color w:val="auto"/>
              </w:rPr>
              <w:t>11 % $</w:t>
            </w:r>
          </w:p>
        </w:tc>
        <w:tc>
          <w:tcPr>
            <w:tcW w:w="700" w:type="dxa"/>
            <w:vAlign w:val="bottom"/>
          </w:tcPr>
          <w:p>
            <w:pPr>
              <w:jc w:val="right"/>
              <w:spacing w:after="0"/>
              <w:rPr>
                <w:sz w:val="20"/>
                <w:szCs w:val="20"/>
                <w:color w:val="auto"/>
              </w:rPr>
            </w:pPr>
            <w:r>
              <w:rPr>
                <w:rFonts w:ascii="Arial" w:cs="Arial" w:eastAsia="Arial" w:hAnsi="Arial"/>
                <w:sz w:val="16"/>
                <w:szCs w:val="16"/>
                <w:color w:val="auto"/>
              </w:rPr>
              <w:t>603,976</w:t>
            </w:r>
          </w:p>
        </w:tc>
        <w:tc>
          <w:tcPr>
            <w:tcW w:w="10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558,579</w:t>
            </w:r>
          </w:p>
        </w:tc>
        <w:tc>
          <w:tcPr>
            <w:tcW w:w="12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8 %</w:t>
            </w:r>
          </w:p>
        </w:tc>
      </w:tr>
      <w:tr>
        <w:trPr>
          <w:trHeight w:val="20"/>
        </w:trPr>
        <w:tc>
          <w:tcPr>
            <w:tcW w:w="426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260" w:type="dxa"/>
            <w:vAlign w:val="bottom"/>
          </w:tcPr>
          <w:p>
            <w:pPr>
              <w:ind w:left="20"/>
              <w:spacing w:after="0"/>
              <w:rPr>
                <w:sz w:val="20"/>
                <w:szCs w:val="20"/>
                <w:color w:val="auto"/>
              </w:rPr>
            </w:pPr>
            <w:r>
              <w:rPr>
                <w:rFonts w:ascii="Arial" w:cs="Arial" w:eastAsia="Arial" w:hAnsi="Arial"/>
                <w:sz w:val="16"/>
                <w:szCs w:val="16"/>
                <w:color w:val="004483"/>
              </w:rPr>
              <w:t>Less Intersegment Revenue</w:t>
            </w:r>
          </w:p>
        </w:tc>
        <w:tc>
          <w:tcPr>
            <w:tcW w:w="2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(12,361 )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(5,223 )</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137 %</w:t>
            </w:r>
          </w:p>
        </w:tc>
        <w:tc>
          <w:tcPr>
            <w:tcW w:w="2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(18,652 )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(13,056 )</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43 %</w:t>
            </w:r>
          </w:p>
        </w:tc>
      </w:tr>
      <w:tr>
        <w:trPr>
          <w:trHeight w:val="20"/>
        </w:trPr>
        <w:tc>
          <w:tcPr>
            <w:tcW w:w="426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6"/>
        </w:trPr>
        <w:tc>
          <w:tcPr>
            <w:tcW w:w="4260" w:type="dxa"/>
            <w:vAlign w:val="bottom"/>
          </w:tcPr>
          <w:p>
            <w:pPr>
              <w:ind w:left="20"/>
              <w:spacing w:after="0"/>
              <w:rPr>
                <w:sz w:val="20"/>
                <w:szCs w:val="20"/>
                <w:color w:val="auto"/>
              </w:rPr>
            </w:pPr>
            <w:r>
              <w:rPr>
                <w:rFonts w:ascii="Arial" w:cs="Arial" w:eastAsia="Arial" w:hAnsi="Arial"/>
                <w:sz w:val="16"/>
                <w:szCs w:val="16"/>
                <w:color w:val="004483"/>
              </w:rPr>
              <w:t>Less Joint Venture Revenue</w:t>
            </w:r>
          </w:p>
        </w:tc>
        <w:tc>
          <w:tcPr>
            <w:tcW w:w="2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(25,130 )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(26,926 )</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(7 )%</w:t>
            </w:r>
          </w:p>
        </w:tc>
        <w:tc>
          <w:tcPr>
            <w:tcW w:w="2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(51,445 )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(49,617 )</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4 %</w:t>
            </w:r>
          </w:p>
        </w:tc>
      </w:tr>
      <w:tr>
        <w:trPr>
          <w:trHeight w:val="20"/>
        </w:trPr>
        <w:tc>
          <w:tcPr>
            <w:tcW w:w="4260" w:type="dxa"/>
            <w:vAlign w:val="bottom"/>
            <w:shd w:val="clear" w:color="auto" w:fill="A6A6A6"/>
          </w:tcPr>
          <w:p>
            <w:pPr>
              <w:spacing w:after="0" w:line="20" w:lineRule="exact"/>
              <w:rPr>
                <w:sz w:val="1"/>
                <w:szCs w:val="1"/>
                <w:color w:val="auto"/>
              </w:rPr>
            </w:pPr>
          </w:p>
        </w:tc>
        <w:tc>
          <w:tcPr>
            <w:tcW w:w="22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20" w:type="dxa"/>
            <w:vAlign w:val="bottom"/>
            <w:tcBorders>
              <w:top w:val="single" w:sz="8" w:color="004483"/>
            </w:tcBorders>
            <w:shd w:val="clear" w:color="auto" w:fill="004483"/>
          </w:tcPr>
          <w:p>
            <w:pPr>
              <w:spacing w:after="0" w:line="20" w:lineRule="exact"/>
              <w:rPr>
                <w:sz w:val="1"/>
                <w:szCs w:val="1"/>
                <w:color w:val="auto"/>
              </w:rPr>
            </w:pPr>
          </w:p>
        </w:tc>
        <w:tc>
          <w:tcPr>
            <w:tcW w:w="7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tcBorders>
              <w:top w:val="single" w:sz="8" w:color="004483"/>
            </w:tcBorders>
            <w:shd w:val="clear" w:color="auto" w:fill="004483"/>
          </w:tcPr>
          <w:p>
            <w:pPr>
              <w:spacing w:after="0" w:line="20" w:lineRule="exact"/>
              <w:rPr>
                <w:sz w:val="1"/>
                <w:szCs w:val="1"/>
                <w:color w:val="auto"/>
              </w:rPr>
            </w:pPr>
          </w:p>
        </w:tc>
        <w:tc>
          <w:tcPr>
            <w:tcW w:w="70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tcBorders>
              <w:top w:val="single" w:sz="8" w:color="004483"/>
            </w:tcBorders>
            <w:shd w:val="clear" w:color="auto" w:fill="004483"/>
          </w:tcPr>
          <w:p>
            <w:pPr>
              <w:spacing w:after="0" w:line="20" w:lineRule="exact"/>
              <w:rPr>
                <w:sz w:val="1"/>
                <w:szCs w:val="1"/>
                <w:color w:val="auto"/>
              </w:rPr>
            </w:pPr>
          </w:p>
        </w:tc>
        <w:tc>
          <w:tcPr>
            <w:tcW w:w="7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3"/>
        </w:trPr>
        <w:tc>
          <w:tcPr>
            <w:tcW w:w="4260" w:type="dxa"/>
            <w:vAlign w:val="bottom"/>
          </w:tcPr>
          <w:p>
            <w:pPr>
              <w:ind w:left="20"/>
              <w:spacing w:after="0"/>
              <w:rPr>
                <w:sz w:val="20"/>
                <w:szCs w:val="20"/>
                <w:color w:val="auto"/>
              </w:rPr>
            </w:pPr>
            <w:r>
              <w:rPr>
                <w:rFonts w:ascii="Arial" w:cs="Arial" w:eastAsia="Arial" w:hAnsi="Arial"/>
                <w:sz w:val="16"/>
                <w:szCs w:val="16"/>
                <w:color w:val="004483"/>
              </w:rPr>
              <w:t>Gross Revenue, as reported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281,969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256,175</w:t>
            </w:r>
          </w:p>
        </w:tc>
        <w:tc>
          <w:tcPr>
            <w:tcW w:w="120" w:type="dxa"/>
            <w:vAlign w:val="bottom"/>
          </w:tcPr>
          <w:p>
            <w:pPr>
              <w:spacing w:after="0"/>
              <w:rPr>
                <w:sz w:val="16"/>
                <w:szCs w:val="16"/>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6"/>
                <w:szCs w:val="16"/>
                <w:color w:val="auto"/>
              </w:rPr>
              <w:t>10 % $</w:t>
            </w:r>
          </w:p>
        </w:tc>
        <w:tc>
          <w:tcPr>
            <w:tcW w:w="700" w:type="dxa"/>
            <w:vAlign w:val="bottom"/>
          </w:tcPr>
          <w:p>
            <w:pPr>
              <w:jc w:val="right"/>
              <w:spacing w:after="0"/>
              <w:rPr>
                <w:sz w:val="20"/>
                <w:szCs w:val="20"/>
                <w:color w:val="auto"/>
              </w:rPr>
            </w:pPr>
            <w:r>
              <w:rPr>
                <w:rFonts w:ascii="Arial" w:cs="Arial" w:eastAsia="Arial" w:hAnsi="Arial"/>
                <w:sz w:val="16"/>
                <w:szCs w:val="16"/>
                <w:color w:val="auto"/>
              </w:rPr>
              <w:t>533,879</w:t>
            </w:r>
          </w:p>
        </w:tc>
        <w:tc>
          <w:tcPr>
            <w:tcW w:w="100" w:type="dxa"/>
            <w:vAlign w:val="bottom"/>
          </w:tcPr>
          <w:p>
            <w:pPr>
              <w:spacing w:after="0"/>
              <w:rPr>
                <w:sz w:val="16"/>
                <w:szCs w:val="16"/>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495,906</w:t>
            </w:r>
          </w:p>
        </w:tc>
        <w:tc>
          <w:tcPr>
            <w:tcW w:w="120" w:type="dxa"/>
            <w:vAlign w:val="bottom"/>
          </w:tcPr>
          <w:p>
            <w:pPr>
              <w:spacing w:after="0"/>
              <w:rPr>
                <w:sz w:val="16"/>
                <w:szCs w:val="16"/>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8 %</w:t>
            </w:r>
          </w:p>
        </w:tc>
      </w:tr>
      <w:tr>
        <w:trPr>
          <w:trHeight w:val="20"/>
        </w:trPr>
        <w:tc>
          <w:tcPr>
            <w:tcW w:w="426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6"/>
        </w:trPr>
        <w:tc>
          <w:tcPr>
            <w:tcW w:w="4260" w:type="dxa"/>
            <w:vAlign w:val="bottom"/>
          </w:tcPr>
          <w:p>
            <w:pPr>
              <w:ind w:left="20"/>
              <w:spacing w:after="0"/>
              <w:rPr>
                <w:sz w:val="20"/>
                <w:szCs w:val="20"/>
                <w:color w:val="auto"/>
              </w:rPr>
            </w:pPr>
            <w:r>
              <w:rPr>
                <w:rFonts w:ascii="Arial" w:cs="Arial" w:eastAsia="Arial" w:hAnsi="Arial"/>
                <w:sz w:val="16"/>
                <w:szCs w:val="16"/>
                <w:color w:val="004483"/>
              </w:rPr>
              <w:t>Freight and Delivery Costs billed to Customers</w:t>
            </w:r>
          </w:p>
        </w:tc>
        <w:tc>
          <w:tcPr>
            <w:tcW w:w="2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(18,737 )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(19,610 )</w:t>
            </w: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(4 )%</w:t>
            </w:r>
          </w:p>
        </w:tc>
        <w:tc>
          <w:tcPr>
            <w:tcW w:w="2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(36,012 )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(38,652 )</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(7 )%</w:t>
            </w:r>
          </w:p>
        </w:tc>
      </w:tr>
      <w:tr>
        <w:trPr>
          <w:trHeight w:val="20"/>
        </w:trPr>
        <w:tc>
          <w:tcPr>
            <w:tcW w:w="4260" w:type="dxa"/>
            <w:vAlign w:val="bottom"/>
            <w:shd w:val="clear" w:color="auto" w:fill="A6A6A6"/>
          </w:tcPr>
          <w:p>
            <w:pPr>
              <w:spacing w:after="0" w:line="20" w:lineRule="exact"/>
              <w:rPr>
                <w:sz w:val="1"/>
                <w:szCs w:val="1"/>
                <w:color w:val="auto"/>
              </w:rPr>
            </w:pPr>
          </w:p>
        </w:tc>
        <w:tc>
          <w:tcPr>
            <w:tcW w:w="22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20" w:type="dxa"/>
            <w:vAlign w:val="bottom"/>
            <w:tcBorders>
              <w:top w:val="single" w:sz="8" w:color="004483"/>
            </w:tcBorders>
            <w:shd w:val="clear" w:color="auto" w:fill="004483"/>
          </w:tcPr>
          <w:p>
            <w:pPr>
              <w:spacing w:after="0" w:line="20" w:lineRule="exact"/>
              <w:rPr>
                <w:sz w:val="1"/>
                <w:szCs w:val="1"/>
                <w:color w:val="auto"/>
              </w:rPr>
            </w:pPr>
          </w:p>
        </w:tc>
        <w:tc>
          <w:tcPr>
            <w:tcW w:w="7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tcBorders>
              <w:top w:val="single" w:sz="8" w:color="004483"/>
            </w:tcBorders>
            <w:shd w:val="clear" w:color="auto" w:fill="004483"/>
          </w:tcPr>
          <w:p>
            <w:pPr>
              <w:spacing w:after="0" w:line="20" w:lineRule="exact"/>
              <w:rPr>
                <w:sz w:val="1"/>
                <w:szCs w:val="1"/>
                <w:color w:val="auto"/>
              </w:rPr>
            </w:pPr>
          </w:p>
        </w:tc>
        <w:tc>
          <w:tcPr>
            <w:tcW w:w="700" w:type="dxa"/>
            <w:vAlign w:val="bottom"/>
            <w:tcBorders>
              <w:top w:val="single" w:sz="8" w:color="004483"/>
            </w:tcBorders>
            <w:shd w:val="clear" w:color="auto" w:fill="00448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tcBorders>
              <w:top w:val="single" w:sz="8" w:color="004483"/>
            </w:tcBorders>
            <w:shd w:val="clear" w:color="auto" w:fill="004483"/>
          </w:tcPr>
          <w:p>
            <w:pPr>
              <w:spacing w:after="0" w:line="20" w:lineRule="exact"/>
              <w:rPr>
                <w:sz w:val="1"/>
                <w:szCs w:val="1"/>
                <w:color w:val="auto"/>
              </w:rPr>
            </w:pPr>
          </w:p>
        </w:tc>
        <w:tc>
          <w:tcPr>
            <w:tcW w:w="7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3"/>
        </w:trPr>
        <w:tc>
          <w:tcPr>
            <w:tcW w:w="4260" w:type="dxa"/>
            <w:vAlign w:val="bottom"/>
          </w:tcPr>
          <w:p>
            <w:pPr>
              <w:ind w:left="20"/>
              <w:spacing w:after="0"/>
              <w:rPr>
                <w:sz w:val="20"/>
                <w:szCs w:val="20"/>
                <w:color w:val="auto"/>
              </w:rPr>
            </w:pPr>
            <w:r>
              <w:rPr>
                <w:rFonts w:ascii="Arial" w:cs="Arial" w:eastAsia="Arial" w:hAnsi="Arial"/>
                <w:sz w:val="16"/>
                <w:szCs w:val="16"/>
                <w:color w:val="004483"/>
              </w:rPr>
              <w:t>Net Revenue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263,232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236,565</w:t>
            </w:r>
          </w:p>
        </w:tc>
        <w:tc>
          <w:tcPr>
            <w:tcW w:w="120" w:type="dxa"/>
            <w:vAlign w:val="bottom"/>
          </w:tcPr>
          <w:p>
            <w:pPr>
              <w:spacing w:after="0"/>
              <w:rPr>
                <w:sz w:val="16"/>
                <w:szCs w:val="16"/>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6"/>
                <w:szCs w:val="16"/>
                <w:color w:val="auto"/>
              </w:rPr>
              <w:t>11 % $</w:t>
            </w:r>
          </w:p>
        </w:tc>
        <w:tc>
          <w:tcPr>
            <w:tcW w:w="700" w:type="dxa"/>
            <w:vAlign w:val="bottom"/>
          </w:tcPr>
          <w:p>
            <w:pPr>
              <w:jc w:val="right"/>
              <w:spacing w:after="0"/>
              <w:rPr>
                <w:sz w:val="20"/>
                <w:szCs w:val="20"/>
                <w:color w:val="auto"/>
              </w:rPr>
            </w:pPr>
            <w:r>
              <w:rPr>
                <w:rFonts w:ascii="Arial" w:cs="Arial" w:eastAsia="Arial" w:hAnsi="Arial"/>
                <w:sz w:val="16"/>
                <w:szCs w:val="16"/>
                <w:color w:val="auto"/>
              </w:rPr>
              <w:t>497,867</w:t>
            </w:r>
          </w:p>
        </w:tc>
        <w:tc>
          <w:tcPr>
            <w:tcW w:w="100" w:type="dxa"/>
            <w:vAlign w:val="bottom"/>
          </w:tcPr>
          <w:p>
            <w:pPr>
              <w:spacing w:after="0"/>
              <w:rPr>
                <w:sz w:val="16"/>
                <w:szCs w:val="16"/>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457,254</w:t>
            </w:r>
          </w:p>
        </w:tc>
        <w:tc>
          <w:tcPr>
            <w:tcW w:w="120" w:type="dxa"/>
            <w:vAlign w:val="bottom"/>
          </w:tcPr>
          <w:p>
            <w:pPr>
              <w:spacing w:after="0"/>
              <w:rPr>
                <w:sz w:val="16"/>
                <w:szCs w:val="16"/>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9 %</w:t>
            </w:r>
          </w:p>
        </w:tc>
      </w:tr>
      <w:tr>
        <w:trPr>
          <w:trHeight w:val="199"/>
        </w:trPr>
        <w:tc>
          <w:tcPr>
            <w:tcW w:w="4260" w:type="dxa"/>
            <w:vAlign w:val="bottom"/>
            <w:tcBorders>
              <w:top w:val="single" w:sz="8" w:color="A6A6A6"/>
              <w:bottom w:val="single" w:sz="8" w:color="A6A6A6"/>
            </w:tcBorders>
          </w:tcPr>
          <w:p>
            <w:pPr>
              <w:spacing w:after="0"/>
              <w:rPr>
                <w:sz w:val="17"/>
                <w:szCs w:val="17"/>
                <w:color w:val="auto"/>
              </w:rPr>
            </w:pPr>
          </w:p>
        </w:tc>
        <w:tc>
          <w:tcPr>
            <w:tcW w:w="220" w:type="dxa"/>
            <w:vAlign w:val="bottom"/>
            <w:tcBorders>
              <w:top w:val="single" w:sz="8" w:color="A6A6A6"/>
              <w:bottom w:val="single" w:sz="8" w:color="A6A6A6"/>
            </w:tcBorders>
          </w:tcPr>
          <w:p>
            <w:pPr>
              <w:spacing w:after="0"/>
              <w:rPr>
                <w:sz w:val="17"/>
                <w:szCs w:val="17"/>
                <w:color w:val="auto"/>
              </w:rPr>
            </w:pPr>
          </w:p>
        </w:tc>
        <w:tc>
          <w:tcPr>
            <w:tcW w:w="720" w:type="dxa"/>
            <w:vAlign w:val="bottom"/>
            <w:tcBorders>
              <w:top w:val="single" w:sz="8" w:color="A6A6A6"/>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220" w:type="dxa"/>
            <w:vAlign w:val="bottom"/>
            <w:tcBorders>
              <w:top w:val="single" w:sz="8" w:color="A6A6A6"/>
              <w:bottom w:val="single" w:sz="8" w:color="A6A6A6"/>
            </w:tcBorders>
          </w:tcPr>
          <w:p>
            <w:pPr>
              <w:spacing w:after="0"/>
              <w:rPr>
                <w:sz w:val="17"/>
                <w:szCs w:val="17"/>
                <w:color w:val="auto"/>
              </w:rPr>
            </w:pPr>
          </w:p>
        </w:tc>
        <w:tc>
          <w:tcPr>
            <w:tcW w:w="700" w:type="dxa"/>
            <w:vAlign w:val="bottom"/>
            <w:tcBorders>
              <w:top w:val="single" w:sz="8" w:color="A6A6A6"/>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A6A6A6"/>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200" w:type="dxa"/>
            <w:vAlign w:val="bottom"/>
            <w:tcBorders>
              <w:top w:val="single" w:sz="8" w:color="A6A6A6"/>
              <w:bottom w:val="single" w:sz="8" w:color="A6A6A6"/>
            </w:tcBorders>
          </w:tcPr>
          <w:p>
            <w:pPr>
              <w:spacing w:after="0"/>
              <w:rPr>
                <w:sz w:val="17"/>
                <w:szCs w:val="17"/>
                <w:color w:val="auto"/>
              </w:rPr>
            </w:pPr>
          </w:p>
        </w:tc>
        <w:tc>
          <w:tcPr>
            <w:tcW w:w="700" w:type="dxa"/>
            <w:vAlign w:val="bottom"/>
            <w:tcBorders>
              <w:top w:val="single" w:sz="8" w:color="A6A6A6"/>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200" w:type="dxa"/>
            <w:vAlign w:val="bottom"/>
            <w:tcBorders>
              <w:top w:val="single" w:sz="8" w:color="A6A6A6"/>
              <w:bottom w:val="single" w:sz="8" w:color="A6A6A6"/>
            </w:tcBorders>
          </w:tcPr>
          <w:p>
            <w:pPr>
              <w:spacing w:after="0"/>
              <w:rPr>
                <w:sz w:val="17"/>
                <w:szCs w:val="17"/>
                <w:color w:val="auto"/>
              </w:rPr>
            </w:pPr>
          </w:p>
        </w:tc>
        <w:tc>
          <w:tcPr>
            <w:tcW w:w="700" w:type="dxa"/>
            <w:vAlign w:val="bottom"/>
            <w:tcBorders>
              <w:top w:val="single" w:sz="8" w:color="A6A6A6"/>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top w:val="single" w:sz="8" w:color="A6A6A6"/>
              <w:bottom w:val="single" w:sz="8" w:color="A6A6A6"/>
            </w:tcBorders>
          </w:tcPr>
          <w:p>
            <w:pPr>
              <w:spacing w:after="0"/>
              <w:rPr>
                <w:sz w:val="17"/>
                <w:szCs w:val="17"/>
                <w:color w:val="auto"/>
              </w:rPr>
            </w:pPr>
          </w:p>
        </w:tc>
        <w:tc>
          <w:tcPr>
            <w:tcW w:w="200" w:type="dxa"/>
            <w:vAlign w:val="bottom"/>
          </w:tcPr>
          <w:p>
            <w:pPr>
              <w:spacing w:after="0"/>
              <w:rPr>
                <w:sz w:val="17"/>
                <w:szCs w:val="17"/>
                <w:color w:val="auto"/>
              </w:rPr>
            </w:pPr>
          </w:p>
        </w:tc>
      </w:tr>
      <w:tr>
        <w:trPr>
          <w:trHeight w:val="193"/>
        </w:trPr>
        <w:tc>
          <w:tcPr>
            <w:tcW w:w="4260" w:type="dxa"/>
            <w:vAlign w:val="bottom"/>
          </w:tcPr>
          <w:p>
            <w:pPr>
              <w:ind w:left="20"/>
              <w:spacing w:after="0"/>
              <w:rPr>
                <w:sz w:val="20"/>
                <w:szCs w:val="20"/>
                <w:color w:val="auto"/>
              </w:rPr>
            </w:pPr>
            <w:r>
              <w:rPr>
                <w:rFonts w:ascii="Arial" w:cs="Arial" w:eastAsia="Arial" w:hAnsi="Arial"/>
                <w:sz w:val="16"/>
                <w:szCs w:val="16"/>
                <w:color w:val="004483"/>
              </w:rPr>
              <w:t>Sales Volume (M Tons)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2,198</w:t>
            </w:r>
          </w:p>
        </w:tc>
        <w:tc>
          <w:tcPr>
            <w:tcW w:w="120" w:type="dxa"/>
            <w:vAlign w:val="bottom"/>
          </w:tcPr>
          <w:p>
            <w:pPr>
              <w:spacing w:after="0"/>
              <w:rPr>
                <w:sz w:val="16"/>
                <w:szCs w:val="16"/>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6"/>
                <w:szCs w:val="16"/>
                <w:color w:val="auto"/>
              </w:rPr>
              <w:t>(2 )%</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4,234</w:t>
            </w:r>
          </w:p>
        </w:tc>
        <w:tc>
          <w:tcPr>
            <w:tcW w:w="120" w:type="dxa"/>
            <w:vAlign w:val="bottom"/>
          </w:tcPr>
          <w:p>
            <w:pPr>
              <w:spacing w:after="0"/>
              <w:rPr>
                <w:sz w:val="16"/>
                <w:szCs w:val="16"/>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20"/>
        </w:trPr>
        <w:tc>
          <w:tcPr>
            <w:tcW w:w="426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9"/>
        </w:trPr>
        <w:tc>
          <w:tcPr>
            <w:tcW w:w="4260" w:type="dxa"/>
            <w:vAlign w:val="bottom"/>
          </w:tcPr>
          <w:p>
            <w:pPr>
              <w:ind w:left="20"/>
              <w:spacing w:after="0" w:line="199" w:lineRule="exact"/>
              <w:rPr>
                <w:sz w:val="20"/>
                <w:szCs w:val="20"/>
                <w:color w:val="auto"/>
              </w:rPr>
            </w:pPr>
            <w:r>
              <w:rPr>
                <w:rFonts w:ascii="Arial" w:cs="Arial" w:eastAsia="Arial" w:hAnsi="Arial"/>
                <w:sz w:val="16"/>
                <w:szCs w:val="16"/>
                <w:color w:val="004483"/>
              </w:rPr>
              <w:t xml:space="preserve">Average Net Sales Price, per ton </w:t>
            </w:r>
            <w:r>
              <w:rPr>
                <w:rFonts w:ascii="Arial" w:cs="Arial" w:eastAsia="Arial" w:hAnsi="Arial"/>
                <w:sz w:val="21"/>
                <w:szCs w:val="21"/>
                <w:color w:val="004483"/>
                <w:vertAlign w:val="superscript"/>
              </w:rPr>
              <w:t>(2)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132.50</w:t>
            </w:r>
          </w:p>
        </w:tc>
        <w:tc>
          <w:tcPr>
            <w:tcW w:w="120" w:type="dxa"/>
            <w:vAlign w:val="bottom"/>
          </w:tcPr>
          <w:p>
            <w:pPr>
              <w:spacing w:after="0"/>
              <w:rPr>
                <w:sz w:val="17"/>
                <w:szCs w:val="17"/>
                <w:color w:val="auto"/>
              </w:rPr>
            </w:pP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117.78</w:t>
            </w:r>
          </w:p>
        </w:tc>
        <w:tc>
          <w:tcPr>
            <w:tcW w:w="120" w:type="dxa"/>
            <w:vAlign w:val="bottom"/>
          </w:tcPr>
          <w:p>
            <w:pPr>
              <w:spacing w:after="0"/>
              <w:rPr>
                <w:sz w:val="17"/>
                <w:szCs w:val="17"/>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6"/>
                <w:szCs w:val="16"/>
                <w:color w:val="auto"/>
              </w:rPr>
              <w:t>12 % $</w:t>
            </w:r>
          </w:p>
        </w:tc>
        <w:tc>
          <w:tcPr>
            <w:tcW w:w="700" w:type="dxa"/>
            <w:vAlign w:val="bottom"/>
          </w:tcPr>
          <w:p>
            <w:pPr>
              <w:jc w:val="right"/>
              <w:spacing w:after="0"/>
              <w:rPr>
                <w:sz w:val="20"/>
                <w:szCs w:val="20"/>
                <w:color w:val="auto"/>
              </w:rPr>
            </w:pPr>
            <w:r>
              <w:rPr>
                <w:rFonts w:ascii="Arial" w:cs="Arial" w:eastAsia="Arial" w:hAnsi="Arial"/>
                <w:sz w:val="16"/>
                <w:szCs w:val="16"/>
                <w:color w:val="auto"/>
              </w:rPr>
              <w:t>130.24</w:t>
            </w:r>
          </w:p>
        </w:tc>
        <w:tc>
          <w:tcPr>
            <w:tcW w:w="10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117.09</w:t>
            </w:r>
          </w:p>
        </w:tc>
        <w:tc>
          <w:tcPr>
            <w:tcW w:w="12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11 %</w:t>
            </w:r>
          </w:p>
        </w:tc>
      </w:tr>
      <w:tr>
        <w:trPr>
          <w:trHeight w:val="20"/>
        </w:trPr>
        <w:tc>
          <w:tcPr>
            <w:tcW w:w="426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3"/>
        </w:trPr>
        <w:tc>
          <w:tcPr>
            <w:tcW w:w="4260" w:type="dxa"/>
            <w:vAlign w:val="bottom"/>
          </w:tcPr>
          <w:p>
            <w:pPr>
              <w:ind w:left="20"/>
              <w:spacing w:after="0"/>
              <w:rPr>
                <w:sz w:val="20"/>
                <w:szCs w:val="20"/>
                <w:color w:val="auto"/>
              </w:rPr>
            </w:pPr>
            <w:r>
              <w:rPr>
                <w:rFonts w:ascii="Arial" w:cs="Arial" w:eastAsia="Arial" w:hAnsi="Arial"/>
                <w:sz w:val="16"/>
                <w:szCs w:val="16"/>
                <w:color w:val="004483"/>
              </w:rPr>
              <w:t>Operating Margin, per ton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46.05</w:t>
            </w:r>
          </w:p>
        </w:tc>
        <w:tc>
          <w:tcPr>
            <w:tcW w:w="120" w:type="dxa"/>
            <w:vAlign w:val="bottom"/>
          </w:tcPr>
          <w:p>
            <w:pPr>
              <w:spacing w:after="0"/>
              <w:rPr>
                <w:sz w:val="16"/>
                <w:szCs w:val="16"/>
                <w:color w:val="auto"/>
              </w:rPr>
            </w:pP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40.38</w:t>
            </w:r>
          </w:p>
        </w:tc>
        <w:tc>
          <w:tcPr>
            <w:tcW w:w="120" w:type="dxa"/>
            <w:vAlign w:val="bottom"/>
          </w:tcPr>
          <w:p>
            <w:pPr>
              <w:spacing w:after="0"/>
              <w:rPr>
                <w:sz w:val="16"/>
                <w:szCs w:val="16"/>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6"/>
                <w:szCs w:val="16"/>
                <w:color w:val="auto"/>
              </w:rPr>
              <w:t>14 % $</w:t>
            </w:r>
          </w:p>
        </w:tc>
        <w:tc>
          <w:tcPr>
            <w:tcW w:w="700" w:type="dxa"/>
            <w:vAlign w:val="bottom"/>
          </w:tcPr>
          <w:p>
            <w:pPr>
              <w:jc w:val="right"/>
              <w:spacing w:after="0"/>
              <w:rPr>
                <w:sz w:val="20"/>
                <w:szCs w:val="20"/>
                <w:color w:val="auto"/>
              </w:rPr>
            </w:pPr>
            <w:r>
              <w:rPr>
                <w:rFonts w:ascii="Arial" w:cs="Arial" w:eastAsia="Arial" w:hAnsi="Arial"/>
                <w:sz w:val="16"/>
                <w:szCs w:val="16"/>
                <w:color w:val="auto"/>
              </w:rPr>
              <w:t>38.94</w:t>
            </w:r>
          </w:p>
        </w:tc>
        <w:tc>
          <w:tcPr>
            <w:tcW w:w="100" w:type="dxa"/>
            <w:vAlign w:val="bottom"/>
          </w:tcPr>
          <w:p>
            <w:pPr>
              <w:spacing w:after="0"/>
              <w:rPr>
                <w:sz w:val="16"/>
                <w:szCs w:val="16"/>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35.73</w:t>
            </w:r>
          </w:p>
        </w:tc>
        <w:tc>
          <w:tcPr>
            <w:tcW w:w="120" w:type="dxa"/>
            <w:vAlign w:val="bottom"/>
          </w:tcPr>
          <w:p>
            <w:pPr>
              <w:spacing w:after="0"/>
              <w:rPr>
                <w:sz w:val="16"/>
                <w:szCs w:val="16"/>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9 %</w:t>
            </w:r>
          </w:p>
        </w:tc>
      </w:tr>
      <w:tr>
        <w:trPr>
          <w:trHeight w:val="20"/>
        </w:trPr>
        <w:tc>
          <w:tcPr>
            <w:tcW w:w="426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260" w:type="dxa"/>
            <w:vAlign w:val="bottom"/>
          </w:tcPr>
          <w:p>
            <w:pPr>
              <w:ind w:left="20"/>
              <w:spacing w:after="0"/>
              <w:rPr>
                <w:sz w:val="20"/>
                <w:szCs w:val="20"/>
                <w:color w:val="auto"/>
              </w:rPr>
            </w:pPr>
            <w:r>
              <w:rPr>
                <w:rFonts w:ascii="Arial" w:cs="Arial" w:eastAsia="Arial" w:hAnsi="Arial"/>
                <w:sz w:val="16"/>
                <w:szCs w:val="16"/>
                <w:color w:val="004483"/>
              </w:rPr>
              <w:t>Operating Earnings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98,779</w:t>
            </w:r>
          </w:p>
        </w:tc>
        <w:tc>
          <w:tcPr>
            <w:tcW w:w="120" w:type="dxa"/>
            <w:vAlign w:val="bottom"/>
          </w:tcPr>
          <w:p>
            <w:pPr>
              <w:spacing w:after="0"/>
              <w:rPr>
                <w:sz w:val="17"/>
                <w:szCs w:val="17"/>
                <w:color w:val="auto"/>
              </w:rPr>
            </w:pP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88,750</w:t>
            </w:r>
          </w:p>
        </w:tc>
        <w:tc>
          <w:tcPr>
            <w:tcW w:w="120" w:type="dxa"/>
            <w:vAlign w:val="bottom"/>
          </w:tcPr>
          <w:p>
            <w:pPr>
              <w:spacing w:after="0"/>
              <w:rPr>
                <w:sz w:val="17"/>
                <w:szCs w:val="17"/>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6"/>
                <w:szCs w:val="16"/>
                <w:color w:val="auto"/>
              </w:rPr>
              <w:t>11 % $</w:t>
            </w:r>
          </w:p>
        </w:tc>
        <w:tc>
          <w:tcPr>
            <w:tcW w:w="700" w:type="dxa"/>
            <w:vAlign w:val="bottom"/>
          </w:tcPr>
          <w:p>
            <w:pPr>
              <w:jc w:val="right"/>
              <w:spacing w:after="0"/>
              <w:rPr>
                <w:sz w:val="20"/>
                <w:szCs w:val="20"/>
                <w:color w:val="auto"/>
              </w:rPr>
            </w:pPr>
            <w:r>
              <w:rPr>
                <w:rFonts w:ascii="Arial" w:cs="Arial" w:eastAsia="Arial" w:hAnsi="Arial"/>
                <w:sz w:val="16"/>
                <w:szCs w:val="16"/>
                <w:color w:val="auto"/>
              </w:rPr>
              <w:t>161,127</w:t>
            </w:r>
          </w:p>
        </w:tc>
        <w:tc>
          <w:tcPr>
            <w:tcW w:w="10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151,297</w:t>
            </w:r>
          </w:p>
        </w:tc>
        <w:tc>
          <w:tcPr>
            <w:tcW w:w="12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6 %</w:t>
            </w:r>
          </w:p>
        </w:tc>
      </w:tr>
      <w:tr>
        <w:trPr>
          <w:trHeight w:val="20"/>
        </w:trPr>
        <w:tc>
          <w:tcPr>
            <w:tcW w:w="426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07"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Total of wholly owned subsidiaries and proportionately consolidated 50% interest of the Joint Venture’s results.</w:t>
      </w:r>
    </w:p>
    <w:p>
      <w:pPr>
        <w:spacing w:after="0" w:line="37" w:lineRule="exact"/>
        <w:rPr>
          <w:rFonts w:ascii="Arial" w:cs="Arial" w:eastAsia="Arial" w:hAnsi="Arial"/>
          <w:sz w:val="12"/>
          <w:szCs w:val="12"/>
          <w:color w:val="auto"/>
        </w:rPr>
      </w:pPr>
    </w:p>
    <w:p>
      <w:pPr>
        <w:ind w:left="180" w:hanging="172"/>
        <w:spacing w:after="0"/>
        <w:tabs>
          <w:tab w:leader="none" w:pos="1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Net of freight per ton, including Joint Venture.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w:t>
      </w:r>
    </w:p>
    <w:p>
      <w:pPr>
        <w:spacing w:after="0" w:line="166"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Cement Revenue was $319.5 million, an 11% increase, for the three months ended September 30, 2022. The increase was primarily due to higher gross sales prices, which improved Cement Revenue by approximately $32.6 million, partially offset by lower Sales Volume, which reduced Revenue by $1.4 million.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Cement Operating Earnings increased $10.0 million to $98.8 million for the three months ended September 30, 2022. The increase was due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 higher gross sales prices of $32.6 million. This was partially offset by lower Sales Volume of $0.8 million and higher operating costs of</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$21.8 million. The increase in operating costs was primarily due to higher energy and maintenance costs of approximately $16.4 million and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$5.9 million, respectively. Operating Margin remained consistent at 31% primarily because higher gross sales prices were offset by increased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costs.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2022</w:t>
      </w:r>
    </w:p>
    <w:p>
      <w:pPr>
        <w:spacing w:after="0" w:line="166" w:lineRule="exact"/>
        <w:rPr>
          <w:sz w:val="20"/>
          <w:szCs w:val="20"/>
          <w:color w:val="auto"/>
        </w:rPr>
      </w:pPr>
    </w:p>
    <w:p>
      <w:pPr>
        <w:jc w:val="both"/>
        <w:ind w:right="440"/>
        <w:spacing w:after="0" w:line="287" w:lineRule="auto"/>
        <w:rPr>
          <w:sz w:val="20"/>
          <w:szCs w:val="20"/>
          <w:color w:val="auto"/>
        </w:rPr>
      </w:pPr>
      <w:r>
        <w:rPr>
          <w:rFonts w:ascii="Arial" w:cs="Arial" w:eastAsia="Arial" w:hAnsi="Arial"/>
          <w:sz w:val="18"/>
          <w:szCs w:val="18"/>
          <w:color w:val="auto"/>
        </w:rPr>
        <w:t>Cement Revenue was $604.0 million, an 8% increase, for the six months ended September 30, 2022. The increase was primarily due to higher gross sales prices, which improved Cement Revenue by approximately $52.0 million, partially offset by lower Sales Volume, which reduced Revenue by $6.6 million.</w:t>
      </w:r>
    </w:p>
    <w:p>
      <w:pPr>
        <w:spacing w:after="0" w:line="94" w:lineRule="exact"/>
        <w:rPr>
          <w:sz w:val="20"/>
          <w:szCs w:val="20"/>
          <w:color w:val="auto"/>
        </w:rPr>
      </w:pPr>
    </w:p>
    <w:p>
      <w:pPr>
        <w:jc w:val="both"/>
        <w:ind w:right="180"/>
        <w:spacing w:after="0" w:line="284" w:lineRule="auto"/>
        <w:rPr>
          <w:sz w:val="20"/>
          <w:szCs w:val="20"/>
          <w:color w:val="auto"/>
        </w:rPr>
      </w:pPr>
      <w:r>
        <w:rPr>
          <w:rFonts w:ascii="Arial" w:cs="Arial" w:eastAsia="Arial" w:hAnsi="Arial"/>
          <w:sz w:val="18"/>
          <w:szCs w:val="18"/>
          <w:color w:val="auto"/>
        </w:rPr>
        <w:t>Cement Operating Earnings increased $9.8 million to $161.1 million for the six months ended September 30, 2022. The increase was due to higher gross sales prices of $52.0 million. This was partially offset by lower Sales Volume of $3.7 million and higher operating costs of $38.5 million. The increase in operating costs was primarily due to higher energy and maintenance costs of approximately $24.4 million and $14.8 million, respectively. Operating Margin remained consistent at 27%, primarily because higher operating costs were offset by increased gross sales prices.</w:t>
      </w:r>
    </w:p>
    <w:p>
      <w:pPr>
        <w:spacing w:after="0" w:line="200" w:lineRule="exact"/>
        <w:rPr>
          <w:sz w:val="20"/>
          <w:szCs w:val="20"/>
          <w:color w:val="auto"/>
        </w:rPr>
      </w:pPr>
    </w:p>
    <w:p>
      <w:pPr>
        <w:spacing w:after="0" w:line="310"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76"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CONCRETE AND AGGREGATES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rPr>
                <w:sz w:val="13"/>
                <w:szCs w:val="13"/>
                <w:color w:val="auto"/>
              </w:rPr>
            </w:pPr>
          </w:p>
        </w:tc>
        <w:tc>
          <w:tcPr>
            <w:tcW w:w="140" w:type="dxa"/>
            <w:vAlign w:val="bottom"/>
            <w:shd w:val="clear" w:color="auto" w:fill="004483"/>
          </w:tcPr>
          <w:p>
            <w:pPr>
              <w:spacing w:after="0"/>
              <w:rPr>
                <w:sz w:val="13"/>
                <w:szCs w:val="13"/>
                <w:color w:val="auto"/>
              </w:rPr>
            </w:pPr>
          </w:p>
        </w:tc>
        <w:tc>
          <w:tcPr>
            <w:tcW w:w="2120" w:type="dxa"/>
            <w:vAlign w:val="bottom"/>
            <w:gridSpan w:val="5"/>
            <w:shd w:val="clear" w:color="auto" w:fill="004483"/>
          </w:tcPr>
          <w:p>
            <w:pPr>
              <w:jc w:val="center"/>
              <w:ind w:right="300"/>
              <w:spacing w:after="0"/>
              <w:rPr>
                <w:sz w:val="20"/>
                <w:szCs w:val="20"/>
                <w:color w:val="auto"/>
              </w:rPr>
            </w:pPr>
            <w:r>
              <w:rPr>
                <w:rFonts w:ascii="Arial" w:cs="Arial" w:eastAsia="Arial" w:hAnsi="Arial"/>
                <w:sz w:val="13"/>
                <w:szCs w:val="13"/>
                <w:b w:val="1"/>
                <w:bCs w:val="1"/>
                <w:color w:val="FFFFFF"/>
                <w:w w:val="96"/>
              </w:rPr>
              <w:t>For the Three Months Ended</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shd w:val="clear" w:color="auto" w:fill="004483"/>
          </w:tcPr>
          <w:p>
            <w:pPr>
              <w:spacing w:after="0"/>
              <w:rPr>
                <w:sz w:val="13"/>
                <w:szCs w:val="13"/>
                <w:color w:val="auto"/>
              </w:rPr>
            </w:pPr>
          </w:p>
        </w:tc>
        <w:tc>
          <w:tcPr>
            <w:tcW w:w="2040" w:type="dxa"/>
            <w:vAlign w:val="bottom"/>
            <w:gridSpan w:val="5"/>
            <w:shd w:val="clear" w:color="auto" w:fill="004483"/>
          </w:tcPr>
          <w:p>
            <w:pPr>
              <w:jc w:val="center"/>
              <w:ind w:right="260"/>
              <w:spacing w:after="0"/>
              <w:rPr>
                <w:sz w:val="20"/>
                <w:szCs w:val="20"/>
                <w:color w:val="auto"/>
              </w:rPr>
            </w:pPr>
            <w:r>
              <w:rPr>
                <w:rFonts w:ascii="Arial" w:cs="Arial" w:eastAsia="Arial" w:hAnsi="Arial"/>
                <w:sz w:val="13"/>
                <w:szCs w:val="13"/>
                <w:b w:val="1"/>
                <w:bCs w:val="1"/>
                <w:color w:val="FFFFFF"/>
                <w:w w:val="96"/>
              </w:rPr>
              <w:t>For the Six Months Ended</w:t>
            </w: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7"/>
        </w:trPr>
        <w:tc>
          <w:tcPr>
            <w:tcW w:w="4340" w:type="dxa"/>
            <w:vAlign w:val="bottom"/>
          </w:tcPr>
          <w:p>
            <w:pPr>
              <w:spacing w:after="0"/>
              <w:rPr>
                <w:sz w:val="15"/>
                <w:szCs w:val="15"/>
                <w:color w:val="auto"/>
              </w:rPr>
            </w:pPr>
          </w:p>
        </w:tc>
        <w:tc>
          <w:tcPr>
            <w:tcW w:w="140" w:type="dxa"/>
            <w:vAlign w:val="bottom"/>
            <w:tcBorders>
              <w:bottom w:val="single" w:sz="8" w:color="auto"/>
            </w:tcBorders>
            <w:shd w:val="clear" w:color="auto" w:fill="004483"/>
          </w:tcPr>
          <w:p>
            <w:pPr>
              <w:spacing w:after="0"/>
              <w:rPr>
                <w:sz w:val="15"/>
                <w:szCs w:val="15"/>
                <w:color w:val="auto"/>
              </w:rPr>
            </w:pPr>
          </w:p>
        </w:tc>
        <w:tc>
          <w:tcPr>
            <w:tcW w:w="1420" w:type="dxa"/>
            <w:vAlign w:val="bottom"/>
            <w:tcBorders>
              <w:bottom w:val="single" w:sz="8" w:color="auto"/>
            </w:tcBorders>
            <w:gridSpan w:val="3"/>
            <w:shd w:val="clear" w:color="auto" w:fill="004483"/>
          </w:tcPr>
          <w:p>
            <w:pPr>
              <w:jc w:val="center"/>
              <w:ind w:left="367"/>
              <w:spacing w:after="0"/>
              <w:rPr>
                <w:sz w:val="20"/>
                <w:szCs w:val="20"/>
                <w:color w:val="auto"/>
              </w:rPr>
            </w:pPr>
            <w:r>
              <w:rPr>
                <w:rFonts w:ascii="Arial" w:cs="Arial" w:eastAsia="Arial" w:hAnsi="Arial"/>
                <w:sz w:val="13"/>
                <w:szCs w:val="13"/>
                <w:b w:val="1"/>
                <w:bCs w:val="1"/>
                <w:color w:val="FFFFFF"/>
                <w:w w:val="96"/>
              </w:rPr>
              <w:t>September 30,</w:t>
            </w:r>
          </w:p>
        </w:tc>
        <w:tc>
          <w:tcPr>
            <w:tcW w:w="580" w:type="dxa"/>
            <w:vAlign w:val="bottom"/>
            <w:tcBorders>
              <w:bottom w:val="single" w:sz="8" w:color="auto"/>
            </w:tcBorders>
            <w:shd w:val="clear" w:color="auto" w:fill="004483"/>
          </w:tcPr>
          <w:p>
            <w:pPr>
              <w:spacing w:after="0"/>
              <w:rPr>
                <w:sz w:val="15"/>
                <w:szCs w:val="15"/>
                <w:color w:val="auto"/>
              </w:rPr>
            </w:pPr>
          </w:p>
        </w:tc>
        <w:tc>
          <w:tcPr>
            <w:tcW w:w="120" w:type="dxa"/>
            <w:vAlign w:val="bottom"/>
            <w:tcBorders>
              <w:bottom w:val="single" w:sz="8" w:color="004483"/>
            </w:tcBorders>
            <w:shd w:val="clear" w:color="auto" w:fill="004483"/>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shd w:val="clear" w:color="auto" w:fill="004483"/>
          </w:tcPr>
          <w:p>
            <w:pPr>
              <w:spacing w:after="0"/>
              <w:rPr>
                <w:sz w:val="15"/>
                <w:szCs w:val="15"/>
                <w:color w:val="auto"/>
              </w:rPr>
            </w:pPr>
          </w:p>
        </w:tc>
        <w:tc>
          <w:tcPr>
            <w:tcW w:w="1380" w:type="dxa"/>
            <w:vAlign w:val="bottom"/>
            <w:tcBorders>
              <w:bottom w:val="single" w:sz="8" w:color="auto"/>
            </w:tcBorders>
            <w:gridSpan w:val="3"/>
            <w:shd w:val="clear" w:color="auto" w:fill="004483"/>
          </w:tcPr>
          <w:p>
            <w:pPr>
              <w:jc w:val="center"/>
              <w:ind w:left="367"/>
              <w:spacing w:after="0"/>
              <w:rPr>
                <w:sz w:val="20"/>
                <w:szCs w:val="20"/>
                <w:color w:val="auto"/>
              </w:rPr>
            </w:pPr>
            <w:r>
              <w:rPr>
                <w:rFonts w:ascii="Arial" w:cs="Arial" w:eastAsia="Arial" w:hAnsi="Arial"/>
                <w:sz w:val="13"/>
                <w:szCs w:val="13"/>
                <w:b w:val="1"/>
                <w:bCs w:val="1"/>
                <w:color w:val="FFFFFF"/>
                <w:w w:val="96"/>
              </w:rPr>
              <w:t>September 30,</w:t>
            </w:r>
          </w:p>
        </w:tc>
        <w:tc>
          <w:tcPr>
            <w:tcW w:w="560" w:type="dxa"/>
            <w:vAlign w:val="bottom"/>
            <w:tcBorders>
              <w:bottom w:val="single" w:sz="8" w:color="auto"/>
            </w:tcBorders>
            <w:shd w:val="clear" w:color="auto" w:fill="004483"/>
          </w:tcPr>
          <w:p>
            <w:pPr>
              <w:spacing w:after="0"/>
              <w:rPr>
                <w:sz w:val="15"/>
                <w:szCs w:val="15"/>
                <w:color w:val="auto"/>
              </w:rPr>
            </w:pPr>
          </w:p>
        </w:tc>
        <w:tc>
          <w:tcPr>
            <w:tcW w:w="100" w:type="dxa"/>
            <w:vAlign w:val="bottom"/>
            <w:tcBorders>
              <w:bottom w:val="single" w:sz="8" w:color="004483"/>
            </w:tcBorders>
            <w:shd w:val="clear" w:color="auto" w:fill="004483"/>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13"/>
        </w:trPr>
        <w:tc>
          <w:tcPr>
            <w:tcW w:w="4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3"/>
          </w:tcPr>
          <w:p>
            <w:pPr>
              <w:jc w:val="right"/>
              <w:ind w:right="400"/>
              <w:spacing w:after="0" w:line="113" w:lineRule="exact"/>
              <w:rPr>
                <w:sz w:val="20"/>
                <w:szCs w:val="20"/>
                <w:color w:val="auto"/>
              </w:rPr>
            </w:pPr>
            <w:r>
              <w:rPr>
                <w:rFonts w:ascii="Arial" w:cs="Arial" w:eastAsia="Arial" w:hAnsi="Arial"/>
                <w:sz w:val="13"/>
                <w:szCs w:val="13"/>
                <w:b w:val="1"/>
                <w:bCs w:val="1"/>
                <w:color w:val="auto"/>
              </w:rPr>
              <w:t>Percentage</w:t>
            </w: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tcPr>
          <w:p>
            <w:pPr>
              <w:jc w:val="right"/>
              <w:ind w:right="280"/>
              <w:spacing w:after="0" w:line="113" w:lineRule="exact"/>
              <w:rPr>
                <w:sz w:val="20"/>
                <w:szCs w:val="20"/>
                <w:color w:val="auto"/>
              </w:rPr>
            </w:pPr>
            <w:r>
              <w:rPr>
                <w:rFonts w:ascii="Arial" w:cs="Arial" w:eastAsia="Arial" w:hAnsi="Arial"/>
                <w:sz w:val="13"/>
                <w:szCs w:val="13"/>
                <w:b w:val="1"/>
                <w:bCs w:val="1"/>
                <w:color w:val="auto"/>
              </w:rPr>
              <w:t>Percentage</w:t>
            </w:r>
          </w:p>
        </w:tc>
      </w:tr>
      <w:tr>
        <w:trPr>
          <w:trHeight w:val="168"/>
        </w:trPr>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480" w:type="dxa"/>
            <w:vAlign w:val="bottom"/>
            <w:gridSpan w:val="4"/>
          </w:tcPr>
          <w:p>
            <w:pPr>
              <w:jc w:val="right"/>
              <w:ind w:right="620"/>
              <w:spacing w:after="0"/>
              <w:rPr>
                <w:sz w:val="20"/>
                <w:szCs w:val="20"/>
                <w:color w:val="auto"/>
              </w:rPr>
            </w:pPr>
            <w:r>
              <w:rPr>
                <w:rFonts w:ascii="Arial" w:cs="Arial" w:eastAsia="Arial" w:hAnsi="Arial"/>
                <w:sz w:val="13"/>
                <w:szCs w:val="13"/>
                <w:b w:val="1"/>
                <w:bCs w:val="1"/>
                <w:color w:val="auto"/>
              </w:rPr>
              <w:t>Change</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Change</w:t>
            </w:r>
          </w:p>
        </w:tc>
      </w:tr>
      <w:tr>
        <w:trPr>
          <w:trHeight w:val="145"/>
        </w:trPr>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5"/>
          </w:tcPr>
          <w:p>
            <w:pPr>
              <w:jc w:val="center"/>
              <w:ind w:right="300"/>
              <w:spacing w:after="0" w:line="145" w:lineRule="exact"/>
              <w:rPr>
                <w:sz w:val="20"/>
                <w:szCs w:val="20"/>
                <w:color w:val="auto"/>
              </w:rPr>
            </w:pPr>
            <w:r>
              <w:rPr>
                <w:rFonts w:ascii="Arial" w:cs="Arial" w:eastAsia="Arial" w:hAnsi="Arial"/>
                <w:sz w:val="13"/>
                <w:szCs w:val="13"/>
                <w:color w:val="auto"/>
                <w:w w:val="97"/>
              </w:rPr>
              <w:t>(in thousands, except net sales</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5"/>
          </w:tcPr>
          <w:p>
            <w:pPr>
              <w:jc w:val="center"/>
              <w:ind w:right="260"/>
              <w:spacing w:after="0" w:line="145" w:lineRule="exact"/>
              <w:rPr>
                <w:sz w:val="20"/>
                <w:szCs w:val="20"/>
                <w:color w:val="auto"/>
              </w:rPr>
            </w:pPr>
            <w:r>
              <w:rPr>
                <w:rFonts w:ascii="Arial" w:cs="Arial" w:eastAsia="Arial" w:hAnsi="Arial"/>
                <w:sz w:val="13"/>
                <w:szCs w:val="13"/>
                <w:color w:val="auto"/>
                <w:w w:val="97"/>
              </w:rPr>
              <w:t>(in thousands, except net sales</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8"/>
        </w:trPr>
        <w:tc>
          <w:tcPr>
            <w:tcW w:w="4340" w:type="dxa"/>
            <w:vAlign w:val="bottom"/>
            <w:tcBorders>
              <w:bottom w:val="single" w:sz="8" w:color="17385E"/>
            </w:tcBorders>
          </w:tcPr>
          <w:p>
            <w:pPr>
              <w:spacing w:after="0"/>
              <w:rPr>
                <w:sz w:val="16"/>
                <w:szCs w:val="16"/>
                <w:color w:val="auto"/>
              </w:rPr>
            </w:pPr>
          </w:p>
        </w:tc>
        <w:tc>
          <w:tcPr>
            <w:tcW w:w="140" w:type="dxa"/>
            <w:vAlign w:val="bottom"/>
            <w:tcBorders>
              <w:bottom w:val="single" w:sz="8" w:color="17385E"/>
            </w:tcBorders>
          </w:tcPr>
          <w:p>
            <w:pPr>
              <w:spacing w:after="0"/>
              <w:rPr>
                <w:sz w:val="16"/>
                <w:szCs w:val="16"/>
                <w:color w:val="auto"/>
              </w:rPr>
            </w:pPr>
          </w:p>
        </w:tc>
        <w:tc>
          <w:tcPr>
            <w:tcW w:w="1420" w:type="dxa"/>
            <w:vAlign w:val="bottom"/>
            <w:tcBorders>
              <w:bottom w:val="single" w:sz="8" w:color="17385E"/>
            </w:tcBorders>
            <w:gridSpan w:val="3"/>
          </w:tcPr>
          <w:p>
            <w:pPr>
              <w:jc w:val="center"/>
              <w:ind w:left="367"/>
              <w:spacing w:after="0"/>
              <w:rPr>
                <w:sz w:val="20"/>
                <w:szCs w:val="20"/>
                <w:color w:val="auto"/>
              </w:rPr>
            </w:pPr>
            <w:r>
              <w:rPr>
                <w:rFonts w:ascii="Arial" w:cs="Arial" w:eastAsia="Arial" w:hAnsi="Arial"/>
                <w:sz w:val="13"/>
                <w:szCs w:val="13"/>
                <w:color w:val="auto"/>
                <w:w w:val="97"/>
              </w:rPr>
              <w:t>prices)</w:t>
            </w:r>
          </w:p>
        </w:tc>
        <w:tc>
          <w:tcPr>
            <w:tcW w:w="580" w:type="dxa"/>
            <w:vAlign w:val="bottom"/>
            <w:tcBorders>
              <w:bottom w:val="single" w:sz="8" w:color="17385E"/>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17385E"/>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17385E"/>
            </w:tcBorders>
          </w:tcPr>
          <w:p>
            <w:pPr>
              <w:spacing w:after="0"/>
              <w:rPr>
                <w:sz w:val="16"/>
                <w:szCs w:val="16"/>
                <w:color w:val="auto"/>
              </w:rPr>
            </w:pPr>
          </w:p>
        </w:tc>
        <w:tc>
          <w:tcPr>
            <w:tcW w:w="120" w:type="dxa"/>
            <w:vAlign w:val="bottom"/>
            <w:tcBorders>
              <w:bottom w:val="single" w:sz="8" w:color="17385E"/>
            </w:tcBorders>
          </w:tcPr>
          <w:p>
            <w:pPr>
              <w:spacing w:after="0"/>
              <w:rPr>
                <w:sz w:val="16"/>
                <w:szCs w:val="16"/>
                <w:color w:val="auto"/>
              </w:rPr>
            </w:pPr>
          </w:p>
        </w:tc>
        <w:tc>
          <w:tcPr>
            <w:tcW w:w="1380" w:type="dxa"/>
            <w:vAlign w:val="bottom"/>
            <w:tcBorders>
              <w:bottom w:val="single" w:sz="8" w:color="17385E"/>
            </w:tcBorders>
            <w:gridSpan w:val="3"/>
          </w:tcPr>
          <w:p>
            <w:pPr>
              <w:jc w:val="center"/>
              <w:ind w:left="367"/>
              <w:spacing w:after="0"/>
              <w:rPr>
                <w:sz w:val="20"/>
                <w:szCs w:val="20"/>
                <w:color w:val="auto"/>
              </w:rPr>
            </w:pPr>
            <w:r>
              <w:rPr>
                <w:rFonts w:ascii="Arial" w:cs="Arial" w:eastAsia="Arial" w:hAnsi="Arial"/>
                <w:sz w:val="13"/>
                <w:szCs w:val="13"/>
                <w:color w:val="auto"/>
                <w:w w:val="97"/>
              </w:rPr>
              <w:t>prices)</w:t>
            </w:r>
          </w:p>
        </w:tc>
        <w:tc>
          <w:tcPr>
            <w:tcW w:w="560" w:type="dxa"/>
            <w:vAlign w:val="bottom"/>
            <w:tcBorders>
              <w:bottom w:val="single" w:sz="8" w:color="17385E"/>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17385E"/>
            </w:tcBorders>
          </w:tcPr>
          <w:p>
            <w:pPr>
              <w:spacing w:after="0"/>
              <w:rPr>
                <w:sz w:val="16"/>
                <w:szCs w:val="16"/>
                <w:color w:val="auto"/>
              </w:rPr>
            </w:pPr>
          </w:p>
        </w:tc>
        <w:tc>
          <w:tcPr>
            <w:tcW w:w="140" w:type="dxa"/>
            <w:vAlign w:val="bottom"/>
          </w:tcPr>
          <w:p>
            <w:pPr>
              <w:spacing w:after="0"/>
              <w:rPr>
                <w:sz w:val="16"/>
                <w:szCs w:val="16"/>
                <w:color w:val="auto"/>
              </w:rPr>
            </w:pPr>
          </w:p>
        </w:tc>
      </w:tr>
      <w:tr>
        <w:trPr>
          <w:trHeight w:val="200"/>
        </w:trPr>
        <w:tc>
          <w:tcPr>
            <w:tcW w:w="4340" w:type="dxa"/>
            <w:vAlign w:val="bottom"/>
          </w:tcPr>
          <w:p>
            <w:pPr>
              <w:ind w:left="20"/>
              <w:spacing w:after="0"/>
              <w:rPr>
                <w:sz w:val="20"/>
                <w:szCs w:val="20"/>
                <w:color w:val="auto"/>
              </w:rPr>
            </w:pPr>
            <w:r>
              <w:rPr>
                <w:rFonts w:ascii="Arial" w:cs="Arial" w:eastAsia="Arial" w:hAnsi="Arial"/>
                <w:sz w:val="16"/>
                <w:szCs w:val="16"/>
                <w:color w:val="004483"/>
              </w:rPr>
              <w:t>Gross Revenue, as reported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69,613</w:t>
            </w:r>
          </w:p>
        </w:tc>
        <w:tc>
          <w:tcPr>
            <w:tcW w:w="6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52,750</w:t>
            </w:r>
          </w:p>
        </w:tc>
        <w:tc>
          <w:tcPr>
            <w:tcW w:w="120" w:type="dxa"/>
            <w:vAlign w:val="bottom"/>
          </w:tcPr>
          <w:p>
            <w:pPr>
              <w:spacing w:after="0"/>
              <w:rPr>
                <w:sz w:val="17"/>
                <w:szCs w:val="17"/>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6"/>
                <w:szCs w:val="16"/>
                <w:color w:val="auto"/>
              </w:rPr>
              <w:t>32 % $</w:t>
            </w:r>
          </w:p>
        </w:tc>
        <w:tc>
          <w:tcPr>
            <w:tcW w:w="780" w:type="dxa"/>
            <w:vAlign w:val="bottom"/>
          </w:tcPr>
          <w:p>
            <w:pPr>
              <w:jc w:val="right"/>
              <w:spacing w:after="0"/>
              <w:rPr>
                <w:sz w:val="20"/>
                <w:szCs w:val="20"/>
                <w:color w:val="auto"/>
              </w:rPr>
            </w:pPr>
            <w:r>
              <w:rPr>
                <w:rFonts w:ascii="Arial" w:cs="Arial" w:eastAsia="Arial" w:hAnsi="Arial"/>
                <w:sz w:val="16"/>
                <w:szCs w:val="16"/>
                <w:color w:val="auto"/>
              </w:rPr>
              <w:t>131,231</w:t>
            </w: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97,504</w:t>
            </w:r>
          </w:p>
        </w:tc>
        <w:tc>
          <w:tcPr>
            <w:tcW w:w="10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35 %</w:t>
            </w:r>
          </w:p>
        </w:tc>
      </w:tr>
      <w:tr>
        <w:trPr>
          <w:trHeight w:val="199"/>
        </w:trPr>
        <w:tc>
          <w:tcPr>
            <w:tcW w:w="4340" w:type="dxa"/>
            <w:vAlign w:val="bottom"/>
            <w:tcBorders>
              <w:top w:val="single" w:sz="8" w:color="A6A6A6"/>
              <w:bottom w:val="single" w:sz="8" w:color="A6A6A6"/>
            </w:tcBorders>
          </w:tcPr>
          <w:p>
            <w:pPr>
              <w:spacing w:after="0"/>
              <w:rPr>
                <w:sz w:val="17"/>
                <w:szCs w:val="17"/>
                <w:color w:val="auto"/>
              </w:rPr>
            </w:pPr>
          </w:p>
        </w:tc>
        <w:tc>
          <w:tcPr>
            <w:tcW w:w="140" w:type="dxa"/>
            <w:vAlign w:val="bottom"/>
            <w:tcBorders>
              <w:top w:val="single" w:sz="8" w:color="A6A6A6"/>
              <w:bottom w:val="single" w:sz="8" w:color="A6A6A6"/>
            </w:tcBorders>
          </w:tcPr>
          <w:p>
            <w:pPr>
              <w:spacing w:after="0"/>
              <w:rPr>
                <w:sz w:val="17"/>
                <w:szCs w:val="17"/>
                <w:color w:val="auto"/>
              </w:rPr>
            </w:pPr>
          </w:p>
        </w:tc>
        <w:tc>
          <w:tcPr>
            <w:tcW w:w="800" w:type="dxa"/>
            <w:vAlign w:val="bottom"/>
            <w:tcBorders>
              <w:top w:val="single" w:sz="8" w:color="A6A6A6"/>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6A6A6"/>
              <w:bottom w:val="single" w:sz="8" w:color="A6A6A6"/>
            </w:tcBorders>
          </w:tcPr>
          <w:p>
            <w:pPr>
              <w:spacing w:after="0"/>
              <w:rPr>
                <w:sz w:val="17"/>
                <w:szCs w:val="17"/>
                <w:color w:val="auto"/>
              </w:rPr>
            </w:pPr>
          </w:p>
        </w:tc>
        <w:tc>
          <w:tcPr>
            <w:tcW w:w="580" w:type="dxa"/>
            <w:vAlign w:val="bottom"/>
            <w:tcBorders>
              <w:top w:val="single" w:sz="8" w:color="A6A6A6"/>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6A6A6"/>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6A6A6"/>
              <w:bottom w:val="single" w:sz="8" w:color="A6A6A6"/>
            </w:tcBorders>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780" w:type="dxa"/>
            <w:vAlign w:val="bottom"/>
            <w:tcBorders>
              <w:top w:val="single" w:sz="8" w:color="A6A6A6"/>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6A6A6"/>
              <w:bottom w:val="single" w:sz="8" w:color="A6A6A6"/>
            </w:tcBorders>
          </w:tcPr>
          <w:p>
            <w:pPr>
              <w:spacing w:after="0"/>
              <w:rPr>
                <w:sz w:val="17"/>
                <w:szCs w:val="17"/>
                <w:color w:val="auto"/>
              </w:rPr>
            </w:pPr>
          </w:p>
        </w:tc>
        <w:tc>
          <w:tcPr>
            <w:tcW w:w="560" w:type="dxa"/>
            <w:vAlign w:val="bottom"/>
            <w:tcBorders>
              <w:top w:val="single" w:sz="8" w:color="A6A6A6"/>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6A6A6"/>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r>
      <w:tr>
        <w:trPr>
          <w:trHeight w:val="193"/>
        </w:trPr>
        <w:tc>
          <w:tcPr>
            <w:tcW w:w="434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Sales Volume</w:t>
            </w:r>
          </w:p>
        </w:tc>
        <w:tc>
          <w:tcPr>
            <w:tcW w:w="140" w:type="dxa"/>
            <w:vAlign w:val="bottom"/>
            <w:tcBorders>
              <w:bottom w:val="single" w:sz="8" w:color="A6A6A6"/>
            </w:tcBorders>
          </w:tcPr>
          <w:p>
            <w:pPr>
              <w:spacing w:after="0"/>
              <w:rPr>
                <w:sz w:val="16"/>
                <w:szCs w:val="16"/>
                <w:color w:val="auto"/>
              </w:rPr>
            </w:pPr>
          </w:p>
        </w:tc>
        <w:tc>
          <w:tcPr>
            <w:tcW w:w="80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Borders>
              <w:bottom w:val="single" w:sz="8" w:color="A6A6A6"/>
            </w:tcBorders>
          </w:tcPr>
          <w:p>
            <w:pPr>
              <w:spacing w:after="0"/>
              <w:rPr>
                <w:sz w:val="16"/>
                <w:szCs w:val="16"/>
                <w:color w:val="auto"/>
              </w:rPr>
            </w:pPr>
          </w:p>
        </w:tc>
        <w:tc>
          <w:tcPr>
            <w:tcW w:w="58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120" w:type="dxa"/>
            <w:vAlign w:val="bottom"/>
            <w:tcBorders>
              <w:bottom w:val="single" w:sz="8" w:color="A6A6A6"/>
            </w:tcBorders>
          </w:tcPr>
          <w:p>
            <w:pPr>
              <w:spacing w:after="0"/>
              <w:rPr>
                <w:sz w:val="16"/>
                <w:szCs w:val="16"/>
                <w:color w:val="auto"/>
              </w:rPr>
            </w:pPr>
          </w:p>
        </w:tc>
        <w:tc>
          <w:tcPr>
            <w:tcW w:w="780" w:type="dxa"/>
            <w:vAlign w:val="bottom"/>
            <w:tcBorders>
              <w:bottom w:val="single" w:sz="8" w:color="A6A6A6"/>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6A6A6"/>
            </w:tcBorders>
          </w:tcPr>
          <w:p>
            <w:pPr>
              <w:spacing w:after="0"/>
              <w:rPr>
                <w:sz w:val="16"/>
                <w:szCs w:val="16"/>
                <w:color w:val="auto"/>
              </w:rPr>
            </w:pPr>
          </w:p>
        </w:tc>
        <w:tc>
          <w:tcPr>
            <w:tcW w:w="560" w:type="dxa"/>
            <w:vAlign w:val="bottom"/>
            <w:tcBorders>
              <w:bottom w:val="single" w:sz="8" w:color="A6A6A6"/>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6A6A6"/>
            </w:tcBorders>
          </w:tcPr>
          <w:p>
            <w:pPr>
              <w:spacing w:after="0"/>
              <w:rPr>
                <w:sz w:val="16"/>
                <w:szCs w:val="16"/>
                <w:color w:val="auto"/>
              </w:rPr>
            </w:pPr>
          </w:p>
        </w:tc>
        <w:tc>
          <w:tcPr>
            <w:tcW w:w="140" w:type="dxa"/>
            <w:vAlign w:val="bottom"/>
          </w:tcPr>
          <w:p>
            <w:pPr>
              <w:spacing w:after="0"/>
              <w:rPr>
                <w:sz w:val="16"/>
                <w:szCs w:val="16"/>
                <w:color w:val="auto"/>
              </w:rPr>
            </w:pPr>
          </w:p>
        </w:tc>
      </w:tr>
      <w:tr>
        <w:trPr>
          <w:trHeight w:val="196"/>
        </w:trPr>
        <w:tc>
          <w:tcPr>
            <w:tcW w:w="4340" w:type="dxa"/>
            <w:vAlign w:val="bottom"/>
          </w:tcPr>
          <w:p>
            <w:pPr>
              <w:ind w:left="200"/>
              <w:spacing w:after="0"/>
              <w:rPr>
                <w:sz w:val="20"/>
                <w:szCs w:val="20"/>
                <w:color w:val="auto"/>
              </w:rPr>
            </w:pPr>
            <w:r>
              <w:rPr>
                <w:rFonts w:ascii="Arial" w:cs="Arial" w:eastAsia="Arial" w:hAnsi="Arial"/>
                <w:sz w:val="16"/>
                <w:szCs w:val="16"/>
                <w:color w:val="004483"/>
              </w:rPr>
              <w:t>M Cubic Yards of Concrete</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17"/>
                <w:szCs w:val="17"/>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15 %</w:t>
            </w:r>
          </w:p>
        </w:tc>
      </w:tr>
      <w:tr>
        <w:trPr>
          <w:trHeight w:val="20"/>
        </w:trPr>
        <w:tc>
          <w:tcPr>
            <w:tcW w:w="4340" w:type="dxa"/>
            <w:vAlign w:val="bottom"/>
            <w:shd w:val="clear" w:color="auto" w:fill="A6A6A6"/>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4340" w:type="dxa"/>
            <w:vAlign w:val="bottom"/>
          </w:tcPr>
          <w:p>
            <w:pPr>
              <w:ind w:left="200"/>
              <w:spacing w:after="0"/>
              <w:rPr>
                <w:sz w:val="20"/>
                <w:szCs w:val="20"/>
                <w:color w:val="auto"/>
              </w:rPr>
            </w:pPr>
            <w:r>
              <w:rPr>
                <w:rFonts w:ascii="Arial" w:cs="Arial" w:eastAsia="Arial" w:hAnsi="Arial"/>
                <w:sz w:val="16"/>
                <w:szCs w:val="16"/>
                <w:color w:val="004483"/>
              </w:rPr>
              <w:t>M Tons of Aggregate</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912</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17"/>
                <w:szCs w:val="17"/>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90 %</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1,707</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842</w:t>
            </w:r>
          </w:p>
        </w:tc>
        <w:tc>
          <w:tcPr>
            <w:tcW w:w="10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103 %</w:t>
            </w:r>
          </w:p>
        </w:tc>
      </w:tr>
      <w:tr>
        <w:trPr>
          <w:trHeight w:val="196"/>
        </w:trPr>
        <w:tc>
          <w:tcPr>
            <w:tcW w:w="43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Average Net Sales Price</w:t>
            </w:r>
          </w:p>
        </w:tc>
        <w:tc>
          <w:tcPr>
            <w:tcW w:w="140" w:type="dxa"/>
            <w:vAlign w:val="bottom"/>
            <w:tcBorders>
              <w:top w:val="single" w:sz="8" w:color="A6A6A6"/>
              <w:bottom w:val="single" w:sz="8" w:color="A6A6A6"/>
            </w:tcBorders>
          </w:tcPr>
          <w:p>
            <w:pPr>
              <w:spacing w:after="0"/>
              <w:rPr>
                <w:sz w:val="17"/>
                <w:szCs w:val="17"/>
                <w:color w:val="auto"/>
              </w:rPr>
            </w:pPr>
          </w:p>
        </w:tc>
        <w:tc>
          <w:tcPr>
            <w:tcW w:w="800" w:type="dxa"/>
            <w:vAlign w:val="bottom"/>
            <w:tcBorders>
              <w:top w:val="single" w:sz="8" w:color="A6A6A6"/>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6A6A6"/>
              <w:bottom w:val="single" w:sz="8" w:color="A6A6A6"/>
            </w:tcBorders>
          </w:tcPr>
          <w:p>
            <w:pPr>
              <w:spacing w:after="0"/>
              <w:rPr>
                <w:sz w:val="17"/>
                <w:szCs w:val="17"/>
                <w:color w:val="auto"/>
              </w:rPr>
            </w:pPr>
          </w:p>
        </w:tc>
        <w:tc>
          <w:tcPr>
            <w:tcW w:w="580" w:type="dxa"/>
            <w:vAlign w:val="bottom"/>
            <w:tcBorders>
              <w:top w:val="single" w:sz="8" w:color="A6A6A6"/>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6A6A6"/>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6A6A6"/>
              <w:bottom w:val="single" w:sz="8" w:color="A6A6A6"/>
            </w:tcBorders>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780" w:type="dxa"/>
            <w:vAlign w:val="bottom"/>
            <w:tcBorders>
              <w:top w:val="single" w:sz="8" w:color="A6A6A6"/>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6A6A6"/>
              <w:bottom w:val="single" w:sz="8" w:color="A6A6A6"/>
            </w:tcBorders>
          </w:tcPr>
          <w:p>
            <w:pPr>
              <w:spacing w:after="0"/>
              <w:rPr>
                <w:sz w:val="17"/>
                <w:szCs w:val="17"/>
                <w:color w:val="auto"/>
              </w:rPr>
            </w:pPr>
          </w:p>
        </w:tc>
        <w:tc>
          <w:tcPr>
            <w:tcW w:w="560" w:type="dxa"/>
            <w:vAlign w:val="bottom"/>
            <w:tcBorders>
              <w:top w:val="single" w:sz="8" w:color="A6A6A6"/>
              <w:bottom w:val="single" w:sz="8" w:color="A6A6A6"/>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6A6A6"/>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4340" w:type="dxa"/>
            <w:vAlign w:val="bottom"/>
          </w:tcPr>
          <w:p>
            <w:pPr>
              <w:ind w:left="200"/>
              <w:spacing w:after="0"/>
              <w:rPr>
                <w:sz w:val="20"/>
                <w:szCs w:val="20"/>
                <w:color w:val="auto"/>
              </w:rPr>
            </w:pPr>
            <w:r>
              <w:rPr>
                <w:rFonts w:ascii="Arial" w:cs="Arial" w:eastAsia="Arial" w:hAnsi="Arial"/>
                <w:sz w:val="16"/>
                <w:szCs w:val="16"/>
                <w:color w:val="004483"/>
              </w:rPr>
              <w:t>Concrete - Per Cubic Yard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134.28</w:t>
            </w:r>
          </w:p>
        </w:tc>
        <w:tc>
          <w:tcPr>
            <w:tcW w:w="120" w:type="dxa"/>
            <w:vAlign w:val="bottom"/>
          </w:tcPr>
          <w:p>
            <w:pPr>
              <w:spacing w:after="0"/>
              <w:rPr>
                <w:sz w:val="17"/>
                <w:szCs w:val="17"/>
                <w:color w:val="auto"/>
              </w:rPr>
            </w:pP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120.15</w:t>
            </w:r>
          </w:p>
        </w:tc>
        <w:tc>
          <w:tcPr>
            <w:tcW w:w="120" w:type="dxa"/>
            <w:vAlign w:val="bottom"/>
          </w:tcPr>
          <w:p>
            <w:pPr>
              <w:spacing w:after="0"/>
              <w:rPr>
                <w:sz w:val="17"/>
                <w:szCs w:val="17"/>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6"/>
                <w:szCs w:val="16"/>
                <w:color w:val="auto"/>
              </w:rPr>
              <w:t>12 % $</w:t>
            </w:r>
          </w:p>
        </w:tc>
        <w:tc>
          <w:tcPr>
            <w:tcW w:w="780" w:type="dxa"/>
            <w:vAlign w:val="bottom"/>
          </w:tcPr>
          <w:p>
            <w:pPr>
              <w:jc w:val="right"/>
              <w:spacing w:after="0"/>
              <w:rPr>
                <w:sz w:val="20"/>
                <w:szCs w:val="20"/>
                <w:color w:val="auto"/>
              </w:rPr>
            </w:pPr>
            <w:r>
              <w:rPr>
                <w:rFonts w:ascii="Arial" w:cs="Arial" w:eastAsia="Arial" w:hAnsi="Arial"/>
                <w:sz w:val="16"/>
                <w:szCs w:val="16"/>
                <w:color w:val="auto"/>
              </w:rPr>
              <w:t>131.65</w:t>
            </w: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119.23</w:t>
            </w:r>
          </w:p>
        </w:tc>
        <w:tc>
          <w:tcPr>
            <w:tcW w:w="10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10 %</w:t>
            </w:r>
          </w:p>
        </w:tc>
      </w:tr>
      <w:tr>
        <w:trPr>
          <w:trHeight w:val="20"/>
        </w:trPr>
        <w:tc>
          <w:tcPr>
            <w:tcW w:w="4340" w:type="dxa"/>
            <w:vAlign w:val="bottom"/>
            <w:shd w:val="clear" w:color="auto" w:fill="A6A6A6"/>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4340" w:type="dxa"/>
            <w:vAlign w:val="bottom"/>
          </w:tcPr>
          <w:p>
            <w:pPr>
              <w:ind w:left="200"/>
              <w:spacing w:after="0"/>
              <w:rPr>
                <w:sz w:val="20"/>
                <w:szCs w:val="20"/>
                <w:color w:val="auto"/>
              </w:rPr>
            </w:pPr>
            <w:r>
              <w:rPr>
                <w:rFonts w:ascii="Arial" w:cs="Arial" w:eastAsia="Arial" w:hAnsi="Arial"/>
                <w:sz w:val="16"/>
                <w:szCs w:val="16"/>
                <w:color w:val="004483"/>
              </w:rPr>
              <w:t>Aggregates - Per Ton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10.87</w:t>
            </w:r>
          </w:p>
        </w:tc>
        <w:tc>
          <w:tcPr>
            <w:tcW w:w="120" w:type="dxa"/>
            <w:vAlign w:val="bottom"/>
          </w:tcPr>
          <w:p>
            <w:pPr>
              <w:spacing w:after="0"/>
              <w:rPr>
                <w:sz w:val="17"/>
                <w:szCs w:val="17"/>
                <w:color w:val="auto"/>
              </w:rPr>
            </w:pP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10.40</w:t>
            </w:r>
          </w:p>
        </w:tc>
        <w:tc>
          <w:tcPr>
            <w:tcW w:w="120" w:type="dxa"/>
            <w:vAlign w:val="bottom"/>
          </w:tcPr>
          <w:p>
            <w:pPr>
              <w:spacing w:after="0"/>
              <w:rPr>
                <w:sz w:val="17"/>
                <w:szCs w:val="17"/>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6"/>
                <w:szCs w:val="16"/>
                <w:color w:val="auto"/>
              </w:rPr>
              <w:t>5 % $</w:t>
            </w:r>
          </w:p>
        </w:tc>
        <w:tc>
          <w:tcPr>
            <w:tcW w:w="780" w:type="dxa"/>
            <w:vAlign w:val="bottom"/>
          </w:tcPr>
          <w:p>
            <w:pPr>
              <w:jc w:val="right"/>
              <w:spacing w:after="0"/>
              <w:rPr>
                <w:sz w:val="20"/>
                <w:szCs w:val="20"/>
                <w:color w:val="auto"/>
              </w:rPr>
            </w:pPr>
            <w:r>
              <w:rPr>
                <w:rFonts w:ascii="Arial" w:cs="Arial" w:eastAsia="Arial" w:hAnsi="Arial"/>
                <w:sz w:val="16"/>
                <w:szCs w:val="16"/>
                <w:color w:val="auto"/>
              </w:rPr>
              <w:t>11.05</w:t>
            </w: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8 %</w:t>
            </w:r>
          </w:p>
        </w:tc>
      </w:tr>
      <w:tr>
        <w:trPr>
          <w:trHeight w:val="212"/>
        </w:trPr>
        <w:tc>
          <w:tcPr>
            <w:tcW w:w="4340" w:type="dxa"/>
            <w:vAlign w:val="bottom"/>
            <w:tcBorders>
              <w:top w:val="single" w:sz="8" w:color="A6A6A6"/>
              <w:bottom w:val="single" w:sz="8" w:color="A6A6A6"/>
            </w:tcBorders>
          </w:tcPr>
          <w:p>
            <w:pPr>
              <w:spacing w:after="0"/>
              <w:rPr>
                <w:sz w:val="18"/>
                <w:szCs w:val="18"/>
                <w:color w:val="auto"/>
              </w:rPr>
            </w:pPr>
          </w:p>
        </w:tc>
        <w:tc>
          <w:tcPr>
            <w:tcW w:w="140" w:type="dxa"/>
            <w:vAlign w:val="bottom"/>
            <w:tcBorders>
              <w:top w:val="single" w:sz="8" w:color="A6A6A6"/>
              <w:bottom w:val="single" w:sz="8" w:color="A6A6A6"/>
            </w:tcBorders>
          </w:tcPr>
          <w:p>
            <w:pPr>
              <w:spacing w:after="0"/>
              <w:rPr>
                <w:sz w:val="18"/>
                <w:szCs w:val="18"/>
                <w:color w:val="auto"/>
              </w:rPr>
            </w:pPr>
          </w:p>
        </w:tc>
        <w:tc>
          <w:tcPr>
            <w:tcW w:w="80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6A6A6"/>
              <w:bottom w:val="single" w:sz="8" w:color="A6A6A6"/>
            </w:tcBorders>
          </w:tcPr>
          <w:p>
            <w:pPr>
              <w:spacing w:after="0"/>
              <w:rPr>
                <w:sz w:val="18"/>
                <w:szCs w:val="18"/>
                <w:color w:val="auto"/>
              </w:rPr>
            </w:pPr>
          </w:p>
        </w:tc>
        <w:tc>
          <w:tcPr>
            <w:tcW w:w="58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6A6A6"/>
              <w:bottom w:val="single" w:sz="8" w:color="A6A6A6"/>
            </w:tcBorders>
            <w:gridSpan w:val="2"/>
          </w:tcPr>
          <w:p>
            <w:pPr>
              <w:spacing w:after="0"/>
              <w:rPr>
                <w:sz w:val="18"/>
                <w:szCs w:val="18"/>
                <w:color w:val="auto"/>
              </w:rPr>
            </w:pPr>
          </w:p>
        </w:tc>
        <w:tc>
          <w:tcPr>
            <w:tcW w:w="780" w:type="dxa"/>
            <w:vAlign w:val="bottom"/>
            <w:tcBorders>
              <w:top w:val="single" w:sz="8" w:color="A6A6A6"/>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6A6A6"/>
              <w:bottom w:val="single" w:sz="8" w:color="A6A6A6"/>
            </w:tcBorders>
          </w:tcPr>
          <w:p>
            <w:pPr>
              <w:spacing w:after="0"/>
              <w:rPr>
                <w:sz w:val="18"/>
                <w:szCs w:val="18"/>
                <w:color w:val="auto"/>
              </w:rPr>
            </w:pPr>
          </w:p>
        </w:tc>
        <w:tc>
          <w:tcPr>
            <w:tcW w:w="560" w:type="dxa"/>
            <w:vAlign w:val="bottom"/>
            <w:tcBorders>
              <w:top w:val="single" w:sz="8" w:color="A6A6A6"/>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6A6A6"/>
              <w:bottom w:val="single" w:sz="8" w:color="A6A6A6"/>
            </w:tcBorders>
          </w:tcPr>
          <w:p>
            <w:pPr>
              <w:spacing w:after="0"/>
              <w:rPr>
                <w:sz w:val="18"/>
                <w:szCs w:val="18"/>
                <w:color w:val="auto"/>
              </w:rPr>
            </w:pPr>
          </w:p>
        </w:tc>
        <w:tc>
          <w:tcPr>
            <w:tcW w:w="140" w:type="dxa"/>
            <w:vAlign w:val="bottom"/>
          </w:tcPr>
          <w:p>
            <w:pPr>
              <w:spacing w:after="0"/>
              <w:rPr>
                <w:sz w:val="18"/>
                <w:szCs w:val="18"/>
                <w:color w:val="auto"/>
              </w:rPr>
            </w:pPr>
          </w:p>
        </w:tc>
      </w:tr>
      <w:tr>
        <w:trPr>
          <w:trHeight w:val="193"/>
        </w:trPr>
        <w:tc>
          <w:tcPr>
            <w:tcW w:w="4340" w:type="dxa"/>
            <w:vAlign w:val="bottom"/>
          </w:tcPr>
          <w:p>
            <w:pPr>
              <w:ind w:left="20"/>
              <w:spacing w:after="0"/>
              <w:rPr>
                <w:sz w:val="20"/>
                <w:szCs w:val="20"/>
                <w:color w:val="auto"/>
              </w:rPr>
            </w:pPr>
            <w:r>
              <w:rPr>
                <w:rFonts w:ascii="Arial" w:cs="Arial" w:eastAsia="Arial" w:hAnsi="Arial"/>
                <w:sz w:val="16"/>
                <w:szCs w:val="16"/>
                <w:color w:val="004483"/>
              </w:rPr>
              <w:t>Operating Earnings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7,276</w:t>
            </w:r>
          </w:p>
        </w:tc>
        <w:tc>
          <w:tcPr>
            <w:tcW w:w="120" w:type="dxa"/>
            <w:vAlign w:val="bottom"/>
          </w:tcPr>
          <w:p>
            <w:pPr>
              <w:spacing w:after="0"/>
              <w:rPr>
                <w:sz w:val="16"/>
                <w:szCs w:val="16"/>
                <w:color w:val="auto"/>
              </w:rPr>
            </w:pP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7,539</w:t>
            </w:r>
          </w:p>
        </w:tc>
        <w:tc>
          <w:tcPr>
            <w:tcW w:w="120" w:type="dxa"/>
            <w:vAlign w:val="bottom"/>
          </w:tcPr>
          <w:p>
            <w:pPr>
              <w:spacing w:after="0"/>
              <w:rPr>
                <w:sz w:val="16"/>
                <w:szCs w:val="16"/>
                <w:color w:val="auto"/>
              </w:rPr>
            </w:pPr>
          </w:p>
        </w:tc>
        <w:tc>
          <w:tcPr>
            <w:tcW w:w="1480" w:type="dxa"/>
            <w:vAlign w:val="bottom"/>
            <w:gridSpan w:val="4"/>
          </w:tcPr>
          <w:p>
            <w:pPr>
              <w:jc w:val="right"/>
              <w:ind w:right="20"/>
              <w:spacing w:after="0"/>
              <w:rPr>
                <w:sz w:val="20"/>
                <w:szCs w:val="20"/>
                <w:color w:val="auto"/>
              </w:rPr>
            </w:pPr>
            <w:r>
              <w:rPr>
                <w:rFonts w:ascii="Arial" w:cs="Arial" w:eastAsia="Arial" w:hAnsi="Arial"/>
                <w:sz w:val="16"/>
                <w:szCs w:val="16"/>
                <w:color w:val="auto"/>
              </w:rPr>
              <w:t>(3 )% $</w:t>
            </w:r>
          </w:p>
        </w:tc>
        <w:tc>
          <w:tcPr>
            <w:tcW w:w="780" w:type="dxa"/>
            <w:vAlign w:val="bottom"/>
          </w:tcPr>
          <w:p>
            <w:pPr>
              <w:jc w:val="right"/>
              <w:spacing w:after="0"/>
              <w:rPr>
                <w:sz w:val="20"/>
                <w:szCs w:val="20"/>
                <w:color w:val="auto"/>
              </w:rPr>
            </w:pPr>
            <w:r>
              <w:rPr>
                <w:rFonts w:ascii="Arial" w:cs="Arial" w:eastAsia="Arial" w:hAnsi="Arial"/>
                <w:sz w:val="16"/>
                <w:szCs w:val="16"/>
                <w:color w:val="auto"/>
              </w:rPr>
              <w:t>13,008</w:t>
            </w:r>
          </w:p>
        </w:tc>
        <w:tc>
          <w:tcPr>
            <w:tcW w:w="6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12,883</w:t>
            </w:r>
          </w:p>
        </w:tc>
        <w:tc>
          <w:tcPr>
            <w:tcW w:w="10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0"/>
        </w:trPr>
        <w:tc>
          <w:tcPr>
            <w:tcW w:w="4340" w:type="dxa"/>
            <w:vAlign w:val="bottom"/>
            <w:shd w:val="clear" w:color="auto" w:fill="A6A6A6"/>
          </w:tcPr>
          <w:p>
            <w:pPr>
              <w:spacing w:after="0" w:line="20" w:lineRule="exact"/>
              <w:rPr>
                <w:sz w:val="1"/>
                <w:szCs w:val="1"/>
                <w:color w:val="auto"/>
              </w:rPr>
            </w:pPr>
          </w:p>
        </w:tc>
        <w:tc>
          <w:tcPr>
            <w:tcW w:w="140" w:type="dxa"/>
            <w:vAlign w:val="bottom"/>
            <w:shd w:val="clear" w:color="auto" w:fill="A6A6A6"/>
          </w:tcPr>
          <w:p>
            <w:pPr>
              <w:spacing w:after="0" w:line="20" w:lineRule="exact"/>
              <w:rPr>
                <w:sz w:val="1"/>
                <w:szCs w:val="1"/>
                <w:color w:val="auto"/>
              </w:rPr>
            </w:pPr>
          </w:p>
        </w:tc>
        <w:tc>
          <w:tcPr>
            <w:tcW w:w="8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A6A6A6"/>
          </w:tcPr>
          <w:p>
            <w:pPr>
              <w:spacing w:after="0" w:line="20" w:lineRule="exact"/>
              <w:rPr>
                <w:sz w:val="1"/>
                <w:szCs w:val="1"/>
                <w:color w:val="auto"/>
              </w:rPr>
            </w:pPr>
          </w:p>
        </w:tc>
        <w:tc>
          <w:tcPr>
            <w:tcW w:w="5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7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A6A6A6"/>
          </w:tcPr>
          <w:p>
            <w:pPr>
              <w:spacing w:after="0" w:line="20" w:lineRule="exact"/>
              <w:rPr>
                <w:sz w:val="1"/>
                <w:szCs w:val="1"/>
                <w:color w:val="auto"/>
              </w:rPr>
            </w:pPr>
          </w:p>
        </w:tc>
        <w:tc>
          <w:tcPr>
            <w:tcW w:w="56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-1791335</wp:posOffset>
            </wp:positionV>
            <wp:extent cx="76835" cy="17919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179197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-1791335</wp:posOffset>
            </wp:positionV>
            <wp:extent cx="68580" cy="17919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79197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w:t>
      </w:r>
    </w:p>
    <w:p>
      <w:pPr>
        <w:spacing w:after="0" w:line="166"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color w:val="auto"/>
        </w:rPr>
        <w:t>Concrete and Aggregates Revenue increased 32% to $69.6 million for the three months ended September 30, 2022. The ConAgg Acquisition contributed $13.9 million of Revenue during the three months ended September 30, 2022. Excluding the ConAgg Acquisition, Revenue increased by $2.9 million, or 5%. The increase was due to higher gross sales prices, which improved Revenue by $5.3 million, partially offset by lower Sales Volume, primarily in Concrete, of $2.4 million.</w:t>
      </w:r>
    </w:p>
    <w:p>
      <w:pPr>
        <w:spacing w:after="0" w:line="97"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Operating Earnings decreased 3% to approximately $7.3 million. Excluding the ConAgg Acquisition, Operating Earnings decreased by $2.0 million to $5.5 million. The decrease in Operating Earnings was due to increased operating costs and lower Sales Volume of $7.0 million and $0.3 million, respectively. This was partially offset by higher gross sales prices of $5.3 million. The increase in operating costs was primarily due to higher materials and delivery expenses of approximately $3.6 million and $2.3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2022</w:t>
      </w:r>
    </w:p>
    <w:p>
      <w:pPr>
        <w:spacing w:after="0" w:line="166"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auto"/>
        </w:rPr>
        <w:t>Concrete and Aggregates Revenue increased 35% to $131.2 million for the six months ended September 30, 2022. The ConAgg Acquisition contributed $24.9 million of Revenue during the six months ended September 30, 2022. Excluding the ConAgg Acquisition, Revenue was up 9% to $8.8 million. The increase was due to higher gross sales prices and Sales Volume in Aggregates, which increased Revenue by $9.1 million and $1.1 million, respectively, partially offset by lower Sales Volume in Concrete of $1.4 million.</w:t>
      </w:r>
    </w:p>
    <w:p>
      <w:pPr>
        <w:spacing w:after="0" w:line="97"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auto"/>
        </w:rPr>
        <w:t>Operating Earnings decreased 1% to approximately $13.0 million. Excluding the ConAgg Acquisition, Operating Earnings decreased by $1.5 million to $11.4 million. The decline in Operating Earnings was due to increased operating costs of $10.6 million. This was partially offset by higher gross sales prices of $9.1 million. The increase in operating costs was primarily due to higher materials and delivery expenses of approximately $6.1 million and $3.7 million, respectively.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76" w:right="29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u w:val="single" w:color="auto"/>
          <w:color w:val="auto"/>
        </w:rPr>
        <w:t>Light Materials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GYPSUM WALLBOARD</w:t>
      </w:r>
    </w:p>
    <w:p>
      <w:pPr>
        <w:spacing w:after="0" w:line="9" w:lineRule="exact"/>
        <w:rPr>
          <w:sz w:val="20"/>
          <w:szCs w:val="20"/>
          <w:color w:val="auto"/>
        </w:rPr>
      </w:pPr>
    </w:p>
    <w:tbl>
      <w:tblPr>
        <w:tblLayout w:type="fixed"/>
        <w:tblInd w:w="4320" w:type="dxa"/>
        <w:tblCellMar>
          <w:top w:w="0" w:type="dxa"/>
          <w:left w:w="0" w:type="dxa"/>
          <w:bottom w:w="0" w:type="dxa"/>
          <w:right w:w="0" w:type="dxa"/>
        </w:tblCellMar>
      </w:tblPr>
      <w:tr>
        <w:trPr>
          <w:trHeight w:val="149"/>
        </w:trPr>
        <w:tc>
          <w:tcPr>
            <w:tcW w:w="2240" w:type="dxa"/>
            <w:vAlign w:val="bottom"/>
            <w:gridSpan w:val="3"/>
            <w:shd w:val="clear" w:color="auto" w:fill="004483"/>
          </w:tcPr>
          <w:p>
            <w:pPr>
              <w:ind w:left="200"/>
              <w:spacing w:after="0"/>
              <w:rPr>
                <w:sz w:val="20"/>
                <w:szCs w:val="20"/>
                <w:color w:val="auto"/>
              </w:rPr>
            </w:pPr>
            <w:r>
              <w:rPr>
                <w:rFonts w:ascii="Arial" w:cs="Arial" w:eastAsia="Arial" w:hAnsi="Arial"/>
                <w:sz w:val="13"/>
                <w:szCs w:val="13"/>
                <w:b w:val="1"/>
                <w:bCs w:val="1"/>
                <w:color w:val="FFFFFF"/>
              </w:rPr>
              <w:t>For the Three Months Ended</w:t>
            </w:r>
          </w:p>
        </w:tc>
        <w:tc>
          <w:tcPr>
            <w:tcW w:w="1300" w:type="dxa"/>
            <w:vAlign w:val="bottom"/>
          </w:tcPr>
          <w:p>
            <w:pPr>
              <w:spacing w:after="0"/>
              <w:rPr>
                <w:sz w:val="13"/>
                <w:szCs w:val="13"/>
                <w:color w:val="auto"/>
              </w:rPr>
            </w:pPr>
          </w:p>
        </w:tc>
        <w:tc>
          <w:tcPr>
            <w:tcW w:w="2160" w:type="dxa"/>
            <w:vAlign w:val="bottom"/>
            <w:gridSpan w:val="3"/>
            <w:shd w:val="clear" w:color="auto" w:fill="004483"/>
          </w:tcPr>
          <w:p>
            <w:pPr>
              <w:jc w:val="center"/>
              <w:ind w:right="140"/>
              <w:spacing w:after="0"/>
              <w:rPr>
                <w:sz w:val="20"/>
                <w:szCs w:val="20"/>
                <w:color w:val="auto"/>
              </w:rPr>
            </w:pPr>
            <w:r>
              <w:rPr>
                <w:rFonts w:ascii="Arial" w:cs="Arial" w:eastAsia="Arial" w:hAnsi="Arial"/>
                <w:sz w:val="13"/>
                <w:szCs w:val="13"/>
                <w:b w:val="1"/>
                <w:bCs w:val="1"/>
                <w:color w:val="FFFFFF"/>
                <w:w w:val="96"/>
              </w:rPr>
              <w:t>For the Six Months Ended</w:t>
            </w:r>
          </w:p>
        </w:tc>
        <w:tc>
          <w:tcPr>
            <w:tcW w:w="920" w:type="dxa"/>
            <w:vAlign w:val="bottom"/>
          </w:tcPr>
          <w:p>
            <w:pPr>
              <w:spacing w:after="0"/>
              <w:rPr>
                <w:sz w:val="13"/>
                <w:szCs w:val="13"/>
                <w:color w:val="auto"/>
              </w:rPr>
            </w:pPr>
          </w:p>
        </w:tc>
      </w:tr>
      <w:tr>
        <w:trPr>
          <w:trHeight w:val="177"/>
        </w:trPr>
        <w:tc>
          <w:tcPr>
            <w:tcW w:w="1660" w:type="dxa"/>
            <w:vAlign w:val="bottom"/>
            <w:tcBorders>
              <w:bottom w:val="single" w:sz="8" w:color="auto"/>
            </w:tcBorders>
            <w:shd w:val="clear" w:color="auto" w:fill="004483"/>
          </w:tcPr>
          <w:p>
            <w:pPr>
              <w:ind w:left="640"/>
              <w:spacing w:after="0"/>
              <w:rPr>
                <w:sz w:val="20"/>
                <w:szCs w:val="20"/>
                <w:color w:val="auto"/>
              </w:rPr>
            </w:pPr>
            <w:r>
              <w:rPr>
                <w:rFonts w:ascii="Arial" w:cs="Arial" w:eastAsia="Arial" w:hAnsi="Arial"/>
                <w:sz w:val="13"/>
                <w:szCs w:val="13"/>
                <w:b w:val="1"/>
                <w:bCs w:val="1"/>
                <w:color w:val="FFFFFF"/>
              </w:rPr>
              <w:t>September 30,</w:t>
            </w:r>
          </w:p>
        </w:tc>
        <w:tc>
          <w:tcPr>
            <w:tcW w:w="460" w:type="dxa"/>
            <w:vAlign w:val="bottom"/>
            <w:tcBorders>
              <w:bottom w:val="single" w:sz="8" w:color="auto"/>
            </w:tcBorders>
            <w:shd w:val="clear" w:color="auto" w:fill="004483"/>
          </w:tcPr>
          <w:p>
            <w:pPr>
              <w:spacing w:after="0"/>
              <w:rPr>
                <w:sz w:val="15"/>
                <w:szCs w:val="15"/>
                <w:color w:val="auto"/>
              </w:rPr>
            </w:pPr>
          </w:p>
        </w:tc>
        <w:tc>
          <w:tcPr>
            <w:tcW w:w="120" w:type="dxa"/>
            <w:vAlign w:val="bottom"/>
            <w:tcBorders>
              <w:bottom w:val="single" w:sz="8" w:color="004483"/>
            </w:tcBorders>
            <w:shd w:val="clear" w:color="auto" w:fill="004483"/>
          </w:tcPr>
          <w:p>
            <w:pPr>
              <w:spacing w:after="0"/>
              <w:rPr>
                <w:sz w:val="15"/>
                <w:szCs w:val="15"/>
                <w:color w:val="auto"/>
              </w:rPr>
            </w:pPr>
          </w:p>
        </w:tc>
        <w:tc>
          <w:tcPr>
            <w:tcW w:w="1300" w:type="dxa"/>
            <w:vAlign w:val="bottom"/>
          </w:tcPr>
          <w:p>
            <w:pPr>
              <w:spacing w:after="0"/>
              <w:rPr>
                <w:sz w:val="15"/>
                <w:szCs w:val="15"/>
                <w:color w:val="auto"/>
              </w:rPr>
            </w:pPr>
          </w:p>
        </w:tc>
        <w:tc>
          <w:tcPr>
            <w:tcW w:w="1600" w:type="dxa"/>
            <w:vAlign w:val="bottom"/>
            <w:tcBorders>
              <w:bottom w:val="single" w:sz="8" w:color="auto"/>
            </w:tcBorders>
            <w:shd w:val="clear" w:color="auto" w:fill="004483"/>
          </w:tcPr>
          <w:p>
            <w:pPr>
              <w:jc w:val="center"/>
              <w:ind w:left="397"/>
              <w:spacing w:after="0"/>
              <w:rPr>
                <w:sz w:val="20"/>
                <w:szCs w:val="20"/>
                <w:color w:val="auto"/>
              </w:rPr>
            </w:pPr>
            <w:r>
              <w:rPr>
                <w:rFonts w:ascii="Arial" w:cs="Arial" w:eastAsia="Arial" w:hAnsi="Arial"/>
                <w:sz w:val="13"/>
                <w:szCs w:val="13"/>
                <w:b w:val="1"/>
                <w:bCs w:val="1"/>
                <w:color w:val="FFFFFF"/>
                <w:w w:val="96"/>
              </w:rPr>
              <w:t>September 30,</w:t>
            </w:r>
          </w:p>
        </w:tc>
        <w:tc>
          <w:tcPr>
            <w:tcW w:w="440" w:type="dxa"/>
            <w:vAlign w:val="bottom"/>
            <w:tcBorders>
              <w:bottom w:val="single" w:sz="8" w:color="auto"/>
            </w:tcBorders>
            <w:shd w:val="clear" w:color="auto" w:fill="004483"/>
          </w:tcPr>
          <w:p>
            <w:pPr>
              <w:spacing w:after="0"/>
              <w:rPr>
                <w:sz w:val="15"/>
                <w:szCs w:val="15"/>
                <w:color w:val="auto"/>
              </w:rPr>
            </w:pPr>
          </w:p>
        </w:tc>
        <w:tc>
          <w:tcPr>
            <w:tcW w:w="120" w:type="dxa"/>
            <w:vAlign w:val="bottom"/>
            <w:tcBorders>
              <w:bottom w:val="single" w:sz="8" w:color="004483"/>
            </w:tcBorders>
            <w:shd w:val="clear" w:color="auto" w:fill="004483"/>
          </w:tcPr>
          <w:p>
            <w:pPr>
              <w:spacing w:after="0"/>
              <w:rPr>
                <w:sz w:val="15"/>
                <w:szCs w:val="15"/>
                <w:color w:val="auto"/>
              </w:rPr>
            </w:pPr>
          </w:p>
        </w:tc>
        <w:tc>
          <w:tcPr>
            <w:tcW w:w="920" w:type="dxa"/>
            <w:vAlign w:val="bottom"/>
          </w:tcPr>
          <w:p>
            <w:pPr>
              <w:spacing w:after="0"/>
              <w:rPr>
                <w:sz w:val="15"/>
                <w:szCs w:val="15"/>
                <w:color w:val="auto"/>
              </w:rPr>
            </w:pPr>
          </w:p>
        </w:tc>
      </w:tr>
      <w:tr>
        <w:trPr>
          <w:trHeight w:val="113"/>
        </w:trPr>
        <w:tc>
          <w:tcPr>
            <w:tcW w:w="1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jc w:val="center"/>
              <w:ind w:right="37"/>
              <w:spacing w:after="0" w:line="113" w:lineRule="exact"/>
              <w:rPr>
                <w:sz w:val="20"/>
                <w:szCs w:val="20"/>
                <w:color w:val="auto"/>
              </w:rPr>
            </w:pPr>
            <w:r>
              <w:rPr>
                <w:rFonts w:ascii="Arial" w:cs="Arial" w:eastAsia="Arial" w:hAnsi="Arial"/>
                <w:sz w:val="13"/>
                <w:szCs w:val="13"/>
                <w:b w:val="1"/>
                <w:bCs w:val="1"/>
                <w:color w:val="auto"/>
                <w:w w:val="96"/>
              </w:rPr>
              <w:t>Percentage</w:t>
            </w:r>
          </w:p>
        </w:tc>
        <w:tc>
          <w:tcPr>
            <w:tcW w:w="1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ind w:left="240"/>
              <w:spacing w:after="0" w:line="113" w:lineRule="exact"/>
              <w:rPr>
                <w:sz w:val="20"/>
                <w:szCs w:val="20"/>
                <w:color w:val="auto"/>
              </w:rPr>
            </w:pPr>
            <w:r>
              <w:rPr>
                <w:rFonts w:ascii="Arial" w:cs="Arial" w:eastAsia="Arial" w:hAnsi="Arial"/>
                <w:sz w:val="13"/>
                <w:szCs w:val="13"/>
                <w:b w:val="1"/>
                <w:bCs w:val="1"/>
                <w:color w:val="auto"/>
                <w:w w:val="94"/>
              </w:rPr>
              <w:t>Percentage</w:t>
            </w:r>
          </w:p>
        </w:tc>
      </w:tr>
      <w:tr>
        <w:trPr>
          <w:trHeight w:val="168"/>
        </w:trPr>
        <w:tc>
          <w:tcPr>
            <w:tcW w:w="1660" w:type="dxa"/>
            <w:vAlign w:val="bottom"/>
          </w:tcPr>
          <w:p>
            <w:pPr>
              <w:ind w:left="640"/>
              <w:spacing w:after="0"/>
              <w:rPr>
                <w:sz w:val="20"/>
                <w:szCs w:val="20"/>
                <w:color w:val="auto"/>
              </w:rPr>
            </w:pPr>
            <w:r>
              <w:rPr>
                <w:rFonts w:ascii="Arial" w:cs="Arial" w:eastAsia="Arial" w:hAnsi="Arial"/>
                <w:sz w:val="13"/>
                <w:szCs w:val="13"/>
                <w:b w:val="1"/>
                <w:bCs w:val="1"/>
                <w:color w:val="auto"/>
              </w:rPr>
              <w:t>2022</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30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Change</w:t>
            </w:r>
          </w:p>
        </w:tc>
        <w:tc>
          <w:tcPr>
            <w:tcW w:w="1600" w:type="dxa"/>
            <w:vAlign w:val="bottom"/>
          </w:tcPr>
          <w:p>
            <w:pPr>
              <w:jc w:val="right"/>
              <w:ind w:right="637"/>
              <w:spacing w:after="0"/>
              <w:rPr>
                <w:sz w:val="20"/>
                <w:szCs w:val="20"/>
                <w:color w:val="auto"/>
              </w:rPr>
            </w:pPr>
            <w:r>
              <w:rPr>
                <w:rFonts w:ascii="Arial" w:cs="Arial" w:eastAsia="Arial" w:hAnsi="Arial"/>
                <w:sz w:val="13"/>
                <w:szCs w:val="13"/>
                <w:b w:val="1"/>
                <w:bCs w:val="1"/>
                <w:color w:val="auto"/>
              </w:rPr>
              <w:t>2022</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920" w:type="dxa"/>
            <w:vAlign w:val="bottom"/>
          </w:tcPr>
          <w:p>
            <w:pPr>
              <w:ind w:left="380"/>
              <w:spacing w:after="0"/>
              <w:rPr>
                <w:sz w:val="20"/>
                <w:szCs w:val="20"/>
                <w:color w:val="auto"/>
              </w:rPr>
            </w:pPr>
            <w:r>
              <w:rPr>
                <w:rFonts w:ascii="Arial" w:cs="Arial" w:eastAsia="Arial" w:hAnsi="Arial"/>
                <w:sz w:val="13"/>
                <w:szCs w:val="13"/>
                <w:b w:val="1"/>
                <w:bCs w:val="1"/>
                <w:color w:val="auto"/>
              </w:rPr>
              <w:t>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-186055</wp:posOffset>
            </wp:positionV>
            <wp:extent cx="76835" cy="16630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166306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-186055</wp:posOffset>
            </wp:positionV>
            <wp:extent cx="68580" cy="16630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663065"/>
                    </a:xfrm>
                    <a:prstGeom prst="rect">
                      <a:avLst/>
                    </a:prstGeom>
                    <a:noFill/>
                  </pic:spPr>
                </pic:pic>
              </a:graphicData>
            </a:graphic>
          </wp:anchor>
        </w:drawing>
      </w:r>
    </w:p>
    <w:p>
      <w:pPr>
        <w:sectPr>
          <w:pgSz w:w="11900" w:h="16838" w:orient="portrait"/>
          <w:cols w:equalWidth="0" w:num="1">
            <w:col w:w="11280"/>
          </w:cols>
          <w:pgMar w:left="320" w:top="571" w:right="299" w:bottom="1440" w:gutter="0" w:footer="0" w:header="0"/>
        </w:sectPr>
      </w:pPr>
    </w:p>
    <w:p>
      <w:pPr>
        <w:spacing w:after="0" w:line="7" w:lineRule="exact"/>
        <w:rPr>
          <w:sz w:val="20"/>
          <w:szCs w:val="20"/>
          <w:color w:val="auto"/>
        </w:rPr>
      </w:pPr>
    </w:p>
    <w:p>
      <w:pPr>
        <w:jc w:val="center"/>
        <w:ind w:left="3460"/>
        <w:spacing w:after="0"/>
        <w:rPr>
          <w:sz w:val="20"/>
          <w:szCs w:val="20"/>
          <w:color w:val="auto"/>
        </w:rPr>
      </w:pPr>
      <w:r>
        <w:rPr>
          <w:rFonts w:ascii="Arial" w:cs="Arial" w:eastAsia="Arial" w:hAnsi="Arial"/>
          <w:sz w:val="12"/>
          <w:szCs w:val="12"/>
          <w:color w:val="auto"/>
        </w:rPr>
        <w:t>(in thousands, except per MSF</w:t>
      </w:r>
    </w:p>
    <w:p>
      <w:pPr>
        <w:jc w:val="center"/>
        <w:ind w:left="3480"/>
        <w:spacing w:after="0"/>
        <w:rPr>
          <w:sz w:val="20"/>
          <w:szCs w:val="20"/>
          <w:color w:val="auto"/>
        </w:rPr>
      </w:pPr>
      <w:r>
        <w:rPr>
          <w:rFonts w:ascii="Arial" w:cs="Arial" w:eastAsia="Arial" w:hAnsi="Arial"/>
          <w:sz w:val="13"/>
          <w:szCs w:val="13"/>
          <w:color w:val="auto"/>
        </w:rPr>
        <w:t>information)</w:t>
      </w:r>
    </w:p>
    <w:p>
      <w:pPr>
        <w:spacing w:after="0" w:line="20" w:lineRule="exact"/>
        <w:rPr>
          <w:sz w:val="20"/>
          <w:szCs w:val="20"/>
          <w:color w:val="auto"/>
        </w:rPr>
      </w:pPr>
      <w:r>
        <w:rPr>
          <w:sz w:val="20"/>
          <w:szCs w:val="20"/>
          <w:color w:val="auto"/>
        </w:rPr>
        <w:br w:type="column"/>
      </w:r>
    </w:p>
    <w:p>
      <w:pPr>
        <w:jc w:val="center"/>
        <w:ind w:right="1560"/>
        <w:spacing w:after="0"/>
        <w:rPr>
          <w:sz w:val="20"/>
          <w:szCs w:val="20"/>
          <w:color w:val="auto"/>
        </w:rPr>
      </w:pPr>
      <w:r>
        <w:rPr>
          <w:rFonts w:ascii="Arial" w:cs="Arial" w:eastAsia="Arial" w:hAnsi="Arial"/>
          <w:sz w:val="12"/>
          <w:szCs w:val="12"/>
          <w:color w:val="auto"/>
        </w:rPr>
        <w:t>(in thousands, except per MSF</w:t>
      </w:r>
    </w:p>
    <w:p>
      <w:pPr>
        <w:jc w:val="center"/>
        <w:ind w:right="1520"/>
        <w:spacing w:after="0"/>
        <w:rPr>
          <w:sz w:val="20"/>
          <w:szCs w:val="20"/>
          <w:color w:val="auto"/>
        </w:rPr>
      </w:pPr>
      <w:r>
        <w:rPr>
          <w:rFonts w:ascii="Arial" w:cs="Arial" w:eastAsia="Arial" w:hAnsi="Arial"/>
          <w:sz w:val="13"/>
          <w:szCs w:val="13"/>
          <w:color w:val="auto"/>
        </w:rPr>
        <w:t>information)</w:t>
      </w:r>
    </w:p>
    <w:p>
      <w:pPr>
        <w:spacing w:after="0" w:line="22" w:lineRule="exact"/>
        <w:rPr>
          <w:sz w:val="20"/>
          <w:szCs w:val="20"/>
          <w:color w:val="auto"/>
        </w:rPr>
      </w:pPr>
    </w:p>
    <w:p>
      <w:pPr>
        <w:sectPr>
          <w:pgSz w:w="11900" w:h="16838" w:orient="portrait"/>
          <w:cols w:equalWidth="0" w:num="2">
            <w:col w:w="7280" w:space="720"/>
            <w:col w:w="3280"/>
          </w:cols>
          <w:pgMar w:left="320" w:top="571" w:right="29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4320" w:type="dxa"/>
            <w:vAlign w:val="bottom"/>
            <w:shd w:val="clear" w:color="auto" w:fill="17385E"/>
          </w:tcPr>
          <w:p>
            <w:pPr>
              <w:spacing w:after="0"/>
              <w:rPr>
                <w:sz w:val="3"/>
                <w:szCs w:val="3"/>
                <w:color w:val="auto"/>
              </w:rPr>
            </w:pPr>
          </w:p>
        </w:tc>
        <w:tc>
          <w:tcPr>
            <w:tcW w:w="220" w:type="dxa"/>
            <w:vAlign w:val="bottom"/>
            <w:shd w:val="clear" w:color="auto" w:fill="17385E"/>
          </w:tcPr>
          <w:p>
            <w:pPr>
              <w:spacing w:after="0"/>
              <w:rPr>
                <w:sz w:val="3"/>
                <w:szCs w:val="3"/>
                <w:color w:val="auto"/>
              </w:rPr>
            </w:pPr>
          </w:p>
        </w:tc>
        <w:tc>
          <w:tcPr>
            <w:tcW w:w="720" w:type="dxa"/>
            <w:vAlign w:val="bottom"/>
            <w:shd w:val="clear" w:color="auto" w:fill="17385E"/>
          </w:tcPr>
          <w:p>
            <w:pPr>
              <w:spacing w:after="0"/>
              <w:rPr>
                <w:sz w:val="3"/>
                <w:szCs w:val="3"/>
                <w:color w:val="auto"/>
              </w:rPr>
            </w:pPr>
          </w:p>
        </w:tc>
        <w:tc>
          <w:tcPr>
            <w:tcW w:w="120" w:type="dxa"/>
            <w:vAlign w:val="bottom"/>
            <w:shd w:val="clear" w:color="auto" w:fill="17385E"/>
          </w:tcPr>
          <w:p>
            <w:pPr>
              <w:spacing w:after="0"/>
              <w:rPr>
                <w:sz w:val="3"/>
                <w:szCs w:val="3"/>
                <w:color w:val="auto"/>
              </w:rPr>
            </w:pPr>
          </w:p>
        </w:tc>
        <w:tc>
          <w:tcPr>
            <w:tcW w:w="120" w:type="dxa"/>
            <w:vAlign w:val="bottom"/>
            <w:shd w:val="clear" w:color="auto" w:fill="17385E"/>
          </w:tcPr>
          <w:p>
            <w:pPr>
              <w:spacing w:after="0"/>
              <w:rPr>
                <w:sz w:val="3"/>
                <w:szCs w:val="3"/>
                <w:color w:val="auto"/>
              </w:rPr>
            </w:pPr>
          </w:p>
        </w:tc>
        <w:tc>
          <w:tcPr>
            <w:tcW w:w="220" w:type="dxa"/>
            <w:vAlign w:val="bottom"/>
            <w:shd w:val="clear" w:color="auto" w:fill="17385E"/>
          </w:tcPr>
          <w:p>
            <w:pPr>
              <w:spacing w:after="0"/>
              <w:rPr>
                <w:sz w:val="3"/>
                <w:szCs w:val="3"/>
                <w:color w:val="auto"/>
              </w:rPr>
            </w:pPr>
          </w:p>
        </w:tc>
        <w:tc>
          <w:tcPr>
            <w:tcW w:w="720" w:type="dxa"/>
            <w:vAlign w:val="bottom"/>
            <w:shd w:val="clear" w:color="auto" w:fill="17385E"/>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shd w:val="clear" w:color="auto" w:fill="17385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shd w:val="clear" w:color="auto" w:fill="17385E"/>
          </w:tcPr>
          <w:p>
            <w:pPr>
              <w:spacing w:after="0"/>
              <w:rPr>
                <w:sz w:val="3"/>
                <w:szCs w:val="3"/>
                <w:color w:val="auto"/>
              </w:rPr>
            </w:pPr>
          </w:p>
        </w:tc>
        <w:tc>
          <w:tcPr>
            <w:tcW w:w="200" w:type="dxa"/>
            <w:vAlign w:val="bottom"/>
            <w:shd w:val="clear" w:color="auto" w:fill="17385E"/>
          </w:tcPr>
          <w:p>
            <w:pPr>
              <w:spacing w:after="0"/>
              <w:rPr>
                <w:sz w:val="3"/>
                <w:szCs w:val="3"/>
                <w:color w:val="auto"/>
              </w:rPr>
            </w:pPr>
          </w:p>
        </w:tc>
        <w:tc>
          <w:tcPr>
            <w:tcW w:w="700" w:type="dxa"/>
            <w:vAlign w:val="bottom"/>
            <w:shd w:val="clear" w:color="auto" w:fill="17385E"/>
          </w:tcPr>
          <w:p>
            <w:pPr>
              <w:spacing w:after="0"/>
              <w:rPr>
                <w:sz w:val="3"/>
                <w:szCs w:val="3"/>
                <w:color w:val="auto"/>
              </w:rPr>
            </w:pPr>
          </w:p>
        </w:tc>
        <w:tc>
          <w:tcPr>
            <w:tcW w:w="120" w:type="dxa"/>
            <w:vAlign w:val="bottom"/>
            <w:shd w:val="clear" w:color="auto" w:fill="17385E"/>
          </w:tcPr>
          <w:p>
            <w:pPr>
              <w:spacing w:after="0"/>
              <w:rPr>
                <w:sz w:val="3"/>
                <w:szCs w:val="3"/>
                <w:color w:val="auto"/>
              </w:rPr>
            </w:pPr>
          </w:p>
        </w:tc>
        <w:tc>
          <w:tcPr>
            <w:tcW w:w="100" w:type="dxa"/>
            <w:vAlign w:val="bottom"/>
            <w:shd w:val="clear" w:color="auto" w:fill="17385E"/>
          </w:tcPr>
          <w:p>
            <w:pPr>
              <w:spacing w:after="0"/>
              <w:rPr>
                <w:sz w:val="3"/>
                <w:szCs w:val="3"/>
                <w:color w:val="auto"/>
              </w:rPr>
            </w:pPr>
          </w:p>
        </w:tc>
        <w:tc>
          <w:tcPr>
            <w:tcW w:w="220" w:type="dxa"/>
            <w:vAlign w:val="bottom"/>
            <w:shd w:val="clear" w:color="auto" w:fill="17385E"/>
          </w:tcPr>
          <w:p>
            <w:pPr>
              <w:spacing w:after="0"/>
              <w:rPr>
                <w:sz w:val="3"/>
                <w:szCs w:val="3"/>
                <w:color w:val="auto"/>
              </w:rPr>
            </w:pPr>
          </w:p>
        </w:tc>
        <w:tc>
          <w:tcPr>
            <w:tcW w:w="700" w:type="dxa"/>
            <w:vAlign w:val="bottom"/>
            <w:shd w:val="clear" w:color="auto" w:fill="17385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shd w:val="clear" w:color="auto" w:fill="17385E"/>
          </w:tcPr>
          <w:p>
            <w:pPr>
              <w:spacing w:after="0"/>
              <w:rPr>
                <w:sz w:val="3"/>
                <w:szCs w:val="3"/>
                <w:color w:val="auto"/>
              </w:rPr>
            </w:pPr>
          </w:p>
        </w:tc>
        <w:tc>
          <w:tcPr>
            <w:tcW w:w="140" w:type="dxa"/>
            <w:vAlign w:val="bottom"/>
          </w:tcPr>
          <w:p>
            <w:pPr>
              <w:spacing w:after="0"/>
              <w:rPr>
                <w:sz w:val="3"/>
                <w:szCs w:val="3"/>
                <w:color w:val="auto"/>
              </w:rPr>
            </w:pPr>
          </w:p>
        </w:tc>
      </w:tr>
      <w:tr>
        <w:trPr>
          <w:trHeight w:val="200"/>
        </w:trPr>
        <w:tc>
          <w:tcPr>
            <w:tcW w:w="4320" w:type="dxa"/>
            <w:vAlign w:val="bottom"/>
          </w:tcPr>
          <w:p>
            <w:pPr>
              <w:ind w:left="20"/>
              <w:spacing w:after="0"/>
              <w:rPr>
                <w:sz w:val="20"/>
                <w:szCs w:val="20"/>
                <w:color w:val="auto"/>
              </w:rPr>
            </w:pPr>
            <w:r>
              <w:rPr>
                <w:rFonts w:ascii="Arial" w:cs="Arial" w:eastAsia="Arial" w:hAnsi="Arial"/>
                <w:sz w:val="16"/>
                <w:szCs w:val="16"/>
                <w:color w:val="004483"/>
              </w:rPr>
              <w:t>Gross Revenue, as reported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224,638</w:t>
            </w:r>
          </w:p>
        </w:tc>
        <w:tc>
          <w:tcPr>
            <w:tcW w:w="120" w:type="dxa"/>
            <w:vAlign w:val="bottom"/>
          </w:tcPr>
          <w:p>
            <w:pPr>
              <w:spacing w:after="0"/>
              <w:rPr>
                <w:sz w:val="17"/>
                <w:szCs w:val="17"/>
                <w:color w:val="auto"/>
              </w:rPr>
            </w:pP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172,985</w:t>
            </w:r>
          </w:p>
        </w:tc>
        <w:tc>
          <w:tcPr>
            <w:tcW w:w="120" w:type="dxa"/>
            <w:vAlign w:val="bottom"/>
          </w:tcPr>
          <w:p>
            <w:pPr>
              <w:spacing w:after="0"/>
              <w:rPr>
                <w:sz w:val="17"/>
                <w:szCs w:val="17"/>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6"/>
                <w:szCs w:val="16"/>
                <w:color w:val="auto"/>
              </w:rPr>
              <w:t>30 % $</w:t>
            </w:r>
          </w:p>
        </w:tc>
        <w:tc>
          <w:tcPr>
            <w:tcW w:w="700" w:type="dxa"/>
            <w:vAlign w:val="bottom"/>
          </w:tcPr>
          <w:p>
            <w:pPr>
              <w:jc w:val="right"/>
              <w:spacing w:after="0"/>
              <w:rPr>
                <w:sz w:val="20"/>
                <w:szCs w:val="20"/>
                <w:color w:val="auto"/>
              </w:rPr>
            </w:pPr>
            <w:r>
              <w:rPr>
                <w:rFonts w:ascii="Arial" w:cs="Arial" w:eastAsia="Arial" w:hAnsi="Arial"/>
                <w:sz w:val="16"/>
                <w:szCs w:val="16"/>
                <w:color w:val="auto"/>
              </w:rPr>
              <w:t>440,965</w:t>
            </w:r>
          </w:p>
        </w:tc>
        <w:tc>
          <w:tcPr>
            <w:tcW w:w="12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339,252</w:t>
            </w:r>
          </w:p>
        </w:tc>
        <w:tc>
          <w:tcPr>
            <w:tcW w:w="1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30 %</w:t>
            </w:r>
          </w:p>
        </w:tc>
      </w:tr>
      <w:tr>
        <w:trPr>
          <w:trHeight w:val="20"/>
        </w:trPr>
        <w:tc>
          <w:tcPr>
            <w:tcW w:w="432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6"/>
        </w:trPr>
        <w:tc>
          <w:tcPr>
            <w:tcW w:w="4320" w:type="dxa"/>
            <w:vAlign w:val="bottom"/>
          </w:tcPr>
          <w:p>
            <w:pPr>
              <w:ind w:left="20"/>
              <w:spacing w:after="0"/>
              <w:rPr>
                <w:sz w:val="20"/>
                <w:szCs w:val="20"/>
                <w:color w:val="auto"/>
              </w:rPr>
            </w:pPr>
            <w:r>
              <w:rPr>
                <w:rFonts w:ascii="Arial" w:cs="Arial" w:eastAsia="Arial" w:hAnsi="Arial"/>
                <w:sz w:val="16"/>
                <w:szCs w:val="16"/>
                <w:color w:val="004483"/>
              </w:rPr>
              <w:t>Freight and Delivery Costs billed to Customers</w:t>
            </w:r>
          </w:p>
        </w:tc>
        <w:tc>
          <w:tcPr>
            <w:tcW w:w="2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(41,535 )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(32,463 )</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28 %</w:t>
            </w:r>
          </w:p>
        </w:tc>
        <w:tc>
          <w:tcPr>
            <w:tcW w:w="2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(83,540 )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(63,785 )</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31 %</w:t>
            </w:r>
          </w:p>
        </w:tc>
      </w:tr>
      <w:tr>
        <w:trPr>
          <w:trHeight w:val="20"/>
        </w:trPr>
        <w:tc>
          <w:tcPr>
            <w:tcW w:w="4320" w:type="dxa"/>
            <w:vAlign w:val="bottom"/>
            <w:shd w:val="clear" w:color="auto" w:fill="A6A6A6"/>
          </w:tcPr>
          <w:p>
            <w:pPr>
              <w:spacing w:after="0" w:line="20" w:lineRule="exact"/>
              <w:rPr>
                <w:sz w:val="1"/>
                <w:szCs w:val="1"/>
                <w:color w:val="auto"/>
              </w:rPr>
            </w:pPr>
          </w:p>
        </w:tc>
        <w:tc>
          <w:tcPr>
            <w:tcW w:w="22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20" w:type="dxa"/>
            <w:vAlign w:val="bottom"/>
            <w:tcBorders>
              <w:top w:val="single" w:sz="8" w:color="004483"/>
            </w:tcBorders>
            <w:shd w:val="clear" w:color="auto" w:fill="004483"/>
          </w:tcPr>
          <w:p>
            <w:pPr>
              <w:spacing w:after="0" w:line="20" w:lineRule="exact"/>
              <w:rPr>
                <w:sz w:val="1"/>
                <w:szCs w:val="1"/>
                <w:color w:val="auto"/>
              </w:rPr>
            </w:pPr>
          </w:p>
        </w:tc>
        <w:tc>
          <w:tcPr>
            <w:tcW w:w="72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00" w:type="dxa"/>
            <w:vAlign w:val="bottom"/>
            <w:tcBorders>
              <w:top w:val="single" w:sz="8" w:color="004483"/>
            </w:tcBorders>
            <w:shd w:val="clear" w:color="auto" w:fill="004483"/>
          </w:tcPr>
          <w:p>
            <w:pPr>
              <w:spacing w:after="0" w:line="20" w:lineRule="exact"/>
              <w:rPr>
                <w:sz w:val="1"/>
                <w:szCs w:val="1"/>
                <w:color w:val="auto"/>
              </w:rPr>
            </w:pPr>
          </w:p>
        </w:tc>
        <w:tc>
          <w:tcPr>
            <w:tcW w:w="7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20" w:type="dxa"/>
            <w:vAlign w:val="bottom"/>
            <w:tcBorders>
              <w:top w:val="single" w:sz="8" w:color="004483"/>
            </w:tcBorders>
            <w:shd w:val="clear" w:color="auto" w:fill="004483"/>
          </w:tcPr>
          <w:p>
            <w:pPr>
              <w:spacing w:after="0" w:line="20" w:lineRule="exact"/>
              <w:rPr>
                <w:sz w:val="1"/>
                <w:szCs w:val="1"/>
                <w:color w:val="auto"/>
              </w:rPr>
            </w:pPr>
          </w:p>
        </w:tc>
        <w:tc>
          <w:tcPr>
            <w:tcW w:w="7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4320" w:type="dxa"/>
            <w:vAlign w:val="bottom"/>
          </w:tcPr>
          <w:p>
            <w:pPr>
              <w:ind w:left="20"/>
              <w:spacing w:after="0"/>
              <w:rPr>
                <w:sz w:val="20"/>
                <w:szCs w:val="20"/>
                <w:color w:val="auto"/>
              </w:rPr>
            </w:pPr>
            <w:r>
              <w:rPr>
                <w:rFonts w:ascii="Arial" w:cs="Arial" w:eastAsia="Arial" w:hAnsi="Arial"/>
                <w:sz w:val="16"/>
                <w:szCs w:val="16"/>
                <w:color w:val="004483"/>
              </w:rPr>
              <w:t>Net Revenue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183,103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140,522</w:t>
            </w:r>
          </w:p>
        </w:tc>
        <w:tc>
          <w:tcPr>
            <w:tcW w:w="120" w:type="dxa"/>
            <w:vAlign w:val="bottom"/>
          </w:tcPr>
          <w:p>
            <w:pPr>
              <w:spacing w:after="0"/>
              <w:rPr>
                <w:sz w:val="16"/>
                <w:szCs w:val="16"/>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6"/>
                <w:szCs w:val="16"/>
                <w:color w:val="auto"/>
              </w:rPr>
              <w:t>30 % $</w:t>
            </w:r>
          </w:p>
        </w:tc>
        <w:tc>
          <w:tcPr>
            <w:tcW w:w="700" w:type="dxa"/>
            <w:vAlign w:val="bottom"/>
          </w:tcPr>
          <w:p>
            <w:pPr>
              <w:jc w:val="right"/>
              <w:spacing w:after="0"/>
              <w:rPr>
                <w:sz w:val="20"/>
                <w:szCs w:val="20"/>
                <w:color w:val="auto"/>
              </w:rPr>
            </w:pPr>
            <w:r>
              <w:rPr>
                <w:rFonts w:ascii="Arial" w:cs="Arial" w:eastAsia="Arial" w:hAnsi="Arial"/>
                <w:sz w:val="16"/>
                <w:szCs w:val="16"/>
                <w:color w:val="auto"/>
              </w:rPr>
              <w:t>357,425</w:t>
            </w:r>
          </w:p>
        </w:tc>
        <w:tc>
          <w:tcPr>
            <w:tcW w:w="120" w:type="dxa"/>
            <w:vAlign w:val="bottom"/>
          </w:tcPr>
          <w:p>
            <w:pPr>
              <w:spacing w:after="0"/>
              <w:rPr>
                <w:sz w:val="16"/>
                <w:szCs w:val="16"/>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275,467</w:t>
            </w:r>
          </w:p>
        </w:tc>
        <w:tc>
          <w:tcPr>
            <w:tcW w:w="12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30 %</w:t>
            </w:r>
          </w:p>
        </w:tc>
      </w:tr>
      <w:tr>
        <w:trPr>
          <w:trHeight w:val="199"/>
        </w:trPr>
        <w:tc>
          <w:tcPr>
            <w:tcW w:w="4320" w:type="dxa"/>
            <w:vAlign w:val="bottom"/>
            <w:tcBorders>
              <w:top w:val="single" w:sz="8" w:color="A6A6A6"/>
              <w:bottom w:val="single" w:sz="8" w:color="A6A6A6"/>
            </w:tcBorders>
          </w:tcPr>
          <w:p>
            <w:pPr>
              <w:spacing w:after="0"/>
              <w:rPr>
                <w:sz w:val="17"/>
                <w:szCs w:val="17"/>
                <w:color w:val="auto"/>
              </w:rPr>
            </w:pPr>
          </w:p>
        </w:tc>
        <w:tc>
          <w:tcPr>
            <w:tcW w:w="220" w:type="dxa"/>
            <w:vAlign w:val="bottom"/>
            <w:tcBorders>
              <w:top w:val="single" w:sz="8" w:color="A6A6A6"/>
              <w:bottom w:val="single" w:sz="8" w:color="A6A6A6"/>
            </w:tcBorders>
          </w:tcPr>
          <w:p>
            <w:pPr>
              <w:spacing w:after="0"/>
              <w:rPr>
                <w:sz w:val="17"/>
                <w:szCs w:val="17"/>
                <w:color w:val="auto"/>
              </w:rPr>
            </w:pPr>
          </w:p>
        </w:tc>
        <w:tc>
          <w:tcPr>
            <w:tcW w:w="720" w:type="dxa"/>
            <w:vAlign w:val="bottom"/>
            <w:tcBorders>
              <w:top w:val="single" w:sz="8" w:color="A6A6A6"/>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220" w:type="dxa"/>
            <w:vAlign w:val="bottom"/>
            <w:tcBorders>
              <w:top w:val="single" w:sz="8" w:color="A6A6A6"/>
              <w:bottom w:val="single" w:sz="8" w:color="A6A6A6"/>
            </w:tcBorders>
          </w:tcPr>
          <w:p>
            <w:pPr>
              <w:spacing w:after="0"/>
              <w:rPr>
                <w:sz w:val="17"/>
                <w:szCs w:val="17"/>
                <w:color w:val="auto"/>
              </w:rPr>
            </w:pPr>
          </w:p>
        </w:tc>
        <w:tc>
          <w:tcPr>
            <w:tcW w:w="720" w:type="dxa"/>
            <w:vAlign w:val="bottom"/>
            <w:tcBorders>
              <w:top w:val="single" w:sz="8" w:color="A6A6A6"/>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A6A6A6"/>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6A6A6"/>
              <w:bottom w:val="single" w:sz="8" w:color="A6A6A6"/>
            </w:tcBorders>
          </w:tcPr>
          <w:p>
            <w:pPr>
              <w:spacing w:after="0"/>
              <w:rPr>
                <w:sz w:val="17"/>
                <w:szCs w:val="17"/>
                <w:color w:val="auto"/>
              </w:rPr>
            </w:pPr>
          </w:p>
        </w:tc>
        <w:tc>
          <w:tcPr>
            <w:tcW w:w="200" w:type="dxa"/>
            <w:vAlign w:val="bottom"/>
            <w:tcBorders>
              <w:top w:val="single" w:sz="8" w:color="A6A6A6"/>
              <w:bottom w:val="single" w:sz="8" w:color="A6A6A6"/>
            </w:tcBorders>
          </w:tcPr>
          <w:p>
            <w:pPr>
              <w:spacing w:after="0"/>
              <w:rPr>
                <w:sz w:val="17"/>
                <w:szCs w:val="17"/>
                <w:color w:val="auto"/>
              </w:rPr>
            </w:pPr>
          </w:p>
        </w:tc>
        <w:tc>
          <w:tcPr>
            <w:tcW w:w="700" w:type="dxa"/>
            <w:vAlign w:val="bottom"/>
            <w:tcBorders>
              <w:top w:val="single" w:sz="8" w:color="A6A6A6"/>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6A6A6"/>
              <w:bottom w:val="single" w:sz="8" w:color="A6A6A6"/>
            </w:tcBorders>
          </w:tcPr>
          <w:p>
            <w:pPr>
              <w:spacing w:after="0"/>
              <w:rPr>
                <w:sz w:val="17"/>
                <w:szCs w:val="17"/>
                <w:color w:val="auto"/>
              </w:rPr>
            </w:pPr>
          </w:p>
        </w:tc>
        <w:tc>
          <w:tcPr>
            <w:tcW w:w="220" w:type="dxa"/>
            <w:vAlign w:val="bottom"/>
            <w:tcBorders>
              <w:top w:val="single" w:sz="8" w:color="A6A6A6"/>
              <w:bottom w:val="single" w:sz="8" w:color="A6A6A6"/>
            </w:tcBorders>
          </w:tcPr>
          <w:p>
            <w:pPr>
              <w:spacing w:after="0"/>
              <w:rPr>
                <w:sz w:val="17"/>
                <w:szCs w:val="17"/>
                <w:color w:val="auto"/>
              </w:rPr>
            </w:pPr>
          </w:p>
        </w:tc>
        <w:tc>
          <w:tcPr>
            <w:tcW w:w="700" w:type="dxa"/>
            <w:vAlign w:val="bottom"/>
            <w:tcBorders>
              <w:top w:val="single" w:sz="8" w:color="A6A6A6"/>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6A6A6"/>
              <w:bottom w:val="single" w:sz="8" w:color="A6A6A6"/>
            </w:tcBorders>
          </w:tcPr>
          <w:p>
            <w:pPr>
              <w:spacing w:after="0"/>
              <w:rPr>
                <w:sz w:val="17"/>
                <w:szCs w:val="17"/>
                <w:color w:val="auto"/>
              </w:rPr>
            </w:pPr>
          </w:p>
        </w:tc>
        <w:tc>
          <w:tcPr>
            <w:tcW w:w="140" w:type="dxa"/>
            <w:vAlign w:val="bottom"/>
          </w:tcPr>
          <w:p>
            <w:pPr>
              <w:spacing w:after="0"/>
              <w:rPr>
                <w:sz w:val="17"/>
                <w:szCs w:val="17"/>
                <w:color w:val="auto"/>
              </w:rPr>
            </w:pPr>
          </w:p>
        </w:tc>
      </w:tr>
      <w:tr>
        <w:trPr>
          <w:trHeight w:val="193"/>
        </w:trPr>
        <w:tc>
          <w:tcPr>
            <w:tcW w:w="4320" w:type="dxa"/>
            <w:vAlign w:val="bottom"/>
          </w:tcPr>
          <w:p>
            <w:pPr>
              <w:ind w:left="20"/>
              <w:spacing w:after="0"/>
              <w:rPr>
                <w:sz w:val="20"/>
                <w:szCs w:val="20"/>
                <w:color w:val="auto"/>
              </w:rPr>
            </w:pPr>
            <w:r>
              <w:rPr>
                <w:rFonts w:ascii="Arial" w:cs="Arial" w:eastAsia="Arial" w:hAnsi="Arial"/>
                <w:sz w:val="16"/>
                <w:szCs w:val="16"/>
                <w:color w:val="004483"/>
              </w:rPr>
              <w:t>Sales Volume (MMSF)</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16"/>
                <w:szCs w:val="16"/>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6 %</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1,581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1,499</w:t>
            </w:r>
          </w:p>
        </w:tc>
        <w:tc>
          <w:tcPr>
            <w:tcW w:w="12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5 %</w:t>
            </w:r>
          </w:p>
        </w:tc>
      </w:tr>
      <w:tr>
        <w:trPr>
          <w:trHeight w:val="20"/>
        </w:trPr>
        <w:tc>
          <w:tcPr>
            <w:tcW w:w="432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9"/>
        </w:trPr>
        <w:tc>
          <w:tcPr>
            <w:tcW w:w="4320" w:type="dxa"/>
            <w:vAlign w:val="bottom"/>
          </w:tcPr>
          <w:p>
            <w:pPr>
              <w:ind w:left="20"/>
              <w:spacing w:after="0" w:line="199" w:lineRule="exact"/>
              <w:rPr>
                <w:sz w:val="20"/>
                <w:szCs w:val="20"/>
                <w:color w:val="auto"/>
              </w:rPr>
            </w:pPr>
            <w:r>
              <w:rPr>
                <w:rFonts w:ascii="Arial" w:cs="Arial" w:eastAsia="Arial" w:hAnsi="Arial"/>
                <w:sz w:val="16"/>
                <w:szCs w:val="16"/>
                <w:color w:val="004483"/>
              </w:rPr>
              <w:t xml:space="preserve">Average Net Sales Price, per MSF </w:t>
            </w:r>
            <w:r>
              <w:rPr>
                <w:rFonts w:ascii="Arial" w:cs="Arial" w:eastAsia="Arial" w:hAnsi="Arial"/>
                <w:sz w:val="21"/>
                <w:szCs w:val="21"/>
                <w:color w:val="004483"/>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233.70</w:t>
            </w:r>
          </w:p>
        </w:tc>
        <w:tc>
          <w:tcPr>
            <w:tcW w:w="120" w:type="dxa"/>
            <w:vAlign w:val="bottom"/>
          </w:tcPr>
          <w:p>
            <w:pPr>
              <w:spacing w:after="0"/>
              <w:rPr>
                <w:sz w:val="17"/>
                <w:szCs w:val="17"/>
                <w:color w:val="auto"/>
              </w:rPr>
            </w:pP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190.93</w:t>
            </w:r>
          </w:p>
        </w:tc>
        <w:tc>
          <w:tcPr>
            <w:tcW w:w="120" w:type="dxa"/>
            <w:vAlign w:val="bottom"/>
          </w:tcPr>
          <w:p>
            <w:pPr>
              <w:spacing w:after="0"/>
              <w:rPr>
                <w:sz w:val="17"/>
                <w:szCs w:val="17"/>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6"/>
                <w:szCs w:val="16"/>
                <w:color w:val="auto"/>
              </w:rPr>
              <w:t>22 % $</w:t>
            </w:r>
          </w:p>
        </w:tc>
        <w:tc>
          <w:tcPr>
            <w:tcW w:w="700" w:type="dxa"/>
            <w:vAlign w:val="bottom"/>
          </w:tcPr>
          <w:p>
            <w:pPr>
              <w:jc w:val="right"/>
              <w:spacing w:after="0"/>
              <w:rPr>
                <w:sz w:val="20"/>
                <w:szCs w:val="20"/>
                <w:color w:val="auto"/>
              </w:rPr>
            </w:pPr>
            <w:r>
              <w:rPr>
                <w:rFonts w:ascii="Arial" w:cs="Arial" w:eastAsia="Arial" w:hAnsi="Arial"/>
                <w:sz w:val="16"/>
                <w:szCs w:val="16"/>
                <w:color w:val="auto"/>
              </w:rPr>
              <w:t>226.07</w:t>
            </w:r>
          </w:p>
        </w:tc>
        <w:tc>
          <w:tcPr>
            <w:tcW w:w="12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183.73</w:t>
            </w:r>
          </w:p>
        </w:tc>
        <w:tc>
          <w:tcPr>
            <w:tcW w:w="1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23 %</w:t>
            </w:r>
          </w:p>
        </w:tc>
      </w:tr>
      <w:tr>
        <w:trPr>
          <w:trHeight w:val="20"/>
        </w:trPr>
        <w:tc>
          <w:tcPr>
            <w:tcW w:w="432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3"/>
        </w:trPr>
        <w:tc>
          <w:tcPr>
            <w:tcW w:w="4320" w:type="dxa"/>
            <w:vAlign w:val="bottom"/>
          </w:tcPr>
          <w:p>
            <w:pPr>
              <w:ind w:left="20"/>
              <w:spacing w:after="0"/>
              <w:rPr>
                <w:sz w:val="20"/>
                <w:szCs w:val="20"/>
                <w:color w:val="auto"/>
              </w:rPr>
            </w:pPr>
            <w:r>
              <w:rPr>
                <w:rFonts w:ascii="Arial" w:cs="Arial" w:eastAsia="Arial" w:hAnsi="Arial"/>
                <w:sz w:val="16"/>
                <w:szCs w:val="16"/>
                <w:color w:val="004483"/>
              </w:rPr>
              <w:t>Freight, per MSF</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53.05</w:t>
            </w:r>
          </w:p>
        </w:tc>
        <w:tc>
          <w:tcPr>
            <w:tcW w:w="120" w:type="dxa"/>
            <w:vAlign w:val="bottom"/>
          </w:tcPr>
          <w:p>
            <w:pPr>
              <w:spacing w:after="0"/>
              <w:rPr>
                <w:sz w:val="16"/>
                <w:szCs w:val="16"/>
                <w:color w:val="auto"/>
              </w:rPr>
            </w:pP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44.11</w:t>
            </w:r>
          </w:p>
        </w:tc>
        <w:tc>
          <w:tcPr>
            <w:tcW w:w="120" w:type="dxa"/>
            <w:vAlign w:val="bottom"/>
          </w:tcPr>
          <w:p>
            <w:pPr>
              <w:spacing w:after="0"/>
              <w:rPr>
                <w:sz w:val="16"/>
                <w:szCs w:val="16"/>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6"/>
                <w:szCs w:val="16"/>
                <w:color w:val="auto"/>
              </w:rPr>
              <w:t>20 % $</w:t>
            </w:r>
          </w:p>
        </w:tc>
        <w:tc>
          <w:tcPr>
            <w:tcW w:w="700" w:type="dxa"/>
            <w:vAlign w:val="bottom"/>
          </w:tcPr>
          <w:p>
            <w:pPr>
              <w:jc w:val="right"/>
              <w:spacing w:after="0"/>
              <w:rPr>
                <w:sz w:val="20"/>
                <w:szCs w:val="20"/>
                <w:color w:val="auto"/>
              </w:rPr>
            </w:pPr>
            <w:r>
              <w:rPr>
                <w:rFonts w:ascii="Arial" w:cs="Arial" w:eastAsia="Arial" w:hAnsi="Arial"/>
                <w:sz w:val="16"/>
                <w:szCs w:val="16"/>
                <w:color w:val="auto"/>
              </w:rPr>
              <w:t>52.84</w:t>
            </w:r>
          </w:p>
        </w:tc>
        <w:tc>
          <w:tcPr>
            <w:tcW w:w="120" w:type="dxa"/>
            <w:vAlign w:val="bottom"/>
          </w:tcPr>
          <w:p>
            <w:pPr>
              <w:spacing w:after="0"/>
              <w:rPr>
                <w:sz w:val="16"/>
                <w:szCs w:val="16"/>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42.55</w:t>
            </w:r>
          </w:p>
        </w:tc>
        <w:tc>
          <w:tcPr>
            <w:tcW w:w="12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24 %</w:t>
            </w:r>
          </w:p>
        </w:tc>
      </w:tr>
      <w:tr>
        <w:trPr>
          <w:trHeight w:val="20"/>
        </w:trPr>
        <w:tc>
          <w:tcPr>
            <w:tcW w:w="432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4320" w:type="dxa"/>
            <w:vAlign w:val="bottom"/>
          </w:tcPr>
          <w:p>
            <w:pPr>
              <w:ind w:left="20"/>
              <w:spacing w:after="0"/>
              <w:rPr>
                <w:sz w:val="20"/>
                <w:szCs w:val="20"/>
                <w:color w:val="auto"/>
              </w:rPr>
            </w:pPr>
            <w:r>
              <w:rPr>
                <w:rFonts w:ascii="Arial" w:cs="Arial" w:eastAsia="Arial" w:hAnsi="Arial"/>
                <w:sz w:val="16"/>
                <w:szCs w:val="16"/>
                <w:color w:val="004483"/>
              </w:rPr>
              <w:t>Operating Margin, per MSF</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114.64</w:t>
            </w:r>
          </w:p>
        </w:tc>
        <w:tc>
          <w:tcPr>
            <w:tcW w:w="120" w:type="dxa"/>
            <w:vAlign w:val="bottom"/>
          </w:tcPr>
          <w:p>
            <w:pPr>
              <w:spacing w:after="0"/>
              <w:rPr>
                <w:sz w:val="17"/>
                <w:szCs w:val="17"/>
                <w:color w:val="auto"/>
              </w:rPr>
            </w:pP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90.12</w:t>
            </w:r>
          </w:p>
        </w:tc>
        <w:tc>
          <w:tcPr>
            <w:tcW w:w="120" w:type="dxa"/>
            <w:vAlign w:val="bottom"/>
          </w:tcPr>
          <w:p>
            <w:pPr>
              <w:spacing w:after="0"/>
              <w:rPr>
                <w:sz w:val="17"/>
                <w:szCs w:val="17"/>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6"/>
                <w:szCs w:val="16"/>
                <w:color w:val="auto"/>
              </w:rPr>
              <w:t>27 % $</w:t>
            </w:r>
          </w:p>
        </w:tc>
        <w:tc>
          <w:tcPr>
            <w:tcW w:w="700" w:type="dxa"/>
            <w:vAlign w:val="bottom"/>
          </w:tcPr>
          <w:p>
            <w:pPr>
              <w:jc w:val="right"/>
              <w:spacing w:after="0"/>
              <w:rPr>
                <w:sz w:val="20"/>
                <w:szCs w:val="20"/>
                <w:color w:val="auto"/>
              </w:rPr>
            </w:pPr>
            <w:r>
              <w:rPr>
                <w:rFonts w:ascii="Arial" w:cs="Arial" w:eastAsia="Arial" w:hAnsi="Arial"/>
                <w:sz w:val="16"/>
                <w:szCs w:val="16"/>
                <w:color w:val="auto"/>
              </w:rPr>
              <w:t>109.95</w:t>
            </w:r>
          </w:p>
        </w:tc>
        <w:tc>
          <w:tcPr>
            <w:tcW w:w="12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86.45</w:t>
            </w:r>
          </w:p>
        </w:tc>
        <w:tc>
          <w:tcPr>
            <w:tcW w:w="1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27 %</w:t>
            </w:r>
          </w:p>
        </w:tc>
      </w:tr>
      <w:tr>
        <w:trPr>
          <w:trHeight w:val="20"/>
        </w:trPr>
        <w:tc>
          <w:tcPr>
            <w:tcW w:w="432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4320" w:type="dxa"/>
            <w:vAlign w:val="bottom"/>
          </w:tcPr>
          <w:p>
            <w:pPr>
              <w:ind w:left="20"/>
              <w:spacing w:after="0"/>
              <w:rPr>
                <w:sz w:val="20"/>
                <w:szCs w:val="20"/>
                <w:color w:val="auto"/>
              </w:rPr>
            </w:pPr>
            <w:r>
              <w:rPr>
                <w:rFonts w:ascii="Arial" w:cs="Arial" w:eastAsia="Arial" w:hAnsi="Arial"/>
                <w:sz w:val="16"/>
                <w:szCs w:val="16"/>
                <w:color w:val="004483"/>
              </w:rPr>
              <w:t>Operating Earnings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89,761</w:t>
            </w:r>
          </w:p>
        </w:tc>
        <w:tc>
          <w:tcPr>
            <w:tcW w:w="120" w:type="dxa"/>
            <w:vAlign w:val="bottom"/>
          </w:tcPr>
          <w:p>
            <w:pPr>
              <w:spacing w:after="0"/>
              <w:rPr>
                <w:sz w:val="17"/>
                <w:szCs w:val="17"/>
                <w:color w:val="auto"/>
              </w:rPr>
            </w:pP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66,331</w:t>
            </w:r>
          </w:p>
        </w:tc>
        <w:tc>
          <w:tcPr>
            <w:tcW w:w="120" w:type="dxa"/>
            <w:vAlign w:val="bottom"/>
          </w:tcPr>
          <w:p>
            <w:pPr>
              <w:spacing w:after="0"/>
              <w:rPr>
                <w:sz w:val="17"/>
                <w:szCs w:val="17"/>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6"/>
                <w:szCs w:val="16"/>
                <w:color w:val="auto"/>
              </w:rPr>
              <w:t>35 % $</w:t>
            </w:r>
          </w:p>
        </w:tc>
        <w:tc>
          <w:tcPr>
            <w:tcW w:w="700" w:type="dxa"/>
            <w:vAlign w:val="bottom"/>
          </w:tcPr>
          <w:p>
            <w:pPr>
              <w:jc w:val="right"/>
              <w:spacing w:after="0"/>
              <w:rPr>
                <w:sz w:val="20"/>
                <w:szCs w:val="20"/>
                <w:color w:val="auto"/>
              </w:rPr>
            </w:pPr>
            <w:r>
              <w:rPr>
                <w:rFonts w:ascii="Arial" w:cs="Arial" w:eastAsia="Arial" w:hAnsi="Arial"/>
                <w:sz w:val="16"/>
                <w:szCs w:val="16"/>
                <w:color w:val="auto"/>
              </w:rPr>
              <w:t>173,829</w:t>
            </w:r>
          </w:p>
        </w:tc>
        <w:tc>
          <w:tcPr>
            <w:tcW w:w="120" w:type="dxa"/>
            <w:vAlign w:val="bottom"/>
          </w:tcPr>
          <w:p>
            <w:pPr>
              <w:spacing w:after="0"/>
              <w:rPr>
                <w:sz w:val="17"/>
                <w:szCs w:val="17"/>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129,584</w:t>
            </w:r>
          </w:p>
        </w:tc>
        <w:tc>
          <w:tcPr>
            <w:tcW w:w="1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34 %</w:t>
            </w:r>
          </w:p>
        </w:tc>
      </w:tr>
      <w:tr>
        <w:trPr>
          <w:trHeight w:val="20"/>
        </w:trPr>
        <w:tc>
          <w:tcPr>
            <w:tcW w:w="432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2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2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A6A6A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auto"/>
        </w:rPr>
        <w:t>(1) Net of freight per MSF.</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w:t>
      </w:r>
    </w:p>
    <w:p>
      <w:pPr>
        <w:spacing w:after="0" w:line="16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Gypsum Wallboard Revenue was up 30% to $224.6 million for the three months ended September 30, 2022. The gain was due to higher gross sales prices and Sales Volume, which increased Revenue by approximately $40.6 million and $11.0 million, respectively. Our market share remained relatively consistent during the three months ended September 30, 2022.</w:t>
      </w:r>
    </w:p>
    <w:p>
      <w:pPr>
        <w:spacing w:after="0" w:line="94"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Operating Earnings increased 35% to $89.8 million, primarily because of higher gross sales prices and Sales Volume. The increase in gross sales prices and Sales Volume positively affected Operating Earnings by approximately $40.6 million and $4.2 million, respectively. This was partially offset by higher operating costs, which adversely affected Operating Earnings by approximately $21.3 million. The higher operating costs were primarily related to freight, energy, and raw materials, which reduced Operating Earnings by approximately $6.9 million, $3.8 million, and $7.5 million, respectively. Operating Margin increased to 40% for the three months ended September 30, 2022, primarily because of higher gross sales prices, partly offset by higher operating costs. Fixed costs are not a significant portion of the overall cost of wallboard; therefore, changes in utilization have a relatively minor impact on our operating cost per unit.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2022</w:t>
      </w:r>
    </w:p>
    <w:p>
      <w:pPr>
        <w:spacing w:after="0" w:line="16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Gypsum Wallboard Revenue increased 30% to $441.0 million for the six months ended September 30, 2022. The gain was due to higher gross sales prices and Sales Volume, which increased Revenue by approximately $83.1 million and $18.6 million, respectively. Our market share remained relatively consistent during the six months ended September 30, 2022.</w:t>
      </w:r>
    </w:p>
    <w:p>
      <w:pPr>
        <w:spacing w:after="0" w:line="94"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Operating Earnings increased 34% to $173.8 million, primarily because of higher gross sales prices and Sales Volume. The increase in gross sales prices and Sales Volume positively affected Operating Earnings by approximately $83.2 million and $7.1 million, respectively. This was partially offset by higher operating costs, which adversely affected Operating Earnings by approximately $46.0 million. The higher operating costs were primarily related to freight, energy, and raw materials, which reduced Operating Earnings by approximately $16.3 million, $9.7 million, and $16.7 million, respectively. Operating Margin increased to 39% for the six months ended September 30, 2022, primarily because of higher gross sales prices, partly offset by higher operating costs. Fixed costs are not a significant portion of the overall cost of wallboard; therefore, changes in utilization have a relatively minor impact on our operating cost per unit.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71" w:right="2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RECYCLED PAPERBOARD</w:t>
      </w:r>
    </w:p>
    <w:p>
      <w:pPr>
        <w:spacing w:after="0" w:line="9" w:lineRule="exact"/>
        <w:rPr>
          <w:sz w:val="20"/>
          <w:szCs w:val="20"/>
          <w:color w:val="auto"/>
        </w:rPr>
      </w:pPr>
    </w:p>
    <w:tbl>
      <w:tblPr>
        <w:tblLayout w:type="fixed"/>
        <w:tblInd w:w="4280" w:type="dxa"/>
        <w:tblCellMar>
          <w:top w:w="0" w:type="dxa"/>
          <w:left w:w="0" w:type="dxa"/>
          <w:bottom w:w="0" w:type="dxa"/>
          <w:right w:w="0" w:type="dxa"/>
        </w:tblCellMar>
      </w:tblPr>
      <w:tr>
        <w:trPr>
          <w:trHeight w:val="149"/>
        </w:trPr>
        <w:tc>
          <w:tcPr>
            <w:tcW w:w="2240" w:type="dxa"/>
            <w:vAlign w:val="bottom"/>
            <w:gridSpan w:val="3"/>
            <w:shd w:val="clear" w:color="auto" w:fill="004483"/>
          </w:tcPr>
          <w:p>
            <w:pPr>
              <w:ind w:left="200"/>
              <w:spacing w:after="0"/>
              <w:rPr>
                <w:sz w:val="20"/>
                <w:szCs w:val="20"/>
                <w:color w:val="auto"/>
              </w:rPr>
            </w:pPr>
            <w:r>
              <w:rPr>
                <w:rFonts w:ascii="Arial" w:cs="Arial" w:eastAsia="Arial" w:hAnsi="Arial"/>
                <w:sz w:val="13"/>
                <w:szCs w:val="13"/>
                <w:b w:val="1"/>
                <w:bCs w:val="1"/>
                <w:color w:val="FFFFFF"/>
              </w:rPr>
              <w:t>For the Three Months Ended</w:t>
            </w:r>
          </w:p>
        </w:tc>
        <w:tc>
          <w:tcPr>
            <w:tcW w:w="1300" w:type="dxa"/>
            <w:vAlign w:val="bottom"/>
          </w:tcPr>
          <w:p>
            <w:pPr>
              <w:spacing w:after="0"/>
              <w:rPr>
                <w:sz w:val="13"/>
                <w:szCs w:val="13"/>
                <w:color w:val="auto"/>
              </w:rPr>
            </w:pPr>
          </w:p>
        </w:tc>
        <w:tc>
          <w:tcPr>
            <w:tcW w:w="2160" w:type="dxa"/>
            <w:vAlign w:val="bottom"/>
            <w:gridSpan w:val="3"/>
            <w:shd w:val="clear" w:color="auto" w:fill="004483"/>
          </w:tcPr>
          <w:p>
            <w:pPr>
              <w:jc w:val="center"/>
              <w:ind w:right="160"/>
              <w:spacing w:after="0"/>
              <w:rPr>
                <w:sz w:val="20"/>
                <w:szCs w:val="20"/>
                <w:color w:val="auto"/>
              </w:rPr>
            </w:pPr>
            <w:r>
              <w:rPr>
                <w:rFonts w:ascii="Arial" w:cs="Arial" w:eastAsia="Arial" w:hAnsi="Arial"/>
                <w:sz w:val="13"/>
                <w:szCs w:val="13"/>
                <w:b w:val="1"/>
                <w:bCs w:val="1"/>
                <w:color w:val="FFFFFF"/>
                <w:w w:val="97"/>
              </w:rPr>
              <w:t>For the Six Months Ended</w:t>
            </w:r>
          </w:p>
        </w:tc>
        <w:tc>
          <w:tcPr>
            <w:tcW w:w="940" w:type="dxa"/>
            <w:vAlign w:val="bottom"/>
          </w:tcPr>
          <w:p>
            <w:pPr>
              <w:spacing w:after="0"/>
              <w:rPr>
                <w:sz w:val="13"/>
                <w:szCs w:val="13"/>
                <w:color w:val="auto"/>
              </w:rPr>
            </w:pPr>
          </w:p>
        </w:tc>
      </w:tr>
      <w:tr>
        <w:trPr>
          <w:trHeight w:val="177"/>
        </w:trPr>
        <w:tc>
          <w:tcPr>
            <w:tcW w:w="1660" w:type="dxa"/>
            <w:vAlign w:val="bottom"/>
            <w:tcBorders>
              <w:bottom w:val="single" w:sz="8" w:color="auto"/>
            </w:tcBorders>
            <w:shd w:val="clear" w:color="auto" w:fill="004483"/>
          </w:tcPr>
          <w:p>
            <w:pPr>
              <w:ind w:left="640"/>
              <w:spacing w:after="0"/>
              <w:rPr>
                <w:sz w:val="20"/>
                <w:szCs w:val="20"/>
                <w:color w:val="auto"/>
              </w:rPr>
            </w:pPr>
            <w:r>
              <w:rPr>
                <w:rFonts w:ascii="Arial" w:cs="Arial" w:eastAsia="Arial" w:hAnsi="Arial"/>
                <w:sz w:val="13"/>
                <w:szCs w:val="13"/>
                <w:b w:val="1"/>
                <w:bCs w:val="1"/>
                <w:color w:val="FFFFFF"/>
              </w:rPr>
              <w:t>September 30,</w:t>
            </w:r>
          </w:p>
        </w:tc>
        <w:tc>
          <w:tcPr>
            <w:tcW w:w="460" w:type="dxa"/>
            <w:vAlign w:val="bottom"/>
            <w:tcBorders>
              <w:bottom w:val="single" w:sz="8" w:color="auto"/>
            </w:tcBorders>
            <w:shd w:val="clear" w:color="auto" w:fill="004483"/>
          </w:tcPr>
          <w:p>
            <w:pPr>
              <w:spacing w:after="0"/>
              <w:rPr>
                <w:sz w:val="15"/>
                <w:szCs w:val="15"/>
                <w:color w:val="auto"/>
              </w:rPr>
            </w:pPr>
          </w:p>
        </w:tc>
        <w:tc>
          <w:tcPr>
            <w:tcW w:w="120" w:type="dxa"/>
            <w:vAlign w:val="bottom"/>
            <w:tcBorders>
              <w:bottom w:val="single" w:sz="8" w:color="004483"/>
            </w:tcBorders>
            <w:shd w:val="clear" w:color="auto" w:fill="004483"/>
          </w:tcPr>
          <w:p>
            <w:pPr>
              <w:spacing w:after="0"/>
              <w:rPr>
                <w:sz w:val="15"/>
                <w:szCs w:val="15"/>
                <w:color w:val="auto"/>
              </w:rPr>
            </w:pPr>
          </w:p>
        </w:tc>
        <w:tc>
          <w:tcPr>
            <w:tcW w:w="1300" w:type="dxa"/>
            <w:vAlign w:val="bottom"/>
          </w:tcPr>
          <w:p>
            <w:pPr>
              <w:spacing w:after="0"/>
              <w:rPr>
                <w:sz w:val="15"/>
                <w:szCs w:val="15"/>
                <w:color w:val="auto"/>
              </w:rPr>
            </w:pPr>
          </w:p>
        </w:tc>
        <w:tc>
          <w:tcPr>
            <w:tcW w:w="1600" w:type="dxa"/>
            <w:vAlign w:val="bottom"/>
            <w:tcBorders>
              <w:bottom w:val="single" w:sz="8" w:color="auto"/>
            </w:tcBorders>
            <w:shd w:val="clear" w:color="auto" w:fill="004483"/>
          </w:tcPr>
          <w:p>
            <w:pPr>
              <w:jc w:val="center"/>
              <w:ind w:left="397"/>
              <w:spacing w:after="0"/>
              <w:rPr>
                <w:sz w:val="20"/>
                <w:szCs w:val="20"/>
                <w:color w:val="auto"/>
              </w:rPr>
            </w:pPr>
            <w:r>
              <w:rPr>
                <w:rFonts w:ascii="Arial" w:cs="Arial" w:eastAsia="Arial" w:hAnsi="Arial"/>
                <w:sz w:val="13"/>
                <w:szCs w:val="13"/>
                <w:b w:val="1"/>
                <w:bCs w:val="1"/>
                <w:color w:val="FFFFFF"/>
                <w:w w:val="96"/>
              </w:rPr>
              <w:t>September 30,</w:t>
            </w:r>
          </w:p>
        </w:tc>
        <w:tc>
          <w:tcPr>
            <w:tcW w:w="440" w:type="dxa"/>
            <w:vAlign w:val="bottom"/>
            <w:tcBorders>
              <w:bottom w:val="single" w:sz="8" w:color="auto"/>
            </w:tcBorders>
            <w:shd w:val="clear" w:color="auto" w:fill="004483"/>
          </w:tcPr>
          <w:p>
            <w:pPr>
              <w:spacing w:after="0"/>
              <w:rPr>
                <w:sz w:val="15"/>
                <w:szCs w:val="15"/>
                <w:color w:val="auto"/>
              </w:rPr>
            </w:pPr>
          </w:p>
        </w:tc>
        <w:tc>
          <w:tcPr>
            <w:tcW w:w="120" w:type="dxa"/>
            <w:vAlign w:val="bottom"/>
            <w:tcBorders>
              <w:bottom w:val="single" w:sz="8" w:color="004483"/>
            </w:tcBorders>
            <w:shd w:val="clear" w:color="auto" w:fill="004483"/>
          </w:tcPr>
          <w:p>
            <w:pPr>
              <w:spacing w:after="0"/>
              <w:rPr>
                <w:sz w:val="15"/>
                <w:szCs w:val="15"/>
                <w:color w:val="auto"/>
              </w:rPr>
            </w:pPr>
          </w:p>
        </w:tc>
        <w:tc>
          <w:tcPr>
            <w:tcW w:w="940" w:type="dxa"/>
            <w:vAlign w:val="bottom"/>
          </w:tcPr>
          <w:p>
            <w:pPr>
              <w:spacing w:after="0"/>
              <w:rPr>
                <w:sz w:val="15"/>
                <w:szCs w:val="15"/>
                <w:color w:val="auto"/>
              </w:rPr>
            </w:pPr>
          </w:p>
        </w:tc>
      </w:tr>
      <w:tr>
        <w:trPr>
          <w:trHeight w:val="113"/>
        </w:trPr>
        <w:tc>
          <w:tcPr>
            <w:tcW w:w="1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jc w:val="center"/>
              <w:ind w:right="77"/>
              <w:spacing w:after="0" w:line="113" w:lineRule="exact"/>
              <w:rPr>
                <w:sz w:val="20"/>
                <w:szCs w:val="20"/>
                <w:color w:val="auto"/>
              </w:rPr>
            </w:pPr>
            <w:r>
              <w:rPr>
                <w:rFonts w:ascii="Arial" w:cs="Arial" w:eastAsia="Arial" w:hAnsi="Arial"/>
                <w:sz w:val="13"/>
                <w:szCs w:val="13"/>
                <w:b w:val="1"/>
                <w:bCs w:val="1"/>
                <w:color w:val="auto"/>
                <w:w w:val="96"/>
              </w:rPr>
              <w:t>Percentage</w:t>
            </w:r>
          </w:p>
        </w:tc>
        <w:tc>
          <w:tcPr>
            <w:tcW w:w="1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ind w:left="260"/>
              <w:spacing w:after="0" w:line="113" w:lineRule="exact"/>
              <w:rPr>
                <w:sz w:val="20"/>
                <w:szCs w:val="20"/>
                <w:color w:val="auto"/>
              </w:rPr>
            </w:pPr>
            <w:r>
              <w:rPr>
                <w:rFonts w:ascii="Arial" w:cs="Arial" w:eastAsia="Arial" w:hAnsi="Arial"/>
                <w:sz w:val="13"/>
                <w:szCs w:val="13"/>
                <w:b w:val="1"/>
                <w:bCs w:val="1"/>
                <w:color w:val="auto"/>
                <w:w w:val="94"/>
              </w:rPr>
              <w:t>Percentage</w:t>
            </w:r>
          </w:p>
        </w:tc>
      </w:tr>
      <w:tr>
        <w:trPr>
          <w:trHeight w:val="168"/>
        </w:trPr>
        <w:tc>
          <w:tcPr>
            <w:tcW w:w="1660" w:type="dxa"/>
            <w:vAlign w:val="bottom"/>
          </w:tcPr>
          <w:p>
            <w:pPr>
              <w:ind w:left="640"/>
              <w:spacing w:after="0"/>
              <w:rPr>
                <w:sz w:val="20"/>
                <w:szCs w:val="20"/>
                <w:color w:val="auto"/>
              </w:rPr>
            </w:pPr>
            <w:r>
              <w:rPr>
                <w:rFonts w:ascii="Arial" w:cs="Arial" w:eastAsia="Arial" w:hAnsi="Arial"/>
                <w:sz w:val="13"/>
                <w:szCs w:val="13"/>
                <w:b w:val="1"/>
                <w:bCs w:val="1"/>
                <w:color w:val="auto"/>
              </w:rPr>
              <w:t>2022</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30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Change</w:t>
            </w:r>
          </w:p>
        </w:tc>
        <w:tc>
          <w:tcPr>
            <w:tcW w:w="1600" w:type="dxa"/>
            <w:vAlign w:val="bottom"/>
          </w:tcPr>
          <w:p>
            <w:pPr>
              <w:jc w:val="right"/>
              <w:ind w:right="637"/>
              <w:spacing w:after="0"/>
              <w:rPr>
                <w:sz w:val="20"/>
                <w:szCs w:val="20"/>
                <w:color w:val="auto"/>
              </w:rPr>
            </w:pPr>
            <w:r>
              <w:rPr>
                <w:rFonts w:ascii="Arial" w:cs="Arial" w:eastAsia="Arial" w:hAnsi="Arial"/>
                <w:sz w:val="13"/>
                <w:szCs w:val="13"/>
                <w:b w:val="1"/>
                <w:bCs w:val="1"/>
                <w:color w:val="auto"/>
              </w:rPr>
              <w:t>2022</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940" w:type="dxa"/>
            <w:vAlign w:val="bottom"/>
          </w:tcPr>
          <w:p>
            <w:pPr>
              <w:ind w:left="400"/>
              <w:spacing w:after="0"/>
              <w:rPr>
                <w:sz w:val="20"/>
                <w:szCs w:val="20"/>
                <w:color w:val="auto"/>
              </w:rPr>
            </w:pPr>
            <w:r>
              <w:rPr>
                <w:rFonts w:ascii="Arial" w:cs="Arial" w:eastAsia="Arial" w:hAnsi="Arial"/>
                <w:sz w:val="13"/>
                <w:szCs w:val="13"/>
                <w:b w:val="1"/>
                <w:bCs w:val="1"/>
                <w:color w:val="auto"/>
              </w:rPr>
              <w:t>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-186055</wp:posOffset>
            </wp:positionV>
            <wp:extent cx="76835" cy="19545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195453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-186055</wp:posOffset>
            </wp:positionV>
            <wp:extent cx="68580" cy="19545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954530"/>
                    </a:xfrm>
                    <a:prstGeom prst="rect">
                      <a:avLst/>
                    </a:prstGeom>
                    <a:noFill/>
                  </pic:spPr>
                </pic:pic>
              </a:graphicData>
            </a:graphic>
          </wp:anchor>
        </w:drawing>
      </w:r>
    </w:p>
    <w:p>
      <w:pPr>
        <w:sectPr>
          <w:pgSz w:w="11900" w:h="16838" w:orient="portrait"/>
          <w:cols w:equalWidth="0" w:num="1">
            <w:col w:w="11340"/>
          </w:cols>
          <w:pgMar w:left="320" w:top="576" w:right="239" w:bottom="1440" w:gutter="0" w:footer="0" w:header="0"/>
        </w:sectPr>
      </w:pPr>
    </w:p>
    <w:p>
      <w:pPr>
        <w:spacing w:after="0" w:line="7" w:lineRule="exact"/>
        <w:rPr>
          <w:sz w:val="20"/>
          <w:szCs w:val="20"/>
          <w:color w:val="auto"/>
        </w:rPr>
      </w:pPr>
    </w:p>
    <w:p>
      <w:pPr>
        <w:jc w:val="center"/>
        <w:ind w:left="3360"/>
        <w:spacing w:after="0"/>
        <w:rPr>
          <w:sz w:val="20"/>
          <w:szCs w:val="20"/>
          <w:color w:val="auto"/>
        </w:rPr>
      </w:pPr>
      <w:r>
        <w:rPr>
          <w:rFonts w:ascii="Arial" w:cs="Arial" w:eastAsia="Arial" w:hAnsi="Arial"/>
          <w:sz w:val="12"/>
          <w:szCs w:val="12"/>
          <w:color w:val="auto"/>
        </w:rPr>
        <w:t>(in thousands, except per ton</w:t>
      </w:r>
    </w:p>
    <w:p>
      <w:pPr>
        <w:jc w:val="center"/>
        <w:ind w:left="3400"/>
        <w:spacing w:after="0"/>
        <w:rPr>
          <w:sz w:val="20"/>
          <w:szCs w:val="20"/>
          <w:color w:val="auto"/>
        </w:rPr>
      </w:pPr>
      <w:r>
        <w:rPr>
          <w:rFonts w:ascii="Arial" w:cs="Arial" w:eastAsia="Arial" w:hAnsi="Arial"/>
          <w:sz w:val="13"/>
          <w:szCs w:val="13"/>
          <w:color w:val="auto"/>
        </w:rPr>
        <w:t>information)</w:t>
      </w:r>
    </w:p>
    <w:p>
      <w:pPr>
        <w:spacing w:after="0" w:line="20" w:lineRule="exact"/>
        <w:rPr>
          <w:sz w:val="20"/>
          <w:szCs w:val="20"/>
          <w:color w:val="auto"/>
        </w:rPr>
      </w:pPr>
      <w:r>
        <w:rPr>
          <w:sz w:val="20"/>
          <w:szCs w:val="20"/>
          <w:color w:val="auto"/>
        </w:rPr>
        <w:br w:type="column"/>
      </w:r>
    </w:p>
    <w:p>
      <w:pPr>
        <w:jc w:val="center"/>
        <w:ind w:right="1700"/>
        <w:spacing w:after="0"/>
        <w:rPr>
          <w:sz w:val="20"/>
          <w:szCs w:val="20"/>
          <w:color w:val="auto"/>
        </w:rPr>
      </w:pPr>
      <w:r>
        <w:rPr>
          <w:rFonts w:ascii="Arial" w:cs="Arial" w:eastAsia="Arial" w:hAnsi="Arial"/>
          <w:sz w:val="12"/>
          <w:szCs w:val="12"/>
          <w:color w:val="auto"/>
        </w:rPr>
        <w:t>(in thousands, except per ton</w:t>
      </w:r>
    </w:p>
    <w:p>
      <w:pPr>
        <w:jc w:val="center"/>
        <w:ind w:right="1680"/>
        <w:spacing w:after="0"/>
        <w:rPr>
          <w:sz w:val="20"/>
          <w:szCs w:val="20"/>
          <w:color w:val="auto"/>
        </w:rPr>
      </w:pPr>
      <w:r>
        <w:rPr>
          <w:rFonts w:ascii="Arial" w:cs="Arial" w:eastAsia="Arial" w:hAnsi="Arial"/>
          <w:sz w:val="13"/>
          <w:szCs w:val="13"/>
          <w:color w:val="auto"/>
        </w:rPr>
        <w:t>information)</w:t>
      </w:r>
    </w:p>
    <w:p>
      <w:pPr>
        <w:spacing w:after="0" w:line="22" w:lineRule="exact"/>
        <w:rPr>
          <w:sz w:val="20"/>
          <w:szCs w:val="20"/>
          <w:color w:val="auto"/>
        </w:rPr>
      </w:pPr>
    </w:p>
    <w:p>
      <w:pPr>
        <w:sectPr>
          <w:pgSz w:w="11900" w:h="16838" w:orient="portrait"/>
          <w:cols w:equalWidth="0" w:num="2">
            <w:col w:w="7300" w:space="720"/>
            <w:col w:w="3320"/>
          </w:cols>
          <w:pgMar w:left="320" w:top="576" w:right="23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4280" w:type="dxa"/>
            <w:vAlign w:val="bottom"/>
            <w:shd w:val="clear" w:color="auto" w:fill="17385E"/>
          </w:tcPr>
          <w:p>
            <w:pPr>
              <w:spacing w:after="0"/>
              <w:rPr>
                <w:sz w:val="3"/>
                <w:szCs w:val="3"/>
                <w:color w:val="auto"/>
              </w:rPr>
            </w:pPr>
          </w:p>
        </w:tc>
        <w:tc>
          <w:tcPr>
            <w:tcW w:w="240" w:type="dxa"/>
            <w:vAlign w:val="bottom"/>
            <w:shd w:val="clear" w:color="auto" w:fill="17385E"/>
          </w:tcPr>
          <w:p>
            <w:pPr>
              <w:spacing w:after="0"/>
              <w:rPr>
                <w:sz w:val="3"/>
                <w:szCs w:val="3"/>
                <w:color w:val="auto"/>
              </w:rPr>
            </w:pPr>
          </w:p>
        </w:tc>
        <w:tc>
          <w:tcPr>
            <w:tcW w:w="700" w:type="dxa"/>
            <w:vAlign w:val="bottom"/>
            <w:shd w:val="clear" w:color="auto" w:fill="17385E"/>
          </w:tcPr>
          <w:p>
            <w:pPr>
              <w:spacing w:after="0"/>
              <w:rPr>
                <w:sz w:val="3"/>
                <w:szCs w:val="3"/>
                <w:color w:val="auto"/>
              </w:rPr>
            </w:pPr>
          </w:p>
        </w:tc>
        <w:tc>
          <w:tcPr>
            <w:tcW w:w="120" w:type="dxa"/>
            <w:vAlign w:val="bottom"/>
            <w:shd w:val="clear" w:color="auto" w:fill="17385E"/>
          </w:tcPr>
          <w:p>
            <w:pPr>
              <w:spacing w:after="0"/>
              <w:rPr>
                <w:sz w:val="3"/>
                <w:szCs w:val="3"/>
                <w:color w:val="auto"/>
              </w:rPr>
            </w:pPr>
          </w:p>
        </w:tc>
        <w:tc>
          <w:tcPr>
            <w:tcW w:w="120" w:type="dxa"/>
            <w:vAlign w:val="bottom"/>
            <w:shd w:val="clear" w:color="auto" w:fill="17385E"/>
          </w:tcPr>
          <w:p>
            <w:pPr>
              <w:spacing w:after="0"/>
              <w:rPr>
                <w:sz w:val="3"/>
                <w:szCs w:val="3"/>
                <w:color w:val="auto"/>
              </w:rPr>
            </w:pPr>
          </w:p>
        </w:tc>
        <w:tc>
          <w:tcPr>
            <w:tcW w:w="240" w:type="dxa"/>
            <w:vAlign w:val="bottom"/>
            <w:shd w:val="clear" w:color="auto" w:fill="17385E"/>
          </w:tcPr>
          <w:p>
            <w:pPr>
              <w:spacing w:after="0"/>
              <w:rPr>
                <w:sz w:val="3"/>
                <w:szCs w:val="3"/>
                <w:color w:val="auto"/>
              </w:rPr>
            </w:pPr>
          </w:p>
        </w:tc>
        <w:tc>
          <w:tcPr>
            <w:tcW w:w="700" w:type="dxa"/>
            <w:vAlign w:val="bottom"/>
            <w:shd w:val="clear" w:color="auto" w:fill="17385E"/>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shd w:val="clear" w:color="auto" w:fill="17385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shd w:val="clear" w:color="auto" w:fill="17385E"/>
          </w:tcPr>
          <w:p>
            <w:pPr>
              <w:spacing w:after="0"/>
              <w:rPr>
                <w:sz w:val="3"/>
                <w:szCs w:val="3"/>
                <w:color w:val="auto"/>
              </w:rPr>
            </w:pPr>
          </w:p>
        </w:tc>
        <w:tc>
          <w:tcPr>
            <w:tcW w:w="200" w:type="dxa"/>
            <w:vAlign w:val="bottom"/>
            <w:shd w:val="clear" w:color="auto" w:fill="17385E"/>
          </w:tcPr>
          <w:p>
            <w:pPr>
              <w:spacing w:after="0"/>
              <w:rPr>
                <w:sz w:val="3"/>
                <w:szCs w:val="3"/>
                <w:color w:val="auto"/>
              </w:rPr>
            </w:pPr>
          </w:p>
        </w:tc>
        <w:tc>
          <w:tcPr>
            <w:tcW w:w="700" w:type="dxa"/>
            <w:vAlign w:val="bottom"/>
            <w:shd w:val="clear" w:color="auto" w:fill="17385E"/>
          </w:tcPr>
          <w:p>
            <w:pPr>
              <w:spacing w:after="0"/>
              <w:rPr>
                <w:sz w:val="3"/>
                <w:szCs w:val="3"/>
                <w:color w:val="auto"/>
              </w:rPr>
            </w:pPr>
          </w:p>
        </w:tc>
        <w:tc>
          <w:tcPr>
            <w:tcW w:w="120" w:type="dxa"/>
            <w:vAlign w:val="bottom"/>
            <w:shd w:val="clear" w:color="auto" w:fill="17385E"/>
          </w:tcPr>
          <w:p>
            <w:pPr>
              <w:spacing w:after="0"/>
              <w:rPr>
                <w:sz w:val="3"/>
                <w:szCs w:val="3"/>
                <w:color w:val="auto"/>
              </w:rPr>
            </w:pPr>
          </w:p>
        </w:tc>
        <w:tc>
          <w:tcPr>
            <w:tcW w:w="100" w:type="dxa"/>
            <w:vAlign w:val="bottom"/>
            <w:shd w:val="clear" w:color="auto" w:fill="17385E"/>
          </w:tcPr>
          <w:p>
            <w:pPr>
              <w:spacing w:after="0"/>
              <w:rPr>
                <w:sz w:val="3"/>
                <w:szCs w:val="3"/>
                <w:color w:val="auto"/>
              </w:rPr>
            </w:pPr>
          </w:p>
        </w:tc>
        <w:tc>
          <w:tcPr>
            <w:tcW w:w="240" w:type="dxa"/>
            <w:vAlign w:val="bottom"/>
            <w:shd w:val="clear" w:color="auto" w:fill="17385E"/>
          </w:tcPr>
          <w:p>
            <w:pPr>
              <w:spacing w:after="0"/>
              <w:rPr>
                <w:sz w:val="3"/>
                <w:szCs w:val="3"/>
                <w:color w:val="auto"/>
              </w:rPr>
            </w:pPr>
          </w:p>
        </w:tc>
        <w:tc>
          <w:tcPr>
            <w:tcW w:w="680" w:type="dxa"/>
            <w:vAlign w:val="bottom"/>
            <w:shd w:val="clear" w:color="auto" w:fill="17385E"/>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shd w:val="clear" w:color="auto" w:fill="17385E"/>
          </w:tcPr>
          <w:p>
            <w:pPr>
              <w:spacing w:after="0"/>
              <w:rPr>
                <w:sz w:val="3"/>
                <w:szCs w:val="3"/>
                <w:color w:val="auto"/>
              </w:rPr>
            </w:pPr>
          </w:p>
        </w:tc>
        <w:tc>
          <w:tcPr>
            <w:tcW w:w="200" w:type="dxa"/>
            <w:vAlign w:val="bottom"/>
          </w:tcPr>
          <w:p>
            <w:pPr>
              <w:spacing w:after="0"/>
              <w:rPr>
                <w:sz w:val="3"/>
                <w:szCs w:val="3"/>
                <w:color w:val="auto"/>
              </w:rPr>
            </w:pPr>
          </w:p>
        </w:tc>
      </w:tr>
      <w:tr>
        <w:trPr>
          <w:trHeight w:val="200"/>
        </w:trPr>
        <w:tc>
          <w:tcPr>
            <w:tcW w:w="4280" w:type="dxa"/>
            <w:vAlign w:val="bottom"/>
          </w:tcPr>
          <w:p>
            <w:pPr>
              <w:ind w:left="20"/>
              <w:spacing w:after="0"/>
              <w:rPr>
                <w:sz w:val="20"/>
                <w:szCs w:val="20"/>
                <w:color w:val="auto"/>
              </w:rPr>
            </w:pPr>
            <w:r>
              <w:rPr>
                <w:rFonts w:ascii="Arial" w:cs="Arial" w:eastAsia="Arial" w:hAnsi="Arial"/>
                <w:sz w:val="16"/>
                <w:szCs w:val="16"/>
                <w:color w:val="004483"/>
              </w:rPr>
              <w:t>Gross Revenue, including intersegment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53,673</w:t>
            </w:r>
          </w:p>
        </w:tc>
        <w:tc>
          <w:tcPr>
            <w:tcW w:w="120" w:type="dxa"/>
            <w:vAlign w:val="bottom"/>
          </w:tcPr>
          <w:p>
            <w:pPr>
              <w:spacing w:after="0"/>
              <w:rPr>
                <w:sz w:val="17"/>
                <w:szCs w:val="17"/>
                <w:color w:val="auto"/>
              </w:rPr>
            </w:pP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47,798</w:t>
            </w:r>
          </w:p>
        </w:tc>
        <w:tc>
          <w:tcPr>
            <w:tcW w:w="120" w:type="dxa"/>
            <w:vAlign w:val="bottom"/>
          </w:tcPr>
          <w:p>
            <w:pPr>
              <w:spacing w:after="0"/>
              <w:rPr>
                <w:sz w:val="17"/>
                <w:szCs w:val="17"/>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6"/>
                <w:szCs w:val="16"/>
                <w:color w:val="auto"/>
              </w:rPr>
              <w:t>12 % $</w:t>
            </w:r>
          </w:p>
        </w:tc>
        <w:tc>
          <w:tcPr>
            <w:tcW w:w="700" w:type="dxa"/>
            <w:vAlign w:val="bottom"/>
          </w:tcPr>
          <w:p>
            <w:pPr>
              <w:jc w:val="right"/>
              <w:spacing w:after="0"/>
              <w:rPr>
                <w:sz w:val="20"/>
                <w:szCs w:val="20"/>
                <w:color w:val="auto"/>
              </w:rPr>
            </w:pPr>
            <w:r>
              <w:rPr>
                <w:rFonts w:ascii="Arial" w:cs="Arial" w:eastAsia="Arial" w:hAnsi="Arial"/>
                <w:sz w:val="16"/>
                <w:szCs w:val="16"/>
                <w:color w:val="auto"/>
              </w:rPr>
              <w:t>107,746</w:t>
            </w:r>
          </w:p>
        </w:tc>
        <w:tc>
          <w:tcPr>
            <w:tcW w:w="1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91,065</w:t>
            </w:r>
          </w:p>
        </w:tc>
        <w:tc>
          <w:tcPr>
            <w:tcW w:w="12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18 %</w:t>
            </w:r>
          </w:p>
        </w:tc>
      </w:tr>
      <w:tr>
        <w:trPr>
          <w:trHeight w:val="20"/>
        </w:trPr>
        <w:tc>
          <w:tcPr>
            <w:tcW w:w="428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6"/>
        </w:trPr>
        <w:tc>
          <w:tcPr>
            <w:tcW w:w="4280" w:type="dxa"/>
            <w:vAlign w:val="bottom"/>
          </w:tcPr>
          <w:p>
            <w:pPr>
              <w:ind w:left="20"/>
              <w:spacing w:after="0"/>
              <w:rPr>
                <w:sz w:val="20"/>
                <w:szCs w:val="20"/>
                <w:color w:val="auto"/>
              </w:rPr>
            </w:pPr>
            <w:r>
              <w:rPr>
                <w:rFonts w:ascii="Arial" w:cs="Arial" w:eastAsia="Arial" w:hAnsi="Arial"/>
                <w:sz w:val="16"/>
                <w:szCs w:val="16"/>
                <w:color w:val="004483"/>
              </w:rPr>
              <w:t>Less intersegment Revenue</w:t>
            </w:r>
          </w:p>
        </w:tc>
        <w:tc>
          <w:tcPr>
            <w:tcW w:w="24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(24,825 )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(20,014 )</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24 %</w:t>
            </w:r>
          </w:p>
        </w:tc>
        <w:tc>
          <w:tcPr>
            <w:tcW w:w="2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(47,366 )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(38,263 )</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24 %</w:t>
            </w:r>
          </w:p>
        </w:tc>
      </w:tr>
      <w:tr>
        <w:trPr>
          <w:trHeight w:val="20"/>
        </w:trPr>
        <w:tc>
          <w:tcPr>
            <w:tcW w:w="428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7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7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00" w:type="dxa"/>
            <w:vAlign w:val="bottom"/>
            <w:tcBorders>
              <w:top w:val="single" w:sz="8" w:color="004483"/>
            </w:tcBorders>
            <w:shd w:val="clear" w:color="auto" w:fill="004483"/>
          </w:tcPr>
          <w:p>
            <w:pPr>
              <w:spacing w:after="0" w:line="20" w:lineRule="exact"/>
              <w:rPr>
                <w:sz w:val="1"/>
                <w:szCs w:val="1"/>
                <w:color w:val="auto"/>
              </w:rPr>
            </w:pPr>
          </w:p>
        </w:tc>
        <w:tc>
          <w:tcPr>
            <w:tcW w:w="7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68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3"/>
        </w:trPr>
        <w:tc>
          <w:tcPr>
            <w:tcW w:w="4280" w:type="dxa"/>
            <w:vAlign w:val="bottom"/>
          </w:tcPr>
          <w:p>
            <w:pPr>
              <w:ind w:left="20"/>
              <w:spacing w:after="0"/>
              <w:rPr>
                <w:sz w:val="20"/>
                <w:szCs w:val="20"/>
                <w:color w:val="auto"/>
              </w:rPr>
            </w:pPr>
            <w:r>
              <w:rPr>
                <w:rFonts w:ascii="Arial" w:cs="Arial" w:eastAsia="Arial" w:hAnsi="Arial"/>
                <w:sz w:val="16"/>
                <w:szCs w:val="16"/>
                <w:color w:val="004483"/>
              </w:rPr>
              <w:t>Gross Revenue, as reported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28,848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27,784</w:t>
            </w:r>
          </w:p>
        </w:tc>
        <w:tc>
          <w:tcPr>
            <w:tcW w:w="120" w:type="dxa"/>
            <w:vAlign w:val="bottom"/>
          </w:tcPr>
          <w:p>
            <w:pPr>
              <w:spacing w:after="0"/>
              <w:rPr>
                <w:sz w:val="16"/>
                <w:szCs w:val="16"/>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6"/>
                <w:szCs w:val="16"/>
                <w:color w:val="auto"/>
              </w:rPr>
              <w:t>4 % $</w:t>
            </w:r>
          </w:p>
        </w:tc>
        <w:tc>
          <w:tcPr>
            <w:tcW w:w="700" w:type="dxa"/>
            <w:vAlign w:val="bottom"/>
          </w:tcPr>
          <w:p>
            <w:pPr>
              <w:jc w:val="right"/>
              <w:spacing w:after="0"/>
              <w:rPr>
                <w:sz w:val="20"/>
                <w:szCs w:val="20"/>
                <w:color w:val="auto"/>
              </w:rPr>
            </w:pPr>
            <w:r>
              <w:rPr>
                <w:rFonts w:ascii="Arial" w:cs="Arial" w:eastAsia="Arial" w:hAnsi="Arial"/>
                <w:sz w:val="16"/>
                <w:szCs w:val="16"/>
                <w:color w:val="auto"/>
              </w:rPr>
              <w:t>60,380</w:t>
            </w:r>
          </w:p>
        </w:tc>
        <w:tc>
          <w:tcPr>
            <w:tcW w:w="1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52,802</w:t>
            </w:r>
          </w:p>
        </w:tc>
        <w:tc>
          <w:tcPr>
            <w:tcW w:w="120" w:type="dxa"/>
            <w:vAlign w:val="bottom"/>
          </w:tcPr>
          <w:p>
            <w:pPr>
              <w:spacing w:after="0"/>
              <w:rPr>
                <w:sz w:val="16"/>
                <w:szCs w:val="16"/>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14 %</w:t>
            </w:r>
          </w:p>
        </w:tc>
      </w:tr>
      <w:tr>
        <w:trPr>
          <w:trHeight w:val="20"/>
        </w:trPr>
        <w:tc>
          <w:tcPr>
            <w:tcW w:w="428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6"/>
        </w:trPr>
        <w:tc>
          <w:tcPr>
            <w:tcW w:w="4280" w:type="dxa"/>
            <w:vAlign w:val="bottom"/>
          </w:tcPr>
          <w:p>
            <w:pPr>
              <w:ind w:left="20"/>
              <w:spacing w:after="0"/>
              <w:rPr>
                <w:sz w:val="20"/>
                <w:szCs w:val="20"/>
                <w:color w:val="auto"/>
              </w:rPr>
            </w:pPr>
            <w:r>
              <w:rPr>
                <w:rFonts w:ascii="Arial" w:cs="Arial" w:eastAsia="Arial" w:hAnsi="Arial"/>
                <w:sz w:val="16"/>
                <w:szCs w:val="16"/>
                <w:color w:val="004483"/>
              </w:rPr>
              <w:t>Freight and Delivery Costs billed to Customers</w:t>
            </w:r>
          </w:p>
        </w:tc>
        <w:tc>
          <w:tcPr>
            <w:tcW w:w="24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(2,469 )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(2,123 )</w:t>
            </w:r>
          </w:p>
        </w:tc>
        <w:tc>
          <w:tcPr>
            <w:tcW w:w="1300" w:type="dxa"/>
            <w:vAlign w:val="bottom"/>
            <w:gridSpan w:val="3"/>
          </w:tcPr>
          <w:p>
            <w:pPr>
              <w:jc w:val="right"/>
              <w:ind w:right="60"/>
              <w:spacing w:after="0"/>
              <w:rPr>
                <w:sz w:val="20"/>
                <w:szCs w:val="20"/>
                <w:color w:val="auto"/>
              </w:rPr>
            </w:pPr>
            <w:r>
              <w:rPr>
                <w:rFonts w:ascii="Arial" w:cs="Arial" w:eastAsia="Arial" w:hAnsi="Arial"/>
                <w:sz w:val="16"/>
                <w:szCs w:val="16"/>
                <w:color w:val="auto"/>
              </w:rPr>
              <w:t>16 %</w:t>
            </w:r>
          </w:p>
        </w:tc>
        <w:tc>
          <w:tcPr>
            <w:tcW w:w="2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(5,018 )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(3,571 )</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41 %</w:t>
            </w:r>
          </w:p>
        </w:tc>
      </w:tr>
      <w:tr>
        <w:trPr>
          <w:trHeight w:val="20"/>
        </w:trPr>
        <w:tc>
          <w:tcPr>
            <w:tcW w:w="428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7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7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00" w:type="dxa"/>
            <w:vAlign w:val="bottom"/>
            <w:tcBorders>
              <w:top w:val="single" w:sz="8" w:color="004483"/>
            </w:tcBorders>
            <w:shd w:val="clear" w:color="auto" w:fill="004483"/>
          </w:tcPr>
          <w:p>
            <w:pPr>
              <w:spacing w:after="0" w:line="20" w:lineRule="exact"/>
              <w:rPr>
                <w:sz w:val="1"/>
                <w:szCs w:val="1"/>
                <w:color w:val="auto"/>
              </w:rPr>
            </w:pPr>
          </w:p>
        </w:tc>
        <w:tc>
          <w:tcPr>
            <w:tcW w:w="70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tcBorders>
              <w:top w:val="single" w:sz="8" w:color="004483"/>
            </w:tcBorders>
            <w:shd w:val="clear" w:color="auto" w:fill="004483"/>
          </w:tcPr>
          <w:p>
            <w:pPr>
              <w:spacing w:after="0" w:line="20" w:lineRule="exact"/>
              <w:rPr>
                <w:sz w:val="1"/>
                <w:szCs w:val="1"/>
                <w:color w:val="auto"/>
              </w:rPr>
            </w:pPr>
          </w:p>
        </w:tc>
        <w:tc>
          <w:tcPr>
            <w:tcW w:w="680" w:type="dxa"/>
            <w:vAlign w:val="bottom"/>
            <w:tcBorders>
              <w:top w:val="single" w:sz="8" w:color="004483"/>
            </w:tcBorders>
            <w:shd w:val="clear" w:color="auto" w:fill="00448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3"/>
        </w:trPr>
        <w:tc>
          <w:tcPr>
            <w:tcW w:w="4280" w:type="dxa"/>
            <w:vAlign w:val="bottom"/>
          </w:tcPr>
          <w:p>
            <w:pPr>
              <w:ind w:left="20"/>
              <w:spacing w:after="0"/>
              <w:rPr>
                <w:sz w:val="20"/>
                <w:szCs w:val="20"/>
                <w:color w:val="auto"/>
              </w:rPr>
            </w:pPr>
            <w:r>
              <w:rPr>
                <w:rFonts w:ascii="Arial" w:cs="Arial" w:eastAsia="Arial" w:hAnsi="Arial"/>
                <w:sz w:val="16"/>
                <w:szCs w:val="16"/>
                <w:color w:val="004483"/>
              </w:rPr>
              <w:t>Net Revenue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26,379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25,661</w:t>
            </w:r>
          </w:p>
        </w:tc>
        <w:tc>
          <w:tcPr>
            <w:tcW w:w="120" w:type="dxa"/>
            <w:vAlign w:val="bottom"/>
          </w:tcPr>
          <w:p>
            <w:pPr>
              <w:spacing w:after="0"/>
              <w:rPr>
                <w:sz w:val="16"/>
                <w:szCs w:val="16"/>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6"/>
                <w:szCs w:val="16"/>
                <w:color w:val="auto"/>
              </w:rPr>
              <w:t>3 % $</w:t>
            </w:r>
          </w:p>
        </w:tc>
        <w:tc>
          <w:tcPr>
            <w:tcW w:w="700" w:type="dxa"/>
            <w:vAlign w:val="bottom"/>
          </w:tcPr>
          <w:p>
            <w:pPr>
              <w:jc w:val="right"/>
              <w:spacing w:after="0"/>
              <w:rPr>
                <w:sz w:val="20"/>
                <w:szCs w:val="20"/>
                <w:color w:val="auto"/>
              </w:rPr>
            </w:pPr>
            <w:r>
              <w:rPr>
                <w:rFonts w:ascii="Arial" w:cs="Arial" w:eastAsia="Arial" w:hAnsi="Arial"/>
                <w:sz w:val="16"/>
                <w:szCs w:val="16"/>
                <w:color w:val="auto"/>
              </w:rPr>
              <w:t>55,362</w:t>
            </w:r>
          </w:p>
        </w:tc>
        <w:tc>
          <w:tcPr>
            <w:tcW w:w="1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49,231</w:t>
            </w:r>
          </w:p>
        </w:tc>
        <w:tc>
          <w:tcPr>
            <w:tcW w:w="120" w:type="dxa"/>
            <w:vAlign w:val="bottom"/>
          </w:tcPr>
          <w:p>
            <w:pPr>
              <w:spacing w:after="0"/>
              <w:rPr>
                <w:sz w:val="16"/>
                <w:szCs w:val="16"/>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12 %</w:t>
            </w:r>
          </w:p>
        </w:tc>
      </w:tr>
      <w:tr>
        <w:trPr>
          <w:trHeight w:val="199"/>
        </w:trPr>
        <w:tc>
          <w:tcPr>
            <w:tcW w:w="4280" w:type="dxa"/>
            <w:vAlign w:val="bottom"/>
            <w:tcBorders>
              <w:top w:val="single" w:sz="8" w:color="A6A6A6"/>
              <w:bottom w:val="single" w:sz="8" w:color="A6A6A6"/>
            </w:tcBorders>
          </w:tcPr>
          <w:p>
            <w:pPr>
              <w:spacing w:after="0"/>
              <w:rPr>
                <w:sz w:val="17"/>
                <w:szCs w:val="17"/>
                <w:color w:val="auto"/>
              </w:rPr>
            </w:pPr>
          </w:p>
        </w:tc>
        <w:tc>
          <w:tcPr>
            <w:tcW w:w="240" w:type="dxa"/>
            <w:vAlign w:val="bottom"/>
            <w:tcBorders>
              <w:top w:val="single" w:sz="8" w:color="A6A6A6"/>
              <w:bottom w:val="single" w:sz="8" w:color="A6A6A6"/>
            </w:tcBorders>
          </w:tcPr>
          <w:p>
            <w:pPr>
              <w:spacing w:after="0"/>
              <w:rPr>
                <w:sz w:val="17"/>
                <w:szCs w:val="17"/>
                <w:color w:val="auto"/>
              </w:rPr>
            </w:pPr>
          </w:p>
        </w:tc>
        <w:tc>
          <w:tcPr>
            <w:tcW w:w="700" w:type="dxa"/>
            <w:vAlign w:val="bottom"/>
            <w:tcBorders>
              <w:top w:val="single" w:sz="8" w:color="A6A6A6"/>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6A6A6"/>
              <w:bottom w:val="single" w:sz="8" w:color="A6A6A6"/>
            </w:tcBorders>
          </w:tcPr>
          <w:p>
            <w:pPr>
              <w:spacing w:after="0"/>
              <w:rPr>
                <w:sz w:val="17"/>
                <w:szCs w:val="17"/>
                <w:color w:val="auto"/>
              </w:rPr>
            </w:pPr>
          </w:p>
        </w:tc>
        <w:tc>
          <w:tcPr>
            <w:tcW w:w="240" w:type="dxa"/>
            <w:vAlign w:val="bottom"/>
            <w:tcBorders>
              <w:top w:val="single" w:sz="8" w:color="A6A6A6"/>
              <w:bottom w:val="single" w:sz="8" w:color="A6A6A6"/>
            </w:tcBorders>
          </w:tcPr>
          <w:p>
            <w:pPr>
              <w:spacing w:after="0"/>
              <w:rPr>
                <w:sz w:val="17"/>
                <w:szCs w:val="17"/>
                <w:color w:val="auto"/>
              </w:rPr>
            </w:pPr>
          </w:p>
        </w:tc>
        <w:tc>
          <w:tcPr>
            <w:tcW w:w="700" w:type="dxa"/>
            <w:vAlign w:val="bottom"/>
            <w:tcBorders>
              <w:top w:val="single" w:sz="8" w:color="A6A6A6"/>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top w:val="single" w:sz="8" w:color="A6A6A6"/>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6A6A6"/>
              <w:bottom w:val="single" w:sz="8" w:color="A6A6A6"/>
            </w:tcBorders>
          </w:tcPr>
          <w:p>
            <w:pPr>
              <w:spacing w:after="0"/>
              <w:rPr>
                <w:sz w:val="17"/>
                <w:szCs w:val="17"/>
                <w:color w:val="auto"/>
              </w:rPr>
            </w:pPr>
          </w:p>
        </w:tc>
        <w:tc>
          <w:tcPr>
            <w:tcW w:w="200" w:type="dxa"/>
            <w:vAlign w:val="bottom"/>
            <w:tcBorders>
              <w:top w:val="single" w:sz="8" w:color="A6A6A6"/>
              <w:bottom w:val="single" w:sz="8" w:color="A6A6A6"/>
            </w:tcBorders>
          </w:tcPr>
          <w:p>
            <w:pPr>
              <w:spacing w:after="0"/>
              <w:rPr>
                <w:sz w:val="17"/>
                <w:szCs w:val="17"/>
                <w:color w:val="auto"/>
              </w:rPr>
            </w:pPr>
          </w:p>
        </w:tc>
        <w:tc>
          <w:tcPr>
            <w:tcW w:w="700" w:type="dxa"/>
            <w:vAlign w:val="bottom"/>
            <w:tcBorders>
              <w:top w:val="single" w:sz="8" w:color="A6A6A6"/>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6A6A6"/>
              <w:bottom w:val="single" w:sz="8" w:color="A6A6A6"/>
            </w:tcBorders>
          </w:tcPr>
          <w:p>
            <w:pPr>
              <w:spacing w:after="0"/>
              <w:rPr>
                <w:sz w:val="17"/>
                <w:szCs w:val="17"/>
                <w:color w:val="auto"/>
              </w:rPr>
            </w:pPr>
          </w:p>
        </w:tc>
        <w:tc>
          <w:tcPr>
            <w:tcW w:w="240" w:type="dxa"/>
            <w:vAlign w:val="bottom"/>
            <w:tcBorders>
              <w:top w:val="single" w:sz="8" w:color="A6A6A6"/>
              <w:bottom w:val="single" w:sz="8" w:color="A6A6A6"/>
            </w:tcBorders>
          </w:tcPr>
          <w:p>
            <w:pPr>
              <w:spacing w:after="0"/>
              <w:rPr>
                <w:sz w:val="17"/>
                <w:szCs w:val="17"/>
                <w:color w:val="auto"/>
              </w:rPr>
            </w:pPr>
          </w:p>
        </w:tc>
        <w:tc>
          <w:tcPr>
            <w:tcW w:w="680" w:type="dxa"/>
            <w:vAlign w:val="bottom"/>
            <w:tcBorders>
              <w:top w:val="single" w:sz="8" w:color="A6A6A6"/>
              <w:bottom w:val="single" w:sz="8" w:color="A6A6A6"/>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6A6A6"/>
              <w:bottom w:val="single" w:sz="8" w:color="A6A6A6"/>
            </w:tcBorders>
          </w:tcPr>
          <w:p>
            <w:pPr>
              <w:spacing w:after="0"/>
              <w:rPr>
                <w:sz w:val="17"/>
                <w:szCs w:val="17"/>
                <w:color w:val="auto"/>
              </w:rPr>
            </w:pPr>
          </w:p>
        </w:tc>
        <w:tc>
          <w:tcPr>
            <w:tcW w:w="200" w:type="dxa"/>
            <w:vAlign w:val="bottom"/>
          </w:tcPr>
          <w:p>
            <w:pPr>
              <w:spacing w:after="0"/>
              <w:rPr>
                <w:sz w:val="17"/>
                <w:szCs w:val="17"/>
                <w:color w:val="auto"/>
              </w:rPr>
            </w:pPr>
          </w:p>
        </w:tc>
      </w:tr>
      <w:tr>
        <w:trPr>
          <w:trHeight w:val="193"/>
        </w:trPr>
        <w:tc>
          <w:tcPr>
            <w:tcW w:w="4280" w:type="dxa"/>
            <w:vAlign w:val="bottom"/>
          </w:tcPr>
          <w:p>
            <w:pPr>
              <w:ind w:left="20"/>
              <w:spacing w:after="0"/>
              <w:rPr>
                <w:sz w:val="20"/>
                <w:szCs w:val="20"/>
                <w:color w:val="auto"/>
              </w:rPr>
            </w:pPr>
            <w:r>
              <w:rPr>
                <w:rFonts w:ascii="Arial" w:cs="Arial" w:eastAsia="Arial" w:hAnsi="Arial"/>
                <w:sz w:val="16"/>
                <w:szCs w:val="16"/>
                <w:color w:val="004483"/>
              </w:rPr>
              <w:t>Sales Volume (M Tons)</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(2 )%</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(1 )%</w:t>
            </w:r>
          </w:p>
        </w:tc>
      </w:tr>
      <w:tr>
        <w:trPr>
          <w:trHeight w:val="20"/>
        </w:trPr>
        <w:tc>
          <w:tcPr>
            <w:tcW w:w="428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9"/>
        </w:trPr>
        <w:tc>
          <w:tcPr>
            <w:tcW w:w="4280" w:type="dxa"/>
            <w:vAlign w:val="bottom"/>
          </w:tcPr>
          <w:p>
            <w:pPr>
              <w:ind w:left="20"/>
              <w:spacing w:after="0" w:line="199" w:lineRule="exact"/>
              <w:rPr>
                <w:sz w:val="20"/>
                <w:szCs w:val="20"/>
                <w:color w:val="auto"/>
              </w:rPr>
            </w:pPr>
            <w:r>
              <w:rPr>
                <w:rFonts w:ascii="Arial" w:cs="Arial" w:eastAsia="Arial" w:hAnsi="Arial"/>
                <w:sz w:val="16"/>
                <w:szCs w:val="16"/>
                <w:color w:val="004483"/>
              </w:rPr>
              <w:t xml:space="preserve">Average Net Sales Price, per ton </w:t>
            </w:r>
            <w:r>
              <w:rPr>
                <w:rFonts w:ascii="Arial" w:cs="Arial" w:eastAsia="Arial" w:hAnsi="Arial"/>
                <w:sz w:val="21"/>
                <w:szCs w:val="21"/>
                <w:color w:val="004483"/>
                <w:vertAlign w:val="superscript"/>
              </w:rPr>
              <w:t>(1)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603.62</w:t>
            </w:r>
          </w:p>
        </w:tc>
        <w:tc>
          <w:tcPr>
            <w:tcW w:w="120" w:type="dxa"/>
            <w:vAlign w:val="bottom"/>
          </w:tcPr>
          <w:p>
            <w:pPr>
              <w:spacing w:after="0"/>
              <w:rPr>
                <w:sz w:val="17"/>
                <w:szCs w:val="17"/>
                <w:color w:val="auto"/>
              </w:rPr>
            </w:pP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524.54</w:t>
            </w:r>
          </w:p>
        </w:tc>
        <w:tc>
          <w:tcPr>
            <w:tcW w:w="120" w:type="dxa"/>
            <w:vAlign w:val="bottom"/>
          </w:tcPr>
          <w:p>
            <w:pPr>
              <w:spacing w:after="0"/>
              <w:rPr>
                <w:sz w:val="17"/>
                <w:szCs w:val="17"/>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6"/>
                <w:szCs w:val="16"/>
                <w:color w:val="auto"/>
              </w:rPr>
              <w:t>15 % $</w:t>
            </w:r>
          </w:p>
        </w:tc>
        <w:tc>
          <w:tcPr>
            <w:tcW w:w="700" w:type="dxa"/>
            <w:vAlign w:val="bottom"/>
          </w:tcPr>
          <w:p>
            <w:pPr>
              <w:jc w:val="right"/>
              <w:spacing w:after="0"/>
              <w:rPr>
                <w:sz w:val="20"/>
                <w:szCs w:val="20"/>
                <w:color w:val="auto"/>
              </w:rPr>
            </w:pPr>
            <w:r>
              <w:rPr>
                <w:rFonts w:ascii="Arial" w:cs="Arial" w:eastAsia="Arial" w:hAnsi="Arial"/>
                <w:sz w:val="16"/>
                <w:szCs w:val="16"/>
                <w:color w:val="auto"/>
              </w:rPr>
              <w:t>607.73</w:t>
            </w:r>
          </w:p>
        </w:tc>
        <w:tc>
          <w:tcPr>
            <w:tcW w:w="1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511.76</w:t>
            </w:r>
          </w:p>
        </w:tc>
        <w:tc>
          <w:tcPr>
            <w:tcW w:w="12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19 %</w:t>
            </w:r>
          </w:p>
        </w:tc>
      </w:tr>
      <w:tr>
        <w:trPr>
          <w:trHeight w:val="20"/>
        </w:trPr>
        <w:tc>
          <w:tcPr>
            <w:tcW w:w="428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3"/>
        </w:trPr>
        <w:tc>
          <w:tcPr>
            <w:tcW w:w="4280" w:type="dxa"/>
            <w:vAlign w:val="bottom"/>
          </w:tcPr>
          <w:p>
            <w:pPr>
              <w:ind w:left="20"/>
              <w:spacing w:after="0"/>
              <w:rPr>
                <w:sz w:val="20"/>
                <w:szCs w:val="20"/>
                <w:color w:val="auto"/>
              </w:rPr>
            </w:pPr>
            <w:r>
              <w:rPr>
                <w:rFonts w:ascii="Arial" w:cs="Arial" w:eastAsia="Arial" w:hAnsi="Arial"/>
                <w:sz w:val="16"/>
                <w:szCs w:val="16"/>
                <w:color w:val="004483"/>
              </w:rPr>
              <w:t>Freight, per ton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29.05</w:t>
            </w:r>
          </w:p>
        </w:tc>
        <w:tc>
          <w:tcPr>
            <w:tcW w:w="120" w:type="dxa"/>
            <w:vAlign w:val="bottom"/>
          </w:tcPr>
          <w:p>
            <w:pPr>
              <w:spacing w:after="0"/>
              <w:rPr>
                <w:sz w:val="16"/>
                <w:szCs w:val="16"/>
                <w:color w:val="auto"/>
              </w:rPr>
            </w:pP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24.40</w:t>
            </w:r>
          </w:p>
        </w:tc>
        <w:tc>
          <w:tcPr>
            <w:tcW w:w="120" w:type="dxa"/>
            <w:vAlign w:val="bottom"/>
          </w:tcPr>
          <w:p>
            <w:pPr>
              <w:spacing w:after="0"/>
              <w:rPr>
                <w:sz w:val="16"/>
                <w:szCs w:val="16"/>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6"/>
                <w:szCs w:val="16"/>
                <w:color w:val="auto"/>
              </w:rPr>
              <w:t>19 % $</w:t>
            </w:r>
          </w:p>
        </w:tc>
        <w:tc>
          <w:tcPr>
            <w:tcW w:w="700" w:type="dxa"/>
            <w:vAlign w:val="bottom"/>
          </w:tcPr>
          <w:p>
            <w:pPr>
              <w:jc w:val="right"/>
              <w:spacing w:after="0"/>
              <w:rPr>
                <w:sz w:val="20"/>
                <w:szCs w:val="20"/>
                <w:color w:val="auto"/>
              </w:rPr>
            </w:pPr>
            <w:r>
              <w:rPr>
                <w:rFonts w:ascii="Arial" w:cs="Arial" w:eastAsia="Arial" w:hAnsi="Arial"/>
                <w:sz w:val="16"/>
                <w:szCs w:val="16"/>
                <w:color w:val="auto"/>
              </w:rPr>
              <w:t>29.69</w:t>
            </w:r>
          </w:p>
        </w:tc>
        <w:tc>
          <w:tcPr>
            <w:tcW w:w="12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20.88</w:t>
            </w:r>
          </w:p>
        </w:tc>
        <w:tc>
          <w:tcPr>
            <w:tcW w:w="120" w:type="dxa"/>
            <w:vAlign w:val="bottom"/>
          </w:tcPr>
          <w:p>
            <w:pPr>
              <w:spacing w:after="0"/>
              <w:rPr>
                <w:sz w:val="16"/>
                <w:szCs w:val="16"/>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42 %</w:t>
            </w:r>
          </w:p>
        </w:tc>
      </w:tr>
      <w:tr>
        <w:trPr>
          <w:trHeight w:val="20"/>
        </w:trPr>
        <w:tc>
          <w:tcPr>
            <w:tcW w:w="428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280" w:type="dxa"/>
            <w:vAlign w:val="bottom"/>
          </w:tcPr>
          <w:p>
            <w:pPr>
              <w:ind w:left="20"/>
              <w:spacing w:after="0"/>
              <w:rPr>
                <w:sz w:val="20"/>
                <w:szCs w:val="20"/>
                <w:color w:val="auto"/>
              </w:rPr>
            </w:pPr>
            <w:r>
              <w:rPr>
                <w:rFonts w:ascii="Arial" w:cs="Arial" w:eastAsia="Arial" w:hAnsi="Arial"/>
                <w:sz w:val="16"/>
                <w:szCs w:val="16"/>
                <w:color w:val="004483"/>
              </w:rPr>
              <w:t>Operating Margin, per ton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65.64</w:t>
            </w:r>
          </w:p>
        </w:tc>
        <w:tc>
          <w:tcPr>
            <w:tcW w:w="120" w:type="dxa"/>
            <w:vAlign w:val="bottom"/>
          </w:tcPr>
          <w:p>
            <w:pPr>
              <w:spacing w:after="0"/>
              <w:rPr>
                <w:sz w:val="17"/>
                <w:szCs w:val="17"/>
                <w:color w:val="auto"/>
              </w:rPr>
            </w:pP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11.28</w:t>
            </w:r>
          </w:p>
        </w:tc>
        <w:tc>
          <w:tcPr>
            <w:tcW w:w="120" w:type="dxa"/>
            <w:vAlign w:val="bottom"/>
          </w:tcPr>
          <w:p>
            <w:pPr>
              <w:spacing w:after="0"/>
              <w:rPr>
                <w:sz w:val="17"/>
                <w:szCs w:val="17"/>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6"/>
                <w:szCs w:val="16"/>
                <w:color w:val="auto"/>
              </w:rPr>
              <w:t>482 % $</w:t>
            </w:r>
          </w:p>
        </w:tc>
        <w:tc>
          <w:tcPr>
            <w:tcW w:w="700" w:type="dxa"/>
            <w:vAlign w:val="bottom"/>
          </w:tcPr>
          <w:p>
            <w:pPr>
              <w:jc w:val="right"/>
              <w:spacing w:after="0"/>
              <w:rPr>
                <w:sz w:val="20"/>
                <w:szCs w:val="20"/>
                <w:color w:val="auto"/>
              </w:rPr>
            </w:pPr>
            <w:r>
              <w:rPr>
                <w:rFonts w:ascii="Arial" w:cs="Arial" w:eastAsia="Arial" w:hAnsi="Arial"/>
                <w:sz w:val="16"/>
                <w:szCs w:val="16"/>
                <w:color w:val="auto"/>
              </w:rPr>
              <w:t>55.59</w:t>
            </w:r>
          </w:p>
        </w:tc>
        <w:tc>
          <w:tcPr>
            <w:tcW w:w="1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25.25</w:t>
            </w:r>
          </w:p>
        </w:tc>
        <w:tc>
          <w:tcPr>
            <w:tcW w:w="12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120 %</w:t>
            </w:r>
          </w:p>
        </w:tc>
      </w:tr>
      <w:tr>
        <w:trPr>
          <w:trHeight w:val="20"/>
        </w:trPr>
        <w:tc>
          <w:tcPr>
            <w:tcW w:w="428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4280" w:type="dxa"/>
            <w:vAlign w:val="bottom"/>
          </w:tcPr>
          <w:p>
            <w:pPr>
              <w:ind w:left="20"/>
              <w:spacing w:after="0"/>
              <w:rPr>
                <w:sz w:val="20"/>
                <w:szCs w:val="20"/>
                <w:color w:val="auto"/>
              </w:rPr>
            </w:pPr>
            <w:r>
              <w:rPr>
                <w:rFonts w:ascii="Arial" w:cs="Arial" w:eastAsia="Arial" w:hAnsi="Arial"/>
                <w:sz w:val="16"/>
                <w:szCs w:val="16"/>
                <w:color w:val="004483"/>
              </w:rPr>
              <w:t>Operating Earnings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5,579</w:t>
            </w:r>
          </w:p>
        </w:tc>
        <w:tc>
          <w:tcPr>
            <w:tcW w:w="120" w:type="dxa"/>
            <w:vAlign w:val="bottom"/>
          </w:tcPr>
          <w:p>
            <w:pPr>
              <w:spacing w:after="0"/>
              <w:rPr>
                <w:sz w:val="17"/>
                <w:szCs w:val="17"/>
                <w:color w:val="auto"/>
              </w:rPr>
            </w:pP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981</w:t>
            </w:r>
          </w:p>
        </w:tc>
        <w:tc>
          <w:tcPr>
            <w:tcW w:w="120" w:type="dxa"/>
            <w:vAlign w:val="bottom"/>
          </w:tcPr>
          <w:p>
            <w:pPr>
              <w:spacing w:after="0"/>
              <w:rPr>
                <w:sz w:val="17"/>
                <w:szCs w:val="17"/>
                <w:color w:val="auto"/>
              </w:rPr>
            </w:pPr>
          </w:p>
        </w:tc>
        <w:tc>
          <w:tcPr>
            <w:tcW w:w="1500" w:type="dxa"/>
            <w:vAlign w:val="bottom"/>
            <w:gridSpan w:val="4"/>
          </w:tcPr>
          <w:p>
            <w:pPr>
              <w:jc w:val="right"/>
              <w:ind w:right="100"/>
              <w:spacing w:after="0"/>
              <w:rPr>
                <w:sz w:val="20"/>
                <w:szCs w:val="20"/>
                <w:color w:val="auto"/>
              </w:rPr>
            </w:pPr>
            <w:r>
              <w:rPr>
                <w:rFonts w:ascii="Arial" w:cs="Arial" w:eastAsia="Arial" w:hAnsi="Arial"/>
                <w:sz w:val="16"/>
                <w:szCs w:val="16"/>
                <w:color w:val="auto"/>
              </w:rPr>
              <w:t>469 % $</w:t>
            </w:r>
          </w:p>
        </w:tc>
        <w:tc>
          <w:tcPr>
            <w:tcW w:w="700" w:type="dxa"/>
            <w:vAlign w:val="bottom"/>
          </w:tcPr>
          <w:p>
            <w:pPr>
              <w:jc w:val="right"/>
              <w:spacing w:after="0"/>
              <w:rPr>
                <w:sz w:val="20"/>
                <w:szCs w:val="20"/>
                <w:color w:val="auto"/>
              </w:rPr>
            </w:pPr>
            <w:r>
              <w:rPr>
                <w:rFonts w:ascii="Arial" w:cs="Arial" w:eastAsia="Arial" w:hAnsi="Arial"/>
                <w:sz w:val="16"/>
                <w:szCs w:val="16"/>
                <w:color w:val="auto"/>
              </w:rPr>
              <w:t>9,395</w:t>
            </w:r>
          </w:p>
        </w:tc>
        <w:tc>
          <w:tcPr>
            <w:tcW w:w="1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4,318</w:t>
            </w:r>
          </w:p>
        </w:tc>
        <w:tc>
          <w:tcPr>
            <w:tcW w:w="12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118 %</w:t>
            </w:r>
          </w:p>
        </w:tc>
      </w:tr>
      <w:tr>
        <w:trPr>
          <w:trHeight w:val="20"/>
        </w:trPr>
        <w:tc>
          <w:tcPr>
            <w:tcW w:w="428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00" w:type="dxa"/>
            <w:vAlign w:val="bottom"/>
            <w:shd w:val="clear" w:color="auto" w:fill="A6A6A6"/>
          </w:tcPr>
          <w:p>
            <w:pPr>
              <w:spacing w:after="0" w:line="20" w:lineRule="exact"/>
              <w:rPr>
                <w:sz w:val="1"/>
                <w:szCs w:val="1"/>
                <w:color w:val="auto"/>
              </w:rPr>
            </w:pPr>
          </w:p>
        </w:tc>
        <w:tc>
          <w:tcPr>
            <w:tcW w:w="70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A6A6A6"/>
          </w:tcPr>
          <w:p>
            <w:pPr>
              <w:spacing w:after="0" w:line="20" w:lineRule="exact"/>
              <w:rPr>
                <w:sz w:val="1"/>
                <w:szCs w:val="1"/>
                <w:color w:val="auto"/>
              </w:rPr>
            </w:pPr>
          </w:p>
        </w:tc>
        <w:tc>
          <w:tcPr>
            <w:tcW w:w="24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A6A6A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auto"/>
        </w:rPr>
        <w:t>(1) Net of freight per ton.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2022</w:t>
      </w:r>
    </w:p>
    <w:p>
      <w:pPr>
        <w:spacing w:after="0" w:line="166" w:lineRule="exact"/>
        <w:rPr>
          <w:sz w:val="20"/>
          <w:szCs w:val="20"/>
          <w:color w:val="auto"/>
        </w:rPr>
      </w:pPr>
    </w:p>
    <w:p>
      <w:pPr>
        <w:ind w:right="160"/>
        <w:spacing w:after="0" w:line="311" w:lineRule="auto"/>
        <w:rPr>
          <w:sz w:val="20"/>
          <w:szCs w:val="20"/>
          <w:color w:val="auto"/>
        </w:rPr>
      </w:pPr>
      <w:r>
        <w:rPr>
          <w:rFonts w:ascii="Arial" w:cs="Arial" w:eastAsia="Arial" w:hAnsi="Arial"/>
          <w:sz w:val="17"/>
          <w:szCs w:val="17"/>
          <w:color w:val="auto"/>
        </w:rPr>
        <w:t>Recycled Paperboard Revenue increased 12% to $53.7 million during the three months ended September 30, 2022. The increase was primarily due to higher gross sales prices, which positively affected Revenue by $7.1 million. This was partially offset by lower Sales Volume, which reduced Revenue by $1.2 million. Higher gross sales prices were related to the pricing provisions in our long-term sales agreements.</w:t>
      </w:r>
    </w:p>
    <w:p>
      <w:pPr>
        <w:spacing w:after="0" w:line="77" w:lineRule="exact"/>
        <w:rPr>
          <w:sz w:val="20"/>
          <w:szCs w:val="20"/>
          <w:color w:val="auto"/>
        </w:rPr>
      </w:pPr>
    </w:p>
    <w:p>
      <w:pPr>
        <w:ind w:right="140"/>
        <w:spacing w:after="0" w:line="283" w:lineRule="auto"/>
        <w:rPr>
          <w:sz w:val="20"/>
          <w:szCs w:val="20"/>
          <w:color w:val="auto"/>
        </w:rPr>
      </w:pPr>
      <w:r>
        <w:rPr>
          <w:rFonts w:ascii="Arial" w:cs="Arial" w:eastAsia="Arial" w:hAnsi="Arial"/>
          <w:sz w:val="18"/>
          <w:szCs w:val="18"/>
          <w:color w:val="auto"/>
        </w:rPr>
        <w:t>Operating Earnings increased 469% to $5.6 million, primarily because of higher gross sales prices, which increased Operating Earnings by $7.1 million. This was partially offset by higher operating costs and lower Sales Volume, which reduced Operating Earnings by approximately $2.4 million and $0.1 million, respectively. The increase in operating costs was primarily related to higher input costs, namely energy, chemicals, and freight, which lowered Operating Earnings by approximately $1.8 million, $0.7 million, and $1.9 million, respectively. This was partially offset by lower fiber costs, which reduced operating costs by $2.0 million. Operating Margin increased to 10% because of higher gross sales prices, partially offset by higher operating costs. Although the Company has certain pricing provisions in its long-term sales agreements, prices are only adjusted at certain times throughout the year, so price adjustments are not always reflected in the same period as the change in costs.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September 30, 2022</w:t>
      </w:r>
    </w:p>
    <w:p>
      <w:pPr>
        <w:spacing w:after="0" w:line="16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Recycled Paperboard Revenue increased 18% to $107.7 million during the six months ended September 30, 2022. The increase was primarily due to higher gross sales prices, which positively affected Revenue by $17.7 million, partially offset by lower Sales Volume of $0.9 million. Higher gross sales prices were related to the pricing provisions in our long-term sales agreements.</w:t>
      </w:r>
    </w:p>
    <w:p>
      <w:pPr>
        <w:spacing w:after="0" w:line="94" w:lineRule="exact"/>
        <w:rPr>
          <w:sz w:val="20"/>
          <w:szCs w:val="20"/>
          <w:color w:val="auto"/>
        </w:rPr>
      </w:pPr>
    </w:p>
    <w:p>
      <w:pPr>
        <w:ind w:right="160"/>
        <w:spacing w:after="0" w:line="283" w:lineRule="auto"/>
        <w:rPr>
          <w:sz w:val="20"/>
          <w:szCs w:val="20"/>
          <w:color w:val="auto"/>
        </w:rPr>
      </w:pPr>
      <w:r>
        <w:rPr>
          <w:rFonts w:ascii="Arial" w:cs="Arial" w:eastAsia="Arial" w:hAnsi="Arial"/>
          <w:sz w:val="18"/>
          <w:szCs w:val="18"/>
          <w:color w:val="auto"/>
        </w:rPr>
        <w:t>Operating Earnings increased 118% to $9.4 million, primarily because of higher gross sales prices, which increased Operating Earnings by $17.7 million. This was partially offset by higher operating costs and lower Sales Volume, which reduced Operating Earnings by approximately $12.5 million and $0.1 million, respectively. The increase in operating costs was primarily related to higher input costs, namely fiber, energy, and freight, which lowered Operating Earnings by approximately $3.3 million, $3.9 million, and $4.0 million, respectively. Operating Margin increased to 9% because of increased gross sales prices, partially offset by higher operating costs. Although the Company has certain pricing provisions in its long-term sales agreements, prices are only adjusted at certain times throughout the year, so price adjustments are not always reflected in the same period as the change in costs.</w:t>
      </w:r>
    </w:p>
    <w:p>
      <w:pPr>
        <w:spacing w:after="0" w:line="363"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76"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6"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management to adopt accounting policies and make significant judgments and estimates to develop amounts disclosed in the financial statements. In many cases, there are alternative policies or estimation techniques that could be used. We maintain a thorough process to review the application of our accounting policies and to evaluate the appropriateness of the many estimates that are required to prepare our financial statements. However, even under optimal circumstances, estimates routinely require adjustment based on changing circumstances and the receipt of new or better information.</w:t>
      </w:r>
    </w:p>
    <w:p>
      <w:pPr>
        <w:spacing w:after="0" w:line="96"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Information regarding our Critical Accounting Policies can be found in our Annual Report. The three Critical Accounting Policies that we believe either require the use of the most judgment, or the selection or application of alternative accounting policies, and are material to our financial statements, are those related to long-lived assets, goodwill, and business combinations. Management has discussed the development and selection of these Critical Accounting Policies and estimates with the Audit Committee of our Board of Directors and with our independent registered public accounting firm. In addition, Note (A) to the financial statements in our Annual Report contains a summary of our significant accounting policies.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53"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color w:val="auto"/>
        </w:rPr>
        <w:t>Refer to Footnote (A) in the Notes to Unaudited Consolidated Financial Statements of this Form 10-Q for information regarding recently issued accounting pronouncements that may affect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39" w:lineRule="exact"/>
        <w:rPr>
          <w:sz w:val="20"/>
          <w:szCs w:val="20"/>
          <w:color w:val="auto"/>
        </w:rPr>
      </w:pPr>
    </w:p>
    <w:p>
      <w:pPr>
        <w:ind w:right="20"/>
        <w:spacing w:after="0" w:line="284" w:lineRule="auto"/>
        <w:rPr>
          <w:sz w:val="20"/>
          <w:szCs w:val="20"/>
          <w:color w:val="auto"/>
        </w:rPr>
      </w:pPr>
      <w:r>
        <w:rPr>
          <w:rFonts w:ascii="Arial" w:cs="Arial" w:eastAsia="Arial" w:hAnsi="Arial"/>
          <w:sz w:val="18"/>
          <w:szCs w:val="18"/>
          <w:color w:val="auto"/>
        </w:rPr>
        <w:t>We believe at this time that we have access to sufficient financial resources from our liquidity sources to fund our business and operations, including contractual obligations, capital expenditures, and debt service obligations for at least the next twelve months. We regularly monitor any potential disruptions to the economy, and to our operations, particularly changing fiscal policy or economic conditions affecting our industries. Please see the Debt Financing Activities section below for a discussion of our revolving credit facility and the amount of borrowings available to us in the next twelve-month period.</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Cash Flow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cash flows: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340" w:type="dxa"/>
            <w:vAlign w:val="bottom"/>
          </w:tcPr>
          <w:p>
            <w:pPr>
              <w:spacing w:after="0"/>
              <w:rPr>
                <w:sz w:val="14"/>
                <w:szCs w:val="14"/>
                <w:color w:val="auto"/>
              </w:rPr>
            </w:pPr>
          </w:p>
        </w:tc>
        <w:tc>
          <w:tcPr>
            <w:tcW w:w="380" w:type="dxa"/>
            <w:vAlign w:val="bottom"/>
            <w:shd w:val="clear" w:color="auto" w:fill="004483"/>
          </w:tcPr>
          <w:p>
            <w:pPr>
              <w:spacing w:after="0"/>
              <w:rPr>
                <w:sz w:val="14"/>
                <w:szCs w:val="14"/>
                <w:color w:val="auto"/>
              </w:rPr>
            </w:pPr>
          </w:p>
        </w:tc>
        <w:tc>
          <w:tcPr>
            <w:tcW w:w="2740" w:type="dxa"/>
            <w:vAlign w:val="bottom"/>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Six Months Ended September 30,</w:t>
            </w:r>
          </w:p>
        </w:tc>
        <w:tc>
          <w:tcPr>
            <w:tcW w:w="68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340" w:type="dxa"/>
            <w:vAlign w:val="bottom"/>
            <w:tcBorders>
              <w:bottom w:val="single" w:sz="8" w:color="004483"/>
            </w:tcBorders>
          </w:tcPr>
          <w:p>
            <w:pPr>
              <w:spacing w:after="0"/>
              <w:rPr>
                <w:sz w:val="16"/>
                <w:szCs w:val="16"/>
                <w:color w:val="auto"/>
              </w:rPr>
            </w:pPr>
          </w:p>
        </w:tc>
        <w:tc>
          <w:tcPr>
            <w:tcW w:w="380" w:type="dxa"/>
            <w:vAlign w:val="bottom"/>
            <w:tcBorders>
              <w:bottom w:val="single" w:sz="8" w:color="004483"/>
            </w:tcBorders>
          </w:tcPr>
          <w:p>
            <w:pPr>
              <w:spacing w:after="0"/>
              <w:rPr>
                <w:sz w:val="16"/>
                <w:szCs w:val="16"/>
                <w:color w:val="auto"/>
              </w:rPr>
            </w:pPr>
          </w:p>
        </w:tc>
        <w:tc>
          <w:tcPr>
            <w:tcW w:w="2740" w:type="dxa"/>
            <w:vAlign w:val="bottom"/>
            <w:tcBorders>
              <w:bottom w:val="single" w:sz="8" w:color="004483"/>
            </w:tcBorders>
            <w:gridSpan w:val="4"/>
          </w:tcPr>
          <w:p>
            <w:pPr>
              <w:jc w:val="right"/>
              <w:ind w:right="539"/>
              <w:spacing w:after="0"/>
              <w:rPr>
                <w:sz w:val="20"/>
                <w:szCs w:val="20"/>
                <w:color w:val="auto"/>
              </w:rPr>
            </w:pPr>
            <w:r>
              <w:rPr>
                <w:rFonts w:ascii="Arial" w:cs="Arial" w:eastAsia="Arial" w:hAnsi="Arial"/>
                <w:sz w:val="13"/>
                <w:szCs w:val="13"/>
                <w:color w:val="auto"/>
              </w:rPr>
              <w:t>(dollars in thousands)</w:t>
            </w:r>
          </w:p>
        </w:tc>
        <w:tc>
          <w:tcPr>
            <w:tcW w:w="68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80" w:type="dxa"/>
            <w:vAlign w:val="bottom"/>
            <w:tcBorders>
              <w:bottom w:val="single" w:sz="8" w:color="A6A6A6"/>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300,445</w:t>
            </w:r>
          </w:p>
        </w:tc>
        <w:tc>
          <w:tcPr>
            <w:tcW w:w="120" w:type="dxa"/>
            <w:vAlign w:val="bottom"/>
          </w:tcPr>
          <w:p>
            <w:pPr>
              <w:spacing w:after="0"/>
              <w:rPr>
                <w:sz w:val="17"/>
                <w:szCs w:val="17"/>
                <w:color w:val="auto"/>
              </w:rPr>
            </w:pPr>
          </w:p>
        </w:tc>
        <w:tc>
          <w:tcPr>
            <w:tcW w:w="1240" w:type="dxa"/>
            <w:vAlign w:val="bottom"/>
            <w:tcBorders>
              <w:bottom w:val="single" w:sz="8" w:color="A6A6A6"/>
            </w:tcBorders>
            <w:gridSpan w:val="2"/>
          </w:tcPr>
          <w:p>
            <w:pPr>
              <w:jc w:val="right"/>
              <w:ind w:right="87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b w:val="1"/>
                <w:bCs w:val="1"/>
                <w:color w:val="auto"/>
              </w:rPr>
              <w:t>261,462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3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80" w:type="dxa"/>
            <w:vAlign w:val="bottom"/>
            <w:tcBorders>
              <w:bottom w:val="single" w:sz="8" w:color="A6A6A6"/>
            </w:tcBorders>
          </w:tcPr>
          <w:p>
            <w:pPr>
              <w:spacing w:after="0"/>
              <w:rPr>
                <w:sz w:val="18"/>
                <w:szCs w:val="18"/>
                <w:color w:val="auto"/>
              </w:rPr>
            </w:pPr>
          </w:p>
        </w:tc>
        <w:tc>
          <w:tcPr>
            <w:tcW w:w="138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340" w:type="dxa"/>
            <w:vAlign w:val="bottom"/>
          </w:tcPr>
          <w:p>
            <w:pPr>
              <w:ind w:left="200"/>
              <w:spacing w:after="0"/>
              <w:rPr>
                <w:sz w:val="20"/>
                <w:szCs w:val="20"/>
                <w:color w:val="auto"/>
              </w:rPr>
            </w:pPr>
            <w:r>
              <w:rPr>
                <w:rFonts w:ascii="Arial" w:cs="Arial" w:eastAsia="Arial" w:hAnsi="Arial"/>
                <w:sz w:val="16"/>
                <w:szCs w:val="16"/>
                <w:color w:val="004483"/>
              </w:rPr>
              <w:t>Additions to Property, Plant, and Equipment</w:t>
            </w:r>
          </w:p>
        </w:tc>
        <w:tc>
          <w:tcPr>
            <w:tcW w:w="38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(43,249 )</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(26,777 )</w:t>
            </w:r>
          </w:p>
        </w:tc>
        <w:tc>
          <w:tcPr>
            <w:tcW w:w="0" w:type="dxa"/>
            <w:vAlign w:val="bottom"/>
          </w:tcPr>
          <w:p>
            <w:pPr>
              <w:spacing w:after="0"/>
              <w:rPr>
                <w:sz w:val="1"/>
                <w:szCs w:val="1"/>
                <w:color w:val="auto"/>
              </w:rPr>
            </w:pPr>
          </w:p>
        </w:tc>
      </w:tr>
      <w:tr>
        <w:trPr>
          <w:trHeight w:val="20"/>
        </w:trPr>
        <w:tc>
          <w:tcPr>
            <w:tcW w:w="7340" w:type="dxa"/>
            <w:vAlign w:val="bottom"/>
            <w:shd w:val="clear" w:color="auto" w:fill="A6A6A6"/>
          </w:tcPr>
          <w:p>
            <w:pPr>
              <w:spacing w:after="0" w:line="20" w:lineRule="exact"/>
              <w:rPr>
                <w:sz w:val="1"/>
                <w:szCs w:val="1"/>
                <w:color w:val="auto"/>
              </w:rPr>
            </w:pPr>
          </w:p>
        </w:tc>
        <w:tc>
          <w:tcPr>
            <w:tcW w:w="380" w:type="dxa"/>
            <w:vAlign w:val="bottom"/>
            <w:shd w:val="clear" w:color="auto" w:fill="A6A6A6"/>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340" w:type="dxa"/>
            <w:vAlign w:val="bottom"/>
          </w:tcPr>
          <w:p>
            <w:pPr>
              <w:ind w:left="200"/>
              <w:spacing w:after="0"/>
              <w:rPr>
                <w:sz w:val="20"/>
                <w:szCs w:val="20"/>
                <w:color w:val="auto"/>
              </w:rPr>
            </w:pPr>
            <w:r>
              <w:rPr>
                <w:rFonts w:ascii="Arial" w:cs="Arial" w:eastAsia="Arial" w:hAnsi="Arial"/>
                <w:sz w:val="16"/>
                <w:szCs w:val="16"/>
                <w:color w:val="004483"/>
              </w:rPr>
              <w:t>Acquisition Spending</w:t>
            </w:r>
          </w:p>
        </w:tc>
        <w:tc>
          <w:tcPr>
            <w:tcW w:w="38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(158,451 )</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34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80" w:type="dxa"/>
            <w:vAlign w:val="bottom"/>
            <w:tcBorders>
              <w:top w:val="single" w:sz="8" w:color="004483"/>
              <w:bottom w:val="single" w:sz="8" w:color="004483"/>
            </w:tcBorders>
          </w:tcPr>
          <w:p>
            <w:pPr>
              <w:spacing w:after="0"/>
              <w:rPr>
                <w:sz w:val="19"/>
                <w:szCs w:val="19"/>
                <w:color w:val="auto"/>
              </w:rPr>
            </w:pPr>
          </w:p>
        </w:tc>
        <w:tc>
          <w:tcPr>
            <w:tcW w:w="13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(201,700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6A6A6"/>
              <w:bottom w:val="single" w:sz="8" w:color="A6A6A6"/>
            </w:tcBorders>
          </w:tcPr>
          <w:p>
            <w:pPr>
              <w:spacing w:after="0"/>
              <w:rPr>
                <w:sz w:val="19"/>
                <w:szCs w:val="19"/>
                <w:color w:val="auto"/>
              </w:rPr>
            </w:pPr>
          </w:p>
        </w:tc>
        <w:tc>
          <w:tcPr>
            <w:tcW w:w="1060" w:type="dxa"/>
            <w:vAlign w:val="bottom"/>
            <w:tcBorders>
              <w:top w:val="single" w:sz="8" w:color="004483"/>
              <w:bottom w:val="single" w:sz="8" w:color="004483"/>
            </w:tcBorders>
          </w:tcPr>
          <w:p>
            <w:pPr>
              <w:spacing w:after="0"/>
              <w:rPr>
                <w:sz w:val="19"/>
                <w:szCs w:val="19"/>
                <w:color w:val="auto"/>
              </w:rPr>
            </w:pPr>
          </w:p>
        </w:tc>
        <w:tc>
          <w:tcPr>
            <w:tcW w:w="68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(26,777</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7"/>
        </w:trPr>
        <w:tc>
          <w:tcPr>
            <w:tcW w:w="7340" w:type="dxa"/>
            <w:vAlign w:val="bottom"/>
            <w:tcBorders>
              <w:bottom w:val="single" w:sz="8" w:color="A6A6A6"/>
            </w:tcBorders>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80" w:type="dxa"/>
            <w:vAlign w:val="bottom"/>
            <w:tcBorders>
              <w:bottom w:val="single" w:sz="8" w:color="A6A6A6"/>
            </w:tcBorders>
          </w:tcPr>
          <w:p>
            <w:pPr>
              <w:spacing w:after="0"/>
              <w:rPr>
                <w:sz w:val="18"/>
                <w:szCs w:val="18"/>
                <w:color w:val="auto"/>
              </w:rPr>
            </w:pPr>
          </w:p>
        </w:tc>
        <w:tc>
          <w:tcPr>
            <w:tcW w:w="1380" w:type="dxa"/>
            <w:vAlign w:val="bottom"/>
            <w:tcBorders>
              <w:bottom w:val="single" w:sz="8" w:color="A6A6A6"/>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6A6A6"/>
            </w:tcBorders>
          </w:tcPr>
          <w:p>
            <w:pPr>
              <w:spacing w:after="0"/>
              <w:rPr>
                <w:sz w:val="18"/>
                <w:szCs w:val="18"/>
                <w:color w:val="auto"/>
              </w:rPr>
            </w:pPr>
          </w:p>
        </w:tc>
        <w:tc>
          <w:tcPr>
            <w:tcW w:w="1060" w:type="dxa"/>
            <w:vAlign w:val="bottom"/>
            <w:tcBorders>
              <w:bottom w:val="single" w:sz="8" w:color="A6A6A6"/>
            </w:tcBorders>
          </w:tcPr>
          <w:p>
            <w:pPr>
              <w:spacing w:after="0"/>
              <w:rPr>
                <w:sz w:val="18"/>
                <w:szCs w:val="18"/>
                <w:color w:val="auto"/>
              </w:rPr>
            </w:pPr>
          </w:p>
        </w:tc>
        <w:tc>
          <w:tcPr>
            <w:tcW w:w="680" w:type="dxa"/>
            <w:vAlign w:val="bottom"/>
            <w:tcBorders>
              <w:bottom w:val="single" w:sz="8" w:color="A6A6A6"/>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3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Increase in Credit Facility</w:t>
            </w:r>
          </w:p>
        </w:tc>
        <w:tc>
          <w:tcPr>
            <w:tcW w:w="380" w:type="dxa"/>
            <w:vAlign w:val="bottom"/>
            <w:tcBorders>
              <w:bottom w:val="single" w:sz="8" w:color="A6A6A6"/>
            </w:tcBorders>
          </w:tcPr>
          <w:p>
            <w:pPr>
              <w:spacing w:after="0"/>
              <w:rPr>
                <w:sz w:val="17"/>
                <w:szCs w:val="17"/>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1060" w:type="dxa"/>
            <w:vAlign w:val="bottom"/>
            <w:tcBorders>
              <w:bottom w:val="single" w:sz="8" w:color="A6A6A6"/>
            </w:tcBorders>
          </w:tcPr>
          <w:p>
            <w:pPr>
              <w:spacing w:after="0"/>
              <w:rPr>
                <w:sz w:val="17"/>
                <w:szCs w:val="17"/>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tcBorders>
              <w:bottom w:val="single" w:sz="8" w:color="A6A6A6"/>
            </w:tcBorders>
          </w:tcPr>
          <w:p>
            <w:pPr>
              <w:ind w:left="200"/>
              <w:spacing w:after="0"/>
              <w:rPr>
                <w:sz w:val="20"/>
                <w:szCs w:val="20"/>
                <w:color w:val="auto"/>
              </w:rPr>
            </w:pPr>
            <w:r>
              <w:rPr>
                <w:rFonts w:ascii="Arial" w:cs="Arial" w:eastAsia="Arial" w:hAnsi="Arial"/>
                <w:sz w:val="16"/>
                <w:szCs w:val="16"/>
                <w:color w:val="004483"/>
              </w:rPr>
              <w:t>Proceeds from 2.500% Senior Unsecured Notes</w:t>
            </w:r>
          </w:p>
        </w:tc>
        <w:tc>
          <w:tcPr>
            <w:tcW w:w="380" w:type="dxa"/>
            <w:vAlign w:val="bottom"/>
            <w:tcBorders>
              <w:bottom w:val="single" w:sz="8" w:color="A6A6A6"/>
            </w:tcBorders>
          </w:tcPr>
          <w:p>
            <w:pPr>
              <w:spacing w:after="0"/>
              <w:rPr>
                <w:sz w:val="17"/>
                <w:szCs w:val="17"/>
                <w:color w:val="auto"/>
              </w:rPr>
            </w:pPr>
          </w:p>
        </w:tc>
        <w:tc>
          <w:tcPr>
            <w:tcW w:w="13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Borders>
              <w:bottom w:val="single" w:sz="8" w:color="A6A6A6"/>
            </w:tcBorders>
          </w:tcPr>
          <w:p>
            <w:pPr>
              <w:spacing w:after="0"/>
              <w:rPr>
                <w:sz w:val="17"/>
                <w:szCs w:val="17"/>
                <w:color w:val="auto"/>
              </w:rPr>
            </w:pPr>
          </w:p>
        </w:tc>
        <w:tc>
          <w:tcPr>
            <w:tcW w:w="1060" w:type="dxa"/>
            <w:vAlign w:val="bottom"/>
            <w:tcBorders>
              <w:bottom w:val="single" w:sz="8" w:color="A6A6A6"/>
            </w:tcBorders>
          </w:tcPr>
          <w:p>
            <w:pPr>
              <w:spacing w:after="0"/>
              <w:rPr>
                <w:sz w:val="17"/>
                <w:szCs w:val="17"/>
                <w:color w:val="auto"/>
              </w:rPr>
            </w:pPr>
          </w:p>
        </w:tc>
        <w:tc>
          <w:tcPr>
            <w:tcW w:w="68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743,692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tcPr>
          <w:p>
            <w:pPr>
              <w:ind w:left="200"/>
              <w:spacing w:after="0"/>
              <w:rPr>
                <w:sz w:val="20"/>
                <w:szCs w:val="20"/>
                <w:color w:val="auto"/>
              </w:rPr>
            </w:pPr>
            <w:r>
              <w:rPr>
                <w:rFonts w:ascii="Arial" w:cs="Arial" w:eastAsia="Arial" w:hAnsi="Arial"/>
                <w:sz w:val="16"/>
                <w:szCs w:val="16"/>
                <w:color w:val="004483"/>
              </w:rPr>
              <w:t>Repayment of 4.500% Senior Unsecured Notes</w:t>
            </w:r>
          </w:p>
        </w:tc>
        <w:tc>
          <w:tcPr>
            <w:tcW w:w="3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8"/>
              </w:rPr>
              <w:t>(350,000 )</w:t>
            </w:r>
          </w:p>
        </w:tc>
        <w:tc>
          <w:tcPr>
            <w:tcW w:w="0" w:type="dxa"/>
            <w:vAlign w:val="bottom"/>
          </w:tcPr>
          <w:p>
            <w:pPr>
              <w:spacing w:after="0"/>
              <w:rPr>
                <w:sz w:val="1"/>
                <w:szCs w:val="1"/>
                <w:color w:val="auto"/>
              </w:rPr>
            </w:pPr>
          </w:p>
        </w:tc>
      </w:tr>
      <w:tr>
        <w:trPr>
          <w:trHeight w:val="20"/>
        </w:trPr>
        <w:tc>
          <w:tcPr>
            <w:tcW w:w="7340" w:type="dxa"/>
            <w:vAlign w:val="bottom"/>
            <w:shd w:val="clear" w:color="auto" w:fill="A6A6A6"/>
          </w:tcPr>
          <w:p>
            <w:pPr>
              <w:spacing w:after="0" w:line="20" w:lineRule="exact"/>
              <w:rPr>
                <w:sz w:val="1"/>
                <w:szCs w:val="1"/>
                <w:color w:val="auto"/>
              </w:rPr>
            </w:pPr>
          </w:p>
        </w:tc>
        <w:tc>
          <w:tcPr>
            <w:tcW w:w="380" w:type="dxa"/>
            <w:vAlign w:val="bottom"/>
            <w:shd w:val="clear" w:color="auto" w:fill="A6A6A6"/>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Pr>
          <w:p>
            <w:pPr>
              <w:ind w:left="200"/>
              <w:spacing w:after="0"/>
              <w:rPr>
                <w:sz w:val="20"/>
                <w:szCs w:val="20"/>
                <w:color w:val="auto"/>
              </w:rPr>
            </w:pPr>
            <w:r>
              <w:rPr>
                <w:rFonts w:ascii="Arial" w:cs="Arial" w:eastAsia="Arial" w:hAnsi="Arial"/>
                <w:sz w:val="16"/>
                <w:szCs w:val="16"/>
                <w:color w:val="004483"/>
              </w:rPr>
              <w:t>Repayment of Term Loan and Term Loan Credit Agreement</w:t>
            </w:r>
          </w:p>
        </w:tc>
        <w:tc>
          <w:tcPr>
            <w:tcW w:w="38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(2,500 )</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8"/>
              </w:rPr>
              <w:t>(665,000 )</w:t>
            </w:r>
          </w:p>
        </w:tc>
        <w:tc>
          <w:tcPr>
            <w:tcW w:w="0" w:type="dxa"/>
            <w:vAlign w:val="bottom"/>
          </w:tcPr>
          <w:p>
            <w:pPr>
              <w:spacing w:after="0"/>
              <w:rPr>
                <w:sz w:val="1"/>
                <w:szCs w:val="1"/>
                <w:color w:val="auto"/>
              </w:rPr>
            </w:pPr>
          </w:p>
        </w:tc>
      </w:tr>
      <w:tr>
        <w:trPr>
          <w:trHeight w:val="20"/>
        </w:trPr>
        <w:tc>
          <w:tcPr>
            <w:tcW w:w="7340" w:type="dxa"/>
            <w:vAlign w:val="bottom"/>
            <w:shd w:val="clear" w:color="auto" w:fill="A6A6A6"/>
          </w:tcPr>
          <w:p>
            <w:pPr>
              <w:spacing w:after="0" w:line="20" w:lineRule="exact"/>
              <w:rPr>
                <w:sz w:val="1"/>
                <w:szCs w:val="1"/>
                <w:color w:val="auto"/>
              </w:rPr>
            </w:pPr>
          </w:p>
        </w:tc>
        <w:tc>
          <w:tcPr>
            <w:tcW w:w="380" w:type="dxa"/>
            <w:vAlign w:val="bottom"/>
            <w:shd w:val="clear" w:color="auto" w:fill="A6A6A6"/>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Pr>
          <w:p>
            <w:pPr>
              <w:ind w:left="200"/>
              <w:spacing w:after="0"/>
              <w:rPr>
                <w:sz w:val="20"/>
                <w:szCs w:val="20"/>
                <w:color w:val="auto"/>
              </w:rPr>
            </w:pPr>
            <w:r>
              <w:rPr>
                <w:rFonts w:ascii="Arial" w:cs="Arial" w:eastAsia="Arial" w:hAnsi="Arial"/>
                <w:sz w:val="16"/>
                <w:szCs w:val="16"/>
                <w:color w:val="004483"/>
              </w:rPr>
              <w:t>Dividends Paid to Stockholders</w:t>
            </w:r>
          </w:p>
        </w:tc>
        <w:tc>
          <w:tcPr>
            <w:tcW w:w="38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(19,149 )</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(10,547 )</w:t>
            </w:r>
          </w:p>
        </w:tc>
        <w:tc>
          <w:tcPr>
            <w:tcW w:w="0" w:type="dxa"/>
            <w:vAlign w:val="bottom"/>
          </w:tcPr>
          <w:p>
            <w:pPr>
              <w:spacing w:after="0"/>
              <w:rPr>
                <w:sz w:val="1"/>
                <w:szCs w:val="1"/>
                <w:color w:val="auto"/>
              </w:rPr>
            </w:pPr>
          </w:p>
        </w:tc>
      </w:tr>
      <w:tr>
        <w:trPr>
          <w:trHeight w:val="20"/>
        </w:trPr>
        <w:tc>
          <w:tcPr>
            <w:tcW w:w="7340" w:type="dxa"/>
            <w:vAlign w:val="bottom"/>
            <w:shd w:val="clear" w:color="auto" w:fill="A6A6A6"/>
          </w:tcPr>
          <w:p>
            <w:pPr>
              <w:spacing w:after="0" w:line="20" w:lineRule="exact"/>
              <w:rPr>
                <w:sz w:val="1"/>
                <w:szCs w:val="1"/>
                <w:color w:val="auto"/>
              </w:rPr>
            </w:pPr>
          </w:p>
        </w:tc>
        <w:tc>
          <w:tcPr>
            <w:tcW w:w="380" w:type="dxa"/>
            <w:vAlign w:val="bottom"/>
            <w:shd w:val="clear" w:color="auto" w:fill="A6A6A6"/>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Pr>
          <w:p>
            <w:pPr>
              <w:ind w:left="200"/>
              <w:spacing w:after="0"/>
              <w:rPr>
                <w:sz w:val="20"/>
                <w:szCs w:val="20"/>
                <w:color w:val="auto"/>
              </w:rPr>
            </w:pPr>
            <w:r>
              <w:rPr>
                <w:rFonts w:ascii="Arial" w:cs="Arial" w:eastAsia="Arial" w:hAnsi="Arial"/>
                <w:sz w:val="16"/>
                <w:szCs w:val="16"/>
                <w:color w:val="004483"/>
              </w:rPr>
              <w:t>Purchase and Retirement of Common Stock</w:t>
            </w:r>
          </w:p>
        </w:tc>
        <w:tc>
          <w:tcPr>
            <w:tcW w:w="38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(210,398 )</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8"/>
              </w:rPr>
              <w:t>(247,845 )</w:t>
            </w:r>
          </w:p>
        </w:tc>
        <w:tc>
          <w:tcPr>
            <w:tcW w:w="0" w:type="dxa"/>
            <w:vAlign w:val="bottom"/>
          </w:tcPr>
          <w:p>
            <w:pPr>
              <w:spacing w:after="0"/>
              <w:rPr>
                <w:sz w:val="1"/>
                <w:szCs w:val="1"/>
                <w:color w:val="auto"/>
              </w:rPr>
            </w:pPr>
          </w:p>
        </w:tc>
      </w:tr>
      <w:tr>
        <w:trPr>
          <w:trHeight w:val="196"/>
        </w:trPr>
        <w:tc>
          <w:tcPr>
            <w:tcW w:w="734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color w:val="004483"/>
              </w:rPr>
              <w:t>Proceeds from Stock Option Exercises</w:t>
            </w:r>
          </w:p>
        </w:tc>
        <w:tc>
          <w:tcPr>
            <w:tcW w:w="380" w:type="dxa"/>
            <w:vAlign w:val="bottom"/>
            <w:tcBorders>
              <w:top w:val="single" w:sz="8" w:color="A6A6A6"/>
              <w:bottom w:val="single" w:sz="8" w:color="A6A6A6"/>
            </w:tcBorders>
          </w:tcPr>
          <w:p>
            <w:pPr>
              <w:spacing w:after="0"/>
              <w:rPr>
                <w:sz w:val="17"/>
                <w:szCs w:val="17"/>
                <w:color w:val="auto"/>
              </w:rPr>
            </w:pPr>
          </w:p>
        </w:tc>
        <w:tc>
          <w:tcPr>
            <w:tcW w:w="13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735</w:t>
            </w:r>
          </w:p>
        </w:tc>
        <w:tc>
          <w:tcPr>
            <w:tcW w:w="120" w:type="dxa"/>
            <w:vAlign w:val="bottom"/>
          </w:tcPr>
          <w:p>
            <w:pPr>
              <w:spacing w:after="0"/>
              <w:rPr>
                <w:sz w:val="17"/>
                <w:szCs w:val="17"/>
                <w:color w:val="auto"/>
              </w:rPr>
            </w:pPr>
          </w:p>
        </w:tc>
        <w:tc>
          <w:tcPr>
            <w:tcW w:w="180" w:type="dxa"/>
            <w:vAlign w:val="bottom"/>
            <w:tcBorders>
              <w:top w:val="single" w:sz="8" w:color="A6A6A6"/>
              <w:bottom w:val="single" w:sz="8" w:color="A6A6A6"/>
            </w:tcBorders>
          </w:tcPr>
          <w:p>
            <w:pPr>
              <w:spacing w:after="0"/>
              <w:rPr>
                <w:sz w:val="17"/>
                <w:szCs w:val="17"/>
                <w:color w:val="auto"/>
              </w:rPr>
            </w:pPr>
          </w:p>
        </w:tc>
        <w:tc>
          <w:tcPr>
            <w:tcW w:w="1060" w:type="dxa"/>
            <w:vAlign w:val="bottom"/>
            <w:tcBorders>
              <w:top w:val="single" w:sz="8" w:color="A6A6A6"/>
              <w:bottom w:val="single" w:sz="8" w:color="A6A6A6"/>
            </w:tcBorders>
          </w:tcPr>
          <w:p>
            <w:pPr>
              <w:spacing w:after="0"/>
              <w:rPr>
                <w:sz w:val="17"/>
                <w:szCs w:val="17"/>
                <w:color w:val="auto"/>
              </w:rPr>
            </w:pPr>
          </w:p>
        </w:tc>
        <w:tc>
          <w:tcPr>
            <w:tcW w:w="68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14,460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tcPr>
          <w:p>
            <w:pPr>
              <w:ind w:left="200"/>
              <w:spacing w:after="0"/>
              <w:rPr>
                <w:sz w:val="20"/>
                <w:szCs w:val="20"/>
                <w:color w:val="auto"/>
              </w:rPr>
            </w:pPr>
            <w:r>
              <w:rPr>
                <w:rFonts w:ascii="Arial" w:cs="Arial" w:eastAsia="Arial" w:hAnsi="Arial"/>
                <w:sz w:val="16"/>
                <w:szCs w:val="16"/>
                <w:color w:val="004483"/>
              </w:rPr>
              <w:t>Loss on Early Retirement of Senior Notes</w:t>
            </w:r>
          </w:p>
        </w:tc>
        <w:tc>
          <w:tcPr>
            <w:tcW w:w="3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(8,407 )</w:t>
            </w:r>
          </w:p>
        </w:tc>
        <w:tc>
          <w:tcPr>
            <w:tcW w:w="0" w:type="dxa"/>
            <w:vAlign w:val="bottom"/>
          </w:tcPr>
          <w:p>
            <w:pPr>
              <w:spacing w:after="0"/>
              <w:rPr>
                <w:sz w:val="1"/>
                <w:szCs w:val="1"/>
                <w:color w:val="auto"/>
              </w:rPr>
            </w:pPr>
          </w:p>
        </w:tc>
      </w:tr>
      <w:tr>
        <w:trPr>
          <w:trHeight w:val="20"/>
        </w:trPr>
        <w:tc>
          <w:tcPr>
            <w:tcW w:w="7340" w:type="dxa"/>
            <w:vAlign w:val="bottom"/>
            <w:shd w:val="clear" w:color="auto" w:fill="A6A6A6"/>
          </w:tcPr>
          <w:p>
            <w:pPr>
              <w:spacing w:after="0" w:line="20" w:lineRule="exact"/>
              <w:rPr>
                <w:sz w:val="1"/>
                <w:szCs w:val="1"/>
                <w:color w:val="auto"/>
              </w:rPr>
            </w:pPr>
          </w:p>
        </w:tc>
        <w:tc>
          <w:tcPr>
            <w:tcW w:w="380" w:type="dxa"/>
            <w:vAlign w:val="bottom"/>
            <w:shd w:val="clear" w:color="auto" w:fill="A6A6A6"/>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Pr>
          <w:p>
            <w:pPr>
              <w:ind w:left="200"/>
              <w:spacing w:after="0"/>
              <w:rPr>
                <w:sz w:val="20"/>
                <w:szCs w:val="20"/>
                <w:color w:val="auto"/>
              </w:rPr>
            </w:pPr>
            <w:r>
              <w:rPr>
                <w:rFonts w:ascii="Arial" w:cs="Arial" w:eastAsia="Arial" w:hAnsi="Arial"/>
                <w:sz w:val="16"/>
                <w:szCs w:val="16"/>
                <w:color w:val="004483"/>
              </w:rPr>
              <w:t>Payment of Debt Issuance Costs</w:t>
            </w:r>
          </w:p>
        </w:tc>
        <w:tc>
          <w:tcPr>
            <w:tcW w:w="38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(903 )</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(7,985 )</w:t>
            </w:r>
          </w:p>
        </w:tc>
        <w:tc>
          <w:tcPr>
            <w:tcW w:w="0" w:type="dxa"/>
            <w:vAlign w:val="bottom"/>
          </w:tcPr>
          <w:p>
            <w:pPr>
              <w:spacing w:after="0"/>
              <w:rPr>
                <w:sz w:val="1"/>
                <w:szCs w:val="1"/>
                <w:color w:val="auto"/>
              </w:rPr>
            </w:pPr>
          </w:p>
        </w:tc>
      </w:tr>
      <w:tr>
        <w:trPr>
          <w:trHeight w:val="20"/>
        </w:trPr>
        <w:tc>
          <w:tcPr>
            <w:tcW w:w="7340" w:type="dxa"/>
            <w:vAlign w:val="bottom"/>
            <w:shd w:val="clear" w:color="auto" w:fill="A6A6A6"/>
          </w:tcPr>
          <w:p>
            <w:pPr>
              <w:spacing w:after="0" w:line="20" w:lineRule="exact"/>
              <w:rPr>
                <w:sz w:val="1"/>
                <w:szCs w:val="1"/>
                <w:color w:val="auto"/>
              </w:rPr>
            </w:pPr>
          </w:p>
        </w:tc>
        <w:tc>
          <w:tcPr>
            <w:tcW w:w="380" w:type="dxa"/>
            <w:vAlign w:val="bottom"/>
            <w:shd w:val="clear" w:color="auto" w:fill="A6A6A6"/>
          </w:tcPr>
          <w:p>
            <w:pPr>
              <w:spacing w:after="0" w:line="20" w:lineRule="exact"/>
              <w:rPr>
                <w:sz w:val="1"/>
                <w:szCs w:val="1"/>
                <w:color w:val="auto"/>
              </w:rPr>
            </w:pPr>
          </w:p>
        </w:tc>
        <w:tc>
          <w:tcPr>
            <w:tcW w:w="1380" w:type="dxa"/>
            <w:vAlign w:val="bottom"/>
            <w:shd w:val="clear" w:color="auto" w:fill="A6A6A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A6A6A6"/>
          </w:tcPr>
          <w:p>
            <w:pPr>
              <w:spacing w:after="0" w:line="20" w:lineRule="exact"/>
              <w:rPr>
                <w:sz w:val="1"/>
                <w:szCs w:val="1"/>
                <w:color w:val="auto"/>
              </w:rPr>
            </w:pPr>
          </w:p>
        </w:tc>
        <w:tc>
          <w:tcPr>
            <w:tcW w:w="1060" w:type="dxa"/>
            <w:vAlign w:val="bottom"/>
            <w:shd w:val="clear" w:color="auto" w:fill="A6A6A6"/>
          </w:tcPr>
          <w:p>
            <w:pPr>
              <w:spacing w:after="0" w:line="20" w:lineRule="exact"/>
              <w:rPr>
                <w:sz w:val="1"/>
                <w:szCs w:val="1"/>
                <w:color w:val="auto"/>
              </w:rPr>
            </w:pPr>
          </w:p>
        </w:tc>
        <w:tc>
          <w:tcPr>
            <w:tcW w:w="680" w:type="dxa"/>
            <w:vAlign w:val="bottom"/>
            <w:shd w:val="clear" w:color="auto" w:fill="A6A6A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340" w:type="dxa"/>
            <w:vAlign w:val="bottom"/>
          </w:tcPr>
          <w:p>
            <w:pPr>
              <w:ind w:left="200"/>
              <w:spacing w:after="0"/>
              <w:rPr>
                <w:sz w:val="20"/>
                <w:szCs w:val="20"/>
                <w:color w:val="auto"/>
              </w:rPr>
            </w:pPr>
            <w:r>
              <w:rPr>
                <w:rFonts w:ascii="Arial" w:cs="Arial" w:eastAsia="Arial" w:hAnsi="Arial"/>
                <w:sz w:val="16"/>
                <w:szCs w:val="16"/>
                <w:color w:val="004483"/>
              </w:rPr>
              <w:t>Shares Redeemed to Settle Employee Taxes on Stock Compensation</w:t>
            </w:r>
          </w:p>
        </w:tc>
        <w:tc>
          <w:tcPr>
            <w:tcW w:w="38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(1,806 )</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(1,359 )</w:t>
            </w:r>
          </w:p>
        </w:tc>
        <w:tc>
          <w:tcPr>
            <w:tcW w:w="0" w:type="dxa"/>
            <w:vAlign w:val="bottom"/>
          </w:tcPr>
          <w:p>
            <w:pPr>
              <w:spacing w:after="0"/>
              <w:rPr>
                <w:sz w:val="1"/>
                <w:szCs w:val="1"/>
                <w:color w:val="auto"/>
              </w:rPr>
            </w:pPr>
          </w:p>
        </w:tc>
      </w:tr>
      <w:tr>
        <w:trPr>
          <w:trHeight w:val="196"/>
        </w:trPr>
        <w:tc>
          <w:tcPr>
            <w:tcW w:w="7340" w:type="dxa"/>
            <w:vAlign w:val="bottom"/>
            <w:tcBorders>
              <w:top w:val="single" w:sz="8" w:color="A6A6A6"/>
            </w:tcBorders>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80" w:type="dxa"/>
            <w:vAlign w:val="bottom"/>
            <w:tcBorders>
              <w:top w:val="single" w:sz="8" w:color="004483"/>
            </w:tcBorders>
          </w:tcPr>
          <w:p>
            <w:pPr>
              <w:spacing w:after="0"/>
              <w:rPr>
                <w:sz w:val="17"/>
                <w:szCs w:val="17"/>
                <w:color w:val="auto"/>
              </w:rPr>
            </w:pPr>
          </w:p>
        </w:tc>
        <w:tc>
          <w:tcPr>
            <w:tcW w:w="1380" w:type="dxa"/>
            <w:vAlign w:val="bottom"/>
            <w:tcBorders>
              <w:top w:val="single" w:sz="8" w:color="004483"/>
            </w:tcBorders>
          </w:tcPr>
          <w:p>
            <w:pPr>
              <w:jc w:val="right"/>
              <w:spacing w:after="0"/>
              <w:rPr>
                <w:sz w:val="20"/>
                <w:szCs w:val="20"/>
                <w:color w:val="auto"/>
              </w:rPr>
            </w:pPr>
            <w:r>
              <w:rPr>
                <w:rFonts w:ascii="Arial" w:cs="Arial" w:eastAsia="Arial" w:hAnsi="Arial"/>
                <w:sz w:val="16"/>
                <w:szCs w:val="16"/>
                <w:b w:val="1"/>
                <w:bCs w:val="1"/>
                <w:color w:val="auto"/>
              </w:rPr>
              <w:t>(34,021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A6A6A6"/>
            </w:tcBorders>
          </w:tcPr>
          <w:p>
            <w:pPr>
              <w:spacing w:after="0"/>
              <w:rPr>
                <w:sz w:val="17"/>
                <w:szCs w:val="17"/>
                <w:color w:val="auto"/>
              </w:rPr>
            </w:pPr>
          </w:p>
        </w:tc>
        <w:tc>
          <w:tcPr>
            <w:tcW w:w="1060" w:type="dxa"/>
            <w:vAlign w:val="bottom"/>
            <w:tcBorders>
              <w:top w:val="single" w:sz="8" w:color="004483"/>
            </w:tcBorders>
          </w:tcPr>
          <w:p>
            <w:pPr>
              <w:spacing w:after="0"/>
              <w:rPr>
                <w:sz w:val="17"/>
                <w:szCs w:val="17"/>
                <w:color w:val="auto"/>
              </w:rPr>
            </w:pPr>
          </w:p>
        </w:tc>
        <w:tc>
          <w:tcPr>
            <w:tcW w:w="680" w:type="dxa"/>
            <w:vAlign w:val="bottom"/>
            <w:tcBorders>
              <w:top w:val="single" w:sz="8" w:color="004483"/>
            </w:tcBorders>
          </w:tcPr>
          <w:p>
            <w:pPr>
              <w:jc w:val="right"/>
              <w:spacing w:after="0"/>
              <w:rPr>
                <w:sz w:val="20"/>
                <w:szCs w:val="20"/>
                <w:color w:val="auto"/>
              </w:rPr>
            </w:pPr>
            <w:r>
              <w:rPr>
                <w:rFonts w:ascii="Arial" w:cs="Arial" w:eastAsia="Arial" w:hAnsi="Arial"/>
                <w:sz w:val="16"/>
                <w:szCs w:val="16"/>
                <w:b w:val="1"/>
                <w:bCs w:val="1"/>
                <w:color w:val="auto"/>
              </w:rPr>
              <w:t>(457,991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7"/>
        </w:trPr>
        <w:tc>
          <w:tcPr>
            <w:tcW w:w="7340" w:type="dxa"/>
            <w:vAlign w:val="bottom"/>
            <w:tcBorders>
              <w:bottom w:val="single" w:sz="8" w:color="A6A6A6"/>
            </w:tcBorders>
          </w:tcPr>
          <w:p>
            <w:pPr>
              <w:spacing w:after="0"/>
              <w:rPr>
                <w:sz w:val="2"/>
                <w:szCs w:val="2"/>
                <w:color w:val="auto"/>
              </w:rPr>
            </w:pPr>
          </w:p>
        </w:tc>
        <w:tc>
          <w:tcPr>
            <w:tcW w:w="380" w:type="dxa"/>
            <w:vAlign w:val="bottom"/>
            <w:tcBorders>
              <w:bottom w:val="single" w:sz="8" w:color="004483"/>
            </w:tcBorders>
            <w:shd w:val="clear" w:color="auto" w:fill="004483"/>
          </w:tcPr>
          <w:p>
            <w:pPr>
              <w:spacing w:after="0"/>
              <w:rPr>
                <w:sz w:val="2"/>
                <w:szCs w:val="2"/>
                <w:color w:val="auto"/>
              </w:rPr>
            </w:pPr>
          </w:p>
        </w:tc>
        <w:tc>
          <w:tcPr>
            <w:tcW w:w="1380" w:type="dxa"/>
            <w:vAlign w:val="bottom"/>
            <w:tcBorders>
              <w:bottom w:val="single" w:sz="8" w:color="004483"/>
            </w:tcBorders>
            <w:shd w:val="clear" w:color="auto" w:fill="004483"/>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1060" w:type="dxa"/>
            <w:vAlign w:val="bottom"/>
            <w:tcBorders>
              <w:bottom w:val="single" w:sz="8" w:color="004483"/>
            </w:tcBorders>
            <w:shd w:val="clear" w:color="auto" w:fill="004483"/>
          </w:tcPr>
          <w:p>
            <w:pPr>
              <w:spacing w:after="0"/>
              <w:rPr>
                <w:sz w:val="2"/>
                <w:szCs w:val="2"/>
                <w:color w:val="auto"/>
              </w:rPr>
            </w:pPr>
          </w:p>
        </w:tc>
        <w:tc>
          <w:tcPr>
            <w:tcW w:w="68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6"/>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380" w:type="dxa"/>
            <w:vAlign w:val="bottom"/>
            <w:tcBorders>
              <w:bottom w:val="single" w:sz="8" w:color="004483"/>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64,724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Borders>
              <w:bottom w:val="single" w:sz="8" w:color="004483"/>
            </w:tcBorders>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(223,306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380" w:type="dxa"/>
            <w:vAlign w:val="bottom"/>
            <w:tcBorders>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004483"/>
            </w:tcBorders>
          </w:tcPr>
          <w:p>
            <w:pPr>
              <w:spacing w:after="0" w:line="20" w:lineRule="exact"/>
              <w:rPr>
                <w:sz w:val="1"/>
                <w:szCs w:val="1"/>
                <w:color w:val="auto"/>
              </w:rPr>
            </w:pPr>
          </w:p>
        </w:tc>
        <w:tc>
          <w:tcPr>
            <w:tcW w:w="68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Net Cash Provided by Operating Activities increased by $38.9 million to $300.4 million during the six months ended September 30, 2022. This increase was primarily attributable to higher Net Earnings, adjusted for non-cash charges, of approximately $50.0 million. This was partially offset by changes in working capital of $4.6 million and lower dividends from our Unconsolidated Joint Venture of $6.5 million.</w:t>
      </w:r>
    </w:p>
    <w:p>
      <w:pPr>
        <w:spacing w:after="0" w:line="94"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Working capital increased by $94.5 million to $329.6 million at September 30, 2022, compared with March 31, 2022. The increase was due to higher Cash and Cash Equivalents of approximately $64.7 million and higher Accounts and Notes Receivable, net of approximately $56.3 million. This was partially offset by lower Inventories and Income Tax Receivables of $10.9 million and $2.8 million, respectively, as well as higher Accounts Payable and Accrued Liabilities, and Current Portion of Long-term Debt of $4.8 million and $10.0 million, respectively. The reduction in inventory was due to our normal sales cycle in which we build inventory in the winter months to meet demand in the spring and summer. The ConAgg Acquisition in April 2022 increased working capital by approximately $9.0 million at September 30, 2022.</w:t>
      </w:r>
    </w:p>
    <w:p>
      <w:pPr>
        <w:spacing w:after="0" w:line="96" w:lineRule="exact"/>
        <w:rPr>
          <w:sz w:val="20"/>
          <w:szCs w:val="20"/>
          <w:color w:val="auto"/>
        </w:rPr>
      </w:pPr>
    </w:p>
    <w:p>
      <w:pPr>
        <w:ind w:right="100"/>
        <w:spacing w:after="0" w:line="283" w:lineRule="auto"/>
        <w:rPr>
          <w:sz w:val="20"/>
          <w:szCs w:val="20"/>
          <w:color w:val="auto"/>
        </w:rPr>
      </w:pPr>
      <w:r>
        <w:rPr>
          <w:rFonts w:ascii="Arial" w:cs="Arial" w:eastAsia="Arial" w:hAnsi="Arial"/>
          <w:sz w:val="18"/>
          <w:szCs w:val="18"/>
          <w:color w:val="auto"/>
        </w:rPr>
        <w:t>The increase in Accounts Receivable at September 30, 2022, was primarily related to higher Revenue during the three months ended September 30, 2022, compared with the three months ended March 31, 2022. As a percentage of quarterly sales generated for the respective quarter, Accounts Receivable was approximately 38% at September 30, 2022, and 43% at March 31, 2022. Accounts Receivable related to the ConAgg Acquisition at September 30, 2022, was approximately $6.9 million. Management measures the change in Accounts Receivable by monitoring the days sales outstanding on a monthly basis to determine if any deterioration has occurred in the collectability of the Accounts Receivable. No significant deterioration in the collectability of our Accounts Receivable was identified at September 30, 2022. Notes Receivable are monitored on an individual basis, and no significant deterioration in the collectability of our Notes Receivable was identified at September 30, 2022.</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4" w:name="page35"/>
    <w:bookmarkEnd w:id="34"/>
    <w:p>
      <w:pPr>
        <w:spacing w:after="0" w:line="282" w:lineRule="auto"/>
        <w:rPr>
          <w:sz w:val="20"/>
          <w:szCs w:val="20"/>
          <w:color w:val="auto"/>
        </w:rPr>
      </w:pPr>
      <w:r>
        <w:rPr>
          <w:rFonts w:ascii="Arial" w:cs="Arial" w:eastAsia="Arial" w:hAnsi="Arial"/>
          <w:sz w:val="18"/>
          <w:szCs w:val="18"/>
          <w:color w:val="auto"/>
        </w:rPr>
        <w:t>Our Inventory balance at September 30, 2022, declined by approximately $10.9 million from our balance at March 31, 2022. Excluding the ConAgg Acquisition, whose inventory consists mostly of Aggregates, our Inventory balance declined by $14.6 million. Within Inventory, raw materials and materials-in-progress decreased by approximately $8.7 million and finished cement decreased by approximately $12.1 million. These declines were partially offset by increases in Repair Parts and Supplies of $6.9 million and Fuel and Coal $2.0 million. The decline in raw materials and materials-in-progress and finished cement is consistent with our business cycle; we generally build up clinker inventory over the winter months to meet the demand for cement in the spring and summer. The increase in repair parts inventory was primarily due to the build-up of inventory necessary for our scheduled outages over the next several months. The largest individual balance in our Inventory is our repair parts. These parts are necessary given the size and complexity of our manufacturing plants, as well as the age of certain of our plants, which creates the need to stock a high level of repair parts inventory. We believe all of these repair parts are necessary, and we perform semi-annual analyses to identify obsolete parts. We have less than one year’s sales of all product inventories, and our inventories have a low risk of obsolescence because our products are basic construction materials.</w:t>
      </w:r>
    </w:p>
    <w:p>
      <w:pPr>
        <w:spacing w:after="0" w:line="106"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color w:val="auto"/>
        </w:rPr>
        <w:t>Net Cash Used in Investing Activities during the six months ended September 30, 2022, was approximately $201.7 million, compared with $26.8 million during the same period in 2021, an increase of approximately $174.9 million. The increase was primarily related to the Acquisition Spending of $158.5 million for the ConAgg Acquisition and the Terminal Acquisitions in fiscal 2023. The remaining increase was due to the purchase of reserves for our Concrete and Aggregates business.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was approximately $34.0 million during the six months ended September 30, 2022, compared with</w:t>
      </w:r>
    </w:p>
    <w:p>
      <w:pPr>
        <w:spacing w:after="0" w:line="36"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auto"/>
        </w:rPr>
        <w:t>$458.0 million during the six months ended September 30, 2021. The $424.0 million decrease was primarily related to higher borrowings, net of repayments, of $393.8 million and lower amounts paid for early termination of debt, debt issuance costs, and share repurchases of $8.4 million, $7.1 million, and $37.4 million, respectively. This was partially offset by increases in Dividends Paid to Shareholders of $8.6 million and lower proceeds from exercise of stock options of $13.7 million.</w:t>
      </w:r>
    </w:p>
    <w:p>
      <w:pPr>
        <w:spacing w:after="0" w:line="97" w:lineRule="exact"/>
        <w:rPr>
          <w:sz w:val="20"/>
          <w:szCs w:val="20"/>
          <w:color w:val="auto"/>
        </w:rPr>
      </w:pPr>
    </w:p>
    <w:p>
      <w:pPr>
        <w:ind w:right="280"/>
        <w:spacing w:after="0" w:line="293" w:lineRule="auto"/>
        <w:rPr>
          <w:sz w:val="20"/>
          <w:szCs w:val="20"/>
          <w:color w:val="auto"/>
        </w:rPr>
      </w:pPr>
      <w:r>
        <w:rPr>
          <w:rFonts w:ascii="Arial" w:cs="Arial" w:eastAsia="Arial" w:hAnsi="Arial"/>
          <w:sz w:val="18"/>
          <w:szCs w:val="18"/>
          <w:color w:val="auto"/>
        </w:rPr>
        <w:t>Our debt-to-capitalization ratio and net-debt-to-capitalization ratio were 49.7% and 47.8%, respectively, at September 30, 2022, compared with 45.6% and 45.1%, respectively, at March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Financing Activities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Company’s outstanding debt facilities at September 30, 2022:</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80" w:type="dxa"/>
            <w:vAlign w:val="bottom"/>
            <w:tcBorders>
              <w:bottom w:val="single" w:sz="8" w:color="004483"/>
            </w:tcBorders>
          </w:tcPr>
          <w:p>
            <w:pPr>
              <w:spacing w:after="0"/>
              <w:rPr>
                <w:sz w:val="17"/>
                <w:szCs w:val="17"/>
                <w:color w:val="auto"/>
              </w:rPr>
            </w:pPr>
          </w:p>
        </w:tc>
        <w:tc>
          <w:tcPr>
            <w:tcW w:w="47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Maturity</w:t>
            </w:r>
          </w:p>
        </w:tc>
      </w:tr>
      <w:tr>
        <w:trPr>
          <w:trHeight w:val="200"/>
        </w:trPr>
        <w:tc>
          <w:tcPr>
            <w:tcW w:w="6480" w:type="dxa"/>
            <w:vAlign w:val="bottom"/>
            <w:tcBorders>
              <w:bottom w:val="single" w:sz="8" w:color="A3A3A3"/>
            </w:tcBorders>
          </w:tcPr>
          <w:p>
            <w:pPr>
              <w:ind w:left="60"/>
              <w:spacing w:after="0"/>
              <w:rPr>
                <w:sz w:val="20"/>
                <w:szCs w:val="20"/>
                <w:color w:val="auto"/>
              </w:rPr>
            </w:pPr>
            <w:r>
              <w:rPr>
                <w:rFonts w:ascii="Arial" w:cs="Arial" w:eastAsia="Arial" w:hAnsi="Arial"/>
                <w:sz w:val="16"/>
                <w:szCs w:val="16"/>
                <w:color w:val="004483"/>
              </w:rPr>
              <w:t>Revolving Credit Facility</w:t>
            </w:r>
          </w:p>
        </w:tc>
        <w:tc>
          <w:tcPr>
            <w:tcW w:w="4760" w:type="dxa"/>
            <w:vAlign w:val="bottom"/>
            <w:tcBorders>
              <w:bottom w:val="single" w:sz="8" w:color="A3A3A3"/>
            </w:tcBorders>
          </w:tcPr>
          <w:p>
            <w:pPr>
              <w:jc w:val="right"/>
              <w:spacing w:after="0"/>
              <w:rPr>
                <w:sz w:val="20"/>
                <w:szCs w:val="20"/>
                <w:color w:val="auto"/>
              </w:rPr>
            </w:pPr>
            <w:r>
              <w:rPr>
                <w:rFonts w:ascii="Arial" w:cs="Arial" w:eastAsia="Arial" w:hAnsi="Arial"/>
                <w:sz w:val="16"/>
                <w:szCs w:val="16"/>
                <w:color w:val="auto"/>
              </w:rPr>
              <w:t>May 2027</w:t>
            </w:r>
          </w:p>
        </w:tc>
      </w:tr>
      <w:tr>
        <w:trPr>
          <w:trHeight w:val="196"/>
        </w:trPr>
        <w:tc>
          <w:tcPr>
            <w:tcW w:w="6480" w:type="dxa"/>
            <w:vAlign w:val="bottom"/>
            <w:tcBorders>
              <w:bottom w:val="single" w:sz="8" w:color="A6A6A6"/>
            </w:tcBorders>
          </w:tcPr>
          <w:p>
            <w:pPr>
              <w:ind w:left="60"/>
              <w:spacing w:after="0"/>
              <w:rPr>
                <w:sz w:val="20"/>
                <w:szCs w:val="20"/>
                <w:color w:val="auto"/>
              </w:rPr>
            </w:pPr>
            <w:r>
              <w:rPr>
                <w:rFonts w:ascii="Arial" w:cs="Arial" w:eastAsia="Arial" w:hAnsi="Arial"/>
                <w:sz w:val="16"/>
                <w:szCs w:val="16"/>
                <w:color w:val="004483"/>
              </w:rPr>
              <w:t>Term Loan</w:t>
            </w:r>
          </w:p>
        </w:tc>
        <w:tc>
          <w:tcPr>
            <w:tcW w:w="4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May 2027</w:t>
            </w:r>
          </w:p>
        </w:tc>
      </w:tr>
      <w:tr>
        <w:trPr>
          <w:trHeight w:val="196"/>
        </w:trPr>
        <w:tc>
          <w:tcPr>
            <w:tcW w:w="6480" w:type="dxa"/>
            <w:vAlign w:val="bottom"/>
            <w:tcBorders>
              <w:bottom w:val="single" w:sz="8" w:color="A6A6A6"/>
            </w:tcBorders>
          </w:tcPr>
          <w:p>
            <w:pPr>
              <w:ind w:left="60"/>
              <w:spacing w:after="0"/>
              <w:rPr>
                <w:sz w:val="20"/>
                <w:szCs w:val="20"/>
                <w:color w:val="auto"/>
              </w:rPr>
            </w:pPr>
            <w:r>
              <w:rPr>
                <w:rFonts w:ascii="Arial" w:cs="Arial" w:eastAsia="Arial" w:hAnsi="Arial"/>
                <w:sz w:val="16"/>
                <w:szCs w:val="16"/>
                <w:color w:val="004483"/>
              </w:rPr>
              <w:t>2.500% Senior Unsecured Notes</w:t>
            </w:r>
          </w:p>
        </w:tc>
        <w:tc>
          <w:tcPr>
            <w:tcW w:w="47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July 2031</w:t>
            </w:r>
          </w:p>
        </w:tc>
      </w:tr>
    </w:tbl>
    <w:p>
      <w:pPr>
        <w:spacing w:after="0" w:line="188"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See Footnote (M) to the Unaudited Consolidated Financial Statements for further details on the Company’s debt facilities, including interest rate, and financial and other covenants and restrictions.</w:t>
      </w:r>
    </w:p>
    <w:p>
      <w:pPr>
        <w:spacing w:after="0" w:line="89" w:lineRule="exact"/>
        <w:rPr>
          <w:sz w:val="20"/>
          <w:szCs w:val="20"/>
          <w:color w:val="auto"/>
        </w:rPr>
      </w:pPr>
    </w:p>
    <w:p>
      <w:pPr>
        <w:ind w:right="120"/>
        <w:spacing w:after="0" w:line="284" w:lineRule="auto"/>
        <w:rPr>
          <w:sz w:val="20"/>
          <w:szCs w:val="20"/>
          <w:color w:val="auto"/>
        </w:rPr>
      </w:pPr>
      <w:r>
        <w:rPr>
          <w:rFonts w:ascii="Arial" w:cs="Arial" w:eastAsia="Arial" w:hAnsi="Arial"/>
          <w:sz w:val="18"/>
          <w:szCs w:val="18"/>
          <w:color w:val="auto"/>
        </w:rPr>
        <w:t>The borrowing capacity of our Revolving Credit Facility is $750.0 million until May 5, 2027. The Revolving Credit Facility also includes a swingline loan sublimit of $25.0 million, and a $40.0 million letter of credit facility. At September 30, 2022, we had $200.0 million outstanding under the Revolving Credit Facility and $6.4 million of outstanding letters of credit, leaving us with $543.6 million of available borrowings under the Revolving Credit Facility, net of the outstanding letters of credit. We are contingently liable for performance under $26.8 million in performance bonds relating primarily to our mining operations. We do not have any off-balance sheet debt, or any outstanding debt guarantees.</w:t>
      </w:r>
    </w:p>
    <w:p>
      <w:pPr>
        <w:spacing w:after="0" w:line="9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Other than the Revolving Credit Facility, we have no additional source of committed external financing in place. Should the Revolving Credit Facility be terminated, no assurance can be given as to our ability to secure a new source of financing. Consequently, if any balance were outstanding on the Revolving Credit Facility at the time of</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termination, and an alternative source of financing could not be secured, it would have a material adverse impact on our business.</w:t>
      </w:r>
    </w:p>
    <w:p>
      <w:pPr>
        <w:spacing w:after="0" w:line="144"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We believe that our cash flow from operations and available borrowings under our Revolving Credit Facility, as well as cash on hand, should be sufficient to meet our currently anticipated operating needs, capital expenditures, and dividend and debt service requirements for at least the next 12 months. However, our future liquidity and capital requirements may vary depending on a number of factors, including market conditions in the construction industry, our ability to maintain compliance with covenants in our Revolving Credit Facility, the level of competition, and general and economic factors beyond our control, such as COVID-19 or similar pandemics. These and other developments could reduce our cash flow or require that we seek additional sources of funding. We cannot predict what effect these factors will have on our future liquidity.</w:t>
      </w:r>
    </w:p>
    <w:p>
      <w:pPr>
        <w:spacing w:after="0" w:line="101" w:lineRule="exact"/>
        <w:rPr>
          <w:sz w:val="20"/>
          <w:szCs w:val="20"/>
          <w:color w:val="auto"/>
        </w:rPr>
      </w:pPr>
    </w:p>
    <w:p>
      <w:pPr>
        <w:ind w:right="80"/>
        <w:spacing w:after="0" w:line="284" w:lineRule="auto"/>
        <w:rPr>
          <w:sz w:val="20"/>
          <w:szCs w:val="20"/>
          <w:color w:val="auto"/>
        </w:rPr>
      </w:pPr>
      <w:r>
        <w:rPr>
          <w:rFonts w:ascii="Arial" w:cs="Arial" w:eastAsia="Arial" w:hAnsi="Arial"/>
          <w:sz w:val="18"/>
          <w:szCs w:val="18"/>
          <w:color w:val="auto"/>
        </w:rPr>
        <w:t>As market conditions warrant, the Company may from time to time seek to purchase or repay its outstanding debt securities or loans, including the 2.500% Senior Unsecured Notes, Term Loan, and borrowings under the Revolving Credit Facility, in privately negotiated or open market transactions, by tender offer or otherwise. Subject to any applicable limitations contained in the agreements governing our indebtedness, any purchases we make may be funded by the use of cash on our balance sheet or the incurrence of new debt. The amounts involved in any such purchase transactions, individually or in aggregate, may be material.</w:t>
      </w:r>
    </w:p>
    <w:p>
      <w:pPr>
        <w:spacing w:after="0" w:line="98" w:lineRule="exact"/>
        <w:rPr>
          <w:sz w:val="20"/>
          <w:szCs w:val="20"/>
          <w:color w:val="auto"/>
        </w:rPr>
      </w:pPr>
    </w:p>
    <w:p>
      <w:pPr>
        <w:ind w:right="400"/>
        <w:spacing w:after="0" w:line="293" w:lineRule="auto"/>
        <w:rPr>
          <w:sz w:val="20"/>
          <w:szCs w:val="20"/>
          <w:color w:val="auto"/>
        </w:rPr>
      </w:pPr>
      <w:r>
        <w:rPr>
          <w:rFonts w:ascii="Arial" w:cs="Arial" w:eastAsia="Arial" w:hAnsi="Arial"/>
          <w:sz w:val="18"/>
          <w:szCs w:val="18"/>
          <w:color w:val="auto"/>
        </w:rPr>
        <w:t>We had approximately $33.5 million of lease liabilities at September 30, 2022, that have an average remaining life of approximately 10.2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w:t>
      </w:r>
    </w:p>
    <w:p>
      <w:pPr>
        <w:spacing w:after="0" w:line="16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Dividends paid were $19.1 million and $10.5 million for the six months ended September 30, 2022 and 2021, respectively. On May 19, 2021, we announced the reinstatement of our quarterly dividend which had been suspended in fiscal 2021. Each quarterly dividend payment is subject to review and approval by our Board of Directors, who will continue to evaluate our dividend payment amount on a quarterly basis.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September 30, 2022, our share repurchases were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Total 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Maximum Number</w:t>
            </w:r>
          </w:p>
        </w:tc>
      </w:tr>
      <w:tr>
        <w:trPr>
          <w:trHeight w:val="127"/>
        </w:trPr>
        <w:tc>
          <w:tcPr>
            <w:tcW w:w="5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spacing w:after="0" w:line="127" w:lineRule="exact"/>
              <w:rPr>
                <w:sz w:val="20"/>
                <w:szCs w:val="20"/>
                <w:color w:val="auto"/>
              </w:rPr>
            </w:pPr>
            <w:r>
              <w:rPr>
                <w:rFonts w:ascii="Arial" w:cs="Arial" w:eastAsia="Arial" w:hAnsi="Arial"/>
                <w:sz w:val="13"/>
                <w:szCs w:val="13"/>
                <w:b w:val="1"/>
                <w:bCs w:val="1"/>
                <w:color w:val="auto"/>
              </w:rPr>
              <w:t>Shares Purchased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27" w:lineRule="exact"/>
              <w:rPr>
                <w:sz w:val="20"/>
                <w:szCs w:val="20"/>
                <w:color w:val="auto"/>
              </w:rPr>
            </w:pPr>
            <w:r>
              <w:rPr>
                <w:rFonts w:ascii="Arial" w:cs="Arial" w:eastAsia="Arial" w:hAnsi="Arial"/>
                <w:sz w:val="13"/>
                <w:szCs w:val="13"/>
                <w:b w:val="1"/>
                <w:bCs w:val="1"/>
                <w:color w:val="auto"/>
              </w:rPr>
              <w:t>of Shares that May</w:t>
            </w:r>
          </w:p>
        </w:tc>
      </w:tr>
      <w:tr>
        <w:trPr>
          <w:trHeight w:val="135"/>
        </w:trPr>
        <w:tc>
          <w:tcPr>
            <w:tcW w:w="5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as Part of Publicly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Yet be Purchased</w:t>
            </w:r>
          </w:p>
        </w:tc>
      </w:tr>
      <w:tr>
        <w:trPr>
          <w:trHeight w:val="130"/>
        </w:trPr>
        <w:tc>
          <w:tcPr>
            <w:tcW w:w="5480" w:type="dxa"/>
            <w:vAlign w:val="bottom"/>
          </w:tcPr>
          <w:p>
            <w:pPr>
              <w:spacing w:after="0"/>
              <w:rPr>
                <w:sz w:val="11"/>
                <w:szCs w:val="11"/>
                <w:color w:val="auto"/>
              </w:rPr>
            </w:pPr>
          </w:p>
        </w:tc>
        <w:tc>
          <w:tcPr>
            <w:tcW w:w="1260" w:type="dxa"/>
            <w:vAlign w:val="bottom"/>
          </w:tcPr>
          <w:p>
            <w:pPr>
              <w:jc w:val="right"/>
              <w:spacing w:after="0" w:line="130" w:lineRule="exact"/>
              <w:rPr>
                <w:sz w:val="20"/>
                <w:szCs w:val="20"/>
                <w:color w:val="auto"/>
              </w:rPr>
            </w:pPr>
            <w:r>
              <w:rPr>
                <w:rFonts w:ascii="Arial" w:cs="Arial" w:eastAsia="Arial" w:hAnsi="Arial"/>
                <w:sz w:val="13"/>
                <w:szCs w:val="13"/>
                <w:b w:val="1"/>
                <w:bCs w:val="1"/>
                <w:color w:val="auto"/>
              </w:rPr>
              <w:t>Total Number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right"/>
              <w:spacing w:after="0" w:line="130" w:lineRule="exact"/>
              <w:rPr>
                <w:sz w:val="20"/>
                <w:szCs w:val="20"/>
                <w:color w:val="auto"/>
              </w:rPr>
            </w:pPr>
            <w:r>
              <w:rPr>
                <w:rFonts w:ascii="Arial" w:cs="Arial" w:eastAsia="Arial" w:hAnsi="Arial"/>
                <w:sz w:val="13"/>
                <w:szCs w:val="13"/>
                <w:b w:val="1"/>
                <w:bCs w:val="1"/>
                <w:color w:val="auto"/>
              </w:rPr>
              <w:t>Average Price Paid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spacing w:after="0" w:line="130" w:lineRule="exact"/>
              <w:rPr>
                <w:sz w:val="20"/>
                <w:szCs w:val="20"/>
                <w:color w:val="auto"/>
              </w:rPr>
            </w:pPr>
            <w:r>
              <w:rPr>
                <w:rFonts w:ascii="Arial" w:cs="Arial" w:eastAsia="Arial" w:hAnsi="Arial"/>
                <w:sz w:val="13"/>
                <w:szCs w:val="13"/>
                <w:b w:val="1"/>
                <w:bCs w:val="1"/>
                <w:color w:val="auto"/>
              </w:rPr>
              <w:t>Announced Plans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0" w:lineRule="exact"/>
              <w:rPr>
                <w:sz w:val="20"/>
                <w:szCs w:val="20"/>
                <w:color w:val="auto"/>
              </w:rPr>
            </w:pPr>
            <w:r>
              <w:rPr>
                <w:rFonts w:ascii="Arial" w:cs="Arial" w:eastAsia="Arial" w:hAnsi="Arial"/>
                <w:sz w:val="13"/>
                <w:szCs w:val="13"/>
                <w:b w:val="1"/>
                <w:bCs w:val="1"/>
                <w:color w:val="auto"/>
              </w:rPr>
              <w:t>Under the Plans</w:t>
            </w:r>
          </w:p>
        </w:tc>
      </w:tr>
      <w:tr>
        <w:trPr>
          <w:trHeight w:val="183"/>
        </w:trPr>
        <w:tc>
          <w:tcPr>
            <w:tcW w:w="5480" w:type="dxa"/>
            <w:vAlign w:val="bottom"/>
            <w:tcBorders>
              <w:bottom w:val="single" w:sz="8" w:color="004483"/>
            </w:tcBorders>
          </w:tcPr>
          <w:p>
            <w:pPr>
              <w:ind w:left="20"/>
              <w:spacing w:after="0"/>
              <w:rPr>
                <w:sz w:val="20"/>
                <w:szCs w:val="20"/>
                <w:color w:val="auto"/>
              </w:rPr>
            </w:pPr>
            <w:r>
              <w:rPr>
                <w:rFonts w:ascii="Arial" w:cs="Arial" w:eastAsia="Arial" w:hAnsi="Arial"/>
                <w:sz w:val="13"/>
                <w:szCs w:val="13"/>
                <w:b w:val="1"/>
                <w:bCs w:val="1"/>
                <w:color w:val="auto"/>
              </w:rPr>
              <w:t>Period</w:t>
            </w: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Shares Purchased</w:t>
            </w:r>
          </w:p>
        </w:tc>
        <w:tc>
          <w:tcPr>
            <w:tcW w:w="120" w:type="dxa"/>
            <w:vAlign w:val="bottom"/>
          </w:tcPr>
          <w:p>
            <w:pPr>
              <w:spacing w:after="0"/>
              <w:rPr>
                <w:sz w:val="15"/>
                <w:szCs w:val="15"/>
                <w:color w:val="auto"/>
              </w:rPr>
            </w:pPr>
          </w:p>
        </w:tc>
        <w:tc>
          <w:tcPr>
            <w:tcW w:w="160" w:type="dxa"/>
            <w:vAlign w:val="bottom"/>
            <w:tcBorders>
              <w:bottom w:val="single" w:sz="8" w:color="004483"/>
            </w:tcBorders>
          </w:tcPr>
          <w:p>
            <w:pPr>
              <w:spacing w:after="0"/>
              <w:rPr>
                <w:sz w:val="15"/>
                <w:szCs w:val="15"/>
                <w:color w:val="auto"/>
              </w:rPr>
            </w:pPr>
          </w:p>
        </w:tc>
        <w:tc>
          <w:tcPr>
            <w:tcW w:w="360" w:type="dxa"/>
            <w:vAlign w:val="bottom"/>
            <w:tcBorders>
              <w:bottom w:val="single" w:sz="8" w:color="004483"/>
            </w:tcBorders>
          </w:tcPr>
          <w:p>
            <w:pPr>
              <w:spacing w:after="0"/>
              <w:rPr>
                <w:sz w:val="15"/>
                <w:szCs w:val="15"/>
                <w:color w:val="auto"/>
              </w:rPr>
            </w:pPr>
          </w:p>
        </w:tc>
        <w:tc>
          <w:tcPr>
            <w:tcW w:w="8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Per Share</w:t>
            </w:r>
          </w:p>
        </w:tc>
        <w:tc>
          <w:tcPr>
            <w:tcW w:w="120" w:type="dxa"/>
            <w:vAlign w:val="bottom"/>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22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c>
          <w:tcPr>
            <w:tcW w:w="100" w:type="dxa"/>
            <w:vAlign w:val="bottom"/>
          </w:tcPr>
          <w:p>
            <w:pPr>
              <w:spacing w:after="0"/>
              <w:rPr>
                <w:sz w:val="15"/>
                <w:szCs w:val="15"/>
                <w:color w:val="auto"/>
              </w:rPr>
            </w:pPr>
          </w:p>
        </w:tc>
        <w:tc>
          <w:tcPr>
            <w:tcW w:w="100" w:type="dxa"/>
            <w:vAlign w:val="bottom"/>
            <w:tcBorders>
              <w:bottom w:val="single" w:sz="8" w:color="004483"/>
            </w:tcBorders>
          </w:tcPr>
          <w:p>
            <w:pPr>
              <w:spacing w:after="0"/>
              <w:rPr>
                <w:sz w:val="15"/>
                <w:szCs w:val="15"/>
                <w:color w:val="auto"/>
              </w:rPr>
            </w:pPr>
          </w:p>
        </w:tc>
        <w:tc>
          <w:tcPr>
            <w:tcW w:w="1260" w:type="dxa"/>
            <w:vAlign w:val="bottom"/>
            <w:tcBorders>
              <w:bottom w:val="single" w:sz="8" w:color="004483"/>
            </w:tcBorders>
          </w:tcPr>
          <w:p>
            <w:pPr>
              <w:jc w:val="right"/>
              <w:spacing w:after="0"/>
              <w:rPr>
                <w:sz w:val="20"/>
                <w:szCs w:val="20"/>
                <w:color w:val="auto"/>
              </w:rPr>
            </w:pPr>
            <w:r>
              <w:rPr>
                <w:rFonts w:ascii="Arial" w:cs="Arial" w:eastAsia="Arial" w:hAnsi="Arial"/>
                <w:sz w:val="13"/>
                <w:szCs w:val="13"/>
                <w:b w:val="1"/>
                <w:bCs w:val="1"/>
                <w:color w:val="auto"/>
              </w:rPr>
              <w:t>or Programs</w:t>
            </w:r>
          </w:p>
        </w:tc>
      </w:tr>
      <w:tr>
        <w:trPr>
          <w:trHeight w:val="200"/>
        </w:trPr>
        <w:tc>
          <w:tcPr>
            <w:tcW w:w="54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April 1 through April 30, 2022</w:t>
            </w: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296,000</w:t>
            </w:r>
          </w:p>
        </w:tc>
        <w:tc>
          <w:tcPr>
            <w:tcW w:w="120" w:type="dxa"/>
            <w:vAlign w:val="bottom"/>
          </w:tcPr>
          <w:p>
            <w:pPr>
              <w:spacing w:after="0"/>
              <w:rPr>
                <w:sz w:val="17"/>
                <w:szCs w:val="17"/>
                <w:color w:val="auto"/>
              </w:rPr>
            </w:pPr>
          </w:p>
        </w:tc>
        <w:tc>
          <w:tcPr>
            <w:tcW w:w="520" w:type="dxa"/>
            <w:vAlign w:val="bottom"/>
            <w:tcBorders>
              <w:bottom w:val="single" w:sz="8" w:color="A6A6A6"/>
            </w:tcBorders>
            <w:gridSpan w:val="2"/>
          </w:tcPr>
          <w:p>
            <w:pPr>
              <w:jc w:val="right"/>
              <w:ind w:right="184"/>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124.41</w:t>
            </w:r>
          </w:p>
        </w:tc>
        <w:tc>
          <w:tcPr>
            <w:tcW w:w="120" w:type="dxa"/>
            <w:vAlign w:val="bottom"/>
          </w:tcPr>
          <w:p>
            <w:pPr>
              <w:spacing w:after="0"/>
              <w:rPr>
                <w:sz w:val="17"/>
                <w:szCs w:val="17"/>
                <w:color w:val="auto"/>
              </w:rPr>
            </w:pPr>
          </w:p>
        </w:tc>
        <w:tc>
          <w:tcPr>
            <w:tcW w:w="13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296,000</w:t>
            </w:r>
          </w:p>
        </w:tc>
        <w:tc>
          <w:tcPr>
            <w:tcW w:w="100" w:type="dxa"/>
            <w:vAlign w:val="bottom"/>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260" w:type="dxa"/>
            <w:vAlign w:val="bottom"/>
            <w:tcBorders>
              <w:bottom w:val="single" w:sz="8" w:color="A6A6A6"/>
            </w:tcBorders>
          </w:tcPr>
          <w:p>
            <w:pPr>
              <w:spacing w:after="0"/>
              <w:rPr>
                <w:sz w:val="17"/>
                <w:szCs w:val="17"/>
                <w:color w:val="auto"/>
              </w:rPr>
            </w:pPr>
          </w:p>
        </w:tc>
      </w:tr>
      <w:tr>
        <w:trPr>
          <w:trHeight w:val="196"/>
        </w:trPr>
        <w:tc>
          <w:tcPr>
            <w:tcW w:w="54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May 1 through May 31, 2022</w:t>
            </w: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294,000</w:t>
            </w:r>
          </w:p>
        </w:tc>
        <w:tc>
          <w:tcPr>
            <w:tcW w:w="120" w:type="dxa"/>
            <w:vAlign w:val="bottom"/>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36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124.72</w:t>
            </w:r>
          </w:p>
        </w:tc>
        <w:tc>
          <w:tcPr>
            <w:tcW w:w="120" w:type="dxa"/>
            <w:vAlign w:val="bottom"/>
          </w:tcPr>
          <w:p>
            <w:pPr>
              <w:spacing w:after="0"/>
              <w:rPr>
                <w:sz w:val="17"/>
                <w:szCs w:val="17"/>
                <w:color w:val="auto"/>
              </w:rPr>
            </w:pPr>
          </w:p>
        </w:tc>
        <w:tc>
          <w:tcPr>
            <w:tcW w:w="13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294,000</w:t>
            </w:r>
          </w:p>
        </w:tc>
        <w:tc>
          <w:tcPr>
            <w:tcW w:w="100" w:type="dxa"/>
            <w:vAlign w:val="bottom"/>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260" w:type="dxa"/>
            <w:vAlign w:val="bottom"/>
            <w:tcBorders>
              <w:bottom w:val="single" w:sz="8" w:color="A6A6A6"/>
            </w:tcBorders>
          </w:tcPr>
          <w:p>
            <w:pPr>
              <w:spacing w:after="0"/>
              <w:rPr>
                <w:sz w:val="17"/>
                <w:szCs w:val="17"/>
                <w:color w:val="auto"/>
              </w:rPr>
            </w:pPr>
          </w:p>
        </w:tc>
      </w:tr>
      <w:tr>
        <w:trPr>
          <w:trHeight w:val="193"/>
        </w:trPr>
        <w:tc>
          <w:tcPr>
            <w:tcW w:w="5480" w:type="dxa"/>
            <w:vAlign w:val="bottom"/>
          </w:tcPr>
          <w:p>
            <w:pPr>
              <w:ind w:left="20"/>
              <w:spacing w:after="0"/>
              <w:rPr>
                <w:sz w:val="20"/>
                <w:szCs w:val="20"/>
                <w:color w:val="auto"/>
              </w:rPr>
            </w:pPr>
            <w:r>
              <w:rPr>
                <w:rFonts w:ascii="Arial" w:cs="Arial" w:eastAsia="Arial" w:hAnsi="Arial"/>
                <w:sz w:val="16"/>
                <w:szCs w:val="16"/>
                <w:color w:val="004483"/>
              </w:rPr>
              <w:t>June 1 through June 30, 2022</w:t>
            </w:r>
          </w:p>
        </w:tc>
        <w:tc>
          <w:tcPr>
            <w:tcW w:w="1260" w:type="dxa"/>
            <w:vAlign w:val="bottom"/>
          </w:tcPr>
          <w:p>
            <w:pPr>
              <w:jc w:val="right"/>
              <w:spacing w:after="0"/>
              <w:rPr>
                <w:sz w:val="20"/>
                <w:szCs w:val="20"/>
                <w:color w:val="auto"/>
              </w:rPr>
            </w:pPr>
            <w:r>
              <w:rPr>
                <w:rFonts w:ascii="Arial" w:cs="Arial" w:eastAsia="Arial" w:hAnsi="Arial"/>
                <w:sz w:val="16"/>
                <w:szCs w:val="16"/>
                <w:color w:val="auto"/>
              </w:rPr>
              <w:t>294,000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121.86</w:t>
            </w:r>
          </w:p>
        </w:tc>
        <w:tc>
          <w:tcPr>
            <w:tcW w:w="1440" w:type="dxa"/>
            <w:vAlign w:val="bottom"/>
            <w:gridSpan w:val="3"/>
          </w:tcPr>
          <w:p>
            <w:pPr>
              <w:jc w:val="right"/>
              <w:spacing w:after="0"/>
              <w:rPr>
                <w:sz w:val="20"/>
                <w:szCs w:val="20"/>
                <w:color w:val="auto"/>
              </w:rPr>
            </w:pPr>
            <w:r>
              <w:rPr>
                <w:rFonts w:ascii="Arial" w:cs="Arial" w:eastAsia="Arial" w:hAnsi="Arial"/>
                <w:sz w:val="16"/>
                <w:szCs w:val="16"/>
                <w:color w:val="auto"/>
              </w:rPr>
              <w:t>294,000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2"/>
        </w:trPr>
        <w:tc>
          <w:tcPr>
            <w:tcW w:w="548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b w:val="1"/>
                <w:bCs w:val="1"/>
                <w:color w:val="auto"/>
              </w:rPr>
              <w:t>Quarter 1 Totals</w:t>
            </w:r>
          </w:p>
        </w:tc>
        <w:tc>
          <w:tcPr>
            <w:tcW w:w="12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884,000</w:t>
            </w:r>
          </w:p>
        </w:tc>
        <w:tc>
          <w:tcPr>
            <w:tcW w:w="120" w:type="dxa"/>
            <w:vAlign w:val="bottom"/>
          </w:tcPr>
          <w:p>
            <w:pPr>
              <w:spacing w:after="0"/>
              <w:rPr>
                <w:sz w:val="17"/>
                <w:szCs w:val="17"/>
                <w:color w:val="auto"/>
              </w:rPr>
            </w:pPr>
          </w:p>
        </w:tc>
        <w:tc>
          <w:tcPr>
            <w:tcW w:w="160" w:type="dxa"/>
            <w:vAlign w:val="bottom"/>
            <w:tcBorders>
              <w:top w:val="single" w:sz="8" w:color="A6A6A6"/>
            </w:tcBorders>
          </w:tcPr>
          <w:p>
            <w:pPr>
              <w:spacing w:after="0"/>
              <w:rPr>
                <w:sz w:val="17"/>
                <w:szCs w:val="17"/>
                <w:color w:val="auto"/>
              </w:rPr>
            </w:pPr>
          </w:p>
        </w:tc>
        <w:tc>
          <w:tcPr>
            <w:tcW w:w="360" w:type="dxa"/>
            <w:vAlign w:val="bottom"/>
            <w:tcBorders>
              <w:top w:val="single" w:sz="8" w:color="004483"/>
              <w:bottom w:val="single" w:sz="8" w:color="004483"/>
            </w:tcBorders>
          </w:tcPr>
          <w:p>
            <w:pPr>
              <w:jc w:val="right"/>
              <w:ind w:right="184"/>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124.00</w:t>
            </w:r>
          </w:p>
        </w:tc>
        <w:tc>
          <w:tcPr>
            <w:tcW w:w="120" w:type="dxa"/>
            <w:vAlign w:val="bottom"/>
          </w:tcPr>
          <w:p>
            <w:pPr>
              <w:spacing w:after="0"/>
              <w:rPr>
                <w:sz w:val="17"/>
                <w:szCs w:val="17"/>
                <w:color w:val="auto"/>
              </w:rPr>
            </w:pPr>
          </w:p>
        </w:tc>
        <w:tc>
          <w:tcPr>
            <w:tcW w:w="100" w:type="dxa"/>
            <w:vAlign w:val="bottom"/>
            <w:tcBorders>
              <w:top w:val="single" w:sz="8" w:color="A6A6A6"/>
            </w:tcBorders>
          </w:tcPr>
          <w:p>
            <w:pPr>
              <w:spacing w:after="0"/>
              <w:rPr>
                <w:sz w:val="17"/>
                <w:szCs w:val="17"/>
                <w:color w:val="auto"/>
              </w:rPr>
            </w:pPr>
          </w:p>
        </w:tc>
        <w:tc>
          <w:tcPr>
            <w:tcW w:w="12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884,000</w:t>
            </w:r>
          </w:p>
        </w:tc>
        <w:tc>
          <w:tcPr>
            <w:tcW w:w="100" w:type="dxa"/>
            <w:vAlign w:val="bottom"/>
          </w:tcPr>
          <w:p>
            <w:pPr>
              <w:spacing w:after="0"/>
              <w:rPr>
                <w:sz w:val="17"/>
                <w:szCs w:val="17"/>
                <w:color w:val="auto"/>
              </w:rPr>
            </w:pPr>
          </w:p>
        </w:tc>
        <w:tc>
          <w:tcPr>
            <w:tcW w:w="100" w:type="dxa"/>
            <w:vAlign w:val="bottom"/>
            <w:tcBorders>
              <w:top w:val="single" w:sz="8" w:color="A6A6A6"/>
              <w:bottom w:val="single" w:sz="8" w:color="A6A6A6"/>
            </w:tcBorders>
          </w:tcPr>
          <w:p>
            <w:pPr>
              <w:spacing w:after="0"/>
              <w:rPr>
                <w:sz w:val="17"/>
                <w:szCs w:val="17"/>
                <w:color w:val="auto"/>
              </w:rPr>
            </w:pPr>
          </w:p>
        </w:tc>
        <w:tc>
          <w:tcPr>
            <w:tcW w:w="1260" w:type="dxa"/>
            <w:vAlign w:val="bottom"/>
            <w:tcBorders>
              <w:top w:val="single" w:sz="8" w:color="A6A6A6"/>
              <w:bottom w:val="single" w:sz="8" w:color="A6A6A6"/>
            </w:tcBorders>
          </w:tcPr>
          <w:p>
            <w:pPr>
              <w:spacing w:after="0"/>
              <w:rPr>
                <w:sz w:val="17"/>
                <w:szCs w:val="17"/>
                <w:color w:val="auto"/>
              </w:rPr>
            </w:pPr>
          </w:p>
        </w:tc>
      </w:tr>
      <w:tr>
        <w:trPr>
          <w:trHeight w:val="193"/>
        </w:trPr>
        <w:tc>
          <w:tcPr>
            <w:tcW w:w="54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July 1 through July 31, 2022</w:t>
            </w: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280,000</w:t>
            </w:r>
          </w:p>
        </w:tc>
        <w:tc>
          <w:tcPr>
            <w:tcW w:w="120" w:type="dxa"/>
            <w:vAlign w:val="bottom"/>
          </w:tcPr>
          <w:p>
            <w:pPr>
              <w:spacing w:after="0"/>
              <w:rPr>
                <w:sz w:val="16"/>
                <w:szCs w:val="16"/>
                <w:color w:val="auto"/>
              </w:rPr>
            </w:pPr>
          </w:p>
        </w:tc>
        <w:tc>
          <w:tcPr>
            <w:tcW w:w="520" w:type="dxa"/>
            <w:vAlign w:val="bottom"/>
            <w:tcBorders>
              <w:bottom w:val="single" w:sz="8" w:color="A6A6A6"/>
            </w:tcBorders>
            <w:gridSpan w:val="2"/>
          </w:tcPr>
          <w:p>
            <w:pPr>
              <w:jc w:val="right"/>
              <w:ind w:right="184"/>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115.46</w:t>
            </w:r>
          </w:p>
        </w:tc>
        <w:tc>
          <w:tcPr>
            <w:tcW w:w="120" w:type="dxa"/>
            <w:vAlign w:val="bottom"/>
          </w:tcPr>
          <w:p>
            <w:pPr>
              <w:spacing w:after="0"/>
              <w:rPr>
                <w:sz w:val="16"/>
                <w:szCs w:val="16"/>
                <w:color w:val="auto"/>
              </w:rPr>
            </w:pPr>
          </w:p>
        </w:tc>
        <w:tc>
          <w:tcPr>
            <w:tcW w:w="13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280,000</w:t>
            </w:r>
          </w:p>
        </w:tc>
        <w:tc>
          <w:tcPr>
            <w:tcW w:w="100" w:type="dxa"/>
            <w:vAlign w:val="bottom"/>
          </w:tcPr>
          <w:p>
            <w:pPr>
              <w:spacing w:after="0"/>
              <w:rPr>
                <w:sz w:val="16"/>
                <w:szCs w:val="16"/>
                <w:color w:val="auto"/>
              </w:rPr>
            </w:pPr>
          </w:p>
        </w:tc>
        <w:tc>
          <w:tcPr>
            <w:tcW w:w="100" w:type="dxa"/>
            <w:vAlign w:val="bottom"/>
            <w:tcBorders>
              <w:bottom w:val="single" w:sz="8" w:color="A6A6A6"/>
            </w:tcBorders>
          </w:tcPr>
          <w:p>
            <w:pPr>
              <w:spacing w:after="0"/>
              <w:rPr>
                <w:sz w:val="16"/>
                <w:szCs w:val="16"/>
                <w:color w:val="auto"/>
              </w:rPr>
            </w:pPr>
          </w:p>
        </w:tc>
        <w:tc>
          <w:tcPr>
            <w:tcW w:w="1260" w:type="dxa"/>
            <w:vAlign w:val="bottom"/>
            <w:tcBorders>
              <w:bottom w:val="single" w:sz="8" w:color="A6A6A6"/>
            </w:tcBorders>
          </w:tcPr>
          <w:p>
            <w:pPr>
              <w:spacing w:after="0"/>
              <w:rPr>
                <w:sz w:val="16"/>
                <w:szCs w:val="16"/>
                <w:color w:val="auto"/>
              </w:rPr>
            </w:pPr>
          </w:p>
        </w:tc>
      </w:tr>
      <w:tr>
        <w:trPr>
          <w:trHeight w:val="196"/>
        </w:trPr>
        <w:tc>
          <w:tcPr>
            <w:tcW w:w="5480" w:type="dxa"/>
            <w:vAlign w:val="bottom"/>
            <w:tcBorders>
              <w:bottom w:val="single" w:sz="8" w:color="A6A6A6"/>
            </w:tcBorders>
          </w:tcPr>
          <w:p>
            <w:pPr>
              <w:ind w:left="20"/>
              <w:spacing w:after="0"/>
              <w:rPr>
                <w:sz w:val="20"/>
                <w:szCs w:val="20"/>
                <w:color w:val="auto"/>
              </w:rPr>
            </w:pPr>
            <w:r>
              <w:rPr>
                <w:rFonts w:ascii="Arial" w:cs="Arial" w:eastAsia="Arial" w:hAnsi="Arial"/>
                <w:sz w:val="16"/>
                <w:szCs w:val="16"/>
                <w:color w:val="004483"/>
              </w:rPr>
              <w:t>August 1 through August 31, 2022</w:t>
            </w:r>
          </w:p>
        </w:tc>
        <w:tc>
          <w:tcPr>
            <w:tcW w:w="12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308,000</w:t>
            </w:r>
          </w:p>
        </w:tc>
        <w:tc>
          <w:tcPr>
            <w:tcW w:w="120" w:type="dxa"/>
            <w:vAlign w:val="bottom"/>
          </w:tcPr>
          <w:p>
            <w:pPr>
              <w:spacing w:after="0"/>
              <w:rPr>
                <w:sz w:val="17"/>
                <w:szCs w:val="17"/>
                <w:color w:val="auto"/>
              </w:rPr>
            </w:pPr>
          </w:p>
        </w:tc>
        <w:tc>
          <w:tcPr>
            <w:tcW w:w="160" w:type="dxa"/>
            <w:vAlign w:val="bottom"/>
            <w:tcBorders>
              <w:bottom w:val="single" w:sz="8" w:color="A6A6A6"/>
            </w:tcBorders>
          </w:tcPr>
          <w:p>
            <w:pPr>
              <w:spacing w:after="0"/>
              <w:rPr>
                <w:sz w:val="17"/>
                <w:szCs w:val="17"/>
                <w:color w:val="auto"/>
              </w:rPr>
            </w:pPr>
          </w:p>
        </w:tc>
        <w:tc>
          <w:tcPr>
            <w:tcW w:w="360" w:type="dxa"/>
            <w:vAlign w:val="bottom"/>
            <w:tcBorders>
              <w:bottom w:val="single" w:sz="8" w:color="A6A6A6"/>
            </w:tcBorders>
          </w:tcPr>
          <w:p>
            <w:pPr>
              <w:spacing w:after="0"/>
              <w:rPr>
                <w:sz w:val="17"/>
                <w:szCs w:val="17"/>
                <w:color w:val="auto"/>
              </w:rPr>
            </w:pPr>
          </w:p>
        </w:tc>
        <w:tc>
          <w:tcPr>
            <w:tcW w:w="860" w:type="dxa"/>
            <w:vAlign w:val="bottom"/>
            <w:tcBorders>
              <w:bottom w:val="single" w:sz="8" w:color="A6A6A6"/>
            </w:tcBorders>
          </w:tcPr>
          <w:p>
            <w:pPr>
              <w:jc w:val="right"/>
              <w:spacing w:after="0"/>
              <w:rPr>
                <w:sz w:val="20"/>
                <w:szCs w:val="20"/>
                <w:color w:val="auto"/>
              </w:rPr>
            </w:pPr>
            <w:r>
              <w:rPr>
                <w:rFonts w:ascii="Arial" w:cs="Arial" w:eastAsia="Arial" w:hAnsi="Arial"/>
                <w:sz w:val="16"/>
                <w:szCs w:val="16"/>
                <w:color w:val="auto"/>
              </w:rPr>
              <w:t>128.93</w:t>
            </w:r>
          </w:p>
        </w:tc>
        <w:tc>
          <w:tcPr>
            <w:tcW w:w="120" w:type="dxa"/>
            <w:vAlign w:val="bottom"/>
          </w:tcPr>
          <w:p>
            <w:pPr>
              <w:spacing w:after="0"/>
              <w:rPr>
                <w:sz w:val="17"/>
                <w:szCs w:val="17"/>
                <w:color w:val="auto"/>
              </w:rPr>
            </w:pPr>
          </w:p>
        </w:tc>
        <w:tc>
          <w:tcPr>
            <w:tcW w:w="1320" w:type="dxa"/>
            <w:vAlign w:val="bottom"/>
            <w:tcBorders>
              <w:bottom w:val="single" w:sz="8" w:color="A6A6A6"/>
            </w:tcBorders>
            <w:gridSpan w:val="2"/>
          </w:tcPr>
          <w:p>
            <w:pPr>
              <w:jc w:val="right"/>
              <w:spacing w:after="0"/>
              <w:rPr>
                <w:sz w:val="20"/>
                <w:szCs w:val="20"/>
                <w:color w:val="auto"/>
              </w:rPr>
            </w:pPr>
            <w:r>
              <w:rPr>
                <w:rFonts w:ascii="Arial" w:cs="Arial" w:eastAsia="Arial" w:hAnsi="Arial"/>
                <w:sz w:val="16"/>
                <w:szCs w:val="16"/>
                <w:color w:val="auto"/>
              </w:rPr>
              <w:t>308,000</w:t>
            </w:r>
          </w:p>
        </w:tc>
        <w:tc>
          <w:tcPr>
            <w:tcW w:w="100" w:type="dxa"/>
            <w:vAlign w:val="bottom"/>
          </w:tcPr>
          <w:p>
            <w:pPr>
              <w:spacing w:after="0"/>
              <w:rPr>
                <w:sz w:val="17"/>
                <w:szCs w:val="17"/>
                <w:color w:val="auto"/>
              </w:rPr>
            </w:pPr>
          </w:p>
        </w:tc>
        <w:tc>
          <w:tcPr>
            <w:tcW w:w="100" w:type="dxa"/>
            <w:vAlign w:val="bottom"/>
            <w:tcBorders>
              <w:bottom w:val="single" w:sz="8" w:color="A6A6A6"/>
            </w:tcBorders>
          </w:tcPr>
          <w:p>
            <w:pPr>
              <w:spacing w:after="0"/>
              <w:rPr>
                <w:sz w:val="17"/>
                <w:szCs w:val="17"/>
                <w:color w:val="auto"/>
              </w:rPr>
            </w:pPr>
          </w:p>
        </w:tc>
        <w:tc>
          <w:tcPr>
            <w:tcW w:w="1260" w:type="dxa"/>
            <w:vAlign w:val="bottom"/>
            <w:tcBorders>
              <w:bottom w:val="single" w:sz="8" w:color="A6A6A6"/>
            </w:tcBorders>
          </w:tcPr>
          <w:p>
            <w:pPr>
              <w:spacing w:after="0"/>
              <w:rPr>
                <w:sz w:val="17"/>
                <w:szCs w:val="17"/>
                <w:color w:val="auto"/>
              </w:rPr>
            </w:pPr>
          </w:p>
        </w:tc>
      </w:tr>
      <w:tr>
        <w:trPr>
          <w:trHeight w:val="193"/>
        </w:trPr>
        <w:tc>
          <w:tcPr>
            <w:tcW w:w="5480" w:type="dxa"/>
            <w:vAlign w:val="bottom"/>
          </w:tcPr>
          <w:p>
            <w:pPr>
              <w:ind w:left="20"/>
              <w:spacing w:after="0"/>
              <w:rPr>
                <w:sz w:val="20"/>
                <w:szCs w:val="20"/>
                <w:color w:val="auto"/>
              </w:rPr>
            </w:pPr>
            <w:r>
              <w:rPr>
                <w:rFonts w:ascii="Arial" w:cs="Arial" w:eastAsia="Arial" w:hAnsi="Arial"/>
                <w:sz w:val="16"/>
                <w:szCs w:val="16"/>
                <w:color w:val="004483"/>
              </w:rPr>
              <w:t>September 1 through September 30, 2022</w:t>
            </w:r>
          </w:p>
        </w:tc>
        <w:tc>
          <w:tcPr>
            <w:tcW w:w="1260" w:type="dxa"/>
            <w:vAlign w:val="bottom"/>
          </w:tcPr>
          <w:p>
            <w:pPr>
              <w:jc w:val="right"/>
              <w:spacing w:after="0"/>
              <w:rPr>
                <w:sz w:val="20"/>
                <w:szCs w:val="20"/>
                <w:color w:val="auto"/>
              </w:rPr>
            </w:pPr>
            <w:r>
              <w:rPr>
                <w:rFonts w:ascii="Arial" w:cs="Arial" w:eastAsia="Arial" w:hAnsi="Arial"/>
                <w:sz w:val="16"/>
                <w:szCs w:val="16"/>
                <w:color w:val="auto"/>
              </w:rPr>
              <w:t>252,000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114.08</w:t>
            </w:r>
          </w:p>
        </w:tc>
        <w:tc>
          <w:tcPr>
            <w:tcW w:w="1440" w:type="dxa"/>
            <w:vAlign w:val="bottom"/>
            <w:gridSpan w:val="3"/>
          </w:tcPr>
          <w:p>
            <w:pPr>
              <w:jc w:val="right"/>
              <w:spacing w:after="0"/>
              <w:rPr>
                <w:sz w:val="20"/>
                <w:szCs w:val="20"/>
                <w:color w:val="auto"/>
              </w:rPr>
            </w:pPr>
            <w:r>
              <w:rPr>
                <w:rFonts w:ascii="Arial" w:cs="Arial" w:eastAsia="Arial" w:hAnsi="Arial"/>
                <w:sz w:val="16"/>
                <w:szCs w:val="16"/>
                <w:color w:val="auto"/>
              </w:rPr>
              <w:t>252,000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2"/>
        </w:trPr>
        <w:tc>
          <w:tcPr>
            <w:tcW w:w="5480" w:type="dxa"/>
            <w:vAlign w:val="bottom"/>
            <w:tcBorders>
              <w:top w:val="single" w:sz="8" w:color="A6A6A6"/>
              <w:bottom w:val="single" w:sz="8" w:color="A6A6A6"/>
            </w:tcBorders>
          </w:tcPr>
          <w:p>
            <w:pPr>
              <w:ind w:left="200"/>
              <w:spacing w:after="0"/>
              <w:rPr>
                <w:sz w:val="20"/>
                <w:szCs w:val="20"/>
                <w:color w:val="auto"/>
              </w:rPr>
            </w:pPr>
            <w:r>
              <w:rPr>
                <w:rFonts w:ascii="Arial" w:cs="Arial" w:eastAsia="Arial" w:hAnsi="Arial"/>
                <w:sz w:val="16"/>
                <w:szCs w:val="16"/>
                <w:b w:val="1"/>
                <w:bCs w:val="1"/>
                <w:color w:val="auto"/>
              </w:rPr>
              <w:t>Quarter 2 Totals</w:t>
            </w:r>
          </w:p>
        </w:tc>
        <w:tc>
          <w:tcPr>
            <w:tcW w:w="12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840,000</w:t>
            </w:r>
          </w:p>
        </w:tc>
        <w:tc>
          <w:tcPr>
            <w:tcW w:w="120" w:type="dxa"/>
            <w:vAlign w:val="bottom"/>
          </w:tcPr>
          <w:p>
            <w:pPr>
              <w:spacing w:after="0"/>
              <w:rPr>
                <w:sz w:val="17"/>
                <w:szCs w:val="17"/>
                <w:color w:val="auto"/>
              </w:rPr>
            </w:pPr>
          </w:p>
        </w:tc>
        <w:tc>
          <w:tcPr>
            <w:tcW w:w="160" w:type="dxa"/>
            <w:vAlign w:val="bottom"/>
            <w:tcBorders>
              <w:top w:val="single" w:sz="8" w:color="A6A6A6"/>
            </w:tcBorders>
          </w:tcPr>
          <w:p>
            <w:pPr>
              <w:spacing w:after="0"/>
              <w:rPr>
                <w:sz w:val="17"/>
                <w:szCs w:val="17"/>
                <w:color w:val="auto"/>
              </w:rPr>
            </w:pPr>
          </w:p>
        </w:tc>
        <w:tc>
          <w:tcPr>
            <w:tcW w:w="360" w:type="dxa"/>
            <w:vAlign w:val="bottom"/>
            <w:tcBorders>
              <w:top w:val="single" w:sz="8" w:color="004483"/>
              <w:bottom w:val="single" w:sz="8" w:color="004483"/>
            </w:tcBorders>
          </w:tcPr>
          <w:p>
            <w:pPr>
              <w:jc w:val="right"/>
              <w:ind w:right="184"/>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119.98</w:t>
            </w:r>
          </w:p>
        </w:tc>
        <w:tc>
          <w:tcPr>
            <w:tcW w:w="120" w:type="dxa"/>
            <w:vAlign w:val="bottom"/>
          </w:tcPr>
          <w:p>
            <w:pPr>
              <w:spacing w:after="0"/>
              <w:rPr>
                <w:sz w:val="17"/>
                <w:szCs w:val="17"/>
                <w:color w:val="auto"/>
              </w:rPr>
            </w:pPr>
          </w:p>
        </w:tc>
        <w:tc>
          <w:tcPr>
            <w:tcW w:w="100" w:type="dxa"/>
            <w:vAlign w:val="bottom"/>
            <w:tcBorders>
              <w:top w:val="single" w:sz="8" w:color="A6A6A6"/>
            </w:tcBorders>
          </w:tcPr>
          <w:p>
            <w:pPr>
              <w:spacing w:after="0"/>
              <w:rPr>
                <w:sz w:val="17"/>
                <w:szCs w:val="17"/>
                <w:color w:val="auto"/>
              </w:rPr>
            </w:pPr>
          </w:p>
        </w:tc>
        <w:tc>
          <w:tcPr>
            <w:tcW w:w="1220" w:type="dxa"/>
            <w:vAlign w:val="bottom"/>
            <w:tcBorders>
              <w:top w:val="single" w:sz="8" w:color="004483"/>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840,000</w:t>
            </w:r>
          </w:p>
        </w:tc>
        <w:tc>
          <w:tcPr>
            <w:tcW w:w="100" w:type="dxa"/>
            <w:vAlign w:val="bottom"/>
          </w:tcPr>
          <w:p>
            <w:pPr>
              <w:spacing w:after="0"/>
              <w:rPr>
                <w:sz w:val="17"/>
                <w:szCs w:val="17"/>
                <w:color w:val="auto"/>
              </w:rPr>
            </w:pPr>
          </w:p>
        </w:tc>
        <w:tc>
          <w:tcPr>
            <w:tcW w:w="100" w:type="dxa"/>
            <w:vAlign w:val="bottom"/>
            <w:tcBorders>
              <w:top w:val="single" w:sz="8" w:color="A6A6A6"/>
              <w:bottom w:val="single" w:sz="8" w:color="A6A6A6"/>
            </w:tcBorders>
          </w:tcPr>
          <w:p>
            <w:pPr>
              <w:spacing w:after="0"/>
              <w:rPr>
                <w:sz w:val="17"/>
                <w:szCs w:val="17"/>
                <w:color w:val="auto"/>
              </w:rPr>
            </w:pPr>
          </w:p>
        </w:tc>
        <w:tc>
          <w:tcPr>
            <w:tcW w:w="1260" w:type="dxa"/>
            <w:vAlign w:val="bottom"/>
            <w:tcBorders>
              <w:top w:val="single" w:sz="8" w:color="A6A6A6"/>
              <w:bottom w:val="single" w:sz="8" w:color="A6A6A6"/>
            </w:tcBorders>
          </w:tcPr>
          <w:p>
            <w:pPr>
              <w:spacing w:after="0"/>
              <w:rPr>
                <w:sz w:val="17"/>
                <w:szCs w:val="17"/>
                <w:color w:val="auto"/>
              </w:rPr>
            </w:pPr>
          </w:p>
        </w:tc>
      </w:tr>
      <w:tr>
        <w:trPr>
          <w:trHeight w:val="196"/>
        </w:trPr>
        <w:tc>
          <w:tcPr>
            <w:tcW w:w="5480" w:type="dxa"/>
            <w:vAlign w:val="bottom"/>
          </w:tcPr>
          <w:p>
            <w:pPr>
              <w:ind w:left="200"/>
              <w:spacing w:after="0"/>
              <w:rPr>
                <w:sz w:val="20"/>
                <w:szCs w:val="20"/>
                <w:color w:val="auto"/>
              </w:rPr>
            </w:pPr>
            <w:r>
              <w:rPr>
                <w:rFonts w:ascii="Arial" w:cs="Arial" w:eastAsia="Arial" w:hAnsi="Arial"/>
                <w:sz w:val="16"/>
                <w:szCs w:val="16"/>
                <w:b w:val="1"/>
                <w:bCs w:val="1"/>
                <w:color w:val="auto"/>
              </w:rPr>
              <w:t>Year-to-Date Totals</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1,724,000</w:t>
            </w:r>
          </w:p>
        </w:tc>
        <w:tc>
          <w:tcPr>
            <w:tcW w:w="280" w:type="dxa"/>
            <w:vAlign w:val="bottom"/>
            <w:gridSpan w:val="2"/>
          </w:tcPr>
          <w:p>
            <w:pPr>
              <w:spacing w:after="0"/>
              <w:rPr>
                <w:sz w:val="17"/>
                <w:szCs w:val="17"/>
                <w:color w:val="auto"/>
              </w:rPr>
            </w:pPr>
          </w:p>
        </w:tc>
        <w:tc>
          <w:tcPr>
            <w:tcW w:w="360" w:type="dxa"/>
            <w:vAlign w:val="bottom"/>
          </w:tcPr>
          <w:p>
            <w:pPr>
              <w:jc w:val="right"/>
              <w:ind w:right="184"/>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122.04</w:t>
            </w:r>
          </w:p>
        </w:tc>
        <w:tc>
          <w:tcPr>
            <w:tcW w:w="220" w:type="dxa"/>
            <w:vAlign w:val="bottom"/>
            <w:gridSpan w:val="2"/>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1,724,000</w:t>
            </w:r>
          </w:p>
        </w:tc>
        <w:tc>
          <w:tcPr>
            <w:tcW w:w="10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rPr>
              <w:t>9,098,992</w:t>
            </w:r>
          </w:p>
        </w:tc>
      </w:tr>
      <w:tr>
        <w:trPr>
          <w:trHeight w:val="20"/>
        </w:trPr>
        <w:tc>
          <w:tcPr>
            <w:tcW w:w="5480" w:type="dxa"/>
            <w:vAlign w:val="bottom"/>
          </w:tcPr>
          <w:p>
            <w:pPr>
              <w:spacing w:after="0" w:line="20" w:lineRule="exact"/>
              <w:rPr>
                <w:sz w:val="1"/>
                <w:szCs w:val="1"/>
                <w:color w:val="auto"/>
              </w:rPr>
            </w:pPr>
          </w:p>
        </w:tc>
        <w:tc>
          <w:tcPr>
            <w:tcW w:w="1260" w:type="dxa"/>
            <w:vAlign w:val="bottom"/>
            <w:tcBorders>
              <w:top w:val="single" w:sz="8" w:color="004483"/>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4483"/>
              <w:bottom w:val="single" w:sz="8" w:color="004483"/>
            </w:tcBorders>
          </w:tcPr>
          <w:p>
            <w:pPr>
              <w:spacing w:after="0" w:line="20" w:lineRule="exact"/>
              <w:rPr>
                <w:sz w:val="1"/>
                <w:szCs w:val="1"/>
                <w:color w:val="auto"/>
              </w:rPr>
            </w:pPr>
          </w:p>
        </w:tc>
        <w:tc>
          <w:tcPr>
            <w:tcW w:w="860" w:type="dxa"/>
            <w:vAlign w:val="bottom"/>
            <w:tcBorders>
              <w:top w:val="single" w:sz="8" w:color="004483"/>
              <w:bottom w:val="single" w:sz="8" w:color="004483"/>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004483"/>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004483"/>
              <w:bottom w:val="single" w:sz="8" w:color="004483"/>
            </w:tcBorders>
          </w:tcPr>
          <w:p>
            <w:pPr>
              <w:spacing w:after="0" w:line="20" w:lineRule="exact"/>
              <w:rPr>
                <w:sz w:val="1"/>
                <w:szCs w:val="1"/>
                <w:color w:val="auto"/>
              </w:rPr>
            </w:pPr>
          </w:p>
        </w:tc>
      </w:tr>
    </w:tbl>
    <w:p>
      <w:pPr>
        <w:spacing w:after="0" w:line="121"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On May 17, 2022, the Board of Directors authorized us to repurchase an additional 7.5 million shares. This authorization brought the cumulative total of Common Stock our Board has approved for repurchase in the open market to 55.9 million shares since we became publicly held in April 1994. Through September 30, 2022, we have repurchased approximately 46.8 million shares.</w:t>
      </w:r>
    </w:p>
    <w:p>
      <w:pPr>
        <w:spacing w:after="0" w:line="94"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auto"/>
        </w:rPr>
        <w:t>Share repurchases may be made from time to time in the open market or in privately negotiated transactions. The timing and amount of any share repurchases are determined by management, based on its evaluation of market and economic conditions and other factors. In some cases, repurchases may be made pursuant to plans, programs, or directions established from time to time by the Company’s management, including plans intended to comply with the safe-harbor provided by Rule 10b5-1.</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36" w:name="page37"/>
    <w:bookmarkEnd w:id="36"/>
    <w:p>
      <w:pPr>
        <w:ind w:right="620"/>
        <w:spacing w:after="0" w:line="287" w:lineRule="auto"/>
        <w:rPr>
          <w:sz w:val="20"/>
          <w:szCs w:val="20"/>
          <w:color w:val="auto"/>
        </w:rPr>
      </w:pPr>
      <w:r>
        <w:rPr>
          <w:rFonts w:ascii="Arial" w:cs="Arial" w:eastAsia="Arial" w:hAnsi="Arial"/>
          <w:sz w:val="18"/>
          <w:szCs w:val="18"/>
          <w:color w:val="auto"/>
        </w:rPr>
        <w:t>During the six months ended September 30, 2022, the Company withheld from employees 13,317 shares of stock upon the vesting of Restricted Shares that were granted under the Plan. We withheld these shares to satisfy the employees’ statutory tax withholding requirements, which is required once the Restricted Shares or Restricted Share Units are vested.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Expenditures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capital expenditures by category:</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360" w:type="dxa"/>
            <w:vAlign w:val="bottom"/>
          </w:tcPr>
          <w:p>
            <w:pPr>
              <w:spacing w:after="0"/>
              <w:rPr>
                <w:sz w:val="14"/>
                <w:szCs w:val="14"/>
                <w:color w:val="auto"/>
              </w:rPr>
            </w:pPr>
          </w:p>
        </w:tc>
        <w:tc>
          <w:tcPr>
            <w:tcW w:w="380" w:type="dxa"/>
            <w:vAlign w:val="bottom"/>
            <w:shd w:val="clear" w:color="auto" w:fill="004483"/>
          </w:tcPr>
          <w:p>
            <w:pPr>
              <w:spacing w:after="0"/>
              <w:rPr>
                <w:sz w:val="14"/>
                <w:szCs w:val="14"/>
                <w:color w:val="auto"/>
              </w:rPr>
            </w:pPr>
          </w:p>
        </w:tc>
        <w:tc>
          <w:tcPr>
            <w:tcW w:w="2800" w:type="dxa"/>
            <w:vAlign w:val="bottom"/>
            <w:gridSpan w:val="4"/>
            <w:shd w:val="clear" w:color="auto" w:fill="004483"/>
          </w:tcPr>
          <w:p>
            <w:pPr>
              <w:jc w:val="right"/>
              <w:spacing w:after="0"/>
              <w:rPr>
                <w:sz w:val="20"/>
                <w:szCs w:val="20"/>
                <w:color w:val="auto"/>
              </w:rPr>
            </w:pPr>
            <w:r>
              <w:rPr>
                <w:rFonts w:ascii="Arial" w:cs="Arial" w:eastAsia="Arial" w:hAnsi="Arial"/>
                <w:sz w:val="13"/>
                <w:szCs w:val="13"/>
                <w:b w:val="1"/>
                <w:bCs w:val="1"/>
                <w:color w:val="FFFFFF"/>
              </w:rPr>
              <w:t>For the Six Months Ended September 30,</w:t>
            </w:r>
          </w:p>
        </w:tc>
        <w:tc>
          <w:tcPr>
            <w:tcW w:w="600" w:type="dxa"/>
            <w:vAlign w:val="bottom"/>
            <w:shd w:val="clear" w:color="auto" w:fill="004483"/>
          </w:tcPr>
          <w:p>
            <w:pPr>
              <w:spacing w:after="0"/>
              <w:rPr>
                <w:sz w:val="14"/>
                <w:szCs w:val="14"/>
                <w:color w:val="auto"/>
              </w:rPr>
            </w:pPr>
          </w:p>
        </w:tc>
        <w:tc>
          <w:tcPr>
            <w:tcW w:w="100" w:type="dxa"/>
            <w:vAlign w:val="bottom"/>
            <w:shd w:val="clear" w:color="auto" w:fill="00448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360" w:type="dxa"/>
            <w:vAlign w:val="bottom"/>
            <w:tcBorders>
              <w:bottom w:val="single" w:sz="8" w:color="004483"/>
            </w:tcBorders>
          </w:tcPr>
          <w:p>
            <w:pPr>
              <w:spacing w:after="0"/>
              <w:rPr>
                <w:sz w:val="16"/>
                <w:szCs w:val="16"/>
                <w:color w:val="auto"/>
              </w:rPr>
            </w:pPr>
          </w:p>
        </w:tc>
        <w:tc>
          <w:tcPr>
            <w:tcW w:w="380" w:type="dxa"/>
            <w:vAlign w:val="bottom"/>
            <w:tcBorders>
              <w:bottom w:val="single" w:sz="8" w:color="004483"/>
            </w:tcBorders>
          </w:tcPr>
          <w:p>
            <w:pPr>
              <w:spacing w:after="0"/>
              <w:rPr>
                <w:sz w:val="16"/>
                <w:szCs w:val="16"/>
                <w:color w:val="auto"/>
              </w:rPr>
            </w:pPr>
          </w:p>
        </w:tc>
        <w:tc>
          <w:tcPr>
            <w:tcW w:w="2800" w:type="dxa"/>
            <w:vAlign w:val="bottom"/>
            <w:tcBorders>
              <w:bottom w:val="single" w:sz="8" w:color="004483"/>
            </w:tcBorders>
            <w:gridSpan w:val="4"/>
          </w:tcPr>
          <w:p>
            <w:pPr>
              <w:jc w:val="right"/>
              <w:ind w:right="619"/>
              <w:spacing w:after="0"/>
              <w:rPr>
                <w:sz w:val="20"/>
                <w:szCs w:val="20"/>
                <w:color w:val="auto"/>
              </w:rPr>
            </w:pPr>
            <w:r>
              <w:rPr>
                <w:rFonts w:ascii="Arial" w:cs="Arial" w:eastAsia="Arial" w:hAnsi="Arial"/>
                <w:sz w:val="13"/>
                <w:szCs w:val="13"/>
                <w:color w:val="auto"/>
              </w:rPr>
              <w:t>(dollars in thousands)</w:t>
            </w:r>
          </w:p>
        </w:tc>
        <w:tc>
          <w:tcPr>
            <w:tcW w:w="600" w:type="dxa"/>
            <w:vAlign w:val="bottom"/>
            <w:tcBorders>
              <w:bottom w:val="single" w:sz="8" w:color="004483"/>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360" w:type="dxa"/>
            <w:vAlign w:val="bottom"/>
          </w:tcPr>
          <w:p>
            <w:pPr>
              <w:ind w:left="20"/>
              <w:spacing w:after="0"/>
              <w:rPr>
                <w:sz w:val="20"/>
                <w:szCs w:val="20"/>
                <w:color w:val="auto"/>
              </w:rPr>
            </w:pPr>
            <w:r>
              <w:rPr>
                <w:rFonts w:ascii="Arial" w:cs="Arial" w:eastAsia="Arial" w:hAnsi="Arial"/>
                <w:sz w:val="16"/>
                <w:szCs w:val="16"/>
                <w:color w:val="004483"/>
              </w:rPr>
              <w:t>Land and Quarries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10,157</w:t>
            </w:r>
          </w:p>
        </w:tc>
        <w:tc>
          <w:tcPr>
            <w:tcW w:w="1440" w:type="dxa"/>
            <w:vAlign w:val="bottom"/>
            <w:gridSpan w:val="3"/>
          </w:tcPr>
          <w:p>
            <w:pPr>
              <w:jc w:val="right"/>
              <w:ind w:right="9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Borders>
              <w:top w:val="single" w:sz="8" w:color="A6A6A6"/>
              <w:bottom w:val="single" w:sz="8" w:color="A6A6A6"/>
            </w:tcBorders>
          </w:tcPr>
          <w:p>
            <w:pPr>
              <w:ind w:left="20"/>
              <w:spacing w:after="0"/>
              <w:rPr>
                <w:sz w:val="20"/>
                <w:szCs w:val="20"/>
                <w:color w:val="auto"/>
              </w:rPr>
            </w:pPr>
            <w:r>
              <w:rPr>
                <w:rFonts w:ascii="Arial" w:cs="Arial" w:eastAsia="Arial" w:hAnsi="Arial"/>
                <w:sz w:val="16"/>
                <w:szCs w:val="16"/>
                <w:color w:val="004483"/>
              </w:rPr>
              <w:t>Plants</w:t>
            </w:r>
          </w:p>
        </w:tc>
        <w:tc>
          <w:tcPr>
            <w:tcW w:w="380" w:type="dxa"/>
            <w:vAlign w:val="bottom"/>
            <w:tcBorders>
              <w:top w:val="single" w:sz="8" w:color="A6A6A6"/>
              <w:bottom w:val="single" w:sz="8" w:color="A6A6A6"/>
            </w:tcBorders>
          </w:tcPr>
          <w:p>
            <w:pPr>
              <w:spacing w:after="0"/>
              <w:rPr>
                <w:sz w:val="17"/>
                <w:szCs w:val="17"/>
                <w:color w:val="auto"/>
              </w:rPr>
            </w:pPr>
          </w:p>
        </w:tc>
        <w:tc>
          <w:tcPr>
            <w:tcW w:w="136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21,944</w:t>
            </w:r>
          </w:p>
        </w:tc>
        <w:tc>
          <w:tcPr>
            <w:tcW w:w="100" w:type="dxa"/>
            <w:vAlign w:val="bottom"/>
          </w:tcPr>
          <w:p>
            <w:pPr>
              <w:spacing w:after="0"/>
              <w:rPr>
                <w:sz w:val="17"/>
                <w:szCs w:val="17"/>
                <w:color w:val="auto"/>
              </w:rPr>
            </w:pPr>
          </w:p>
        </w:tc>
        <w:tc>
          <w:tcPr>
            <w:tcW w:w="180" w:type="dxa"/>
            <w:vAlign w:val="bottom"/>
            <w:tcBorders>
              <w:top w:val="single" w:sz="8" w:color="A6A6A6"/>
              <w:bottom w:val="single" w:sz="8" w:color="A6A6A6"/>
            </w:tcBorders>
          </w:tcPr>
          <w:p>
            <w:pPr>
              <w:spacing w:after="0"/>
              <w:rPr>
                <w:sz w:val="17"/>
                <w:szCs w:val="17"/>
                <w:color w:val="auto"/>
              </w:rPr>
            </w:pPr>
          </w:p>
        </w:tc>
        <w:tc>
          <w:tcPr>
            <w:tcW w:w="1160" w:type="dxa"/>
            <w:vAlign w:val="bottom"/>
            <w:tcBorders>
              <w:top w:val="single" w:sz="8" w:color="A6A6A6"/>
              <w:bottom w:val="single" w:sz="8" w:color="A6A6A6"/>
            </w:tcBorders>
          </w:tcPr>
          <w:p>
            <w:pPr>
              <w:spacing w:after="0"/>
              <w:rPr>
                <w:sz w:val="17"/>
                <w:szCs w:val="17"/>
                <w:color w:val="auto"/>
              </w:rPr>
            </w:pPr>
          </w:p>
        </w:tc>
        <w:tc>
          <w:tcPr>
            <w:tcW w:w="600" w:type="dxa"/>
            <w:vAlign w:val="bottom"/>
            <w:tcBorders>
              <w:top w:val="single" w:sz="8" w:color="A6A6A6"/>
              <w:bottom w:val="single" w:sz="8" w:color="A6A6A6"/>
            </w:tcBorders>
          </w:tcPr>
          <w:p>
            <w:pPr>
              <w:jc w:val="right"/>
              <w:spacing w:after="0"/>
              <w:rPr>
                <w:sz w:val="20"/>
                <w:szCs w:val="20"/>
                <w:color w:val="auto"/>
              </w:rPr>
            </w:pPr>
            <w:r>
              <w:rPr>
                <w:rFonts w:ascii="Arial" w:cs="Arial" w:eastAsia="Arial" w:hAnsi="Arial"/>
                <w:sz w:val="16"/>
                <w:szCs w:val="16"/>
                <w:color w:val="auto"/>
              </w:rPr>
              <w:t>22,480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ind w:left="20"/>
              <w:spacing w:after="0"/>
              <w:rPr>
                <w:sz w:val="20"/>
                <w:szCs w:val="20"/>
                <w:color w:val="auto"/>
              </w:rPr>
            </w:pPr>
            <w:r>
              <w:rPr>
                <w:rFonts w:ascii="Arial" w:cs="Arial" w:eastAsia="Arial" w:hAnsi="Arial"/>
                <w:sz w:val="16"/>
                <w:szCs w:val="16"/>
                <w:color w:val="004483"/>
              </w:rPr>
              <w:t>Buildings, Machinery, and Equipment</w:t>
            </w:r>
          </w:p>
        </w:tc>
        <w:tc>
          <w:tcPr>
            <w:tcW w:w="3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11,148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7360" w:type="dxa"/>
            <w:vAlign w:val="bottom"/>
            <w:tcBorders>
              <w:bottom w:val="single" w:sz="8" w:color="A6A6A6"/>
            </w:tcBorders>
          </w:tcPr>
          <w:p>
            <w:pPr>
              <w:spacing w:after="0"/>
              <w:rPr>
                <w:sz w:val="2"/>
                <w:szCs w:val="2"/>
                <w:color w:val="auto"/>
              </w:rPr>
            </w:pPr>
          </w:p>
        </w:tc>
        <w:tc>
          <w:tcPr>
            <w:tcW w:w="380" w:type="dxa"/>
            <w:vAlign w:val="bottom"/>
            <w:tcBorders>
              <w:bottom w:val="single" w:sz="8" w:color="004483"/>
            </w:tcBorders>
            <w:shd w:val="clear" w:color="auto" w:fill="004483"/>
          </w:tcPr>
          <w:p>
            <w:pPr>
              <w:spacing w:after="0"/>
              <w:rPr>
                <w:sz w:val="2"/>
                <w:szCs w:val="2"/>
                <w:color w:val="auto"/>
              </w:rPr>
            </w:pPr>
          </w:p>
        </w:tc>
        <w:tc>
          <w:tcPr>
            <w:tcW w:w="1360" w:type="dxa"/>
            <w:vAlign w:val="bottom"/>
            <w:tcBorders>
              <w:bottom w:val="single" w:sz="8" w:color="004483"/>
            </w:tcBorders>
            <w:shd w:val="clear" w:color="auto" w:fill="004483"/>
          </w:tcPr>
          <w:p>
            <w:pPr>
              <w:spacing w:after="0"/>
              <w:rPr>
                <w:sz w:val="2"/>
                <w:szCs w:val="2"/>
                <w:color w:val="auto"/>
              </w:rPr>
            </w:pPr>
          </w:p>
        </w:tc>
        <w:tc>
          <w:tcPr>
            <w:tcW w:w="100" w:type="dxa"/>
            <w:vAlign w:val="bottom"/>
            <w:vMerge w:val="restart"/>
          </w:tcPr>
          <w:p>
            <w:pPr>
              <w:spacing w:after="0"/>
              <w:rPr>
                <w:sz w:val="2"/>
                <w:szCs w:val="2"/>
                <w:color w:val="auto"/>
              </w:rPr>
            </w:pPr>
          </w:p>
        </w:tc>
        <w:tc>
          <w:tcPr>
            <w:tcW w:w="180" w:type="dxa"/>
            <w:vAlign w:val="bottom"/>
            <w:tcBorders>
              <w:bottom w:val="single" w:sz="8" w:color="A6A6A6"/>
            </w:tcBorders>
          </w:tcPr>
          <w:p>
            <w:pPr>
              <w:spacing w:after="0"/>
              <w:rPr>
                <w:sz w:val="2"/>
                <w:szCs w:val="2"/>
                <w:color w:val="auto"/>
              </w:rPr>
            </w:pPr>
          </w:p>
        </w:tc>
        <w:tc>
          <w:tcPr>
            <w:tcW w:w="1160" w:type="dxa"/>
            <w:vAlign w:val="bottom"/>
            <w:tcBorders>
              <w:bottom w:val="single" w:sz="8" w:color="004483"/>
            </w:tcBorders>
            <w:shd w:val="clear" w:color="auto" w:fill="004483"/>
          </w:tcPr>
          <w:p>
            <w:pPr>
              <w:spacing w:after="0"/>
              <w:rPr>
                <w:sz w:val="2"/>
                <w:szCs w:val="2"/>
                <w:color w:val="auto"/>
              </w:rPr>
            </w:pPr>
          </w:p>
        </w:tc>
        <w:tc>
          <w:tcPr>
            <w:tcW w:w="600" w:type="dxa"/>
            <w:vAlign w:val="bottom"/>
            <w:tcBorders>
              <w:bottom w:val="single" w:sz="8" w:color="004483"/>
            </w:tcBorders>
            <w:shd w:val="clear" w:color="auto" w:fill="00448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360" w:type="dxa"/>
            <w:vAlign w:val="bottom"/>
          </w:tcPr>
          <w:p>
            <w:pPr>
              <w:ind w:left="120"/>
              <w:spacing w:after="0"/>
              <w:rPr>
                <w:sz w:val="20"/>
                <w:szCs w:val="20"/>
                <w:color w:val="auto"/>
              </w:rPr>
            </w:pPr>
            <w:r>
              <w:rPr>
                <w:rFonts w:ascii="Arial" w:cs="Arial" w:eastAsia="Arial" w:hAnsi="Arial"/>
                <w:sz w:val="16"/>
                <w:szCs w:val="16"/>
                <w:b w:val="1"/>
                <w:bCs w:val="1"/>
                <w:color w:val="auto"/>
              </w:rPr>
              <w:t>Total Capital Expenditures</w:t>
            </w:r>
          </w:p>
        </w:tc>
        <w:tc>
          <w:tcPr>
            <w:tcW w:w="380" w:type="dxa"/>
            <w:vAlign w:val="bottom"/>
            <w:tcBorders>
              <w:bottom w:val="single" w:sz="8" w:color="004483"/>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43,249</w:t>
            </w:r>
          </w:p>
        </w:tc>
        <w:tc>
          <w:tcPr>
            <w:tcW w:w="1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bottom w:val="single" w:sz="8" w:color="004483"/>
            </w:tcBorders>
          </w:tcPr>
          <w:p>
            <w:pPr>
              <w:jc w:val="right"/>
              <w:ind w:right="979"/>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004483"/>
            </w:tcBorders>
          </w:tcPr>
          <w:p>
            <w:pPr>
              <w:jc w:val="right"/>
              <w:spacing w:after="0"/>
              <w:rPr>
                <w:sz w:val="20"/>
                <w:szCs w:val="20"/>
                <w:color w:val="auto"/>
              </w:rPr>
            </w:pPr>
            <w:r>
              <w:rPr>
                <w:rFonts w:ascii="Arial" w:cs="Arial" w:eastAsia="Arial" w:hAnsi="Arial"/>
                <w:sz w:val="16"/>
                <w:szCs w:val="16"/>
                <w:b w:val="1"/>
                <w:bCs w:val="1"/>
                <w:color w:val="auto"/>
              </w:rPr>
              <w:t>26,777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80" w:type="dxa"/>
            <w:vAlign w:val="bottom"/>
            <w:tcBorders>
              <w:bottom w:val="single" w:sz="8" w:color="004483"/>
            </w:tcBorders>
          </w:tcPr>
          <w:p>
            <w:pPr>
              <w:spacing w:after="0" w:line="20" w:lineRule="exact"/>
              <w:rPr>
                <w:sz w:val="1"/>
                <w:szCs w:val="1"/>
                <w:color w:val="auto"/>
              </w:rPr>
            </w:pPr>
          </w:p>
        </w:tc>
        <w:tc>
          <w:tcPr>
            <w:tcW w:w="136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004483"/>
            </w:tcBorders>
          </w:tcPr>
          <w:p>
            <w:pPr>
              <w:spacing w:after="0" w:line="20" w:lineRule="exact"/>
              <w:rPr>
                <w:sz w:val="1"/>
                <w:szCs w:val="1"/>
                <w:color w:val="auto"/>
              </w:rPr>
            </w:pPr>
          </w:p>
        </w:tc>
        <w:tc>
          <w:tcPr>
            <w:tcW w:w="600" w:type="dxa"/>
            <w:vAlign w:val="bottom"/>
            <w:tcBorders>
              <w:bottom w:val="single" w:sz="8" w:color="004483"/>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Capital expenditures for fiscal 2023 are expected to range from $110.0 million to $120.0 million and will be allocated across both Heavy Materials and Light Materials sectors. These estimated capital expenditures will include maintenance capital expenditures and improvements, as well as other safety and regulatory projects.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FORWARD LOOKING STATEMENTS</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Certain matters discussed in this report contain forward-looking statements within the meaning of Section 27A of the Securities Act of 1933, Section 21E of the Securities Exchange Act of 1934 and the Private Securities Litigation Reform Act of 1995. Forward-looking statements may be identified by the context of the statement and generally arise when the Company is discussing its beliefs, estimates or expectations. These statements are not historical facts or guarantees of future performance but instead represent only the Company’s belief at the time the statements were made regarding future events which are subject to certain risks, uncertainties and other factors, many of which are outside the Company’s control. Actual results and outcomes may differ materially from what is expressed or forecast in such forward-looking statements. The principal risks and uncertainties that may affect the Company’s actual performance include the following: the cyclical and seasonal nature of the Company’s businesses; public infrastructure expenditures; adverse weather conditions; the fact that our products are commodities and that prices for our products are subject to material fluctuation due to market conditions and other factors beyond our control; availability of raw materials; changes in the costs of energy, including, without limitation, electricity, natural gas, coal and oil, and the nature of our obligations to counterparties under energy supply contracts, such as those related to market conditions (such as fluctuations in spot market prices), governmental orders and other matters; changes in the cost and availability of transportation; unexpected operational difficulties, including unexpected maintenance costs, equipment downtime and interruption of production; material nonpayment or non-performance by any of our key customers; inability to timely execute announced capacity expansions; difficulties and delays in the development of new business lines; governmental regulation and changes in governmental and public policy (including, without limitation, climate change and other environmental regulation); possible outcomes of pending or future litigation or arbitration proceedings; changes in economic conditions specific to any one or more of the Company’s markets; adverse impact of severe weather conditions (such as winter storms, tornados and hurricanes) on our facilities, operations and contractual arrangements with third parties; cyber-attacks or data security breaches; announced increases in capacity in the gypsum wallboard and cement industries; changes in the demand for residential housing construction or commercial construction or construction projects undertaken by state or local governments; the availability of acquisitions or other growth opportunities that meet our financial return standards and fit our strategic focus; risks related to pursuit of acquisitions, joint ventures and other transactions or the execution or implementation of such transactions, including the integration of operations acquired by the Company; general economic conditions; and interest rates. For example, increases in interest rates, decreases in demand for construction materials or increases in the cost of energy (including, without limitation, electricity, natural gas, coal and oil) and the cost of our raw materials could affect the revenue and operating earnings of our operations. In addition, changes in national or regional economic conditions and levels of infrastructure and construction spending could also adversely affect the Company’s result of operations. Finally, any forward-looking statements made by the Company are subject to the risks and impacts associated with natural disasters, pandemics or other unforeseen events, including, without limitation, any resurgence of the COVID-19 pandemic and responses thereto designed to contain its spread and mitigate its public health effects, as well as their impact on economic conditions, capital and financial markets. These and other factors are described in the Company’s Annual Report on Form 10-K for the fiscal year ended March 31, 2022. All forward-looking statements made herein are made as of the date hereof, and the risk that actual results will differ materially from expectations expressed herein will increase with the passage of time. The Company undertakes no duty to update any forward-looking statement to reflect future events or changes in the Company’s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8" w:name="page39"/>
    <w:bookmarkEnd w:id="38"/>
    <w:p>
      <w:pPr>
        <w:spacing w:after="0"/>
        <w:rPr>
          <w:sz w:val="20"/>
          <w:szCs w:val="20"/>
          <w:color w:val="auto"/>
        </w:rPr>
      </w:pPr>
      <w:r>
        <w:rPr>
          <w:rFonts w:ascii="Arial" w:cs="Arial" w:eastAsia="Arial" w:hAnsi="Arial"/>
          <w:sz w:val="23"/>
          <w:szCs w:val="23"/>
          <w:b w:val="1"/>
          <w:bCs w:val="1"/>
          <w:color w:val="auto"/>
        </w:rPr>
        <w:t>Item 3. Quantitative and Qualitative Disclosures About Market Risk</w:t>
      </w:r>
    </w:p>
    <w:p>
      <w:pPr>
        <w:spacing w:after="0" w:line="163" w:lineRule="exact"/>
        <w:rPr>
          <w:sz w:val="20"/>
          <w:szCs w:val="20"/>
          <w:color w:val="auto"/>
        </w:rPr>
      </w:pPr>
    </w:p>
    <w:p>
      <w:pPr>
        <w:spacing w:after="0" w:line="284" w:lineRule="auto"/>
        <w:rPr>
          <w:sz w:val="20"/>
          <w:szCs w:val="20"/>
          <w:color w:val="auto"/>
        </w:rPr>
      </w:pPr>
      <w:r>
        <w:rPr>
          <w:rFonts w:ascii="Arial" w:cs="Arial" w:eastAsia="Arial" w:hAnsi="Arial"/>
          <w:sz w:val="18"/>
          <w:szCs w:val="18"/>
          <w:color w:val="auto"/>
        </w:rPr>
        <w:t>We are exposed to market risks related to fluctuations in interest rates on our Revolving Credit Facility. We have occasionally utilized derivative instruments, including interest rate swaps, in conjunction with our overall strategy to manage the debt outstanding that is subject to changes in interest rates. We had a $750.0 million Revolving Credit Facility at September 30, 2022, under which borrowings bear interest at a variable rate. A hypothetical 100 basis point increase in interest rates on the $200.0 million of borrowings under the Revolving Credit Facility and the $197.5 million of borrowings under the Term Loan at September 30, 2022, would increase interest expense by approximately $4.0 million on an annual basis. At present, we do not utilize derivative financial instruments.</w:t>
      </w:r>
    </w:p>
    <w:p>
      <w:pPr>
        <w:spacing w:after="0" w:line="96" w:lineRule="exact"/>
        <w:rPr>
          <w:sz w:val="20"/>
          <w:szCs w:val="20"/>
          <w:color w:val="auto"/>
        </w:rPr>
      </w:pPr>
    </w:p>
    <w:p>
      <w:pPr>
        <w:ind w:right="440"/>
        <w:spacing w:after="0" w:line="293" w:lineRule="auto"/>
        <w:rPr>
          <w:sz w:val="20"/>
          <w:szCs w:val="20"/>
          <w:color w:val="auto"/>
        </w:rPr>
      </w:pPr>
      <w:r>
        <w:rPr>
          <w:rFonts w:ascii="Arial" w:cs="Arial" w:eastAsia="Arial" w:hAnsi="Arial"/>
          <w:sz w:val="18"/>
          <w:szCs w:val="18"/>
          <w:color w:val="auto"/>
        </w:rPr>
        <w:t>We are subject to commodity risk with respect to price changes principally in coal, coke, natural gas, and power. We attempt to limit our exposure to changes in commodity prices by entering into contracts or increasing our use of alternative fuels.</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Controls and Procedures</w:t>
      </w:r>
    </w:p>
    <w:p>
      <w:pPr>
        <w:spacing w:after="0" w:line="163" w:lineRule="exact"/>
        <w:rPr>
          <w:sz w:val="20"/>
          <w:szCs w:val="20"/>
          <w:color w:val="auto"/>
        </w:rPr>
      </w:pPr>
    </w:p>
    <w:p>
      <w:pPr>
        <w:ind w:right="80"/>
        <w:spacing w:after="0" w:line="283" w:lineRule="auto"/>
        <w:rPr>
          <w:sz w:val="20"/>
          <w:szCs w:val="20"/>
          <w:color w:val="auto"/>
        </w:rPr>
      </w:pPr>
      <w:r>
        <w:rPr>
          <w:rFonts w:ascii="Arial" w:cs="Arial" w:eastAsia="Arial" w:hAnsi="Arial"/>
          <w:sz w:val="18"/>
          <w:szCs w:val="18"/>
          <w:color w:val="auto"/>
        </w:rPr>
        <w:t>We have established a system of disclosure controls and procedures that are designed to ensure that information relating to the Company, which is required to be disclosed by us in the reports that we file or submit under the Securities Exchange Act of 1934 (Exchange Act), is recorded, processed, summarized, and reported within the time periods specified by the SEC’s rules and forms, and that such information is accumulated and communicated to management, including our Chief Executive Officer (CEO) and Chief Financial Officer (CFO), in a timely fashion. An evaluation of the effectiveness of the design and operation of our disclosure controls and procedures (as defined in Rule 13a-15(e) under the Exchange Act) was performed as of the end of the period covered by this quarterly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8" w:right="379" w:bottom="1440" w:gutter="0" w:footer="0" w:header="0"/>
        </w:sectPr>
      </w:pPr>
    </w:p>
    <w:bookmarkStart w:id="39" w:name="page40"/>
    <w:bookmarkEnd w:id="39"/>
    <w:p>
      <w:pPr>
        <w:spacing w:after="0"/>
        <w:rPr>
          <w:sz w:val="20"/>
          <w:szCs w:val="20"/>
          <w:color w:val="auto"/>
        </w:rPr>
      </w:pPr>
      <w:r>
        <w:rPr>
          <w:rFonts w:ascii="Arial" w:cs="Arial" w:eastAsia="Arial" w:hAnsi="Arial"/>
          <w:sz w:val="23"/>
          <w:szCs w:val="23"/>
          <w:b w:val="1"/>
          <w:bCs w:val="1"/>
          <w:color w:val="auto"/>
        </w:rPr>
        <w:t>PART II. 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Legal Proceedings</w:t>
      </w:r>
    </w:p>
    <w:p>
      <w:pPr>
        <w:spacing w:after="0" w:line="150" w:lineRule="exact"/>
        <w:rPr>
          <w:sz w:val="20"/>
          <w:szCs w:val="20"/>
          <w:color w:val="auto"/>
        </w:rPr>
      </w:pPr>
    </w:p>
    <w:p>
      <w:pPr>
        <w:spacing w:after="0" w:line="304" w:lineRule="auto"/>
        <w:rPr>
          <w:sz w:val="20"/>
          <w:szCs w:val="20"/>
          <w:color w:val="auto"/>
        </w:rPr>
      </w:pPr>
      <w:r>
        <w:rPr>
          <w:rFonts w:ascii="Arial" w:cs="Arial" w:eastAsia="Arial" w:hAnsi="Arial"/>
          <w:sz w:val="17"/>
          <w:szCs w:val="17"/>
          <w:color w:val="auto"/>
        </w:rPr>
        <w:t>From time to time, we have been and may in the future become involved in litigation or other legal proceedings in the ordinary course of our business activities or in connection with transactions or activities undertaken by us, including claims related to worker safety, worker health, environmental matters, commercial contracts,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spacing w:after="0" w:line="85"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For additional information regarding claims and other contingent liabilities to which we may be subject, see Footnote (P) in the Unaudited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1A. Risk Factors</w:t>
      </w:r>
    </w:p>
    <w:p>
      <w:pPr>
        <w:spacing w:after="0" w:line="163" w:lineRule="exact"/>
        <w:rPr>
          <w:sz w:val="20"/>
          <w:szCs w:val="20"/>
          <w:color w:val="auto"/>
        </w:rPr>
      </w:pPr>
    </w:p>
    <w:p>
      <w:pPr>
        <w:ind w:right="180"/>
        <w:spacing w:after="0" w:line="293" w:lineRule="auto"/>
        <w:rPr>
          <w:sz w:val="20"/>
          <w:szCs w:val="20"/>
          <w:color w:val="auto"/>
        </w:rPr>
      </w:pPr>
      <w:r>
        <w:rPr>
          <w:rFonts w:ascii="Arial" w:cs="Arial" w:eastAsia="Arial" w:hAnsi="Arial"/>
          <w:sz w:val="18"/>
          <w:szCs w:val="18"/>
          <w:color w:val="auto"/>
        </w:rPr>
        <w:t>For information regarding factors that could impact our results of operations, financial condition, and liquidity, see Part 1. Item 1A. Risk Factors in our Form 10-K for the fiscal year ended March 31, 2022, filed with the Securities and Exchange Commission on May 20, 2022.</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 Unregistered Sales of Equity Securities and Use of Proceeds</w:t>
      </w:r>
    </w:p>
    <w:p>
      <w:pPr>
        <w:spacing w:after="0" w:line="163" w:lineRule="exact"/>
        <w:rPr>
          <w:sz w:val="20"/>
          <w:szCs w:val="20"/>
          <w:color w:val="auto"/>
        </w:rPr>
      </w:pPr>
    </w:p>
    <w:p>
      <w:pPr>
        <w:ind w:right="480"/>
        <w:spacing w:after="0" w:line="293" w:lineRule="auto"/>
        <w:rPr>
          <w:sz w:val="20"/>
          <w:szCs w:val="20"/>
          <w:color w:val="auto"/>
        </w:rPr>
      </w:pPr>
      <w:r>
        <w:rPr>
          <w:rFonts w:ascii="Arial" w:cs="Arial" w:eastAsia="Arial" w:hAnsi="Arial"/>
          <w:sz w:val="18"/>
          <w:szCs w:val="18"/>
          <w:color w:val="auto"/>
        </w:rPr>
        <w:t>The disclosure required under this Item is included in “Management’s Discussion and Analysis of Results of Operations and Financial Condition” of this Quarterly Report on Form 10-Q under the heading “Share Repurchases” and is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Mine Safety Disclosures</w:t>
      </w:r>
    </w:p>
    <w:p>
      <w:pPr>
        <w:spacing w:after="0" w:line="163" w:lineRule="exact"/>
        <w:rPr>
          <w:sz w:val="20"/>
          <w:szCs w:val="20"/>
          <w:color w:val="auto"/>
        </w:rPr>
      </w:pPr>
    </w:p>
    <w:p>
      <w:pPr>
        <w:ind w:right="200"/>
        <w:spacing w:after="0" w:line="293" w:lineRule="auto"/>
        <w:rPr>
          <w:sz w:val="20"/>
          <w:szCs w:val="20"/>
          <w:color w:val="auto"/>
        </w:rPr>
      </w:pPr>
      <w:r>
        <w:rPr>
          <w:rFonts w:ascii="Arial" w:cs="Arial" w:eastAsia="Arial" w:hAnsi="Arial"/>
          <w:sz w:val="18"/>
          <w:szCs w:val="18"/>
          <w:color w:val="auto"/>
        </w:rPr>
        <w:t>The information concerning mine safety violations or other regulatory matters required by Section 1503 (a) of the Dodd-Frank Wall Street Reform and Consumer Protection Act and Item 104 of Regulation S-K is included in Exhibit 95 to this Form 10-Q.</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05" w:right="499" w:bottom="1440" w:gutter="0" w:footer="0" w:header="0"/>
        </w:sectPr>
      </w:pPr>
    </w:p>
    <w:bookmarkStart w:id="40" w:name="page41"/>
    <w:bookmarkEnd w:id="40"/>
    <w:p>
      <w:pPr>
        <w:spacing w:after="0"/>
        <w:rPr>
          <w:sz w:val="20"/>
          <w:szCs w:val="20"/>
          <w:color w:val="auto"/>
        </w:rPr>
      </w:pPr>
      <w:r>
        <w:rPr>
          <w:rFonts w:ascii="Arial" w:cs="Arial" w:eastAsia="Arial" w:hAnsi="Arial"/>
          <w:sz w:val="23"/>
          <w:szCs w:val="23"/>
          <w:b w:val="1"/>
          <w:bCs w:val="1"/>
          <w:color w:val="auto"/>
        </w:rPr>
        <w:t>Item 6. Exhibits</w:t>
      </w: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122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4380" w:type="dxa"/>
            <w:vAlign w:val="bottom"/>
            <w:gridSpan w:val="7"/>
            <w:vMerge w:val="restart"/>
          </w:tcPr>
          <w:p>
            <w:pPr>
              <w:spacing w:after="0"/>
              <w:rPr>
                <w:sz w:val="20"/>
                <w:szCs w:val="20"/>
                <w:color w:val="auto"/>
              </w:rPr>
            </w:pPr>
            <w:r>
              <w:rPr>
                <w:rFonts w:ascii="Arial" w:cs="Arial" w:eastAsia="Arial" w:hAnsi="Arial"/>
                <w:sz w:val="18"/>
                <w:szCs w:val="18"/>
                <w:color w:val="auto"/>
              </w:rPr>
              <w:t>Eagle Materials Inc. Director Compensation Summary.</w:t>
            </w:r>
          </w:p>
        </w:tc>
        <w:tc>
          <w:tcPr>
            <w:tcW w:w="140" w:type="dxa"/>
            <w:vAlign w:val="bottom"/>
            <w:tcBorders>
              <w:bottom w:val="single" w:sz="8" w:color="0000EE"/>
            </w:tcBorders>
          </w:tcPr>
          <w:p>
            <w:pPr>
              <w:jc w:val="right"/>
              <w:spacing w:after="0"/>
              <w:rPr>
                <w:sz w:val="20"/>
                <w:szCs w:val="20"/>
                <w:color w:val="auto"/>
              </w:rPr>
            </w:pPr>
            <w:r>
              <w:rPr>
                <w:rFonts w:ascii="Arial" w:cs="Arial" w:eastAsia="Arial" w:hAnsi="Arial"/>
                <w:sz w:val="12"/>
                <w:szCs w:val="12"/>
                <w:color w:val="auto"/>
                <w:w w:val="81"/>
              </w:rPr>
              <w:t>(1)</w:t>
            </w:r>
          </w:p>
        </w:tc>
        <w:tc>
          <w:tcPr>
            <w:tcW w:w="5440" w:type="dxa"/>
            <w:vAlign w:val="bottom"/>
            <w:gridSpan w:val="4"/>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1220" w:type="dxa"/>
            <w:vAlign w:val="bottom"/>
            <w:vMerge w:val="continue"/>
          </w:tcPr>
          <w:p>
            <w:pPr>
              <w:spacing w:after="0"/>
              <w:rPr>
                <w:sz w:val="6"/>
                <w:szCs w:val="6"/>
                <w:color w:val="auto"/>
              </w:rPr>
            </w:pPr>
          </w:p>
        </w:tc>
        <w:tc>
          <w:tcPr>
            <w:tcW w:w="4380" w:type="dxa"/>
            <w:vAlign w:val="bottom"/>
            <w:tcBorders>
              <w:bottom w:val="single" w:sz="8" w:color="0000EE"/>
            </w:tcBorders>
            <w:gridSpan w:val="7"/>
            <w:vMerge w:val="continue"/>
          </w:tcPr>
          <w:p>
            <w:pPr>
              <w:spacing w:after="0"/>
              <w:rPr>
                <w:sz w:val="6"/>
                <w:szCs w:val="6"/>
                <w:color w:val="auto"/>
              </w:rPr>
            </w:pPr>
          </w:p>
        </w:tc>
        <w:tc>
          <w:tcPr>
            <w:tcW w:w="140" w:type="dxa"/>
            <w:vAlign w:val="bottom"/>
          </w:tcPr>
          <w:p>
            <w:pPr>
              <w:spacing w:after="0"/>
              <w:rPr>
                <w:sz w:val="6"/>
                <w:szCs w:val="6"/>
                <w:color w:val="auto"/>
              </w:rPr>
            </w:pPr>
          </w:p>
        </w:tc>
        <w:tc>
          <w:tcPr>
            <w:tcW w:w="54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72"/>
        </w:trPr>
        <w:tc>
          <w:tcPr>
            <w:tcW w:w="1220" w:type="dxa"/>
            <w:vAlign w:val="bottom"/>
          </w:tcPr>
          <w:p>
            <w:pPr>
              <w:spacing w:after="0"/>
              <w:rPr>
                <w:sz w:val="20"/>
                <w:szCs w:val="20"/>
                <w:color w:val="auto"/>
              </w:rPr>
            </w:pPr>
            <w:r>
              <w:rPr>
                <w:rFonts w:ascii="Arial" w:cs="Arial" w:eastAsia="Arial" w:hAnsi="Arial"/>
                <w:sz w:val="18"/>
                <w:szCs w:val="18"/>
                <w:color w:val="auto"/>
              </w:rPr>
              <w:t>10.2*</w:t>
            </w:r>
          </w:p>
        </w:tc>
        <w:tc>
          <w:tcPr>
            <w:tcW w:w="9960" w:type="dxa"/>
            <w:vAlign w:val="bottom"/>
            <w:gridSpan w:val="12"/>
          </w:tcPr>
          <w:p>
            <w:pPr>
              <w:spacing w:after="0"/>
              <w:rPr>
                <w:sz w:val="20"/>
                <w:szCs w:val="20"/>
                <w:color w:val="auto"/>
              </w:rPr>
            </w:pPr>
            <w:r>
              <w:rPr>
                <w:rFonts w:ascii="Arial" w:cs="Arial" w:eastAsia="Arial" w:hAnsi="Arial"/>
                <w:sz w:val="18"/>
                <w:szCs w:val="18"/>
                <w:color w:val="auto"/>
              </w:rPr>
              <w:t xml:space="preserve">Form of Director Restricted Stock Agreement. </w:t>
            </w:r>
            <w:r>
              <w:rPr>
                <w:rFonts w:ascii="Arial" w:cs="Arial" w:eastAsia="Arial" w:hAnsi="Arial"/>
                <w:sz w:val="24"/>
                <w:szCs w:val="24"/>
                <w:color w:val="auto"/>
                <w:vertAlign w:val="superscript"/>
              </w:rPr>
              <w:t>(1)</w:t>
            </w:r>
          </w:p>
        </w:tc>
        <w:tc>
          <w:tcPr>
            <w:tcW w:w="0" w:type="dxa"/>
            <w:vAlign w:val="bottom"/>
          </w:tcPr>
          <w:p>
            <w:pPr>
              <w:spacing w:after="0"/>
              <w:rPr>
                <w:sz w:val="1"/>
                <w:szCs w:val="1"/>
                <w:color w:val="auto"/>
              </w:rPr>
            </w:pPr>
          </w:p>
        </w:tc>
      </w:tr>
      <w:tr>
        <w:trPr>
          <w:trHeight w:val="372"/>
        </w:trPr>
        <w:tc>
          <w:tcPr>
            <w:tcW w:w="1220" w:type="dxa"/>
            <w:vAlign w:val="bottom"/>
          </w:tcPr>
          <w:p>
            <w:pPr>
              <w:spacing w:after="0"/>
              <w:rPr>
                <w:sz w:val="20"/>
                <w:szCs w:val="20"/>
                <w:color w:val="auto"/>
              </w:rPr>
            </w:pPr>
            <w:r>
              <w:rPr>
                <w:rFonts w:ascii="Arial" w:cs="Arial" w:eastAsia="Arial" w:hAnsi="Arial"/>
                <w:sz w:val="18"/>
                <w:szCs w:val="18"/>
                <w:color w:val="auto"/>
              </w:rPr>
              <w:t>10.3*</w:t>
            </w:r>
          </w:p>
        </w:tc>
        <w:tc>
          <w:tcPr>
            <w:tcW w:w="36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 xml:space="preserve">Form of Director Stock Option Agreement. </w:t>
            </w:r>
            <w:r>
              <w:rPr>
                <w:rFonts w:ascii="Arial" w:cs="Arial" w:eastAsia="Arial" w:hAnsi="Arial"/>
                <w:sz w:val="24"/>
                <w:szCs w:val="24"/>
                <w:color w:val="auto"/>
                <w:vertAlign w:val="superscript"/>
              </w:rPr>
              <w:t>(1)</w:t>
            </w:r>
          </w:p>
        </w:tc>
        <w:tc>
          <w:tcPr>
            <w:tcW w:w="6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tcPr>
          <w:p>
            <w:pPr>
              <w:spacing w:after="0"/>
              <w:rPr>
                <w:sz w:val="20"/>
                <w:szCs w:val="20"/>
                <w:color w:val="auto"/>
              </w:rPr>
            </w:pPr>
            <w:r>
              <w:rPr>
                <w:rFonts w:ascii="Arial" w:cs="Arial" w:eastAsia="Arial" w:hAnsi="Arial"/>
                <w:sz w:val="18"/>
                <w:szCs w:val="18"/>
                <w:color w:val="auto"/>
              </w:rPr>
              <w:t>31.1*</w:t>
            </w:r>
          </w:p>
        </w:tc>
        <w:tc>
          <w:tcPr>
            <w:tcW w:w="98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auto"/>
              </w:rPr>
              <w:t>Certification of the Chief Executive Officer of Eagle Materials Inc. pursuant to Rules 13a-14 and 15d-14 promulgated under</w:t>
            </w:r>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40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w w:val="99"/>
              </w:rPr>
              <w:t>the Securities Exchange Act of 1934, as amended.</w:t>
            </w:r>
          </w:p>
        </w:tc>
        <w:tc>
          <w:tcPr>
            <w:tcW w:w="592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1220" w:type="dxa"/>
            <w:vAlign w:val="bottom"/>
          </w:tcPr>
          <w:p>
            <w:pPr>
              <w:spacing w:after="0"/>
              <w:rPr>
                <w:sz w:val="20"/>
                <w:szCs w:val="20"/>
                <w:color w:val="auto"/>
              </w:rPr>
            </w:pPr>
            <w:r>
              <w:rPr>
                <w:rFonts w:ascii="Arial" w:cs="Arial" w:eastAsia="Arial" w:hAnsi="Arial"/>
                <w:sz w:val="18"/>
                <w:szCs w:val="18"/>
                <w:color w:val="auto"/>
              </w:rPr>
              <w:t>31.2*</w:t>
            </w:r>
          </w:p>
        </w:tc>
        <w:tc>
          <w:tcPr>
            <w:tcW w:w="97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auto"/>
              </w:rPr>
              <w:t>Certification of the Chief Financial Officer of Eagle Materials Inc. pursuant to Rules 13a-14 and 15d-14 promulgated under</w:t>
            </w:r>
          </w:p>
        </w:tc>
        <w:tc>
          <w:tcPr>
            <w:tcW w:w="2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40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auto"/>
                <w:w w:val="99"/>
              </w:rPr>
              <w:t>the Securities Exchange Act of 1934, as amended.</w:t>
            </w:r>
          </w:p>
        </w:tc>
        <w:tc>
          <w:tcPr>
            <w:tcW w:w="592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1220" w:type="dxa"/>
            <w:vAlign w:val="bottom"/>
          </w:tcPr>
          <w:p>
            <w:pPr>
              <w:spacing w:after="0"/>
              <w:rPr>
                <w:sz w:val="20"/>
                <w:szCs w:val="20"/>
                <w:color w:val="auto"/>
              </w:rPr>
            </w:pPr>
            <w:r>
              <w:rPr>
                <w:rFonts w:ascii="Arial" w:cs="Arial" w:eastAsia="Arial" w:hAnsi="Arial"/>
                <w:sz w:val="18"/>
                <w:szCs w:val="18"/>
                <w:color w:val="auto"/>
              </w:rPr>
              <w:t>32.1*</w:t>
            </w:r>
          </w:p>
        </w:tc>
        <w:tc>
          <w:tcPr>
            <w:tcW w:w="98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auto"/>
              </w:rPr>
              <w:t>Certification of the Chief Executive Officer of Eagle Materials Inc. pursuant to 18 U.S.C. Section 1350, as adopted pursuant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40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auto"/>
                <w:w w:val="99"/>
              </w:rPr>
              <w:t>to Section 906 of the Sarbanes-Oxley Act of 2002.</w:t>
            </w:r>
          </w:p>
        </w:tc>
        <w:tc>
          <w:tcPr>
            <w:tcW w:w="596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1220" w:type="dxa"/>
            <w:vAlign w:val="bottom"/>
          </w:tcPr>
          <w:p>
            <w:pPr>
              <w:spacing w:after="0"/>
              <w:rPr>
                <w:sz w:val="20"/>
                <w:szCs w:val="20"/>
                <w:color w:val="auto"/>
              </w:rPr>
            </w:pPr>
            <w:r>
              <w:rPr>
                <w:rFonts w:ascii="Arial" w:cs="Arial" w:eastAsia="Arial" w:hAnsi="Arial"/>
                <w:sz w:val="18"/>
                <w:szCs w:val="18"/>
                <w:color w:val="auto"/>
              </w:rPr>
              <w:t>32.2*</w:t>
            </w:r>
          </w:p>
        </w:tc>
        <w:tc>
          <w:tcPr>
            <w:tcW w:w="99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auto"/>
              </w:rPr>
              <w:t>Certification of the Chief Financial Officer of Eagle Materials Inc. pursuant to 18 U.S.C. Section 1350, as adopted pursuant to</w:t>
            </w: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38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auto"/>
                <w:w w:val="99"/>
              </w:rPr>
              <w:t>Section 906 of the Sarbanes-Oxley Act of 2002.</w:t>
            </w:r>
          </w:p>
        </w:tc>
        <w:tc>
          <w:tcPr>
            <w:tcW w:w="616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1220" w:type="dxa"/>
            <w:vAlign w:val="bottom"/>
          </w:tcPr>
          <w:p>
            <w:pPr>
              <w:spacing w:after="0"/>
              <w:rPr>
                <w:sz w:val="20"/>
                <w:szCs w:val="20"/>
                <w:color w:val="auto"/>
              </w:rPr>
            </w:pPr>
            <w:r>
              <w:rPr>
                <w:rFonts w:ascii="Arial" w:cs="Arial" w:eastAsia="Arial" w:hAnsi="Arial"/>
                <w:sz w:val="18"/>
                <w:szCs w:val="18"/>
                <w:color w:val="auto"/>
              </w:rPr>
              <w:t>95*</w:t>
            </w:r>
          </w:p>
        </w:tc>
        <w:tc>
          <w:tcPr>
            <w:tcW w:w="9960" w:type="dxa"/>
            <w:vAlign w:val="bottom"/>
            <w:gridSpan w:val="12"/>
          </w:tcPr>
          <w:p>
            <w:pPr>
              <w:spacing w:after="0"/>
              <w:rPr>
                <w:sz w:val="20"/>
                <w:szCs w:val="20"/>
                <w:color w:val="auto"/>
              </w:rPr>
            </w:pPr>
            <w:r>
              <w:rPr>
                <w:rFonts w:ascii="Arial" w:cs="Arial" w:eastAsia="Arial" w:hAnsi="Arial"/>
                <w:sz w:val="18"/>
                <w:szCs w:val="18"/>
                <w:color w:val="auto"/>
              </w:rPr>
              <w:t>Mine Safety Disclosure.</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12"/>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9960" w:type="dxa"/>
            <w:vAlign w:val="bottom"/>
            <w:gridSpan w:val="12"/>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378"/>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621"/>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996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621"/>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99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621"/>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99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621"/>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996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2640" w:firstLine="21"/>
        <w:spacing w:after="0" w:line="414" w:lineRule="auto"/>
        <w:tabs>
          <w:tab w:leader="none" w:pos="1229"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Cover Page Interactive Data File –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23742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ind w:left="400" w:hanging="392"/>
        <w:spacing w:after="0" w:line="201" w:lineRule="auto"/>
        <w:tabs>
          <w:tab w:leader="none" w:pos="400" w:val="left"/>
        </w:tabs>
        <w:numPr>
          <w:ilvl w:val="0"/>
          <w:numId w:val="17"/>
        </w:numPr>
        <w:rPr>
          <w:rFonts w:ascii="Arial" w:cs="Arial" w:eastAsia="Arial" w:hAnsi="Arial"/>
          <w:sz w:val="24"/>
          <w:szCs w:val="24"/>
          <w:color w:val="auto"/>
          <w:vertAlign w:val="superscript"/>
        </w:rPr>
      </w:pPr>
      <w:r>
        <w:rPr>
          <w:rFonts w:ascii="Arial" w:cs="Arial" w:eastAsia="Arial" w:hAnsi="Arial"/>
          <w:sz w:val="18"/>
          <w:szCs w:val="18"/>
          <w:color w:val="auto"/>
        </w:rPr>
        <w:t>Management contract, compensatory plan, or arrangement.</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8" w:right="379" w:bottom="1440" w:gutter="0" w:footer="0" w:header="0"/>
        </w:sectPr>
      </w:pPr>
    </w:p>
    <w:bookmarkStart w:id="41" w:name="page42"/>
    <w:bookmarkEnd w:id="41"/>
    <w:p>
      <w:pPr>
        <w:jc w:val="center"/>
        <w:ind w:right="-59"/>
        <w:spacing w:after="0"/>
        <w:rPr>
          <w:sz w:val="20"/>
          <w:szCs w:val="20"/>
          <w:color w:val="auto"/>
        </w:rPr>
      </w:pPr>
      <w:r>
        <w:rPr>
          <w:rFonts w:ascii="Arial" w:cs="Arial" w:eastAsia="Arial" w:hAnsi="Arial"/>
          <w:sz w:val="23"/>
          <w:szCs w:val="23"/>
          <w:b w:val="1"/>
          <w:bCs w:val="1"/>
          <w:color w:val="auto"/>
        </w:rPr>
        <w:t>SIGNATURES</w:t>
      </w:r>
    </w:p>
    <w:p>
      <w:pPr>
        <w:spacing w:after="0" w:line="16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EAGLE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20"/>
        <w:spacing w:after="0"/>
        <w:tabs>
          <w:tab w:leader="none" w:pos="8000" w:val="left"/>
        </w:tabs>
        <w:rPr>
          <w:sz w:val="20"/>
          <w:szCs w:val="20"/>
          <w:color w:val="auto"/>
        </w:rPr>
      </w:pPr>
      <w:r>
        <w:rPr>
          <w:rFonts w:ascii="Arial" w:cs="Arial" w:eastAsia="Arial" w:hAnsi="Arial"/>
          <w:sz w:val="18"/>
          <w:szCs w:val="18"/>
          <w:color w:val="auto"/>
        </w:rPr>
        <w:t>October 26, 2022</w:t>
      </w:r>
      <w:r>
        <w:rPr>
          <w:sz w:val="20"/>
          <w:szCs w:val="20"/>
          <w:color w:val="auto"/>
        </w:rPr>
        <w:tab/>
      </w:r>
      <w:r>
        <w:rPr>
          <w:rFonts w:ascii="Arial" w:cs="Arial" w:eastAsia="Arial" w:hAnsi="Arial"/>
          <w:sz w:val="17"/>
          <w:szCs w:val="17"/>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jc w:val="center"/>
        <w:ind w:left="6740"/>
        <w:spacing w:after="0"/>
        <w:rPr>
          <w:sz w:val="20"/>
          <w:szCs w:val="20"/>
          <w:color w:val="auto"/>
        </w:rPr>
      </w:pPr>
      <w:r>
        <w:rPr>
          <w:rFonts w:ascii="Arial" w:cs="Arial" w:eastAsia="Arial" w:hAnsi="Arial"/>
          <w:sz w:val="18"/>
          <w:szCs w:val="18"/>
          <w:color w:val="auto"/>
        </w:rPr>
        <w:t>Michael R. Haack</w:t>
      </w:r>
    </w:p>
    <w:p>
      <w:pPr>
        <w:jc w:val="center"/>
        <w:ind w:left="6740"/>
        <w:spacing w:after="0" w:line="219" w:lineRule="auto"/>
        <w:rPr>
          <w:sz w:val="20"/>
          <w:szCs w:val="20"/>
          <w:color w:val="auto"/>
        </w:rPr>
      </w:pPr>
      <w:r>
        <w:rPr>
          <w:rFonts w:ascii="Arial" w:cs="Arial" w:eastAsia="Arial" w:hAnsi="Arial"/>
          <w:sz w:val="18"/>
          <w:szCs w:val="18"/>
          <w:color w:val="auto"/>
        </w:rPr>
        <w:t>President and Chief Executive Officer</w:t>
      </w:r>
    </w:p>
    <w:p>
      <w:pPr>
        <w:jc w:val="center"/>
        <w:ind w:left="6740"/>
        <w:spacing w:after="0"/>
        <w:rPr>
          <w:sz w:val="20"/>
          <w:szCs w:val="20"/>
          <w:color w:val="auto"/>
        </w:rPr>
      </w:pPr>
      <w:r>
        <w:rPr>
          <w:rFonts w:ascii="Arial" w:cs="Arial" w:eastAsia="Arial" w:hAnsi="Arial"/>
          <w:sz w:val="18"/>
          <w:szCs w:val="18"/>
          <w:color w:val="auto"/>
        </w:rPr>
        <w:t>(principal executive officer)</w:t>
      </w:r>
    </w:p>
    <w:p>
      <w:pPr>
        <w:spacing w:after="0" w:line="239" w:lineRule="exact"/>
        <w:rPr>
          <w:sz w:val="20"/>
          <w:szCs w:val="20"/>
          <w:color w:val="auto"/>
        </w:rPr>
      </w:pPr>
    </w:p>
    <w:p>
      <w:pPr>
        <w:ind w:left="20"/>
        <w:spacing w:after="0"/>
        <w:tabs>
          <w:tab w:leader="none" w:pos="8080" w:val="left"/>
        </w:tabs>
        <w:rPr>
          <w:sz w:val="20"/>
          <w:szCs w:val="20"/>
          <w:color w:val="auto"/>
        </w:rPr>
      </w:pPr>
      <w:r>
        <w:rPr>
          <w:rFonts w:ascii="Arial" w:cs="Arial" w:eastAsia="Arial" w:hAnsi="Arial"/>
          <w:sz w:val="18"/>
          <w:szCs w:val="18"/>
          <w:color w:val="auto"/>
        </w:rPr>
        <w:t>October 26, 2022</w:t>
      </w:r>
      <w:r>
        <w:rPr>
          <w:sz w:val="20"/>
          <w:szCs w:val="20"/>
          <w:color w:val="auto"/>
        </w:rPr>
        <w:tab/>
      </w:r>
      <w:r>
        <w:rPr>
          <w:rFonts w:ascii="Arial" w:cs="Arial" w:eastAsia="Arial" w:hAnsi="Arial"/>
          <w:sz w:val="17"/>
          <w:szCs w:val="17"/>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jc w:val="center"/>
        <w:ind w:left="6740"/>
        <w:spacing w:after="0"/>
        <w:rPr>
          <w:sz w:val="20"/>
          <w:szCs w:val="20"/>
          <w:color w:val="auto"/>
        </w:rPr>
      </w:pPr>
      <w:r>
        <w:rPr>
          <w:rFonts w:ascii="Arial" w:cs="Arial" w:eastAsia="Arial" w:hAnsi="Arial"/>
          <w:sz w:val="18"/>
          <w:szCs w:val="18"/>
          <w:color w:val="auto"/>
        </w:rPr>
        <w:t>D. Craig Kesler</w:t>
      </w:r>
    </w:p>
    <w:p>
      <w:pPr>
        <w:jc w:val="center"/>
        <w:ind w:left="6740"/>
        <w:spacing w:after="0" w:line="219" w:lineRule="auto"/>
        <w:rPr>
          <w:sz w:val="20"/>
          <w:szCs w:val="20"/>
          <w:color w:val="auto"/>
        </w:rPr>
      </w:pPr>
      <w:r>
        <w:rPr>
          <w:rFonts w:ascii="Arial" w:cs="Arial" w:eastAsia="Arial" w:hAnsi="Arial"/>
          <w:sz w:val="18"/>
          <w:szCs w:val="18"/>
          <w:color w:val="auto"/>
        </w:rPr>
        <w:t>Executive Vice President – Finance and</w:t>
      </w:r>
    </w:p>
    <w:p>
      <w:pPr>
        <w:jc w:val="center"/>
        <w:ind w:left="6740"/>
        <w:spacing w:after="0" w:line="219" w:lineRule="auto"/>
        <w:rPr>
          <w:sz w:val="20"/>
          <w:szCs w:val="20"/>
          <w:color w:val="auto"/>
        </w:rPr>
      </w:pPr>
      <w:r>
        <w:rPr>
          <w:rFonts w:ascii="Arial" w:cs="Arial" w:eastAsia="Arial" w:hAnsi="Arial"/>
          <w:sz w:val="18"/>
          <w:szCs w:val="18"/>
          <w:color w:val="auto"/>
        </w:rPr>
        <w:t>Administration and Chief Financial Officer</w:t>
      </w:r>
    </w:p>
    <w:p>
      <w:pPr>
        <w:jc w:val="center"/>
        <w:ind w:left="67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ind w:left="20"/>
        <w:spacing w:after="0"/>
        <w:tabs>
          <w:tab w:leader="none" w:pos="8040" w:val="left"/>
        </w:tabs>
        <w:rPr>
          <w:sz w:val="20"/>
          <w:szCs w:val="20"/>
          <w:color w:val="auto"/>
        </w:rPr>
      </w:pPr>
      <w:r>
        <w:rPr>
          <w:rFonts w:ascii="Arial" w:cs="Arial" w:eastAsia="Arial" w:hAnsi="Arial"/>
          <w:sz w:val="18"/>
          <w:szCs w:val="18"/>
          <w:color w:val="auto"/>
        </w:rPr>
        <w:t>October 26, 2022</w:t>
      </w:r>
      <w:r>
        <w:rPr>
          <w:sz w:val="20"/>
          <w:szCs w:val="20"/>
          <w:color w:val="auto"/>
        </w:rPr>
        <w:tab/>
      </w:r>
      <w:r>
        <w:rPr>
          <w:rFonts w:ascii="Arial" w:cs="Arial" w:eastAsia="Arial" w:hAnsi="Arial"/>
          <w:sz w:val="17"/>
          <w:szCs w:val="17"/>
          <w:color w:val="auto"/>
        </w:rPr>
        <w:t>/s/ WILLIAM R. DEVLIN</w:t>
      </w:r>
    </w:p>
    <w:p>
      <w:pPr>
        <w:jc w:val="center"/>
        <w:ind w:left="6760"/>
        <w:spacing w:after="0" w:line="234" w:lineRule="auto"/>
        <w:rPr>
          <w:sz w:val="20"/>
          <w:szCs w:val="20"/>
          <w:color w:val="auto"/>
        </w:rPr>
      </w:pPr>
      <w:r>
        <w:rPr>
          <w:rFonts w:ascii="Arial" w:cs="Arial" w:eastAsia="Arial" w:hAnsi="Arial"/>
          <w:sz w:val="18"/>
          <w:szCs w:val="18"/>
          <w:color w:val="auto"/>
        </w:rPr>
        <w:t>William R.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-118110</wp:posOffset>
            </wp:positionV>
            <wp:extent cx="28371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jc w:val="center"/>
        <w:ind w:left="6760"/>
        <w:spacing w:after="0" w:line="219" w:lineRule="auto"/>
        <w:rPr>
          <w:sz w:val="20"/>
          <w:szCs w:val="20"/>
          <w:color w:val="auto"/>
        </w:rPr>
      </w:pPr>
      <w:r>
        <w:rPr>
          <w:rFonts w:ascii="Arial" w:cs="Arial" w:eastAsia="Arial" w:hAnsi="Arial"/>
          <w:sz w:val="18"/>
          <w:szCs w:val="18"/>
          <w:color w:val="auto"/>
        </w:rPr>
        <w:t>Senior Vice President – Controller and</w:t>
      </w:r>
    </w:p>
    <w:p>
      <w:pPr>
        <w:jc w:val="center"/>
        <w:ind w:left="6760"/>
        <w:spacing w:after="0" w:line="220" w:lineRule="auto"/>
        <w:rPr>
          <w:sz w:val="20"/>
          <w:szCs w:val="20"/>
          <w:color w:val="auto"/>
        </w:rPr>
      </w:pPr>
      <w:r>
        <w:rPr>
          <w:rFonts w:ascii="Arial" w:cs="Arial" w:eastAsia="Arial" w:hAnsi="Arial"/>
          <w:sz w:val="18"/>
          <w:szCs w:val="18"/>
          <w:color w:val="auto"/>
        </w:rPr>
        <w:t>Chief Accounting Officer</w:t>
      </w:r>
    </w:p>
    <w:p>
      <w:pPr>
        <w:jc w:val="center"/>
        <w:ind w:left="67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05" w:right="45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u w:val="single" w:color="auto"/>
          <w:color w:val="auto"/>
        </w:rPr>
        <w:t>Exhibit 10.1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EAGLE MATERIALS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Directors -- Compensation Summary</w:t>
      </w:r>
    </w:p>
    <w:p>
      <w:pPr>
        <w:jc w:val="center"/>
        <w:spacing w:after="0"/>
        <w:rPr>
          <w:sz w:val="20"/>
          <w:szCs w:val="20"/>
          <w:color w:val="auto"/>
        </w:rPr>
      </w:pPr>
      <w:r>
        <w:rPr>
          <w:rFonts w:ascii="Arial" w:cs="Arial" w:eastAsia="Arial" w:hAnsi="Arial"/>
          <w:sz w:val="22"/>
          <w:szCs w:val="22"/>
          <w:b w:val="1"/>
          <w:bCs w:val="1"/>
          <w:color w:val="auto"/>
        </w:rPr>
        <w:t>Effective August 2022 to July 2023</w:t>
      </w:r>
    </w:p>
    <w:p>
      <w:pPr>
        <w:spacing w:after="0" w:line="188" w:lineRule="exact"/>
        <w:rPr>
          <w:sz w:val="20"/>
          <w:szCs w:val="20"/>
          <w:color w:val="auto"/>
        </w:rPr>
      </w:pPr>
    </w:p>
    <w:p>
      <w:pPr>
        <w:ind w:right="860" w:firstLine="749"/>
        <w:spacing w:after="0" w:line="343" w:lineRule="auto"/>
        <w:rPr>
          <w:sz w:val="20"/>
          <w:szCs w:val="20"/>
          <w:color w:val="auto"/>
        </w:rPr>
      </w:pPr>
      <w:r>
        <w:rPr>
          <w:rFonts w:ascii="Arial" w:cs="Arial" w:eastAsia="Arial" w:hAnsi="Arial"/>
          <w:sz w:val="19"/>
          <w:szCs w:val="19"/>
          <w:color w:val="auto"/>
        </w:rPr>
        <w:t>On an annual basis, each non-employee director of Eagle Materials Inc. (the “Company”) may select one of the following compensation packages for his or her performance of director services during the next 12 months:</w:t>
      </w:r>
    </w:p>
    <w:p>
      <w:pPr>
        <w:spacing w:after="0" w:line="77" w:lineRule="exact"/>
        <w:rPr>
          <w:sz w:val="20"/>
          <w:szCs w:val="20"/>
          <w:color w:val="auto"/>
        </w:rPr>
      </w:pPr>
    </w:p>
    <w:p>
      <w:pPr>
        <w:ind w:left="1500" w:right="160" w:hanging="690"/>
        <w:spacing w:after="0" w:line="263" w:lineRule="auto"/>
        <w:tabs>
          <w:tab w:leader="none" w:pos="1237" w:val="left"/>
        </w:tabs>
        <w:numPr>
          <w:ilvl w:val="0"/>
          <w:numId w:val="18"/>
        </w:numPr>
        <w:rPr>
          <w:rFonts w:ascii="Arial" w:cs="Arial" w:eastAsia="Arial" w:hAnsi="Arial"/>
          <w:sz w:val="22"/>
          <w:szCs w:val="22"/>
          <w:color w:val="auto"/>
        </w:rPr>
      </w:pPr>
      <w:r>
        <w:rPr>
          <w:rFonts w:ascii="Arial" w:cs="Arial" w:eastAsia="Arial" w:hAnsi="Arial"/>
          <w:sz w:val="22"/>
          <w:szCs w:val="22"/>
          <w:color w:val="auto"/>
        </w:rPr>
        <w:t>total annual compensation valued at $230,000, of which $105,000 is paid in cash and the remainder is provided in the form of an equity grant valued at $125,000; or</w:t>
      </w:r>
    </w:p>
    <w:p>
      <w:pPr>
        <w:spacing w:after="0" w:line="147" w:lineRule="exact"/>
        <w:rPr>
          <w:rFonts w:ascii="Arial" w:cs="Arial" w:eastAsia="Arial" w:hAnsi="Arial"/>
          <w:sz w:val="22"/>
          <w:szCs w:val="22"/>
          <w:color w:val="auto"/>
        </w:rPr>
      </w:pPr>
    </w:p>
    <w:p>
      <w:pPr>
        <w:ind w:left="1240" w:hanging="430"/>
        <w:spacing w:after="0"/>
        <w:tabs>
          <w:tab w:leader="none" w:pos="12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an equity grant valued at $261,500.</w:t>
      </w:r>
    </w:p>
    <w:p>
      <w:pPr>
        <w:spacing w:after="0" w:line="206" w:lineRule="exact"/>
        <w:rPr>
          <w:sz w:val="20"/>
          <w:szCs w:val="20"/>
          <w:color w:val="auto"/>
        </w:rPr>
      </w:pPr>
    </w:p>
    <w:p>
      <w:pPr>
        <w:jc w:val="both"/>
        <w:ind w:right="480"/>
        <w:spacing w:after="0" w:line="247" w:lineRule="auto"/>
        <w:rPr>
          <w:sz w:val="20"/>
          <w:szCs w:val="20"/>
          <w:color w:val="auto"/>
        </w:rPr>
      </w:pPr>
      <w:r>
        <w:rPr>
          <w:rFonts w:ascii="Arial" w:cs="Arial" w:eastAsia="Arial" w:hAnsi="Arial"/>
          <w:sz w:val="22"/>
          <w:szCs w:val="22"/>
          <w:color w:val="auto"/>
        </w:rPr>
        <w:t>The grant date value of the equity grant under either alternative is allocated between restricted stock and options to purchase common stock of the Company, par value $0.01 (“Common Stock”) (based upon the recommendation of the Compensation Committee) with respect to each non-employee director.</w:t>
      </w:r>
    </w:p>
    <w:p>
      <w:pPr>
        <w:spacing w:after="0" w:line="177" w:lineRule="exact"/>
        <w:rPr>
          <w:sz w:val="20"/>
          <w:szCs w:val="20"/>
          <w:color w:val="auto"/>
        </w:rPr>
      </w:pPr>
    </w:p>
    <w:p>
      <w:pPr>
        <w:ind w:right="120" w:firstLine="749"/>
        <w:spacing w:after="0" w:line="292" w:lineRule="auto"/>
        <w:rPr>
          <w:sz w:val="20"/>
          <w:szCs w:val="20"/>
          <w:color w:val="auto"/>
        </w:rPr>
      </w:pPr>
      <w:r>
        <w:rPr>
          <w:rFonts w:ascii="Arial" w:cs="Arial" w:eastAsia="Arial" w:hAnsi="Arial"/>
          <w:sz w:val="19"/>
          <w:szCs w:val="19"/>
          <w:color w:val="auto"/>
        </w:rPr>
        <w:t>In accordance with the terms of the Eagle Materials Inc. Amended and Restated Incentive Plan, the exercise price of the stock options is set at the closing price of the Common Stock on the New York Stock Exchange (“NYSE”) on the date of grant. The number of option shares granted is determined as of the date of the grant by using the Black-Scholes method. All options granted to directors in August 2022 were fully exercisable when granted and have a ten-year term.</w:t>
      </w:r>
    </w:p>
    <w:p>
      <w:pPr>
        <w:spacing w:after="0" w:line="125" w:lineRule="exact"/>
        <w:rPr>
          <w:sz w:val="20"/>
          <w:szCs w:val="20"/>
          <w:color w:val="auto"/>
        </w:rPr>
      </w:pPr>
    </w:p>
    <w:p>
      <w:pPr>
        <w:ind w:firstLine="749"/>
        <w:spacing w:after="0" w:line="253" w:lineRule="auto"/>
        <w:rPr>
          <w:sz w:val="20"/>
          <w:szCs w:val="20"/>
          <w:color w:val="auto"/>
        </w:rPr>
      </w:pPr>
      <w:r>
        <w:rPr>
          <w:rFonts w:ascii="Arial" w:cs="Arial" w:eastAsia="Arial" w:hAnsi="Arial"/>
          <w:sz w:val="21"/>
          <w:szCs w:val="21"/>
          <w:color w:val="auto"/>
        </w:rPr>
        <w:t>The number of shares of restricted stock is determined as of the date of grant using the closing price of the Common Stock on the NYSE on the date of grant. The restricted stock granted to directors in August 2022 was earned on the date of grant; however, the shares will not become fully vested (unrestricted) until the earliest to occur of (i) February 5, 2023; (ii) the recipient’s retirement from the Board in accordance with the Company’s director retirement policy, or under such circumstances as are approved by the Compensation Committee; or (iii) the recipient’s death. During the restriction period the director will have the right to vote the shares. In addition, the director will also be entitled to cash dividends as and when the Company issues a cash dividend on the Common Stock.</w:t>
      </w:r>
    </w:p>
    <w:p>
      <w:pPr>
        <w:spacing w:after="0" w:line="162" w:lineRule="exact"/>
        <w:rPr>
          <w:sz w:val="20"/>
          <w:szCs w:val="20"/>
          <w:color w:val="auto"/>
        </w:rPr>
      </w:pPr>
    </w:p>
    <w:p>
      <w:pPr>
        <w:ind w:right="300" w:firstLine="432"/>
        <w:spacing w:after="0" w:line="289" w:lineRule="auto"/>
        <w:rPr>
          <w:sz w:val="20"/>
          <w:szCs w:val="20"/>
          <w:color w:val="auto"/>
        </w:rPr>
      </w:pPr>
      <w:r>
        <w:rPr>
          <w:rFonts w:ascii="Arial" w:cs="Arial" w:eastAsia="Arial" w:hAnsi="Arial"/>
          <w:sz w:val="19"/>
          <w:szCs w:val="19"/>
          <w:color w:val="auto"/>
        </w:rPr>
        <w:t>Non-employee directors who chair committees of the Board of Directors receive additional annual compensation. The chairs of the Audit Committee, Compensation Committee and Governance Committee each receive a fee of $20,000 per year. The Chairman of the Board of Directors receives a fee of $125,000 per year. Chairpersons who choose compensation package alternative one (part equity and part cash) receive this additional compensation in the form of cash. Chairpersons who choose compensation package alternative two (all equity) receive this additional compensation in the form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spacing w:after="0"/>
        <w:rPr>
          <w:sz w:val="20"/>
          <w:szCs w:val="20"/>
          <w:color w:val="auto"/>
        </w:rPr>
      </w:pPr>
      <w:r>
        <w:rPr>
          <w:rFonts w:ascii="Arial" w:cs="Arial" w:eastAsia="Arial" w:hAnsi="Arial"/>
          <w:sz w:val="21"/>
          <w:szCs w:val="21"/>
          <w:color w:val="auto"/>
        </w:rPr>
        <w:t>equity, in which case a 30% premium is added to such fees when valuing the equity to be received by such chairperson.</w:t>
      </w:r>
    </w:p>
    <w:p>
      <w:pPr>
        <w:spacing w:after="0" w:line="218" w:lineRule="exact"/>
        <w:rPr>
          <w:sz w:val="20"/>
          <w:szCs w:val="20"/>
          <w:color w:val="auto"/>
        </w:rPr>
      </w:pPr>
    </w:p>
    <w:p>
      <w:pPr>
        <w:ind w:firstLine="432"/>
        <w:spacing w:after="0"/>
        <w:rPr>
          <w:sz w:val="20"/>
          <w:szCs w:val="20"/>
          <w:color w:val="auto"/>
        </w:rPr>
      </w:pPr>
      <w:r>
        <w:rPr>
          <w:rFonts w:ascii="Arial" w:cs="Arial" w:eastAsia="Arial" w:hAnsi="Arial"/>
          <w:sz w:val="22"/>
          <w:szCs w:val="22"/>
          <w:color w:val="auto"/>
        </w:rPr>
        <w:t>Any non-employee director holding unvested restricted stock units (“RSUs”) granted as part of director compensation in prior fiscal years (which currently includes Mr. Nicolais) will receive dividend equivalent units as and when the Company issues a cash dividend on the Common Stock, in accordance with the terms of the RSUs.</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All directors are reimbursed for reasonable expenses of attending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10.2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EAGLE MATERIALS INC</w:t>
      </w:r>
      <w:r>
        <w:rPr>
          <w:rFonts w:ascii="Arial" w:cs="Arial" w:eastAsia="Arial" w:hAnsi="Arial"/>
          <w:sz w:val="22"/>
          <w:szCs w:val="22"/>
          <w:b w:val="1"/>
          <w:bCs w:val="1"/>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INCENTIVE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0"/>
        <w:spacing w:after="0"/>
        <w:rPr>
          <w:sz w:val="20"/>
          <w:szCs w:val="20"/>
          <w:color w:val="auto"/>
        </w:rPr>
      </w:pPr>
      <w:r>
        <w:rPr>
          <w:rFonts w:ascii="Arial" w:cs="Arial" w:eastAsia="Arial" w:hAnsi="Arial"/>
          <w:sz w:val="19"/>
          <w:szCs w:val="19"/>
          <w:color w:val="auto"/>
        </w:rPr>
        <w:t xml:space="preserve">Eagle Materials Inc., a Delaware corporation (the " </w:t>
      </w:r>
      <w:r>
        <w:rPr>
          <w:rFonts w:ascii="Arial" w:cs="Arial" w:eastAsia="Arial" w:hAnsi="Arial"/>
          <w:sz w:val="19"/>
          <w:szCs w:val="19"/>
          <w:u w:val="single" w:color="auto"/>
          <w:color w:val="auto"/>
        </w:rPr>
        <w:t>Company</w:t>
      </w:r>
      <w:r>
        <w:rPr>
          <w:rFonts w:ascii="Arial" w:cs="Arial" w:eastAsia="Arial" w:hAnsi="Arial"/>
          <w:sz w:val="19"/>
          <w:szCs w:val="19"/>
          <w:color w:val="auto"/>
        </w:rPr>
        <w:t>"), and ___________ (the "</w:t>
      </w:r>
      <w:r>
        <w:rPr>
          <w:rFonts w:ascii="Arial" w:cs="Arial" w:eastAsia="Arial" w:hAnsi="Arial"/>
          <w:sz w:val="19"/>
          <w:szCs w:val="19"/>
          <w:u w:val="single" w:color="auto"/>
          <w:color w:val="auto"/>
        </w:rPr>
        <w:t>Grantee</w:t>
      </w:r>
      <w:r>
        <w:rPr>
          <w:rFonts w:ascii="Arial" w:cs="Arial" w:eastAsia="Arial" w:hAnsi="Arial"/>
          <w:sz w:val="19"/>
          <w:szCs w:val="19"/>
          <w:color w:val="auto"/>
        </w:rPr>
        <w:t>") hereby enter into this</w:t>
      </w:r>
    </w:p>
    <w:p>
      <w:pPr>
        <w:spacing w:after="0" w:line="56"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Restricted Stock Award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in order to set forth the terms and conditions of the Company's award (the "</w:t>
      </w:r>
      <w:r>
        <w:rPr>
          <w:rFonts w:ascii="Arial" w:cs="Arial" w:eastAsia="Arial" w:hAnsi="Arial"/>
          <w:sz w:val="22"/>
          <w:szCs w:val="22"/>
          <w:u w:val="single" w:color="auto"/>
          <w:color w:val="auto"/>
        </w:rPr>
        <w:t>Award</w:t>
      </w:r>
      <w:r>
        <w:rPr>
          <w:rFonts w:ascii="Arial" w:cs="Arial" w:eastAsia="Arial" w:hAnsi="Arial"/>
          <w:sz w:val="22"/>
          <w:szCs w:val="22"/>
          <w:color w:val="auto"/>
        </w:rPr>
        <w:t>") to the Grantee of certain shares of Common Stock of the Company granted to the Grantee on August 5, 2022 (the "</w:t>
      </w:r>
      <w:r>
        <w:rPr>
          <w:rFonts w:ascii="Arial" w:cs="Arial" w:eastAsia="Arial" w:hAnsi="Arial"/>
          <w:sz w:val="22"/>
          <w:szCs w:val="22"/>
          <w:u w:val="single" w:color="auto"/>
          <w:color w:val="auto"/>
        </w:rPr>
        <w:t>Award Date</w:t>
      </w:r>
      <w:r>
        <w:rPr>
          <w:rFonts w:ascii="Arial" w:cs="Arial" w:eastAsia="Arial" w:hAnsi="Arial"/>
          <w:sz w:val="22"/>
          <w:szCs w:val="22"/>
          <w:color w:val="auto"/>
        </w:rPr>
        <w:t>").</w:t>
      </w:r>
    </w:p>
    <w:p>
      <w:pPr>
        <w:spacing w:after="0" w:line="171" w:lineRule="exact"/>
        <w:rPr>
          <w:sz w:val="20"/>
          <w:szCs w:val="20"/>
          <w:color w:val="auto"/>
        </w:rPr>
      </w:pPr>
    </w:p>
    <w:p>
      <w:pPr>
        <w:ind w:left="1500" w:hanging="743"/>
        <w:spacing w:after="0"/>
        <w:tabs>
          <w:tab w:leader="none" w:pos="1500"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The Company hereby awards to the Grantee _________ shares of Common Stock of the Company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jc w:val="both"/>
        <w:ind w:firstLine="757"/>
        <w:spacing w:after="0" w:line="241" w:lineRule="auto"/>
        <w:tabs>
          <w:tab w:leader="none" w:pos="1498"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Relationship to the Plan</w:t>
      </w:r>
      <w:r>
        <w:rPr>
          <w:rFonts w:ascii="Arial" w:cs="Arial" w:eastAsia="Arial" w:hAnsi="Arial"/>
          <w:sz w:val="22"/>
          <w:szCs w:val="22"/>
          <w:color w:val="auto"/>
        </w:rPr>
        <w:t>. The Award shall be subject to the terms and conditions of the Eagle Materials Inc. Amended and Restated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 this Agreement and such administrative interpretations of the Plan, if any, as may be in effect on the date of this Agreement. Except as defined herein, capitalized terms shall have the meanings ascribed to them under the Plan. For purposes of this Agreement:</w:t>
      </w:r>
    </w:p>
    <w:p>
      <w:pPr>
        <w:spacing w:after="0" w:line="198" w:lineRule="exact"/>
        <w:rPr>
          <w:rFonts w:ascii="Arial" w:cs="Arial" w:eastAsia="Arial" w:hAnsi="Arial"/>
          <w:sz w:val="22"/>
          <w:szCs w:val="22"/>
          <w:color w:val="auto"/>
        </w:rPr>
      </w:pPr>
    </w:p>
    <w:p>
      <w:pPr>
        <w:ind w:left="2260" w:hanging="755"/>
        <w:spacing w:after="0" w:line="250" w:lineRule="auto"/>
        <w:tabs>
          <w:tab w:leader="none" w:pos="2260" w:val="left"/>
        </w:tabs>
        <w:numPr>
          <w:ilvl w:val="2"/>
          <w:numId w:val="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Restriction Period</w:t>
      </w:r>
      <w:r>
        <w:rPr>
          <w:rFonts w:ascii="Arial" w:cs="Arial" w:eastAsia="Arial" w:hAnsi="Arial"/>
          <w:sz w:val="22"/>
          <w:szCs w:val="22"/>
          <w:color w:val="auto"/>
        </w:rPr>
        <w:t>" shall mean the period beginning on the Award Date and ending on the date immediately preceding the Vesting Date.</w:t>
      </w:r>
    </w:p>
    <w:p>
      <w:pPr>
        <w:spacing w:after="0" w:line="174" w:lineRule="exact"/>
        <w:rPr>
          <w:rFonts w:ascii="Arial" w:cs="Arial" w:eastAsia="Arial" w:hAnsi="Arial"/>
          <w:sz w:val="22"/>
          <w:szCs w:val="22"/>
          <w:color w:val="auto"/>
        </w:rPr>
      </w:pPr>
    </w:p>
    <w:p>
      <w:pPr>
        <w:jc w:val="both"/>
        <w:ind w:left="2260" w:hanging="755"/>
        <w:spacing w:after="0" w:line="247" w:lineRule="auto"/>
        <w:tabs>
          <w:tab w:leader="none" w:pos="2260" w:val="left"/>
        </w:tabs>
        <w:numPr>
          <w:ilvl w:val="2"/>
          <w:numId w:val="1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shall mean termination of service on the Board at the Company's mandatory retirement age in accordance with the Company's director retirement policy or earlier on such terms and conditions as approved by the Committee.</w:t>
      </w:r>
    </w:p>
    <w:p>
      <w:pPr>
        <w:spacing w:after="0" w:line="190" w:lineRule="exact"/>
        <w:rPr>
          <w:rFonts w:ascii="Arial" w:cs="Arial" w:eastAsia="Arial" w:hAnsi="Arial"/>
          <w:sz w:val="22"/>
          <w:szCs w:val="22"/>
          <w:color w:val="auto"/>
        </w:rPr>
      </w:pPr>
    </w:p>
    <w:p>
      <w:pPr>
        <w:ind w:left="1500" w:hanging="743"/>
        <w:spacing w:after="0"/>
        <w:tabs>
          <w:tab w:leader="none" w:pos="1500"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2260" w:hanging="755"/>
        <w:spacing w:after="0" w:line="247" w:lineRule="auto"/>
        <w:tabs>
          <w:tab w:leader="none" w:pos="2260" w:val="left"/>
        </w:tabs>
        <w:numPr>
          <w:ilvl w:val="2"/>
          <w:numId w:val="19"/>
        </w:numPr>
        <w:rPr>
          <w:rFonts w:ascii="Arial" w:cs="Arial" w:eastAsia="Arial" w:hAnsi="Arial"/>
          <w:sz w:val="22"/>
          <w:szCs w:val="22"/>
          <w:color w:val="auto"/>
        </w:rPr>
      </w:pPr>
      <w:r>
        <w:rPr>
          <w:rFonts w:ascii="Arial" w:cs="Arial" w:eastAsia="Arial" w:hAnsi="Arial"/>
          <w:sz w:val="22"/>
          <w:szCs w:val="22"/>
          <w:u w:val="single" w:color="auto"/>
          <w:color w:val="auto"/>
        </w:rPr>
        <w:t>Vesting Criteria</w:t>
      </w:r>
      <w:r>
        <w:rPr>
          <w:rFonts w:ascii="Arial" w:cs="Arial" w:eastAsia="Arial" w:hAnsi="Arial"/>
          <w:sz w:val="22"/>
          <w:szCs w:val="22"/>
          <w:color w:val="auto"/>
        </w:rPr>
        <w:t>. The Grantee's interest in the Shares shall vest in full as of the earliest of (i) February 5, 2023; (ii) Grantee's Retirement; or (iii) Grantee's death (as applicable, the "</w:t>
      </w:r>
      <w:r>
        <w:rPr>
          <w:rFonts w:ascii="Arial" w:cs="Arial" w:eastAsia="Arial" w:hAnsi="Arial"/>
          <w:sz w:val="22"/>
          <w:szCs w:val="22"/>
          <w:u w:val="single" w:color="auto"/>
          <w:color w:val="auto"/>
        </w:rPr>
        <w:t>Vesting Date</w:t>
      </w:r>
      <w:r>
        <w:rPr>
          <w:rFonts w:ascii="Arial" w:cs="Arial" w:eastAsia="Arial" w:hAnsi="Arial"/>
          <w:sz w:val="22"/>
          <w:szCs w:val="22"/>
          <w:color w:val="auto"/>
        </w:rPr>
        <w:t>"). Prior to the Vesting Date, all Shares shall be unvested Shares.</w:t>
      </w:r>
    </w:p>
    <w:p>
      <w:pPr>
        <w:spacing w:after="0" w:line="177" w:lineRule="exact"/>
        <w:rPr>
          <w:rFonts w:ascii="Arial" w:cs="Arial" w:eastAsia="Arial" w:hAnsi="Arial"/>
          <w:sz w:val="22"/>
          <w:szCs w:val="22"/>
          <w:color w:val="auto"/>
        </w:rPr>
      </w:pPr>
    </w:p>
    <w:p>
      <w:pPr>
        <w:jc w:val="both"/>
        <w:ind w:left="2260" w:hanging="755"/>
        <w:spacing w:after="0" w:line="256" w:lineRule="auto"/>
        <w:tabs>
          <w:tab w:leader="none" w:pos="2260" w:val="left"/>
        </w:tabs>
        <w:numPr>
          <w:ilvl w:val="2"/>
          <w:numId w:val="19"/>
        </w:numPr>
        <w:rPr>
          <w:rFonts w:ascii="Arial" w:cs="Arial" w:eastAsia="Arial" w:hAnsi="Arial"/>
          <w:sz w:val="21"/>
          <w:szCs w:val="21"/>
          <w:color w:val="auto"/>
        </w:rPr>
      </w:pPr>
      <w:r>
        <w:rPr>
          <w:rFonts w:ascii="Arial" w:cs="Arial" w:eastAsia="Arial" w:hAnsi="Arial"/>
          <w:sz w:val="21"/>
          <w:szCs w:val="21"/>
          <w:u w:val="single" w:color="auto"/>
          <w:color w:val="auto"/>
        </w:rPr>
        <w:t>Restrictions</w:t>
      </w:r>
      <w:r>
        <w:rPr>
          <w:rFonts w:ascii="Arial" w:cs="Arial" w:eastAsia="Arial" w:hAnsi="Arial"/>
          <w:sz w:val="21"/>
          <w:szCs w:val="21"/>
          <w:color w:val="auto"/>
        </w:rPr>
        <w:t>. During the Restriction Period, the Grantee may not sell, transfer, pledge, exchange, hypothecate, or otherwise dispose of any unvested Shares or any right or interest related to such unvested Shares, other than as required by the Grantee's will or beneficiary designation, in accordance with the laws of descent and distribution or by a qualified domestic relations order.</w:t>
      </w:r>
    </w:p>
    <w:p>
      <w:pPr>
        <w:spacing w:after="0" w:line="184" w:lineRule="exact"/>
        <w:rPr>
          <w:rFonts w:ascii="Arial" w:cs="Arial" w:eastAsia="Arial" w:hAnsi="Arial"/>
          <w:sz w:val="21"/>
          <w:szCs w:val="21"/>
          <w:color w:val="auto"/>
        </w:rPr>
      </w:pPr>
    </w:p>
    <w:p>
      <w:pPr>
        <w:jc w:val="both"/>
        <w:ind w:left="2260" w:right="20" w:hanging="755"/>
        <w:spacing w:after="0" w:line="256" w:lineRule="auto"/>
        <w:tabs>
          <w:tab w:leader="none" w:pos="2260" w:val="left"/>
        </w:tabs>
        <w:numPr>
          <w:ilvl w:val="2"/>
          <w:numId w:val="19"/>
        </w:numPr>
        <w:rPr>
          <w:rFonts w:ascii="Arial" w:cs="Arial" w:eastAsia="Arial" w:hAnsi="Arial"/>
          <w:sz w:val="21"/>
          <w:szCs w:val="21"/>
          <w:color w:val="auto"/>
        </w:rPr>
      </w:pPr>
      <w:r>
        <w:rPr>
          <w:rFonts w:ascii="Arial" w:cs="Arial" w:eastAsia="Arial" w:hAnsi="Arial"/>
          <w:sz w:val="21"/>
          <w:szCs w:val="21"/>
          <w:u w:val="single" w:color="auto"/>
          <w:color w:val="auto"/>
        </w:rPr>
        <w:t>Cancellation Right</w:t>
      </w:r>
      <w:r>
        <w:rPr>
          <w:rFonts w:ascii="Arial" w:cs="Arial" w:eastAsia="Arial" w:hAnsi="Arial"/>
          <w:sz w:val="21"/>
          <w:szCs w:val="21"/>
          <w:color w:val="auto"/>
        </w:rPr>
        <w:t>. The Grantee must be in continuous service as a Director from the Award Date through the Vesting Date for an unvested Share to become vested. Subject to Section 4, Grantee's discontinuation of service as a Director prior to the Vesting Date shall cause the unvested Shares to be automatically forfeited as of such discontinuation of service date.</w:t>
      </w:r>
    </w:p>
    <w:p>
      <w:pPr>
        <w:spacing w:after="0" w:line="171" w:lineRule="exact"/>
        <w:rPr>
          <w:rFonts w:ascii="Arial" w:cs="Arial" w:eastAsia="Arial" w:hAnsi="Arial"/>
          <w:sz w:val="21"/>
          <w:szCs w:val="21"/>
          <w:color w:val="auto"/>
        </w:rPr>
      </w:pPr>
    </w:p>
    <w:p>
      <w:pPr>
        <w:jc w:val="both"/>
        <w:ind w:firstLine="757"/>
        <w:spacing w:after="0" w:line="247" w:lineRule="auto"/>
        <w:tabs>
          <w:tab w:leader="none" w:pos="1498" w:val="left"/>
        </w:tabs>
        <w:numPr>
          <w:ilvl w:val="1"/>
          <w:numId w:val="19"/>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The restrictions set forth above in Section 3 shall lapse with respect to the unvested Shares not previously forfeited and such Shares shall become fully vested without regard to the limitations set forth in Section 3 above, provided that the Grantee has been in continuous service as a</w:t>
      </w:r>
    </w:p>
    <w:p>
      <w:pPr>
        <w:spacing w:after="0" w:line="177" w:lineRule="exact"/>
        <w:rPr>
          <w:rFonts w:ascii="Arial" w:cs="Arial" w:eastAsia="Arial" w:hAnsi="Arial"/>
          <w:sz w:val="22"/>
          <w:szCs w:val="22"/>
          <w:color w:val="auto"/>
        </w:rPr>
      </w:pPr>
    </w:p>
    <w:p>
      <w:pPr>
        <w:ind w:left="560" w:hanging="120"/>
        <w:spacing w:after="0"/>
        <w:tabs>
          <w:tab w:leader="none" w:pos="5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jc w:val="both"/>
        <w:spacing w:after="0" w:line="285" w:lineRule="auto"/>
        <w:rPr>
          <w:sz w:val="20"/>
          <w:szCs w:val="20"/>
          <w:color w:val="auto"/>
        </w:rPr>
      </w:pPr>
      <w:r>
        <w:rPr>
          <w:rFonts w:ascii="Arial" w:cs="Arial" w:eastAsia="Arial" w:hAnsi="Arial"/>
          <w:sz w:val="19"/>
          <w:szCs w:val="19"/>
          <w:color w:val="auto"/>
        </w:rPr>
        <w:t xml:space="preserve">Director from the Award Date through the occurrence of a Change in Control (as defined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unless either: (i) the Committee determines that the terms of the transaction giving rise to the Change in Control provide that the Award is to be replaced within a reasonable time after the Change in Control with an award of equivalent value of shares of the surviving parent corporation, or (ii) the Award is to be settled in cash in accordance with the last sentence of this Section 4. Upon a Change in Control, pursuant to Section 15 of the Plan, the Company may, in its discretion, settle the Award by a cash payment that the Committee shall determine in its sole discretion is equal to the fair market value of the Award on the date of such event.</w:t>
      </w:r>
    </w:p>
    <w:p>
      <w:pPr>
        <w:spacing w:after="0" w:line="145" w:lineRule="exact"/>
        <w:rPr>
          <w:sz w:val="20"/>
          <w:szCs w:val="20"/>
          <w:color w:val="auto"/>
        </w:rPr>
      </w:pPr>
    </w:p>
    <w:p>
      <w:pPr>
        <w:jc w:val="both"/>
        <w:ind w:firstLine="757"/>
        <w:spacing w:after="0" w:line="264" w:lineRule="auto"/>
        <w:tabs>
          <w:tab w:leader="none" w:pos="1498"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Stockholder Rights</w:t>
      </w:r>
      <w:r>
        <w:rPr>
          <w:rFonts w:ascii="Arial" w:cs="Arial" w:eastAsia="Arial" w:hAnsi="Arial"/>
          <w:sz w:val="21"/>
          <w:szCs w:val="21"/>
          <w:color w:val="auto"/>
        </w:rPr>
        <w:t>. The Grantee shall have the right to vote the Shares. The Grantee shall also have the right to receive any cash dividends paid on the unvested Shares at the same time such amounts are paid with respect to all other shares of Common Stock; provided, the record date for such dividend payment is on or after the Award Date.</w:t>
      </w:r>
    </w:p>
    <w:p>
      <w:pPr>
        <w:spacing w:after="0" w:line="175" w:lineRule="exact"/>
        <w:rPr>
          <w:rFonts w:ascii="Arial" w:cs="Arial" w:eastAsia="Arial" w:hAnsi="Arial"/>
          <w:sz w:val="21"/>
          <w:szCs w:val="21"/>
          <w:color w:val="auto"/>
        </w:rPr>
      </w:pPr>
    </w:p>
    <w:p>
      <w:pPr>
        <w:jc w:val="both"/>
        <w:ind w:firstLine="757"/>
        <w:spacing w:after="0" w:line="250" w:lineRule="auto"/>
        <w:tabs>
          <w:tab w:leader="none" w:pos="1498"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Capital Adjustments and Corporate Events</w:t>
      </w:r>
      <w:r>
        <w:rPr>
          <w:rFonts w:ascii="Arial" w:cs="Arial" w:eastAsia="Arial" w:hAnsi="Arial"/>
          <w:sz w:val="21"/>
          <w:szCs w:val="21"/>
          <w:color w:val="auto"/>
        </w:rPr>
        <w:t>. If, from time to time during the term of the Restriction Period, there is any capital adjustment affecting the outstanding Common Stock as a class without the Company’s receipt of consideration, including as a result of a spin-off or business disposition, the Shares and other applicable terms of this Award shall be adjusted in accordance with the provisions of Section 15 of the Plan, which adjustment shall include (as may be applicable) without limitation, equitable adjustments to the type of property or securities to which the Award relates, in each case as determined by the Committee in its discretion. Any and all new, substituted or additional securities to which the Grantee may be entitled by reason of the Grantee’s ownership of the Shares hereunder because of a capital adjustment shall be immediately subject to the restrictions set forth herein (as may be modified pursuant to this Agreement) and included thereafter as Shares for purposes of this Agreement.</w:t>
      </w:r>
    </w:p>
    <w:p>
      <w:pPr>
        <w:spacing w:after="0" w:line="179" w:lineRule="exact"/>
        <w:rPr>
          <w:rFonts w:ascii="Arial" w:cs="Arial" w:eastAsia="Arial" w:hAnsi="Arial"/>
          <w:sz w:val="21"/>
          <w:szCs w:val="21"/>
          <w:color w:val="auto"/>
        </w:rPr>
      </w:pPr>
    </w:p>
    <w:p>
      <w:pPr>
        <w:ind w:left="1500" w:hanging="743"/>
        <w:spacing w:after="0"/>
        <w:tabs>
          <w:tab w:leader="none" w:pos="150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Refusal to Transfer</w:t>
      </w:r>
      <w:r>
        <w:rPr>
          <w:rFonts w:ascii="Arial" w:cs="Arial" w:eastAsia="Arial" w:hAnsi="Arial"/>
          <w:sz w:val="22"/>
          <w:szCs w:val="22"/>
          <w:color w:val="auto"/>
        </w:rPr>
        <w:t>. The Company shall not be required:</w:t>
      </w:r>
    </w:p>
    <w:p>
      <w:pPr>
        <w:spacing w:after="0" w:line="206" w:lineRule="exact"/>
        <w:rPr>
          <w:rFonts w:ascii="Arial" w:cs="Arial" w:eastAsia="Arial" w:hAnsi="Arial"/>
          <w:sz w:val="22"/>
          <w:szCs w:val="22"/>
          <w:color w:val="auto"/>
        </w:rPr>
      </w:pPr>
    </w:p>
    <w:p>
      <w:pPr>
        <w:ind w:left="2260" w:hanging="755"/>
        <w:spacing w:after="0" w:line="263" w:lineRule="auto"/>
        <w:tabs>
          <w:tab w:leader="none" w:pos="2260" w:val="left"/>
        </w:tabs>
        <w:numPr>
          <w:ilvl w:val="1"/>
          <w:numId w:val="20"/>
        </w:numPr>
        <w:rPr>
          <w:rFonts w:ascii="Arial" w:cs="Arial" w:eastAsia="Arial" w:hAnsi="Arial"/>
          <w:sz w:val="22"/>
          <w:szCs w:val="22"/>
          <w:color w:val="auto"/>
        </w:rPr>
      </w:pPr>
      <w:r>
        <w:rPr>
          <w:rFonts w:ascii="Arial" w:cs="Arial" w:eastAsia="Arial" w:hAnsi="Arial"/>
          <w:sz w:val="22"/>
          <w:szCs w:val="22"/>
          <w:color w:val="auto"/>
        </w:rPr>
        <w:t>to transfer on its books any Shares that have been sold or otherwise transferred in violation of any of the provisions of this Agreement or the Plan; or</w:t>
      </w:r>
    </w:p>
    <w:p>
      <w:pPr>
        <w:spacing w:after="0" w:line="161" w:lineRule="exact"/>
        <w:rPr>
          <w:rFonts w:ascii="Arial" w:cs="Arial" w:eastAsia="Arial" w:hAnsi="Arial"/>
          <w:sz w:val="22"/>
          <w:szCs w:val="22"/>
          <w:color w:val="auto"/>
        </w:rPr>
      </w:pPr>
    </w:p>
    <w:p>
      <w:pPr>
        <w:jc w:val="both"/>
        <w:ind w:left="2260" w:hanging="755"/>
        <w:spacing w:after="0" w:line="247" w:lineRule="auto"/>
        <w:tabs>
          <w:tab w:leader="none" w:pos="2260" w:val="left"/>
        </w:tabs>
        <w:numPr>
          <w:ilvl w:val="1"/>
          <w:numId w:val="20"/>
        </w:numPr>
        <w:rPr>
          <w:rFonts w:ascii="Arial" w:cs="Arial" w:eastAsia="Arial" w:hAnsi="Arial"/>
          <w:sz w:val="22"/>
          <w:szCs w:val="22"/>
          <w:color w:val="auto"/>
        </w:rPr>
      </w:pPr>
      <w:r>
        <w:rPr>
          <w:rFonts w:ascii="Arial" w:cs="Arial" w:eastAsia="Arial" w:hAnsi="Arial"/>
          <w:sz w:val="22"/>
          <w:szCs w:val="22"/>
          <w:color w:val="auto"/>
        </w:rPr>
        <w:t>to treat such purchaser or other transferee as owner of such Shares, accord such purchaser or other transferee the right to vote; or pay or deliver dividends or other distributions to such purchaser or other transferee with respect to such Shares.</w:t>
      </w:r>
    </w:p>
    <w:p>
      <w:pPr>
        <w:spacing w:after="0" w:line="177" w:lineRule="exact"/>
        <w:rPr>
          <w:rFonts w:ascii="Arial" w:cs="Arial" w:eastAsia="Arial" w:hAnsi="Arial"/>
          <w:sz w:val="22"/>
          <w:szCs w:val="22"/>
          <w:color w:val="auto"/>
        </w:rPr>
      </w:pPr>
    </w:p>
    <w:p>
      <w:pPr>
        <w:ind w:firstLine="757"/>
        <w:spacing w:after="0" w:line="263" w:lineRule="auto"/>
        <w:tabs>
          <w:tab w:leader="none" w:pos="1498"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If the Shares are certificated, the certificate or certificates evidencing the Shares, if any, issued hereunder shall be endorsed with the following legend:</w:t>
      </w:r>
    </w:p>
    <w:p>
      <w:pPr>
        <w:spacing w:after="0" w:line="16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THE SHARES REPRESENTED BY THIS CERTIFICATE ARE SUBJECT TO CERTAIN</w:t>
      </w:r>
    </w:p>
    <w:p>
      <w:pPr>
        <w:spacing w:after="0" w:line="12" w:lineRule="exact"/>
        <w:rPr>
          <w:sz w:val="20"/>
          <w:szCs w:val="20"/>
          <w:color w:val="auto"/>
        </w:rPr>
      </w:pPr>
    </w:p>
    <w:p>
      <w:pPr>
        <w:ind w:left="1500"/>
        <w:spacing w:after="0"/>
        <w:tabs>
          <w:tab w:leader="none" w:pos="3240" w:val="left"/>
          <w:tab w:leader="none" w:pos="4000" w:val="left"/>
          <w:tab w:leader="none" w:pos="5820" w:val="left"/>
          <w:tab w:leader="none" w:pos="6540" w:val="left"/>
          <w:tab w:leader="none" w:pos="7220" w:val="left"/>
          <w:tab w:leader="none" w:pos="7740" w:val="left"/>
          <w:tab w:leader="none" w:pos="8600" w:val="left"/>
        </w:tabs>
        <w:rPr>
          <w:sz w:val="20"/>
          <w:szCs w:val="20"/>
          <w:color w:val="auto"/>
        </w:rPr>
      </w:pPr>
      <w:r>
        <w:rPr>
          <w:rFonts w:ascii="Arial" w:cs="Arial" w:eastAsia="Arial" w:hAnsi="Arial"/>
          <w:sz w:val="22"/>
          <w:szCs w:val="22"/>
          <w:color w:val="auto"/>
        </w:rPr>
        <w:t>RESTRICTIONS</w:t>
        <w:tab/>
        <w:t>AND,</w:t>
        <w:tab/>
        <w:t>ACCORDINGLY,</w:t>
        <w:tab/>
        <w:t>MAY</w:t>
        <w:tab/>
        <w:t>NOT</w:t>
        <w:tab/>
        <w:t>BE</w:t>
        <w:tab/>
        <w:t>SOLD,</w:t>
      </w:r>
      <w:r>
        <w:rPr>
          <w:sz w:val="20"/>
          <w:szCs w:val="20"/>
          <w:color w:val="auto"/>
        </w:rPr>
        <w:tab/>
      </w:r>
      <w:r>
        <w:rPr>
          <w:rFonts w:ascii="Arial" w:cs="Arial" w:eastAsia="Arial" w:hAnsi="Arial"/>
          <w:sz w:val="19"/>
          <w:szCs w:val="19"/>
          <w:color w:val="auto"/>
        </w:rPr>
        <w:t>ASSIGNED,</w:t>
      </w:r>
    </w:p>
    <w:p>
      <w:pPr>
        <w:ind w:left="1500"/>
        <w:spacing w:after="0" w:line="230" w:lineRule="auto"/>
        <w:rPr>
          <w:sz w:val="20"/>
          <w:szCs w:val="20"/>
          <w:color w:val="auto"/>
        </w:rPr>
      </w:pPr>
      <w:r>
        <w:rPr>
          <w:rFonts w:ascii="Arial" w:cs="Arial" w:eastAsia="Arial" w:hAnsi="Arial"/>
          <w:sz w:val="22"/>
          <w:szCs w:val="22"/>
          <w:color w:val="auto"/>
        </w:rPr>
        <w:t>TRANSFERRED, ENCUMBERED, OR IN ANY MANNER DISPOSED OF EXCEPT IN</w:t>
      </w:r>
    </w:p>
    <w:p>
      <w:pPr>
        <w:spacing w:after="0" w:line="1" w:lineRule="exact"/>
        <w:rPr>
          <w:sz w:val="20"/>
          <w:szCs w:val="20"/>
          <w:color w:val="auto"/>
        </w:rPr>
      </w:pPr>
    </w:p>
    <w:p>
      <w:pPr>
        <w:ind w:left="1500"/>
        <w:spacing w:after="0"/>
        <w:tabs>
          <w:tab w:leader="none" w:pos="3080" w:val="left"/>
          <w:tab w:leader="none" w:pos="3820" w:val="left"/>
          <w:tab w:leader="none" w:pos="4400" w:val="left"/>
          <w:tab w:leader="none" w:pos="5300" w:val="left"/>
          <w:tab w:leader="none" w:pos="5740" w:val="left"/>
          <w:tab w:leader="none" w:pos="6460" w:val="left"/>
          <w:tab w:leader="none" w:pos="7540" w:val="left"/>
          <w:tab w:leader="none" w:pos="9000" w:val="left"/>
        </w:tabs>
        <w:rPr>
          <w:sz w:val="20"/>
          <w:szCs w:val="20"/>
          <w:color w:val="auto"/>
        </w:rPr>
      </w:pPr>
      <w:r>
        <w:rPr>
          <w:rFonts w:ascii="Arial" w:cs="Arial" w:eastAsia="Arial" w:hAnsi="Arial"/>
          <w:sz w:val="22"/>
          <w:szCs w:val="22"/>
          <w:color w:val="auto"/>
        </w:rPr>
        <w:t>CONFORMITY</w:t>
        <w:tab/>
        <w:t>WITH</w:t>
        <w:tab/>
        <w:t>THE</w:t>
        <w:tab/>
        <w:t>TERMS</w:t>
        <w:tab/>
        <w:t>OF</w:t>
        <w:tab/>
        <w:t>THAT</w:t>
        <w:tab/>
        <w:t>CERTAIN</w:t>
        <w:tab/>
        <w:t>RESTRICTED</w:t>
      </w:r>
      <w:r>
        <w:rPr>
          <w:sz w:val="20"/>
          <w:szCs w:val="20"/>
          <w:color w:val="auto"/>
        </w:rPr>
        <w:tab/>
      </w:r>
      <w:r>
        <w:rPr>
          <w:rFonts w:ascii="Arial" w:cs="Arial" w:eastAsia="Arial" w:hAnsi="Arial"/>
          <w:sz w:val="19"/>
          <w:szCs w:val="19"/>
          <w:color w:val="auto"/>
        </w:rPr>
        <w:t>STOCK</w:t>
      </w:r>
    </w:p>
    <w:p>
      <w:pPr>
        <w:ind w:left="1500"/>
        <w:spacing w:after="0" w:line="233" w:lineRule="auto"/>
        <w:rPr>
          <w:sz w:val="20"/>
          <w:szCs w:val="20"/>
          <w:color w:val="auto"/>
        </w:rPr>
      </w:pPr>
      <w:r>
        <w:rPr>
          <w:rFonts w:ascii="Arial" w:cs="Arial" w:eastAsia="Arial" w:hAnsi="Arial"/>
          <w:sz w:val="22"/>
          <w:szCs w:val="22"/>
          <w:color w:val="auto"/>
        </w:rPr>
        <w:t>AGREEMENT BETWEEN THE ISSUER AND THE ORIGINAL HOLDER OF THESE</w:t>
      </w:r>
    </w:p>
    <w:p>
      <w:pPr>
        <w:spacing w:after="0" w:line="1" w:lineRule="exact"/>
        <w:rPr>
          <w:sz w:val="20"/>
          <w:szCs w:val="20"/>
          <w:color w:val="auto"/>
        </w:rPr>
      </w:pPr>
    </w:p>
    <w:p>
      <w:pPr>
        <w:ind w:left="1500"/>
        <w:spacing w:after="0"/>
        <w:tabs>
          <w:tab w:leader="none" w:pos="2600" w:val="left"/>
        </w:tabs>
        <w:rPr>
          <w:sz w:val="20"/>
          <w:szCs w:val="20"/>
          <w:color w:val="auto"/>
        </w:rPr>
      </w:pPr>
      <w:r>
        <w:rPr>
          <w:rFonts w:ascii="Arial" w:cs="Arial" w:eastAsia="Arial" w:hAnsi="Arial"/>
          <w:sz w:val="22"/>
          <w:szCs w:val="22"/>
          <w:color w:val="auto"/>
        </w:rPr>
        <w:t>SHARES.</w:t>
        <w:tab/>
        <w:t>A COPY OF SUCH AGREEMENT IS MAINTAINED AT THE ISSUER’S</w:t>
      </w:r>
    </w:p>
    <w:p>
      <w:pPr>
        <w:spacing w:after="0" w:line="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PRINCIPAL CORPORATE OFFICES.</w:t>
      </w:r>
    </w:p>
    <w:p>
      <w:pPr>
        <w:spacing w:after="0" w:line="188" w:lineRule="exact"/>
        <w:rPr>
          <w:sz w:val="20"/>
          <w:szCs w:val="20"/>
          <w:color w:val="auto"/>
        </w:rPr>
      </w:pPr>
    </w:p>
    <w:p>
      <w:pPr>
        <w:jc w:val="both"/>
        <w:ind w:firstLine="757"/>
        <w:spacing w:after="0" w:line="247" w:lineRule="auto"/>
        <w:tabs>
          <w:tab w:leader="none" w:pos="1498"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Tax Consequences</w:t>
      </w:r>
      <w:r>
        <w:rPr>
          <w:rFonts w:ascii="Arial" w:cs="Arial" w:eastAsia="Arial" w:hAnsi="Arial"/>
          <w:sz w:val="22"/>
          <w:szCs w:val="22"/>
          <w:color w:val="auto"/>
        </w:rPr>
        <w:t>. The Grantee has reviewed with the Grantee’s own tax advisors the federal, state, and local tax consequences of this investment and the transactions contemplated by this Agreement. The Grantee is relying solely on such advisors and not on any statements or representations of the</w:t>
      </w:r>
    </w:p>
    <w:p>
      <w:pPr>
        <w:spacing w:after="0" w:line="177" w:lineRule="exact"/>
        <w:rPr>
          <w:rFonts w:ascii="Arial" w:cs="Arial" w:eastAsia="Arial" w:hAnsi="Arial"/>
          <w:sz w:val="22"/>
          <w:szCs w:val="22"/>
          <w:color w:val="auto"/>
        </w:rPr>
      </w:pPr>
    </w:p>
    <w:p>
      <w:pPr>
        <w:ind w:left="560" w:hanging="120"/>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jc w:val="both"/>
        <w:spacing w:after="0" w:line="251" w:lineRule="auto"/>
        <w:rPr>
          <w:sz w:val="20"/>
          <w:szCs w:val="20"/>
          <w:color w:val="auto"/>
        </w:rPr>
      </w:pPr>
      <w:r>
        <w:rPr>
          <w:rFonts w:ascii="Arial" w:cs="Arial" w:eastAsia="Arial" w:hAnsi="Arial"/>
          <w:sz w:val="21"/>
          <w:szCs w:val="21"/>
          <w:color w:val="auto"/>
        </w:rPr>
        <w:t>Company or any of its agents. The Grantee understands that the Grantee (and not the Company) shall be responsible for the Grantee’s own tax liability that may arise as a result of the transactions contemplated by this Agreement. The Grantee understands that Section 83 of the Code taxes as ordinary income the difference between the purchase price, if any, for the Shares and the Fair Market Value of the Shares as of the date any restrictions on the Shares lapse. In this context, “restriction” means the restrictions imposed during the Restriction Period. The Grantee understands that the Grantee may elect to be taxed at the time the Shares are awarded rather than when and as the restrictions lapse by filing an election under Section 83(b) of the Code with the Internal Revenue Service within 30 days from the Award Date. THE GRANTEE ACKNOWLEDGES THAT IT IS THE GRANTEE’S SOLE RESPONSIBILITY (AND NOT THE COMPANY’S) TO FILE TIMELY THE ELECTION UNDER SECTION 83(B), EVEN IF THE GRANTEE REQUESTS THE COMPANY OR ITS REPRESENTATIVES TO MAKE THIS FILING ON THE GRANTEE’S BEHALF.</w:t>
      </w:r>
    </w:p>
    <w:p>
      <w:pPr>
        <w:spacing w:after="0" w:line="175" w:lineRule="exact"/>
        <w:rPr>
          <w:sz w:val="20"/>
          <w:szCs w:val="20"/>
          <w:color w:val="auto"/>
        </w:rPr>
      </w:pPr>
    </w:p>
    <w:p>
      <w:pPr>
        <w:jc w:val="both"/>
        <w:ind w:firstLine="757"/>
        <w:spacing w:after="0" w:line="278" w:lineRule="auto"/>
        <w:tabs>
          <w:tab w:leader="none" w:pos="1498"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Entire Agreement; Governing Law</w:t>
      </w:r>
      <w:r>
        <w:rPr>
          <w:rFonts w:ascii="Arial" w:cs="Arial" w:eastAsia="Arial" w:hAnsi="Arial"/>
          <w:sz w:val="19"/>
          <w:szCs w:val="19"/>
          <w:color w:val="auto"/>
        </w:rPr>
        <w:t>. The Plan and this Agreement constitute the entire agreement of the Company and the Grantee (collectively, the “Parties”) with respect to the subject matter hereof and supersede in their entirety all prior undertakings and agreements of the Parties with respect to the subject matter hereof, and may not be modified adversely to the Grantee’s interest except by means of a writing signed by the Parties. Nothing in the Plan and this Agreement (except as expressly provided therein or herein) is intended to confer any rights or remedies on any person other than the Parties. The Plan and this Agreement are to be construed in accordance with and governed by the internal laws of the State of Texas, without giving effect to any choice-of-law rule that would cause the application of the laws of any jurisdiction other than the internal laws of the State of Texas to the rights and duties of the Parties. Should any provision of the Plan or this Agreement relating to the Shares be determined by a court of law to be illegal or unenforceable, such provision shall be enforced to the fullest extent allowed by law and the other provisions shall nevertheless remain effective and shall remain enforceable.</w:t>
      </w:r>
    </w:p>
    <w:p>
      <w:pPr>
        <w:spacing w:after="0" w:line="169" w:lineRule="exact"/>
        <w:rPr>
          <w:rFonts w:ascii="Arial" w:cs="Arial" w:eastAsia="Arial" w:hAnsi="Arial"/>
          <w:sz w:val="19"/>
          <w:szCs w:val="19"/>
          <w:color w:val="auto"/>
        </w:rPr>
      </w:pPr>
    </w:p>
    <w:p>
      <w:pPr>
        <w:jc w:val="both"/>
        <w:ind w:firstLine="757"/>
        <w:spacing w:after="0" w:line="286" w:lineRule="auto"/>
        <w:tabs>
          <w:tab w:leader="none" w:pos="1498"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Interpretive Matters</w:t>
      </w:r>
      <w:r>
        <w:rPr>
          <w:rFonts w:ascii="Arial" w:cs="Arial" w:eastAsia="Arial" w:hAnsi="Arial"/>
          <w:sz w:val="19"/>
          <w:szCs w:val="19"/>
          <w:color w:val="auto"/>
        </w:rPr>
        <w:t>. Whenever required by the context, pronouns and any variation thereof shall be deemed to refer to the masculine, feminine, or neuter, and the singular shall include the plural, and vice versa. The term “include” or “including” does not denote or imply any limitation. The term “business day” means any Monday through Friday other than such a day on which banks are authorized to be closed in the State of Texas. The captions and headings used in this Agreement are inserted for convenience and shall not be deemed a part of the Award or this Agreement for construction or interpretation.</w:t>
      </w:r>
    </w:p>
    <w:p>
      <w:pPr>
        <w:spacing w:after="0" w:line="156" w:lineRule="exact"/>
        <w:rPr>
          <w:rFonts w:ascii="Arial" w:cs="Arial" w:eastAsia="Arial" w:hAnsi="Arial"/>
          <w:sz w:val="19"/>
          <w:szCs w:val="19"/>
          <w:color w:val="auto"/>
        </w:rPr>
      </w:pPr>
    </w:p>
    <w:p>
      <w:pPr>
        <w:jc w:val="both"/>
        <w:ind w:firstLine="757"/>
        <w:spacing w:after="0" w:line="239" w:lineRule="auto"/>
        <w:tabs>
          <w:tab w:leader="none" w:pos="1498"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Any notice or other communication required or permitted hereunder shall be given in writing and shall be deemed given, effective, and received upon prepaid delivery in person or by courier or upon the earlier of delivery or the third business day after deposit in the United States mail if sent by certified mail, with postage and fees prepaid, addressed to the other Party at its address as shown beneath its signature in this Agreement, or to such other address as such Party may designate in writing from time to time by notice to the other Party.</w:t>
      </w:r>
    </w:p>
    <w:p>
      <w:pPr>
        <w:spacing w:after="0" w:line="198" w:lineRule="exact"/>
        <w:rPr>
          <w:rFonts w:ascii="Arial" w:cs="Arial" w:eastAsia="Arial" w:hAnsi="Arial"/>
          <w:sz w:val="22"/>
          <w:szCs w:val="22"/>
          <w:color w:val="auto"/>
        </w:rPr>
      </w:pPr>
    </w:p>
    <w:p>
      <w:pPr>
        <w:jc w:val="both"/>
        <w:ind w:firstLine="757"/>
        <w:spacing w:after="0" w:line="241" w:lineRule="auto"/>
        <w:tabs>
          <w:tab w:leader="none" w:pos="1498"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bind and inure to the benefit of and be enforceable by the Grantee, the Company and their respective permitted successors and assigns (including personal representatives, heirs and legatees), except that the Grantee may not assign any rights or obligations under this Agreement except to the extent and in the manner expressly permitted herein.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jc w:val="center"/>
        <w:ind w:left="340"/>
        <w:spacing w:after="0"/>
        <w:rPr>
          <w:sz w:val="20"/>
          <w:szCs w:val="20"/>
          <w:color w:val="auto"/>
        </w:rPr>
      </w:pPr>
      <w:r>
        <w:rPr>
          <w:rFonts w:ascii="Arial" w:cs="Arial" w:eastAsia="Arial" w:hAnsi="Arial"/>
          <w:sz w:val="22"/>
          <w:szCs w:val="22"/>
          <w:b w:val="1"/>
          <w:bCs w:val="1"/>
          <w:color w:val="auto"/>
        </w:rPr>
        <w:t>EAGLE MATERIALS INC</w:t>
      </w:r>
      <w:r>
        <w:rPr>
          <w:rFonts w:ascii="Arial" w:cs="Arial" w:eastAsia="Arial" w:hAnsi="Arial"/>
          <w:sz w:val="22"/>
          <w:szCs w:val="22"/>
          <w:color w:val="auto"/>
        </w:rPr>
        <w:t>.</w:t>
      </w:r>
    </w:p>
    <w:p>
      <w:pPr>
        <w:spacing w:after="0" w:line="200" w:lineRule="exact"/>
        <w:rPr>
          <w:sz w:val="20"/>
          <w:szCs w:val="20"/>
          <w:color w:val="auto"/>
        </w:rPr>
      </w:pPr>
    </w:p>
    <w:p>
      <w:pPr>
        <w:spacing w:after="0" w:line="215" w:lineRule="exact"/>
        <w:rPr>
          <w:sz w:val="20"/>
          <w:szCs w:val="20"/>
          <w:color w:val="auto"/>
        </w:rPr>
      </w:pPr>
    </w:p>
    <w:tbl>
      <w:tblPr>
        <w:tblLayout w:type="fixed"/>
        <w:tblInd w:w="4900" w:type="dxa"/>
        <w:tblCellMar>
          <w:top w:w="0" w:type="dxa"/>
          <w:left w:w="0" w:type="dxa"/>
          <w:bottom w:w="0" w:type="dxa"/>
          <w:right w:w="0" w:type="dxa"/>
        </w:tblCellMar>
      </w:tblPr>
      <w:tr>
        <w:trPr>
          <w:trHeight w:val="276"/>
        </w:trPr>
        <w:tc>
          <w:tcPr>
            <w:tcW w:w="1080" w:type="dxa"/>
            <w:vAlign w:val="bottom"/>
          </w:tcPr>
          <w:p>
            <w:pPr>
              <w:spacing w:after="0"/>
              <w:rPr>
                <w:sz w:val="20"/>
                <w:szCs w:val="20"/>
                <w:color w:val="auto"/>
              </w:rPr>
            </w:pPr>
            <w:r>
              <w:rPr>
                <w:rFonts w:ascii="Arial" w:cs="Arial" w:eastAsia="Arial" w:hAnsi="Arial"/>
                <w:sz w:val="22"/>
                <w:szCs w:val="22"/>
                <w:color w:val="auto"/>
              </w:rPr>
              <w:t>By:</w:t>
            </w:r>
          </w:p>
        </w:tc>
        <w:tc>
          <w:tcPr>
            <w:tcW w:w="5260" w:type="dxa"/>
            <w:vAlign w:val="bottom"/>
            <w:tcBorders>
              <w:bottom w:val="single" w:sz="8" w:color="auto"/>
            </w:tcBorders>
          </w:tcPr>
          <w:p>
            <w:pPr>
              <w:spacing w:after="0"/>
              <w:rPr>
                <w:sz w:val="24"/>
                <w:szCs w:val="24"/>
                <w:color w:val="auto"/>
              </w:rPr>
            </w:pPr>
          </w:p>
        </w:tc>
      </w:tr>
      <w:tr>
        <w:trPr>
          <w:trHeight w:val="505"/>
        </w:trPr>
        <w:tc>
          <w:tcPr>
            <w:tcW w:w="1080" w:type="dxa"/>
            <w:vAlign w:val="bottom"/>
          </w:tcPr>
          <w:p>
            <w:pPr>
              <w:spacing w:after="0"/>
              <w:rPr>
                <w:sz w:val="20"/>
                <w:szCs w:val="20"/>
                <w:color w:val="auto"/>
              </w:rPr>
            </w:pPr>
            <w:r>
              <w:rPr>
                <w:rFonts w:ascii="Arial" w:cs="Arial" w:eastAsia="Arial" w:hAnsi="Arial"/>
                <w:sz w:val="22"/>
                <w:szCs w:val="22"/>
                <w:color w:val="auto"/>
              </w:rPr>
              <w:t>Name:</w:t>
            </w:r>
          </w:p>
        </w:tc>
        <w:tc>
          <w:tcPr>
            <w:tcW w:w="5260" w:type="dxa"/>
            <w:vAlign w:val="bottom"/>
          </w:tcPr>
          <w:p>
            <w:pPr>
              <w:ind w:left="100"/>
              <w:spacing w:after="0"/>
              <w:rPr>
                <w:sz w:val="20"/>
                <w:szCs w:val="20"/>
                <w:color w:val="auto"/>
              </w:rPr>
            </w:pPr>
            <w:r>
              <w:rPr>
                <w:rFonts w:ascii="Arial" w:cs="Arial" w:eastAsia="Arial" w:hAnsi="Arial"/>
                <w:sz w:val="22"/>
                <w:szCs w:val="22"/>
                <w:color w:val="auto"/>
              </w:rPr>
              <w:t>Michael R. Haack</w:t>
            </w:r>
          </w:p>
        </w:tc>
      </w:tr>
      <w:tr>
        <w:trPr>
          <w:trHeight w:val="513"/>
        </w:trPr>
        <w:tc>
          <w:tcPr>
            <w:tcW w:w="1080" w:type="dxa"/>
            <w:vAlign w:val="bottom"/>
          </w:tcPr>
          <w:p>
            <w:pPr>
              <w:spacing w:after="0"/>
              <w:rPr>
                <w:sz w:val="20"/>
                <w:szCs w:val="20"/>
                <w:color w:val="auto"/>
              </w:rPr>
            </w:pPr>
            <w:r>
              <w:rPr>
                <w:rFonts w:ascii="Arial" w:cs="Arial" w:eastAsia="Arial" w:hAnsi="Arial"/>
                <w:sz w:val="22"/>
                <w:szCs w:val="22"/>
                <w:color w:val="auto"/>
              </w:rPr>
              <w:t>Its:</w:t>
            </w:r>
          </w:p>
        </w:tc>
        <w:tc>
          <w:tcPr>
            <w:tcW w:w="5260" w:type="dxa"/>
            <w:vAlign w:val="bottom"/>
          </w:tcPr>
          <w:p>
            <w:pPr>
              <w:ind w:left="100"/>
              <w:spacing w:after="0"/>
              <w:rPr>
                <w:sz w:val="20"/>
                <w:szCs w:val="20"/>
                <w:color w:val="auto"/>
              </w:rPr>
            </w:pPr>
            <w:r>
              <w:rPr>
                <w:rFonts w:ascii="Arial" w:cs="Arial" w:eastAsia="Arial" w:hAnsi="Arial"/>
                <w:sz w:val="22"/>
                <w:szCs w:val="22"/>
                <w:color w:val="auto"/>
              </w:rPr>
              <w:t>President and CEO</w:t>
            </w:r>
          </w:p>
        </w:tc>
      </w:tr>
      <w:tr>
        <w:trPr>
          <w:trHeight w:val="468"/>
        </w:trPr>
        <w:tc>
          <w:tcPr>
            <w:tcW w:w="1080" w:type="dxa"/>
            <w:vAlign w:val="bottom"/>
          </w:tcPr>
          <w:p>
            <w:pPr>
              <w:spacing w:after="0"/>
              <w:rPr>
                <w:sz w:val="20"/>
                <w:szCs w:val="20"/>
                <w:color w:val="auto"/>
              </w:rPr>
            </w:pPr>
            <w:r>
              <w:rPr>
                <w:rFonts w:ascii="Arial" w:cs="Arial" w:eastAsia="Arial" w:hAnsi="Arial"/>
                <w:sz w:val="22"/>
                <w:szCs w:val="22"/>
                <w:color w:val="auto"/>
              </w:rPr>
              <w:t>Address:</w:t>
            </w:r>
          </w:p>
        </w:tc>
        <w:tc>
          <w:tcPr>
            <w:tcW w:w="5260" w:type="dxa"/>
            <w:vAlign w:val="bottom"/>
          </w:tcPr>
          <w:p>
            <w:pPr>
              <w:ind w:left="100"/>
              <w:spacing w:after="0"/>
              <w:rPr>
                <w:sz w:val="20"/>
                <w:szCs w:val="20"/>
                <w:color w:val="auto"/>
              </w:rPr>
            </w:pPr>
            <w:r>
              <w:rPr>
                <w:rFonts w:ascii="Arial" w:cs="Arial" w:eastAsia="Arial" w:hAnsi="Arial"/>
                <w:sz w:val="22"/>
                <w:szCs w:val="22"/>
                <w:color w:val="auto"/>
              </w:rPr>
              <w:t>5960 Berkshire Ln., Suite 900</w:t>
            </w:r>
          </w:p>
        </w:tc>
      </w:tr>
      <w:tr>
        <w:trPr>
          <w:trHeight w:val="274"/>
        </w:trPr>
        <w:tc>
          <w:tcPr>
            <w:tcW w:w="1080" w:type="dxa"/>
            <w:vAlign w:val="bottom"/>
          </w:tcPr>
          <w:p>
            <w:pPr>
              <w:spacing w:after="0"/>
              <w:rPr>
                <w:sz w:val="23"/>
                <w:szCs w:val="23"/>
                <w:color w:val="auto"/>
              </w:rPr>
            </w:pPr>
          </w:p>
        </w:tc>
        <w:tc>
          <w:tcPr>
            <w:tcW w:w="5260" w:type="dxa"/>
            <w:vAlign w:val="bottom"/>
          </w:tcPr>
          <w:p>
            <w:pPr>
              <w:ind w:left="100"/>
              <w:spacing w:after="0"/>
              <w:rPr>
                <w:sz w:val="20"/>
                <w:szCs w:val="20"/>
                <w:color w:val="auto"/>
              </w:rPr>
            </w:pPr>
            <w:r>
              <w:rPr>
                <w:rFonts w:ascii="Arial" w:cs="Arial" w:eastAsia="Arial" w:hAnsi="Arial"/>
                <w:sz w:val="22"/>
                <w:szCs w:val="22"/>
                <w:color w:val="auto"/>
              </w:rPr>
              <w:t>Dallas, Texas 75225</w:t>
            </w:r>
          </w:p>
        </w:tc>
      </w:tr>
    </w:tbl>
    <w:p>
      <w:pPr>
        <w:spacing w:after="0" w:line="19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21"/>
          <w:szCs w:val="21"/>
          <w:color w:val="auto"/>
        </w:rPr>
        <w:t>The Grantee acknowledges receipt of a copy of the Plan, represents that he or she is familiar with the terms and provisions thereof, and hereby accepts the Award subject to all of the terms and provisions hereof and thereof. The Grantee has reviewed this Agreement and the Plan in their entirety, has had an opportunity to obtain the advice of counsel prior to executing this Agreement, and fully understands all provisions of this Agreement and the Plan. The Grantee further agrees to notify the Company upon any change in the address for notice indicated in this Agreement.</w:t>
      </w:r>
    </w:p>
    <w:p>
      <w:pPr>
        <w:spacing w:after="0" w:line="151"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GRANTEE</w:t>
      </w:r>
    </w:p>
    <w:p>
      <w:pPr>
        <w:sectPr>
          <w:pgSz w:w="11900" w:h="16838" w:orient="portrait"/>
          <w:cols w:equalWidth="0" w:num="1">
            <w:col w:w="11240"/>
          </w:cols>
          <w:pgMar w:left="320" w:top="112" w:right="339" w:bottom="1440" w:gutter="0" w:footer="0" w:header="0"/>
        </w:sectPr>
      </w:pPr>
    </w:p>
    <w:p>
      <w:pPr>
        <w:spacing w:after="0" w:line="212"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Signed:</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w:t>
      </w:r>
    </w:p>
    <w:p>
      <w:pPr>
        <w:spacing w:after="0" w:line="200" w:lineRule="exact"/>
        <w:rPr>
          <w:sz w:val="20"/>
          <w:szCs w:val="20"/>
          <w:color w:val="auto"/>
        </w:rPr>
      </w:pPr>
    </w:p>
    <w:p>
      <w:pPr>
        <w:sectPr>
          <w:pgSz w:w="11900" w:h="16838" w:orient="portrait"/>
          <w:cols w:equalWidth="0" w:num="2">
            <w:col w:w="5560" w:space="520"/>
            <w:col w:w="5160"/>
          </w:cols>
          <w:pgMar w:left="320" w:top="112" w:right="339" w:bottom="1440" w:gutter="0" w:footer="0" w:header="0"/>
          <w:type w:val="continuous"/>
        </w:sectPr>
      </w:pPr>
    </w:p>
    <w:p>
      <w:pPr>
        <w:spacing w:after="0" w:line="95"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w:t>
      </w:r>
    </w:p>
    <w:p>
      <w:pPr>
        <w:spacing w:after="0" w:line="200" w:lineRule="exact"/>
        <w:rPr>
          <w:sz w:val="20"/>
          <w:szCs w:val="20"/>
          <w:color w:val="auto"/>
        </w:rPr>
      </w:pPr>
    </w:p>
    <w:p>
      <w:pPr>
        <w:sectPr>
          <w:pgSz w:w="11900" w:h="16838" w:orient="portrait"/>
          <w:cols w:equalWidth="0" w:num="2">
            <w:col w:w="5480" w:space="600"/>
            <w:col w:w="5160"/>
          </w:cols>
          <w:pgMar w:left="320" w:top="112" w:right="339" w:bottom="1440" w:gutter="0" w:footer="0" w:header="0"/>
          <w:type w:val="continuous"/>
        </w:sectPr>
      </w:pPr>
    </w:p>
    <w:p>
      <w:pPr>
        <w:spacing w:after="0" w:line="311"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w:t>
      </w:r>
    </w:p>
    <w:p>
      <w:pPr>
        <w:spacing w:after="0" w:line="200" w:lineRule="exact"/>
        <w:rPr>
          <w:sz w:val="20"/>
          <w:szCs w:val="20"/>
          <w:color w:val="auto"/>
        </w:rPr>
      </w:pPr>
    </w:p>
    <w:p>
      <w:pPr>
        <w:sectPr>
          <w:pgSz w:w="11900" w:h="16838" w:orient="portrait"/>
          <w:cols w:equalWidth="0" w:num="2">
            <w:col w:w="5660" w:space="420"/>
            <w:col w:w="5160"/>
          </w:cols>
          <w:pgMar w:left="320" w:top="1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40"/>
        <w:spacing w:after="0"/>
        <w:rPr>
          <w:sz w:val="20"/>
          <w:szCs w:val="20"/>
          <w:color w:val="auto"/>
        </w:rPr>
      </w:pPr>
      <w:r>
        <w:rPr>
          <w:rFonts w:ascii="Arial" w:cs="Arial" w:eastAsia="Arial" w:hAnsi="Arial"/>
          <w:sz w:val="19"/>
          <w:szCs w:val="19"/>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w:t>
      </w:r>
    </w:p>
    <w:p>
      <w:pPr>
        <w:spacing w:after="0" w:line="199" w:lineRule="exact"/>
        <w:rPr>
          <w:sz w:val="20"/>
          <w:szCs w:val="20"/>
          <w:color w:val="auto"/>
        </w:rPr>
      </w:pPr>
    </w:p>
    <w:p>
      <w:pPr>
        <w:jc w:val="center"/>
        <w:ind w:right="360"/>
        <w:spacing w:after="0"/>
        <w:rPr>
          <w:sz w:val="20"/>
          <w:szCs w:val="20"/>
          <w:color w:val="auto"/>
        </w:rPr>
      </w:pPr>
      <w:r>
        <w:rPr>
          <w:rFonts w:ascii="Arial" w:cs="Arial" w:eastAsia="Arial" w:hAnsi="Arial"/>
          <w:sz w:val="21"/>
          <w:szCs w:val="21"/>
          <w:color w:val="auto"/>
        </w:rPr>
        <w:t>For the purpose of this Agreement, a "Change in Control" shall mean the occurrence of any of the following events:</w:t>
      </w:r>
    </w:p>
    <w:p>
      <w:pPr>
        <w:spacing w:after="0" w:line="123" w:lineRule="exact"/>
        <w:rPr>
          <w:sz w:val="20"/>
          <w:szCs w:val="20"/>
          <w:color w:val="auto"/>
        </w:rPr>
      </w:pPr>
    </w:p>
    <w:p>
      <w:pPr>
        <w:jc w:val="both"/>
        <w:ind w:firstLine="757"/>
        <w:spacing w:after="0" w:line="238" w:lineRule="auto"/>
        <w:tabs>
          <w:tab w:leader="none" w:pos="1685"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acquisition by any Person of beneficial ownership of securities of the Company (including any such acquisition of beneficial ownership deemed to have occurred pursuant to Rule 13d-5 under the Exchange Act) if, immediately thereafter, such Person is the beneficial owner of (i) 50% or more of the total number of outstanding shares of any single class of Company Common Stock or (ii) 40% or more of the total number of outstanding shares of all classes of Company Common Stock, unless such acquisition is made (a) directly from the Company in a transaction approved by a majority of the members of the Incumbent Board or (b) by any employee benefit plan (or related trust) sponsored or maintained by the Company or any corporation controlled by the Company;</w:t>
      </w:r>
    </w:p>
    <w:p>
      <w:pPr>
        <w:spacing w:after="0" w:line="93" w:lineRule="exact"/>
        <w:rPr>
          <w:rFonts w:ascii="Arial" w:cs="Arial" w:eastAsia="Arial" w:hAnsi="Arial"/>
          <w:sz w:val="22"/>
          <w:szCs w:val="22"/>
          <w:color w:val="auto"/>
        </w:rPr>
      </w:pPr>
    </w:p>
    <w:p>
      <w:pPr>
        <w:jc w:val="both"/>
        <w:ind w:firstLine="757"/>
        <w:spacing w:after="0" w:line="279" w:lineRule="auto"/>
        <w:tabs>
          <w:tab w:leader="none" w:pos="1685" w:val="left"/>
        </w:tabs>
        <w:numPr>
          <w:ilvl w:val="0"/>
          <w:numId w:val="23"/>
        </w:numPr>
        <w:rPr>
          <w:rFonts w:ascii="Arial" w:cs="Arial" w:eastAsia="Arial" w:hAnsi="Arial"/>
          <w:sz w:val="19"/>
          <w:szCs w:val="19"/>
          <w:color w:val="auto"/>
        </w:rPr>
      </w:pPr>
      <w:r>
        <w:rPr>
          <w:rFonts w:ascii="Arial" w:cs="Arial" w:eastAsia="Arial" w:hAnsi="Arial"/>
          <w:sz w:val="19"/>
          <w:szCs w:val="19"/>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(or who is otherwise designated as a member of the Incumbent Board by such a vote) shall be considered as though such individual were a member of the Incumbent Board, except that any such individual shall not be considered a member of the Incumbent Board if his or her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w:t>
      </w:r>
    </w:p>
    <w:p>
      <w:pPr>
        <w:spacing w:after="0" w:line="60" w:lineRule="exact"/>
        <w:rPr>
          <w:rFonts w:ascii="Arial" w:cs="Arial" w:eastAsia="Arial" w:hAnsi="Arial"/>
          <w:sz w:val="19"/>
          <w:szCs w:val="19"/>
          <w:color w:val="auto"/>
        </w:rPr>
      </w:pPr>
    </w:p>
    <w:p>
      <w:pPr>
        <w:jc w:val="both"/>
        <w:ind w:firstLine="757"/>
        <w:spacing w:after="0" w:line="277" w:lineRule="auto"/>
        <w:tabs>
          <w:tab w:leader="none" w:pos="1685"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consummation of a Business Combination, unless, immediately following such Business Combination, (i) more than 50% of both the total number of then outstanding shares of common stock of the parent corporation resulting from such Business Combination and the combined voting power of the then outstanding voting securities of such parent corporation entitled to vote generally in the election of directors will be (or is) then beneficially owned, directly or indirectly, by all or substantially all of the Persons who were the beneficial owners, respectively, of the outstanding shares of Company Common Stock immediately prior to such Business Combination in substantially the same proportions as their ownership immediately prior to such Business Combination of the outstanding shares of Company Common Stock, (ii) no Person (other than any employee benefit plan (or related trust) of the Company or any corporation resulting from such Business Combination) beneficially owns, directly or indirectly, 40% or more of the total number of then outstanding shares of common stock of the corporation resulting from such Business Combination or the combined voting power of the then outstanding voting securities of such corporation entitled to vote generally in the election of directors and (iii) at least a majority of the members of the board of directors of the parent corporation resulting from such Business Combination were members of the Incumbent Board immediately prior to the consummation of such Business Combination; or</w:t>
      </w:r>
    </w:p>
    <w:p>
      <w:pPr>
        <w:spacing w:after="0" w:line="308" w:lineRule="exact"/>
        <w:rPr>
          <w:rFonts w:ascii="Arial" w:cs="Arial" w:eastAsia="Arial" w:hAnsi="Arial"/>
          <w:sz w:val="19"/>
          <w:szCs w:val="19"/>
          <w:color w:val="auto"/>
        </w:rPr>
      </w:pPr>
    </w:p>
    <w:p>
      <w:pPr>
        <w:jc w:val="both"/>
        <w:ind w:firstLine="757"/>
        <w:spacing w:after="0" w:line="285" w:lineRule="auto"/>
        <w:tabs>
          <w:tab w:leader="none" w:pos="1685" w:val="left"/>
        </w:tabs>
        <w:numPr>
          <w:ilvl w:val="0"/>
          <w:numId w:val="23"/>
        </w:numPr>
        <w:rPr>
          <w:rFonts w:ascii="Arial" w:cs="Arial" w:eastAsia="Arial" w:hAnsi="Arial"/>
          <w:sz w:val="19"/>
          <w:szCs w:val="19"/>
          <w:color w:val="auto"/>
        </w:rPr>
      </w:pPr>
      <w:r>
        <w:rPr>
          <w:rFonts w:ascii="Arial" w:cs="Arial" w:eastAsia="Arial" w:hAnsi="Arial"/>
          <w:sz w:val="19"/>
          <w:szCs w:val="19"/>
          <w:color w:val="auto"/>
        </w:rPr>
        <w:t>Approval by the Board and the shareholders of the Company of (i) a complete liquidation or dissolution of the Company or (ii) a Major Asset Disposition (or, if there is no such approval by shareholders, consummation of such Major Asset Disposition) unless, immediately following such Major Asset Disposition, (A) Persons that were beneficial owners of the outstanding shares of Company Common Stock immediately prior to such Major Asset Disposition beneficially own, directly or indirectly, more than 50% of the total number of then outstanding shares of common stock and the combined voting power of the then outstanding shares of voting stock of the Company (if it continues to exist) and of the</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EXHIBIT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9" w:name="page50"/>
    <w:bookmarkEnd w:id="49"/>
    <w:p>
      <w:pPr>
        <w:jc w:val="both"/>
        <w:spacing w:after="0" w:line="282" w:lineRule="auto"/>
        <w:rPr>
          <w:sz w:val="20"/>
          <w:szCs w:val="20"/>
          <w:color w:val="auto"/>
        </w:rPr>
      </w:pPr>
      <w:r>
        <w:rPr>
          <w:rFonts w:ascii="Arial" w:cs="Arial" w:eastAsia="Arial" w:hAnsi="Arial"/>
          <w:sz w:val="19"/>
          <w:szCs w:val="19"/>
          <w:color w:val="auto"/>
        </w:rPr>
        <w:t>Acquiring Entity in substantially the same proportions as their ownership immediately prior to such Major Asset Disposition of the outstanding shares of Company Common Stock; (B) no Person (other than any employee benefit plan (or related trust) of the Company or such entity) beneficially owns, directly or indirectly, 40% or more of the then outstanding shares of common stock or the combined voting power of the then outstanding voting securities of the Company (if it continues to exist) and of the Acquiring Entity entitled to vote generally in the election of directors and (C) at least a majority of the members of the Board of the Company (if it continues to exist) and of the Acquiring Entity were members of the Incumbent Board at the time of the execution of the initial agreement or action of the Board providing for such Major Asset Disposition.</w:t>
      </w:r>
    </w:p>
    <w:p>
      <w:pPr>
        <w:spacing w:after="0" w:line="5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purposes of the foregoing,</w:t>
      </w:r>
    </w:p>
    <w:p>
      <w:pPr>
        <w:spacing w:after="0" w:line="98" w:lineRule="exact"/>
        <w:rPr>
          <w:sz w:val="20"/>
          <w:szCs w:val="20"/>
          <w:color w:val="auto"/>
        </w:rPr>
      </w:pPr>
    </w:p>
    <w:p>
      <w:pPr>
        <w:ind w:left="1500" w:hanging="743"/>
        <w:spacing w:after="0"/>
        <w:tabs>
          <w:tab w:leader="none" w:pos="1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Person</w:t>
      </w:r>
      <w:r>
        <w:rPr>
          <w:rFonts w:ascii="Arial" w:cs="Arial" w:eastAsia="Arial" w:hAnsi="Arial"/>
          <w:sz w:val="22"/>
          <w:szCs w:val="22"/>
          <w:color w:val="auto"/>
        </w:rPr>
        <w:t>" means an individual, entity or group;</w:t>
      </w:r>
    </w:p>
    <w:p>
      <w:pPr>
        <w:spacing w:after="0" w:line="111" w:lineRule="exact"/>
        <w:rPr>
          <w:rFonts w:ascii="Arial" w:cs="Arial" w:eastAsia="Arial" w:hAnsi="Arial"/>
          <w:sz w:val="22"/>
          <w:szCs w:val="22"/>
          <w:color w:val="auto"/>
        </w:rPr>
      </w:pPr>
    </w:p>
    <w:p>
      <w:pPr>
        <w:ind w:left="1500" w:hanging="743"/>
        <w:spacing w:after="0"/>
        <w:tabs>
          <w:tab w:leader="none" w:pos="1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group</w:t>
      </w:r>
      <w:r>
        <w:rPr>
          <w:rFonts w:ascii="Arial" w:cs="Arial" w:eastAsia="Arial" w:hAnsi="Arial"/>
          <w:sz w:val="22"/>
          <w:szCs w:val="22"/>
          <w:color w:val="auto"/>
        </w:rPr>
        <w:t>" is used as it is defined for purposes of Section 13(d)(3) of the Exchange Act;</w:t>
      </w:r>
    </w:p>
    <w:p>
      <w:pPr>
        <w:spacing w:after="0" w:line="98" w:lineRule="exact"/>
        <w:rPr>
          <w:rFonts w:ascii="Arial" w:cs="Arial" w:eastAsia="Arial" w:hAnsi="Arial"/>
          <w:sz w:val="22"/>
          <w:szCs w:val="22"/>
          <w:color w:val="auto"/>
        </w:rPr>
      </w:pPr>
    </w:p>
    <w:p>
      <w:pPr>
        <w:ind w:left="1500" w:hanging="743"/>
        <w:spacing w:after="0" w:line="250" w:lineRule="auto"/>
        <w:tabs>
          <w:tab w:leader="none" w:pos="1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terms "</w:t>
      </w:r>
      <w:r>
        <w:rPr>
          <w:rFonts w:ascii="Arial" w:cs="Arial" w:eastAsia="Arial" w:hAnsi="Arial"/>
          <w:sz w:val="22"/>
          <w:szCs w:val="22"/>
          <w:i w:val="1"/>
          <w:iCs w:val="1"/>
          <w:color w:val="auto"/>
        </w:rPr>
        <w:t>beneficial owner</w:t>
      </w:r>
      <w:r>
        <w:rPr>
          <w:rFonts w:ascii="Arial" w:cs="Arial" w:eastAsia="Arial" w:hAnsi="Arial"/>
          <w:sz w:val="22"/>
          <w:szCs w:val="22"/>
          <w:color w:val="auto"/>
        </w:rPr>
        <w:t>", "</w:t>
      </w:r>
      <w:r>
        <w:rPr>
          <w:rFonts w:ascii="Arial" w:cs="Arial" w:eastAsia="Arial" w:hAnsi="Arial"/>
          <w:sz w:val="22"/>
          <w:szCs w:val="22"/>
          <w:i w:val="1"/>
          <w:iCs w:val="1"/>
          <w:color w:val="auto"/>
        </w:rPr>
        <w:t>beneficial ownership</w:t>
      </w:r>
      <w:r>
        <w:rPr>
          <w:rFonts w:ascii="Arial" w:cs="Arial" w:eastAsia="Arial" w:hAnsi="Arial"/>
          <w:sz w:val="22"/>
          <w:szCs w:val="22"/>
          <w:color w:val="auto"/>
        </w:rPr>
        <w:t>" and "</w:t>
      </w:r>
      <w:r>
        <w:rPr>
          <w:rFonts w:ascii="Arial" w:cs="Arial" w:eastAsia="Arial" w:hAnsi="Arial"/>
          <w:sz w:val="22"/>
          <w:szCs w:val="22"/>
          <w:i w:val="1"/>
          <w:iCs w:val="1"/>
          <w:color w:val="auto"/>
        </w:rPr>
        <w:t>beneficially own</w:t>
      </w:r>
      <w:r>
        <w:rPr>
          <w:rFonts w:ascii="Arial" w:cs="Arial" w:eastAsia="Arial" w:hAnsi="Arial"/>
          <w:sz w:val="22"/>
          <w:szCs w:val="22"/>
          <w:color w:val="auto"/>
        </w:rPr>
        <w:t>" are used as defined for purposes of Rule 13d-3 under the Exchange Act;</w:t>
      </w:r>
    </w:p>
    <w:p>
      <w:pPr>
        <w:spacing w:after="0" w:line="80" w:lineRule="exact"/>
        <w:rPr>
          <w:rFonts w:ascii="Arial" w:cs="Arial" w:eastAsia="Arial" w:hAnsi="Arial"/>
          <w:sz w:val="22"/>
          <w:szCs w:val="22"/>
          <w:color w:val="auto"/>
        </w:rPr>
      </w:pPr>
    </w:p>
    <w:p>
      <w:pPr>
        <w:jc w:val="both"/>
        <w:ind w:left="1500" w:hanging="743"/>
        <w:spacing w:after="0"/>
        <w:tabs>
          <w:tab w:leader="none" w:pos="1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Business Combination</w:t>
      </w:r>
      <w:r>
        <w:rPr>
          <w:rFonts w:ascii="Arial" w:cs="Arial" w:eastAsia="Arial" w:hAnsi="Arial"/>
          <w:sz w:val="22"/>
          <w:szCs w:val="22"/>
          <w:color w:val="auto"/>
        </w:rPr>
        <w:t>" means (x) a merger, consolidation or share exchange involving the Company or its stock or (y) an acquisition by the Company, directly or through one or more subsidiaries, of another entity or its stock or assets;</w:t>
      </w:r>
    </w:p>
    <w:p>
      <w:pPr>
        <w:spacing w:after="0" w:line="91" w:lineRule="exact"/>
        <w:rPr>
          <w:rFonts w:ascii="Arial" w:cs="Arial" w:eastAsia="Arial" w:hAnsi="Arial"/>
          <w:sz w:val="22"/>
          <w:szCs w:val="22"/>
          <w:color w:val="auto"/>
        </w:rPr>
      </w:pPr>
    </w:p>
    <w:p>
      <w:pPr>
        <w:ind w:left="1500" w:hanging="743"/>
        <w:spacing w:after="0"/>
        <w:tabs>
          <w:tab w:leader="none" w:pos="15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i w:val="1"/>
          <w:iCs w:val="1"/>
          <w:color w:val="auto"/>
        </w:rPr>
        <w:t>Company Common Stock</w:t>
      </w:r>
      <w:r>
        <w:rPr>
          <w:rFonts w:ascii="Arial" w:cs="Arial" w:eastAsia="Arial" w:hAnsi="Arial"/>
          <w:sz w:val="19"/>
          <w:szCs w:val="19"/>
          <w:color w:val="auto"/>
        </w:rPr>
        <w:t>" shall mean the Common Stock, par value $.01 per share, of the Company;</w:t>
      </w:r>
    </w:p>
    <w:p>
      <w:pPr>
        <w:spacing w:after="0" w:line="132" w:lineRule="exact"/>
        <w:rPr>
          <w:rFonts w:ascii="Arial" w:cs="Arial" w:eastAsia="Arial" w:hAnsi="Arial"/>
          <w:sz w:val="19"/>
          <w:szCs w:val="19"/>
          <w:color w:val="auto"/>
        </w:rPr>
      </w:pPr>
    </w:p>
    <w:p>
      <w:pPr>
        <w:ind w:left="1500" w:hanging="743"/>
        <w:spacing w:after="0"/>
        <w:tabs>
          <w:tab w:leader="none" w:pos="1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w:t>
      </w:r>
    </w:p>
    <w:p>
      <w:pPr>
        <w:spacing w:after="0" w:line="111" w:lineRule="exact"/>
        <w:rPr>
          <w:rFonts w:ascii="Arial" w:cs="Arial" w:eastAsia="Arial" w:hAnsi="Arial"/>
          <w:sz w:val="22"/>
          <w:szCs w:val="22"/>
          <w:color w:val="auto"/>
        </w:rPr>
      </w:pPr>
    </w:p>
    <w:p>
      <w:pPr>
        <w:jc w:val="both"/>
        <w:ind w:left="1500" w:hanging="743"/>
        <w:spacing w:after="0" w:line="241" w:lineRule="auto"/>
        <w:tabs>
          <w:tab w:leader="none" w:pos="1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phrase "</w:t>
      </w:r>
      <w:r>
        <w:rPr>
          <w:rFonts w:ascii="Arial" w:cs="Arial" w:eastAsia="Arial" w:hAnsi="Arial"/>
          <w:sz w:val="22"/>
          <w:szCs w:val="22"/>
          <w:i w:val="1"/>
          <w:iCs w:val="1"/>
          <w:color w:val="auto"/>
        </w:rPr>
        <w:t>parent corporation resulting from a Business Combination</w:t>
      </w:r>
      <w:r>
        <w:rPr>
          <w:rFonts w:ascii="Arial" w:cs="Arial" w:eastAsia="Arial" w:hAnsi="Arial"/>
          <w:sz w:val="22"/>
          <w:szCs w:val="22"/>
          <w:color w:val="auto"/>
        </w:rPr>
        <w:t>" means the Company if its stock is not acquired or converted in the Business Combination and otherwise means the entity which as a result of such Business Combination owns the Company or all or substantially all of the Company's assets either directly or through one or more subsidiaries;</w:t>
      </w:r>
    </w:p>
    <w:p>
      <w:pPr>
        <w:spacing w:after="0" w:line="77" w:lineRule="exact"/>
        <w:rPr>
          <w:rFonts w:ascii="Arial" w:cs="Arial" w:eastAsia="Arial" w:hAnsi="Arial"/>
          <w:sz w:val="22"/>
          <w:szCs w:val="22"/>
          <w:color w:val="auto"/>
        </w:rPr>
      </w:pPr>
    </w:p>
    <w:p>
      <w:pPr>
        <w:jc w:val="both"/>
        <w:ind w:left="1500" w:hanging="743"/>
        <w:spacing w:after="0" w:line="241" w:lineRule="auto"/>
        <w:tabs>
          <w:tab w:leader="none" w:pos="1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Major Asset Disposition</w:t>
      </w:r>
      <w:r>
        <w:rPr>
          <w:rFonts w:ascii="Arial" w:cs="Arial" w:eastAsia="Arial" w:hAnsi="Arial"/>
          <w:sz w:val="22"/>
          <w:szCs w:val="22"/>
          <w:color w:val="auto"/>
        </w:rPr>
        <w:t>" means the sale or other disposition in one transaction or a series of related transactions of 50% or more of the assets of the Company and its subsidiaries on a consolidated basis; and any specified percentage or portion of the assets of the Company shall be based on fair market value, as determined by a majority of the members of the Incumbent Board;</w:t>
      </w:r>
    </w:p>
    <w:p>
      <w:pPr>
        <w:spacing w:after="0" w:line="90" w:lineRule="exact"/>
        <w:rPr>
          <w:rFonts w:ascii="Arial" w:cs="Arial" w:eastAsia="Arial" w:hAnsi="Arial"/>
          <w:sz w:val="22"/>
          <w:szCs w:val="22"/>
          <w:color w:val="auto"/>
        </w:rPr>
      </w:pPr>
    </w:p>
    <w:p>
      <w:pPr>
        <w:jc w:val="both"/>
        <w:ind w:left="1500" w:hanging="743"/>
        <w:spacing w:after="0" w:line="241" w:lineRule="auto"/>
        <w:tabs>
          <w:tab w:leader="none" w:pos="1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i w:val="1"/>
          <w:iCs w:val="1"/>
          <w:color w:val="auto"/>
        </w:rPr>
        <w:t>Acquiring Entity</w:t>
      </w:r>
      <w:r>
        <w:rPr>
          <w:rFonts w:ascii="Arial" w:cs="Arial" w:eastAsia="Arial" w:hAnsi="Arial"/>
          <w:sz w:val="22"/>
          <w:szCs w:val="22"/>
          <w:color w:val="auto"/>
        </w:rPr>
        <w:t>" means the entity that acquires the largest portion of the assets sold or otherwise disposed of in a Major Asset Disposition (or the entity, if any, that owns a majority of the outstanding voting stock of such acquiring entity entitled to vote generally in the election of directors or members of a comparable governing body); and</w:t>
      </w:r>
    </w:p>
    <w:p>
      <w:pPr>
        <w:spacing w:after="0" w:line="77" w:lineRule="exact"/>
        <w:rPr>
          <w:rFonts w:ascii="Arial" w:cs="Arial" w:eastAsia="Arial" w:hAnsi="Arial"/>
          <w:sz w:val="22"/>
          <w:szCs w:val="22"/>
          <w:color w:val="auto"/>
        </w:rPr>
      </w:pPr>
    </w:p>
    <w:p>
      <w:pPr>
        <w:jc w:val="both"/>
        <w:ind w:left="1500" w:hanging="743"/>
        <w:spacing w:after="0" w:line="285" w:lineRule="auto"/>
        <w:tabs>
          <w:tab w:leader="none" w:pos="15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phrase "</w:t>
      </w:r>
      <w:r>
        <w:rPr>
          <w:rFonts w:ascii="Arial" w:cs="Arial" w:eastAsia="Arial" w:hAnsi="Arial"/>
          <w:sz w:val="19"/>
          <w:szCs w:val="19"/>
          <w:i w:val="1"/>
          <w:iCs w:val="1"/>
          <w:color w:val="auto"/>
        </w:rPr>
        <w:t>substantially the same proportions</w:t>
      </w:r>
      <w:r>
        <w:rPr>
          <w:rFonts w:ascii="Arial" w:cs="Arial" w:eastAsia="Arial" w:hAnsi="Arial"/>
          <w:sz w:val="19"/>
          <w:szCs w:val="19"/>
          <w:color w:val="auto"/>
        </w:rPr>
        <w:t>," when used with reference to ownership interests in the parent corporation resulting from a Business Combination or in an Acquiring Entity, means substantially in proportion to the number of shares of Company Common Stock beneficially owned by the applicable Persons immediately prior to the Business Combination or Major Asset Disposition, but is not to be construed in such a manner as to require that the same ratio or number of shares of such parent corporation or Acquiring Entity be issued, paid or delivered in exchange for or in respect of the shares of each class of Company Common Stock.</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EXHIBIT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10.3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EAGLE MATERIALS INC.</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INCENTIVE PLAN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DIRECTOR STOCK OPTION AGREEMENT</w:t>
      </w:r>
    </w:p>
    <w:p>
      <w:pPr>
        <w:spacing w:after="0" w:line="200" w:lineRule="exact"/>
        <w:rPr>
          <w:sz w:val="20"/>
          <w:szCs w:val="20"/>
          <w:color w:val="auto"/>
        </w:rPr>
      </w:pPr>
    </w:p>
    <w:p>
      <w:pPr>
        <w:spacing w:after="0" w:line="215" w:lineRule="exact"/>
        <w:rPr>
          <w:sz w:val="20"/>
          <w:szCs w:val="20"/>
          <w:color w:val="auto"/>
        </w:rPr>
      </w:pPr>
    </w:p>
    <w:p>
      <w:pPr>
        <w:ind w:firstLine="1497"/>
        <w:spacing w:after="0" w:line="284" w:lineRule="auto"/>
        <w:rPr>
          <w:sz w:val="20"/>
          <w:szCs w:val="20"/>
          <w:color w:val="auto"/>
        </w:rPr>
      </w:pPr>
      <w:r>
        <w:rPr>
          <w:rFonts w:ascii="Arial" w:cs="Arial" w:eastAsia="Arial" w:hAnsi="Arial"/>
          <w:sz w:val="19"/>
          <w:szCs w:val="19"/>
          <w:color w:val="auto"/>
        </w:rPr>
        <w:t>This option agreement (the “Option Agreement” or “Agreement”) entered into between EAGLE MATERIALS INC., a Delaware corporation (the “Company”), and __________ (the “Optionee”), a director of the Company, with respect to a</w:t>
      </w:r>
    </w:p>
    <w:p>
      <w:pPr>
        <w:spacing w:after="0" w:line="274" w:lineRule="auto"/>
        <w:rPr>
          <w:sz w:val="20"/>
          <w:szCs w:val="20"/>
          <w:color w:val="auto"/>
        </w:rPr>
      </w:pPr>
      <w:r>
        <w:rPr>
          <w:rFonts w:ascii="Arial" w:cs="Arial" w:eastAsia="Arial" w:hAnsi="Arial"/>
          <w:sz w:val="19"/>
          <w:szCs w:val="19"/>
          <w:color w:val="auto"/>
        </w:rPr>
        <w:t>right (the “Option”) awarded to the Optionee under the Eagle Materials Inc. Amended and Restated Incentive Plan (the “Plan”), on August 5, 2022 (the “Award Date”) to purchase from the Company up to but not exceeding in the aggregate ________ shares</w:t>
      </w:r>
    </w:p>
    <w:p>
      <w:pPr>
        <w:spacing w:after="0" w:line="1" w:lineRule="exact"/>
        <w:rPr>
          <w:sz w:val="20"/>
          <w:szCs w:val="20"/>
          <w:color w:val="auto"/>
        </w:rPr>
      </w:pPr>
    </w:p>
    <w:p>
      <w:pPr>
        <w:ind w:right="20"/>
        <w:spacing w:after="0" w:line="308" w:lineRule="auto"/>
        <w:rPr>
          <w:sz w:val="20"/>
          <w:szCs w:val="20"/>
          <w:color w:val="auto"/>
        </w:rPr>
      </w:pPr>
      <w:r>
        <w:rPr>
          <w:rFonts w:ascii="Arial" w:cs="Arial" w:eastAsia="Arial" w:hAnsi="Arial"/>
          <w:sz w:val="19"/>
          <w:szCs w:val="19"/>
          <w:color w:val="auto"/>
        </w:rPr>
        <w:t>of Common Stock (as defined in the Plan) at a price of $127.83 per share (the “Exercise Price”), such number of shares and such price per share being subject to adjustment as provided in the Plan, and further subject to the following terms and conditions:</w:t>
      </w:r>
    </w:p>
    <w:p>
      <w:pPr>
        <w:spacing w:after="0" w:line="137" w:lineRule="exact"/>
        <w:rPr>
          <w:sz w:val="20"/>
          <w:szCs w:val="20"/>
          <w:color w:val="auto"/>
        </w:rPr>
      </w:pPr>
    </w:p>
    <w:p>
      <w:pPr>
        <w:ind w:left="2260" w:hanging="755"/>
        <w:spacing w:after="0"/>
        <w:tabs>
          <w:tab w:leader="none" w:pos="2260" w:val="left"/>
        </w:tabs>
        <w:numPr>
          <w:ilvl w:val="0"/>
          <w:numId w:val="25"/>
        </w:numPr>
        <w:rPr>
          <w:rFonts w:ascii="Arial" w:cs="Arial" w:eastAsia="Arial" w:hAnsi="Arial"/>
          <w:sz w:val="22"/>
          <w:szCs w:val="22"/>
          <w:color w:val="auto"/>
        </w:rPr>
      </w:pPr>
      <w:r>
        <w:rPr>
          <w:rFonts w:ascii="Arial" w:cs="Arial" w:eastAsia="Arial" w:hAnsi="Arial"/>
          <w:sz w:val="22"/>
          <w:szCs w:val="22"/>
          <w:i w:val="1"/>
          <w:iCs w:val="1"/>
          <w:color w:val="auto"/>
        </w:rPr>
        <w:t>Relationship to Plan</w:t>
      </w:r>
      <w:r>
        <w:rPr>
          <w:rFonts w:ascii="Arial" w:cs="Arial" w:eastAsia="Arial" w:hAnsi="Arial"/>
          <w:sz w:val="22"/>
          <w:szCs w:val="22"/>
          <w:color w:val="auto"/>
        </w:rPr>
        <w:t>.</w:t>
      </w:r>
    </w:p>
    <w:p>
      <w:pPr>
        <w:spacing w:after="0" w:line="206" w:lineRule="exact"/>
        <w:rPr>
          <w:sz w:val="20"/>
          <w:szCs w:val="20"/>
          <w:color w:val="auto"/>
        </w:rPr>
      </w:pPr>
    </w:p>
    <w:p>
      <w:pPr>
        <w:jc w:val="both"/>
        <w:ind w:firstLine="1623"/>
        <w:spacing w:after="0" w:line="241" w:lineRule="auto"/>
        <w:rPr>
          <w:sz w:val="20"/>
          <w:szCs w:val="20"/>
          <w:color w:val="auto"/>
        </w:rPr>
      </w:pPr>
      <w:r>
        <w:rPr>
          <w:rFonts w:ascii="Arial" w:cs="Arial" w:eastAsia="Arial" w:hAnsi="Arial"/>
          <w:sz w:val="22"/>
          <w:szCs w:val="22"/>
          <w:color w:val="auto"/>
        </w:rPr>
        <w:t>This Option is subject to all of the terms, conditions and provisions of the Plan and administrative interpretations thereunder, if any, which have been adopted by the Company’s Compensation Committee (“Committee”) and are in effect on the date hereof. Except as defined herein, capitalized terms shall have the same meanings ascribed to them under the Plan. For purposes of this Option Agreement:</w:t>
      </w:r>
    </w:p>
    <w:p>
      <w:pPr>
        <w:spacing w:after="0" w:line="185" w:lineRule="exact"/>
        <w:rPr>
          <w:sz w:val="20"/>
          <w:szCs w:val="20"/>
          <w:color w:val="auto"/>
        </w:rPr>
      </w:pPr>
    </w:p>
    <w:p>
      <w:pPr>
        <w:jc w:val="both"/>
        <w:ind w:left="1500"/>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Retirement</w:t>
      </w:r>
      <w:r>
        <w:rPr>
          <w:rFonts w:ascii="Arial" w:cs="Arial" w:eastAsia="Arial" w:hAnsi="Arial"/>
          <w:sz w:val="22"/>
          <w:szCs w:val="22"/>
          <w:color w:val="auto"/>
        </w:rPr>
        <w:t>” shall mean termination of service on the Board at the Company’s mandatory retirement age in accordance with the Company’s director retirement policy or earlier on such terms and conditions as approved by the Committee.</w:t>
      </w:r>
    </w:p>
    <w:p>
      <w:pPr>
        <w:spacing w:after="0" w:line="191" w:lineRule="exact"/>
        <w:rPr>
          <w:sz w:val="20"/>
          <w:szCs w:val="20"/>
          <w:color w:val="auto"/>
        </w:rPr>
      </w:pPr>
    </w:p>
    <w:p>
      <w:pPr>
        <w:ind w:left="2260" w:hanging="755"/>
        <w:spacing w:after="0"/>
        <w:tabs>
          <w:tab w:leader="none" w:pos="2260" w:val="left"/>
        </w:tabs>
        <w:numPr>
          <w:ilvl w:val="0"/>
          <w:numId w:val="26"/>
        </w:numPr>
        <w:rPr>
          <w:rFonts w:ascii="Arial" w:cs="Arial" w:eastAsia="Arial" w:hAnsi="Arial"/>
          <w:sz w:val="22"/>
          <w:szCs w:val="22"/>
          <w:color w:val="auto"/>
        </w:rPr>
      </w:pPr>
      <w:r>
        <w:rPr>
          <w:rFonts w:ascii="Arial" w:cs="Arial" w:eastAsia="Arial" w:hAnsi="Arial"/>
          <w:sz w:val="22"/>
          <w:szCs w:val="22"/>
          <w:i w:val="1"/>
          <w:iCs w:val="1"/>
          <w:color w:val="auto"/>
        </w:rPr>
        <w:t>Exercise Schedule</w:t>
      </w:r>
      <w:r>
        <w:rPr>
          <w:rFonts w:ascii="Arial" w:cs="Arial" w:eastAsia="Arial" w:hAnsi="Arial"/>
          <w:sz w:val="22"/>
          <w:szCs w:val="22"/>
          <w:b w:val="1"/>
          <w:bCs w:val="1"/>
          <w:i w:val="1"/>
          <w:iCs w:val="1"/>
          <w:color w:val="auto"/>
        </w:rPr>
        <w:t>.</w:t>
      </w:r>
    </w:p>
    <w:p>
      <w:pPr>
        <w:spacing w:after="0" w:line="206" w:lineRule="exact"/>
        <w:rPr>
          <w:sz w:val="20"/>
          <w:szCs w:val="20"/>
          <w:color w:val="auto"/>
        </w:rPr>
      </w:pPr>
    </w:p>
    <w:p>
      <w:pPr>
        <w:jc w:val="both"/>
        <w:ind w:firstLine="1505"/>
        <w:spacing w:after="0" w:line="241" w:lineRule="auto"/>
        <w:tabs>
          <w:tab w:leader="none" w:pos="1943" w:val="left"/>
        </w:tabs>
        <w:numPr>
          <w:ilvl w:val="0"/>
          <w:numId w:val="27"/>
        </w:numPr>
        <w:rPr>
          <w:rFonts w:ascii="Arial" w:cs="Arial" w:eastAsia="Arial" w:hAnsi="Arial"/>
          <w:sz w:val="22"/>
          <w:szCs w:val="22"/>
          <w:color w:val="auto"/>
        </w:rPr>
      </w:pPr>
      <w:r>
        <w:rPr>
          <w:rFonts w:ascii="Arial" w:cs="Arial" w:eastAsia="Arial" w:hAnsi="Arial"/>
          <w:sz w:val="22"/>
          <w:szCs w:val="22"/>
          <w:i w:val="1"/>
          <w:iCs w:val="1"/>
          <w:color w:val="auto"/>
        </w:rPr>
        <w:t>Exercisability</w:t>
      </w:r>
      <w:r>
        <w:rPr>
          <w:rFonts w:ascii="Arial" w:cs="Arial" w:eastAsia="Arial" w:hAnsi="Arial"/>
          <w:sz w:val="22"/>
          <w:szCs w:val="22"/>
          <w:color w:val="auto"/>
        </w:rPr>
        <w:t>. This Option may be exercised to purchase the shares of Common Stock covered thereby</w:t>
      </w:r>
      <w:r>
        <w:rPr>
          <w:rFonts w:ascii="Arial" w:cs="Arial" w:eastAsia="Arial" w:hAnsi="Arial"/>
          <w:sz w:val="22"/>
          <w:szCs w:val="22"/>
          <w:i w:val="1"/>
          <w:iCs w:val="1"/>
          <w:color w:val="auto"/>
        </w:rPr>
        <w:t xml:space="preserve"> </w:t>
      </w:r>
      <w:r>
        <w:rPr>
          <w:rFonts w:ascii="Arial" w:cs="Arial" w:eastAsia="Arial" w:hAnsi="Arial"/>
          <w:sz w:val="22"/>
          <w:szCs w:val="22"/>
          <w:color w:val="auto"/>
        </w:rPr>
        <w:t>(the “Option Shares”) immediately on the Award Date. Such Option may be exercised in whole or in part (at any time or from time to time, except as otherwise provided herein) until expiration of the Option pursuant to the terms of this Agreement or the Plan.</w:t>
      </w:r>
    </w:p>
    <w:p>
      <w:pPr>
        <w:spacing w:after="0" w:line="198" w:lineRule="exact"/>
        <w:rPr>
          <w:rFonts w:ascii="Arial" w:cs="Arial" w:eastAsia="Arial" w:hAnsi="Arial"/>
          <w:sz w:val="22"/>
          <w:szCs w:val="22"/>
          <w:color w:val="auto"/>
        </w:rPr>
      </w:pPr>
    </w:p>
    <w:p>
      <w:pPr>
        <w:jc w:val="both"/>
        <w:ind w:firstLine="1505"/>
        <w:spacing w:after="0" w:line="282" w:lineRule="auto"/>
        <w:tabs>
          <w:tab w:leader="none" w:pos="2995" w:val="left"/>
        </w:tabs>
        <w:numPr>
          <w:ilvl w:val="0"/>
          <w:numId w:val="27"/>
        </w:numPr>
        <w:rPr>
          <w:rFonts w:ascii="Arial" w:cs="Arial" w:eastAsia="Arial" w:hAnsi="Arial"/>
          <w:sz w:val="19"/>
          <w:szCs w:val="19"/>
          <w:color w:val="auto"/>
        </w:rPr>
      </w:pPr>
      <w:r>
        <w:rPr>
          <w:rFonts w:ascii="Arial" w:cs="Arial" w:eastAsia="Arial" w:hAnsi="Arial"/>
          <w:sz w:val="19"/>
          <w:szCs w:val="19"/>
          <w:i w:val="1"/>
          <w:iCs w:val="1"/>
          <w:color w:val="auto"/>
        </w:rPr>
        <w:t>Change in Control</w:t>
      </w:r>
      <w:r>
        <w:rPr>
          <w:rFonts w:ascii="Arial" w:cs="Arial" w:eastAsia="Arial" w:hAnsi="Arial"/>
          <w:sz w:val="19"/>
          <w:szCs w:val="19"/>
          <w:color w:val="auto"/>
        </w:rPr>
        <w:t>. Upon the occurrence of a Change in Control (as defined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i w:val="1"/>
          <w:iCs w:val="1"/>
          <w:color w:val="auto"/>
        </w:rPr>
        <w:t xml:space="preserve"> </w:t>
      </w:r>
      <w:r>
        <w:rPr>
          <w:rFonts w:ascii="Arial" w:cs="Arial" w:eastAsia="Arial" w:hAnsi="Arial"/>
          <w:sz w:val="19"/>
          <w:szCs w:val="19"/>
          <w:color w:val="auto"/>
        </w:rPr>
        <w:t>to</w:t>
      </w:r>
      <w:r>
        <w:rPr>
          <w:rFonts w:ascii="Arial" w:cs="Arial" w:eastAsia="Arial" w:hAnsi="Arial"/>
          <w:sz w:val="19"/>
          <w:szCs w:val="19"/>
          <w:i w:val="1"/>
          <w:iCs w:val="1"/>
          <w:color w:val="auto"/>
        </w:rPr>
        <w:t xml:space="preserve"> </w:t>
      </w:r>
      <w:r>
        <w:rPr>
          <w:rFonts w:ascii="Arial" w:cs="Arial" w:eastAsia="Arial" w:hAnsi="Arial"/>
          <w:sz w:val="19"/>
          <w:szCs w:val="19"/>
          <w:color w:val="auto"/>
        </w:rPr>
        <w:t>this Agreement), (i) this Option may be replaced within a reasonable time after the Change in Control with an option of equivalent value to purchase shares of the surviving parent corporation if the Committee determines that the terms giving rise to the Change in Control provide for such replacement, or (ii) the Option may be settled in cash in accordance with the last sentence of this subparagraph (b). Upon a Change in Control, pursuant to Section 15 of the Plan, the Company may, in its discretion, settle the Option by a cash payment equal to the difference between the Fair Market Value per share of Common Stock on the settlement date and the Exercise Price for the Option, multiplied by the number of shares then subject to the Option.</w:t>
      </w:r>
    </w:p>
    <w:p>
      <w:pPr>
        <w:spacing w:after="0" w:line="146" w:lineRule="exact"/>
        <w:rPr>
          <w:rFonts w:ascii="Arial" w:cs="Arial" w:eastAsia="Arial" w:hAnsi="Arial"/>
          <w:sz w:val="19"/>
          <w:szCs w:val="19"/>
          <w:color w:val="auto"/>
        </w:rPr>
      </w:pPr>
    </w:p>
    <w:p>
      <w:pPr>
        <w:ind w:right="20" w:firstLine="1505"/>
        <w:spacing w:after="0" w:line="263" w:lineRule="auto"/>
        <w:tabs>
          <w:tab w:leader="none" w:pos="1929" w:val="left"/>
        </w:tabs>
        <w:numPr>
          <w:ilvl w:val="0"/>
          <w:numId w:val="27"/>
        </w:numPr>
        <w:rPr>
          <w:rFonts w:ascii="Arial" w:cs="Arial" w:eastAsia="Arial" w:hAnsi="Arial"/>
          <w:sz w:val="22"/>
          <w:szCs w:val="22"/>
          <w:color w:val="auto"/>
        </w:rPr>
      </w:pPr>
      <w:r>
        <w:rPr>
          <w:rFonts w:ascii="Arial" w:cs="Arial" w:eastAsia="Arial" w:hAnsi="Arial"/>
          <w:sz w:val="22"/>
          <w:szCs w:val="22"/>
          <w:i w:val="1"/>
          <w:iCs w:val="1"/>
          <w:color w:val="auto"/>
        </w:rPr>
        <w:t xml:space="preserve">Capital Adjustments and Corporate Events. </w:t>
      </w:r>
      <w:r>
        <w:rPr>
          <w:rFonts w:ascii="Arial" w:cs="Arial" w:eastAsia="Arial" w:hAnsi="Arial"/>
          <w:sz w:val="22"/>
          <w:szCs w:val="22"/>
          <w:color w:val="auto"/>
        </w:rPr>
        <w:t>If, from time to time during the term of the Option prior to its</w:t>
      </w:r>
      <w:r>
        <w:rPr>
          <w:rFonts w:ascii="Arial" w:cs="Arial" w:eastAsia="Arial" w:hAnsi="Arial"/>
          <w:sz w:val="22"/>
          <w:szCs w:val="22"/>
          <w:i w:val="1"/>
          <w:iCs w:val="1"/>
          <w:color w:val="auto"/>
        </w:rPr>
        <w:t xml:space="preserve"> </w:t>
      </w:r>
      <w:r>
        <w:rPr>
          <w:rFonts w:ascii="Arial" w:cs="Arial" w:eastAsia="Arial" w:hAnsi="Arial"/>
          <w:sz w:val="22"/>
          <w:szCs w:val="22"/>
          <w:color w:val="auto"/>
        </w:rPr>
        <w:t>exercise, there is any capital adjustment affecting the outstanding</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jc w:val="both"/>
        <w:spacing w:after="0" w:line="282" w:lineRule="auto"/>
        <w:rPr>
          <w:sz w:val="20"/>
          <w:szCs w:val="20"/>
          <w:color w:val="auto"/>
        </w:rPr>
      </w:pPr>
      <w:r>
        <w:rPr>
          <w:rFonts w:ascii="Arial" w:cs="Arial" w:eastAsia="Arial" w:hAnsi="Arial"/>
          <w:sz w:val="19"/>
          <w:szCs w:val="19"/>
          <w:color w:val="auto"/>
        </w:rPr>
        <w:t>Common Stock as a class without the Company’s receipt of consideration, including, without limitation, as a result of a spin-off or business disposition or an extraordinary cash dividend, the Option Shares and other applicable terms of this Option shall be adjusted in accordance with the provisions of Section 15 of the Plan, which adjustment shall include (as may be applicable) without limitation, equitable adjustments to the number of Option Shares, exercise price and type of property or securities to which the Option relates, in each case as determined by the Committee in its discretion and in accordance with Code Section 409A. Any and all new, substituted or additional securities to which the Optionee may be entitled by reason of this Option because of a capital adjustment shall be immediately subject to the Vesting Schedule and other terms set forth herein (as may be modified pursuant to this Agreement) and included thereafter as Option Shares for purposes of this Agreement.</w:t>
      </w:r>
    </w:p>
    <w:p>
      <w:pPr>
        <w:spacing w:after="0" w:line="147" w:lineRule="exact"/>
        <w:rPr>
          <w:sz w:val="20"/>
          <w:szCs w:val="20"/>
          <w:color w:val="auto"/>
        </w:rPr>
      </w:pPr>
    </w:p>
    <w:p>
      <w:pPr>
        <w:ind w:left="2260" w:hanging="755"/>
        <w:spacing w:after="0"/>
        <w:tabs>
          <w:tab w:leader="none" w:pos="2260" w:val="left"/>
        </w:tabs>
        <w:numPr>
          <w:ilvl w:val="0"/>
          <w:numId w:val="28"/>
        </w:numPr>
        <w:rPr>
          <w:rFonts w:ascii="Arial" w:cs="Arial" w:eastAsia="Arial" w:hAnsi="Arial"/>
          <w:sz w:val="22"/>
          <w:szCs w:val="22"/>
          <w:color w:val="auto"/>
        </w:rPr>
      </w:pPr>
      <w:r>
        <w:rPr>
          <w:rFonts w:ascii="Arial" w:cs="Arial" w:eastAsia="Arial" w:hAnsi="Arial"/>
          <w:sz w:val="22"/>
          <w:szCs w:val="22"/>
          <w:i w:val="1"/>
          <w:iCs w:val="1"/>
          <w:color w:val="auto"/>
        </w:rPr>
        <w:t>Termination of Option.</w:t>
      </w:r>
    </w:p>
    <w:p>
      <w:pPr>
        <w:spacing w:after="0" w:line="220"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The Option hereby granted shall terminate and be of no force and effect with respect to any Option Shares not previously purchased by the Optionee at the earliest time specified below:</w:t>
      </w:r>
    </w:p>
    <w:p>
      <w:pPr>
        <w:spacing w:after="0" w:line="175" w:lineRule="exact"/>
        <w:rPr>
          <w:sz w:val="20"/>
          <w:szCs w:val="20"/>
          <w:color w:val="auto"/>
        </w:rPr>
      </w:pPr>
    </w:p>
    <w:p>
      <w:pPr>
        <w:ind w:left="3000" w:hanging="1495"/>
        <w:spacing w:after="0"/>
        <w:tabs>
          <w:tab w:leader="none" w:pos="30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tenth anniversary of the Award Date;</w:t>
      </w:r>
    </w:p>
    <w:p>
      <w:pPr>
        <w:spacing w:after="0" w:line="220" w:lineRule="exact"/>
        <w:rPr>
          <w:sz w:val="20"/>
          <w:szCs w:val="20"/>
          <w:color w:val="auto"/>
        </w:rPr>
      </w:pPr>
    </w:p>
    <w:p>
      <w:pPr>
        <w:jc w:val="both"/>
        <w:ind w:firstLine="1505"/>
        <w:spacing w:after="0"/>
        <w:tabs>
          <w:tab w:leader="none" w:pos="2995" w:val="left"/>
        </w:tabs>
        <w:numPr>
          <w:ilvl w:val="0"/>
          <w:numId w:val="30"/>
        </w:numPr>
        <w:rPr>
          <w:rFonts w:ascii="Arial" w:cs="Arial" w:eastAsia="Arial" w:hAnsi="Arial"/>
          <w:sz w:val="22"/>
          <w:szCs w:val="22"/>
          <w:color w:val="auto"/>
        </w:rPr>
      </w:pPr>
      <w:r>
        <w:rPr>
          <w:rFonts w:ascii="Arial" w:cs="Arial" w:eastAsia="Arial" w:hAnsi="Arial"/>
          <w:sz w:val="22"/>
          <w:szCs w:val="22"/>
          <w:color w:val="auto"/>
        </w:rPr>
        <w:t>if Optionee’s service as a Director is terminated by the Company for “cause” (as determined by the Committee) at any time after the Award Date, then the Option shall terminate immediately upon such termination of Optionee’s service;</w:t>
      </w:r>
    </w:p>
    <w:p>
      <w:pPr>
        <w:spacing w:after="0" w:line="199" w:lineRule="exact"/>
        <w:rPr>
          <w:rFonts w:ascii="Arial" w:cs="Arial" w:eastAsia="Arial" w:hAnsi="Arial"/>
          <w:sz w:val="22"/>
          <w:szCs w:val="22"/>
          <w:color w:val="auto"/>
        </w:rPr>
      </w:pPr>
    </w:p>
    <w:p>
      <w:pPr>
        <w:ind w:right="20" w:firstLine="1505"/>
        <w:spacing w:after="0" w:line="250" w:lineRule="auto"/>
        <w:tabs>
          <w:tab w:leader="none" w:pos="2995" w:val="left"/>
        </w:tabs>
        <w:numPr>
          <w:ilvl w:val="0"/>
          <w:numId w:val="30"/>
        </w:numPr>
        <w:rPr>
          <w:rFonts w:ascii="Arial" w:cs="Arial" w:eastAsia="Arial" w:hAnsi="Arial"/>
          <w:sz w:val="22"/>
          <w:szCs w:val="22"/>
          <w:color w:val="auto"/>
        </w:rPr>
      </w:pPr>
      <w:r>
        <w:rPr>
          <w:rFonts w:ascii="Arial" w:cs="Arial" w:eastAsia="Arial" w:hAnsi="Arial"/>
          <w:sz w:val="22"/>
          <w:szCs w:val="22"/>
          <w:color w:val="auto"/>
        </w:rPr>
        <w:t>if Optionee’s service as a Director is terminated due to Retirement, then this Option shall terminate on the tenth anniversary of the Award Date;</w:t>
      </w:r>
    </w:p>
    <w:p>
      <w:pPr>
        <w:spacing w:after="0" w:line="188" w:lineRule="exact"/>
        <w:rPr>
          <w:rFonts w:ascii="Arial" w:cs="Arial" w:eastAsia="Arial" w:hAnsi="Arial"/>
          <w:sz w:val="22"/>
          <w:szCs w:val="22"/>
          <w:color w:val="auto"/>
        </w:rPr>
      </w:pPr>
    </w:p>
    <w:p>
      <w:pPr>
        <w:jc w:val="both"/>
        <w:ind w:firstLine="1505"/>
        <w:spacing w:after="0" w:line="297" w:lineRule="auto"/>
        <w:tabs>
          <w:tab w:leader="none" w:pos="2995" w:val="left"/>
        </w:tabs>
        <w:numPr>
          <w:ilvl w:val="0"/>
          <w:numId w:val="30"/>
        </w:numPr>
        <w:rPr>
          <w:rFonts w:ascii="Arial" w:cs="Arial" w:eastAsia="Arial" w:hAnsi="Arial"/>
          <w:sz w:val="19"/>
          <w:szCs w:val="19"/>
          <w:color w:val="auto"/>
        </w:rPr>
      </w:pPr>
      <w:r>
        <w:rPr>
          <w:rFonts w:ascii="Arial" w:cs="Arial" w:eastAsia="Arial" w:hAnsi="Arial"/>
          <w:sz w:val="19"/>
          <w:szCs w:val="19"/>
          <w:color w:val="auto"/>
        </w:rPr>
        <w:t>if Optionee’s service as a Director is terminated due to death at any time after the Award Date and while in the service of the Company or within 90 days after such termination of service, then the Option shall terminate on the first business day following the expiration of the one-year period which began on the date of Optionee’s death; or</w:t>
      </w:r>
    </w:p>
    <w:p>
      <w:pPr>
        <w:spacing w:after="0" w:line="147" w:lineRule="exact"/>
        <w:rPr>
          <w:rFonts w:ascii="Arial" w:cs="Arial" w:eastAsia="Arial" w:hAnsi="Arial"/>
          <w:sz w:val="19"/>
          <w:szCs w:val="19"/>
          <w:color w:val="auto"/>
        </w:rPr>
      </w:pPr>
    </w:p>
    <w:p>
      <w:pPr>
        <w:jc w:val="both"/>
        <w:ind w:firstLine="1505"/>
        <w:spacing w:after="0" w:line="247" w:lineRule="auto"/>
        <w:tabs>
          <w:tab w:leader="none" w:pos="2995" w:val="left"/>
        </w:tabs>
        <w:numPr>
          <w:ilvl w:val="0"/>
          <w:numId w:val="30"/>
        </w:numPr>
        <w:rPr>
          <w:rFonts w:ascii="Arial" w:cs="Arial" w:eastAsia="Arial" w:hAnsi="Arial"/>
          <w:sz w:val="22"/>
          <w:szCs w:val="22"/>
          <w:color w:val="auto"/>
        </w:rPr>
      </w:pPr>
      <w:r>
        <w:rPr>
          <w:rFonts w:ascii="Arial" w:cs="Arial" w:eastAsia="Arial" w:hAnsi="Arial"/>
          <w:sz w:val="22"/>
          <w:szCs w:val="22"/>
          <w:color w:val="auto"/>
        </w:rPr>
        <w:t>if Optionee’s service as a Director is terminated for any reason other than death, Retirement or termination for “cause,” then the Option shall terminate on the first business day following the expiration of the 90-day period beginning on the date of termination of Optionee’s service.</w:t>
      </w:r>
    </w:p>
    <w:p>
      <w:pPr>
        <w:spacing w:after="0" w:line="177" w:lineRule="exact"/>
        <w:rPr>
          <w:sz w:val="20"/>
          <w:szCs w:val="20"/>
          <w:color w:val="auto"/>
        </w:rPr>
      </w:pPr>
    </w:p>
    <w:p>
      <w:pPr>
        <w:ind w:left="2260" w:hanging="755"/>
        <w:spacing w:after="0"/>
        <w:tabs>
          <w:tab w:leader="none" w:pos="2260" w:val="left"/>
        </w:tabs>
        <w:numPr>
          <w:ilvl w:val="0"/>
          <w:numId w:val="31"/>
        </w:numPr>
        <w:rPr>
          <w:rFonts w:ascii="Arial" w:cs="Arial" w:eastAsia="Arial" w:hAnsi="Arial"/>
          <w:sz w:val="22"/>
          <w:szCs w:val="22"/>
          <w:color w:val="auto"/>
        </w:rPr>
      </w:pPr>
      <w:r>
        <w:rPr>
          <w:rFonts w:ascii="Arial" w:cs="Arial" w:eastAsia="Arial" w:hAnsi="Arial"/>
          <w:sz w:val="22"/>
          <w:szCs w:val="22"/>
          <w:i w:val="1"/>
          <w:iCs w:val="1"/>
          <w:color w:val="auto"/>
        </w:rPr>
        <w:t>Exercise of Option.</w:t>
      </w:r>
    </w:p>
    <w:p>
      <w:pPr>
        <w:spacing w:after="0" w:line="206"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9"/>
          <w:szCs w:val="19"/>
          <w:color w:val="auto"/>
        </w:rPr>
        <w:t>Subject to the limitations set forth herein and in the Plan, this Option may be exercised by notice provided to the Company as set forth in Section 5. The payment of the Exercise Price for the Option Shares being purchased pursuant to the Option shall be made (a) in cash, by check or cash equivalent, (b) by tender to the Company, or attestation to the ownership, of Common Stock owned by the Optionee having a Fair Market Value (as determined by the Company without regard to any restrictions on transferability applicable to such Common Stock by reason of federal or state securities laws or agreements with an underwriter for the Company) not less than the Exercise Price, (c) by delivery of a properly executed notice together with irrevocable instructions to a broker providing for the assignment to the Company of the proceeds of a sale or loan with respect to some or all of the shares being acquired upon the exercise of the</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jc w:val="both"/>
        <w:spacing w:after="0" w:line="252" w:lineRule="auto"/>
        <w:rPr>
          <w:sz w:val="20"/>
          <w:szCs w:val="20"/>
          <w:color w:val="auto"/>
        </w:rPr>
      </w:pPr>
      <w:r>
        <w:rPr>
          <w:rFonts w:ascii="Arial" w:cs="Arial" w:eastAsia="Arial" w:hAnsi="Arial"/>
          <w:sz w:val="21"/>
          <w:szCs w:val="21"/>
          <w:color w:val="auto"/>
        </w:rPr>
        <w:t>Option (including, without limitation, through an exercise complying with the provisions of Regulation T as promulgated from time to time by the Board of Governors of the Federal Reserve System), (d) by withholding Option Shares equal to the Exercise Price multiplied by the number of Options exercised divided by the Fair Market Value at the time of exercise, rounded up to the nearest whole share, (e) by such other consideration as may be approved by the Board from time to time to the extent permitted by applicable law, or (f) by any combination thereof. Notwithstanding the foregoing, if the Exercise Price of the outstanding portion of the Option is less than the Fair Market Value of a share of Common Stock on the day the Option would otherwise expire as provided in Section 3(a), then the Option shall be automatically exercised in full pursuant to clause (d) above immediately prior to its expiration.</w:t>
      </w:r>
    </w:p>
    <w:p>
      <w:pPr>
        <w:spacing w:after="0" w:line="173" w:lineRule="exact"/>
        <w:rPr>
          <w:sz w:val="20"/>
          <w:szCs w:val="20"/>
          <w:color w:val="auto"/>
        </w:rPr>
      </w:pPr>
    </w:p>
    <w:p>
      <w:pPr>
        <w:jc w:val="both"/>
        <w:ind w:firstLine="1497"/>
        <w:spacing w:after="0" w:line="251" w:lineRule="auto"/>
        <w:rPr>
          <w:sz w:val="20"/>
          <w:szCs w:val="20"/>
          <w:color w:val="auto"/>
        </w:rPr>
      </w:pPr>
      <w:r>
        <w:rPr>
          <w:rFonts w:ascii="Arial" w:cs="Arial" w:eastAsia="Arial" w:hAnsi="Arial"/>
          <w:sz w:val="21"/>
          <w:szCs w:val="21"/>
          <w:color w:val="auto"/>
        </w:rPr>
        <w:t>If the Optionee desires to pay the purchase price for the Option Shares by tendering Common Stock using the method of attestation, the Optionee may, subject to any such conditions and in compliance with any such procedures as the Committee may adopt, do so by attesting to the ownership of Common Stock of the requisite value, in which case the Company shall issue or otherwise deliver to the Optionee upon such exercise a number of Option Shares equal to the result obtained by dividing (a) the excess of the aggregate Fair Market Value of the total number shares of Common Stock subject to the Option for which the Option (or portion thereof) is being exercised over the purchase price payable in respect of such exercise by (b) the Fair Market Value per share of Common Stock subject to the Option, and the Optionee may retain the shares of Common Stock the ownership of which is attested.</w:t>
      </w:r>
    </w:p>
    <w:p>
      <w:pPr>
        <w:spacing w:after="0" w:line="180" w:lineRule="exact"/>
        <w:rPr>
          <w:sz w:val="20"/>
          <w:szCs w:val="20"/>
          <w:color w:val="auto"/>
        </w:rPr>
      </w:pPr>
    </w:p>
    <w:p>
      <w:pPr>
        <w:jc w:val="both"/>
        <w:ind w:firstLine="1497"/>
        <w:spacing w:after="0" w:line="282" w:lineRule="auto"/>
        <w:rPr>
          <w:sz w:val="20"/>
          <w:szCs w:val="20"/>
          <w:color w:val="auto"/>
        </w:rPr>
      </w:pPr>
      <w:r>
        <w:rPr>
          <w:rFonts w:ascii="Arial" w:cs="Arial" w:eastAsia="Arial" w:hAnsi="Arial"/>
          <w:sz w:val="19"/>
          <w:szCs w:val="19"/>
          <w:color w:val="auto"/>
        </w:rPr>
        <w:t>Notwithstanding anything to the contrary contained herein, the Optionee agrees that he will not exercise the Option granted pursuant hereto, and the Company will not be obligated to issue any Option Shares pursuant to this Option Agreement, if the exercise of the Option or the issuance of such shares would constitute a violation by the Optionee or by the Company of any provision of any law or regulation of any governmental authority or any stock exchange or transaction quotation system. The Optionee agrees that, unless the options and shares covered by the Plan have been registered pursuant to the Securities Act of 1933, as amended (the “Act”), the Company may, at its election, require the Optionee to give a representation in writing in form and substance satisfactory to the Company to the effect that he is acquiring such shares for his own account for investment and not with a view to, or for sale in connection with, the distribution of such shares or any part thereof.</w:t>
      </w:r>
    </w:p>
    <w:p>
      <w:pPr>
        <w:spacing w:after="0" w:line="147"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22"/>
          <w:szCs w:val="22"/>
          <w:color w:val="auto"/>
        </w:rPr>
        <w:t>If any law or regulation requires the Company to take any action with respect to the shares specified in such notice, the time for delivery thereof, which would otherwise be as promptly as reasonably practicable, shall be postponed for the period of time necessary to take such action.</w:t>
      </w:r>
    </w:p>
    <w:p>
      <w:pPr>
        <w:spacing w:after="0" w:line="191" w:lineRule="exact"/>
        <w:rPr>
          <w:sz w:val="20"/>
          <w:szCs w:val="20"/>
          <w:color w:val="auto"/>
        </w:rPr>
      </w:pPr>
    </w:p>
    <w:p>
      <w:pPr>
        <w:ind w:left="2260" w:hanging="755"/>
        <w:spacing w:after="0"/>
        <w:tabs>
          <w:tab w:leader="none" w:pos="2260"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Notices.</w:t>
      </w:r>
    </w:p>
    <w:p>
      <w:pPr>
        <w:spacing w:after="0" w:line="206"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Notice of exercise of the Option must be made in the following manner, using such forms as the Company may from time to time provide:</w:t>
      </w:r>
    </w:p>
    <w:p>
      <w:pPr>
        <w:spacing w:after="0" w:line="188" w:lineRule="exact"/>
        <w:rPr>
          <w:sz w:val="20"/>
          <w:szCs w:val="20"/>
          <w:color w:val="auto"/>
        </w:rPr>
      </w:pPr>
    </w:p>
    <w:p>
      <w:pPr>
        <w:ind w:firstLine="1505"/>
        <w:spacing w:after="0" w:line="250" w:lineRule="auto"/>
        <w:tabs>
          <w:tab w:leader="none" w:pos="2995" w:val="left"/>
        </w:tabs>
        <w:numPr>
          <w:ilvl w:val="0"/>
          <w:numId w:val="33"/>
        </w:numPr>
        <w:rPr>
          <w:rFonts w:ascii="Arial" w:cs="Arial" w:eastAsia="Arial" w:hAnsi="Arial"/>
          <w:sz w:val="22"/>
          <w:szCs w:val="22"/>
          <w:color w:val="auto"/>
        </w:rPr>
      </w:pPr>
      <w:r>
        <w:rPr>
          <w:rFonts w:ascii="Arial" w:cs="Arial" w:eastAsia="Arial" w:hAnsi="Arial"/>
          <w:sz w:val="22"/>
          <w:szCs w:val="22"/>
          <w:color w:val="auto"/>
        </w:rPr>
        <w:t>by electronic means as designated by the Committee, in which case the date of exercise shall be the date when receipt is acknowledged by the Company;</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jc w:val="both"/>
        <w:ind w:firstLine="1505"/>
        <w:spacing w:after="0" w:line="247" w:lineRule="auto"/>
        <w:tabs>
          <w:tab w:leader="none" w:pos="2995" w:val="left"/>
        </w:tabs>
        <w:numPr>
          <w:ilvl w:val="0"/>
          <w:numId w:val="34"/>
        </w:numPr>
        <w:rPr>
          <w:rFonts w:ascii="Arial" w:cs="Arial" w:eastAsia="Arial" w:hAnsi="Arial"/>
          <w:sz w:val="22"/>
          <w:szCs w:val="22"/>
          <w:color w:val="auto"/>
        </w:rPr>
      </w:pPr>
      <w:r>
        <w:rPr>
          <w:rFonts w:ascii="Arial" w:cs="Arial" w:eastAsia="Arial" w:hAnsi="Arial"/>
          <w:sz w:val="22"/>
          <w:szCs w:val="22"/>
          <w:color w:val="auto"/>
        </w:rPr>
        <w:t>by registered or certified United States mail, postage prepaid, to Eagle Materials Inc., Attention: Secretary, 5960 Berkshire Ln., Suite 900, Dallas, Texas 75225, in which case the date of exercise shall be the date of mailing; or</w:t>
      </w:r>
    </w:p>
    <w:p>
      <w:pPr>
        <w:spacing w:after="0" w:line="178" w:lineRule="exact"/>
        <w:rPr>
          <w:rFonts w:ascii="Arial" w:cs="Arial" w:eastAsia="Arial" w:hAnsi="Arial"/>
          <w:sz w:val="22"/>
          <w:szCs w:val="22"/>
          <w:color w:val="auto"/>
        </w:rPr>
      </w:pPr>
    </w:p>
    <w:p>
      <w:pPr>
        <w:jc w:val="both"/>
        <w:ind w:firstLine="1505"/>
        <w:spacing w:after="0" w:line="247" w:lineRule="auto"/>
        <w:tabs>
          <w:tab w:leader="none" w:pos="2995" w:val="left"/>
        </w:tabs>
        <w:numPr>
          <w:ilvl w:val="0"/>
          <w:numId w:val="34"/>
        </w:numPr>
        <w:rPr>
          <w:rFonts w:ascii="Arial" w:cs="Arial" w:eastAsia="Arial" w:hAnsi="Arial"/>
          <w:sz w:val="22"/>
          <w:szCs w:val="22"/>
          <w:color w:val="auto"/>
        </w:rPr>
      </w:pPr>
      <w:r>
        <w:rPr>
          <w:rFonts w:ascii="Arial" w:cs="Arial" w:eastAsia="Arial" w:hAnsi="Arial"/>
          <w:sz w:val="22"/>
          <w:szCs w:val="22"/>
          <w:color w:val="auto"/>
        </w:rPr>
        <w:t>by hand delivery or otherwise to Eagle Materials Inc., Attention: Secretary, 5960 Berkshire Ln., Suite 900, Dallas, Texas 75225, in which case the date of exercise shall be the date when receipt is acknowledged by the Company.</w:t>
      </w:r>
    </w:p>
    <w:p>
      <w:pPr>
        <w:spacing w:after="0" w:line="177" w:lineRule="exact"/>
        <w:rPr>
          <w:sz w:val="20"/>
          <w:szCs w:val="20"/>
          <w:color w:val="auto"/>
        </w:rPr>
      </w:pPr>
    </w:p>
    <w:p>
      <w:pPr>
        <w:jc w:val="both"/>
        <w:ind w:firstLine="1497"/>
        <w:spacing w:after="0" w:line="247" w:lineRule="auto"/>
        <w:rPr>
          <w:sz w:val="20"/>
          <w:szCs w:val="20"/>
          <w:color w:val="auto"/>
        </w:rPr>
      </w:pPr>
      <w:r>
        <w:rPr>
          <w:rFonts w:ascii="Arial" w:cs="Arial" w:eastAsia="Arial" w:hAnsi="Arial"/>
          <w:sz w:val="22"/>
          <w:szCs w:val="22"/>
          <w:color w:val="auto"/>
        </w:rPr>
        <w:t>Notwithstanding the foregoing, in the event that the address of the Company is changed prior to the date of any exercise of this Option, notice of exercise shall instead be made pursuant to the foregoing provisions at the Company’s current address.</w:t>
      </w:r>
    </w:p>
    <w:p>
      <w:pPr>
        <w:spacing w:after="0" w:line="191"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color w:val="auto"/>
        </w:rPr>
        <w:t>Any other notices provided for in this Agreement or in the Plan shall be given in writing or by such electronic means, as permitted by the Committee, and shall be deemed effectively delivered or given upon receipt or, in the case of notices delivered by the Company to the Optionee, five days after deposit in the United States mail, postage prepaid, addressed to the Optionee at the address specified at the end of this Agreement or at such other address as the Optionee hereafter designates by written notice to the Company.</w:t>
      </w:r>
    </w:p>
    <w:p>
      <w:pPr>
        <w:spacing w:after="0" w:line="185" w:lineRule="exact"/>
        <w:rPr>
          <w:sz w:val="20"/>
          <w:szCs w:val="20"/>
          <w:color w:val="auto"/>
        </w:rPr>
      </w:pPr>
    </w:p>
    <w:p>
      <w:pPr>
        <w:ind w:left="2260" w:hanging="755"/>
        <w:spacing w:after="0"/>
        <w:tabs>
          <w:tab w:leader="none" w:pos="2260"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Assignment of Option.</w:t>
      </w:r>
    </w:p>
    <w:p>
      <w:pPr>
        <w:spacing w:after="0" w:line="220" w:lineRule="exact"/>
        <w:rPr>
          <w:sz w:val="20"/>
          <w:szCs w:val="20"/>
          <w:color w:val="auto"/>
        </w:rPr>
      </w:pPr>
    </w:p>
    <w:p>
      <w:pPr>
        <w:jc w:val="both"/>
        <w:ind w:firstLine="1497"/>
        <w:spacing w:after="0" w:line="292" w:lineRule="auto"/>
        <w:rPr>
          <w:sz w:val="20"/>
          <w:szCs w:val="20"/>
          <w:color w:val="auto"/>
        </w:rPr>
      </w:pPr>
      <w:r>
        <w:rPr>
          <w:rFonts w:ascii="Arial" w:cs="Arial" w:eastAsia="Arial" w:hAnsi="Arial"/>
          <w:sz w:val="19"/>
          <w:szCs w:val="19"/>
          <w:color w:val="auto"/>
        </w:rPr>
        <w:t>Except as otherwise permitted by the Committee, the rights of the Optionee under the Plan and this Agreement are personal; no assignment or transfer of the Optionee’s rights under and interest in this Option may be made by the Optionee otherwise than by will, by beneficiary designation, by the laws of descent and distribution or by a qualified domestic relations order; and this Option is exercisable during his lifetime only by the Optionee, except as otherwise provided in this Agreement.</w:t>
      </w:r>
    </w:p>
    <w:p>
      <w:pPr>
        <w:spacing w:after="0" w:line="138" w:lineRule="exact"/>
        <w:rPr>
          <w:sz w:val="20"/>
          <w:szCs w:val="20"/>
          <w:color w:val="auto"/>
        </w:rPr>
      </w:pPr>
    </w:p>
    <w:p>
      <w:pPr>
        <w:jc w:val="both"/>
        <w:ind w:firstLine="1497"/>
        <w:spacing w:after="0" w:line="245" w:lineRule="auto"/>
        <w:rPr>
          <w:sz w:val="20"/>
          <w:szCs w:val="20"/>
          <w:color w:val="auto"/>
        </w:rPr>
      </w:pPr>
      <w:r>
        <w:rPr>
          <w:rFonts w:ascii="Arial" w:cs="Arial" w:eastAsia="Arial" w:hAnsi="Arial"/>
          <w:sz w:val="22"/>
          <w:szCs w:val="22"/>
          <w:color w:val="auto"/>
        </w:rPr>
        <w:t>After the death of the Optionee, exercise of the Option shall be permitted only by the Optionee’s designated beneficiary or, in the absence of a designated beneficiary, the Optionee’s executor or the personal representative of the Optionee’s estate (or by his assignee, in the event of a permitted assignment) and only to the extent that the Option was exercisable on the date of the Optionee’s death.</w:t>
      </w:r>
    </w:p>
    <w:p>
      <w:pPr>
        <w:spacing w:after="0" w:line="182" w:lineRule="exact"/>
        <w:rPr>
          <w:sz w:val="20"/>
          <w:szCs w:val="20"/>
          <w:color w:val="auto"/>
        </w:rPr>
      </w:pPr>
    </w:p>
    <w:p>
      <w:pPr>
        <w:ind w:left="2260" w:hanging="755"/>
        <w:spacing w:after="0"/>
        <w:tabs>
          <w:tab w:leader="none" w:pos="2260"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Stock Certificates.</w:t>
      </w:r>
    </w:p>
    <w:p>
      <w:pPr>
        <w:spacing w:after="0" w:line="206" w:lineRule="exact"/>
        <w:rPr>
          <w:sz w:val="20"/>
          <w:szCs w:val="20"/>
          <w:color w:val="auto"/>
        </w:rPr>
      </w:pPr>
    </w:p>
    <w:p>
      <w:pPr>
        <w:jc w:val="both"/>
        <w:ind w:firstLine="1497"/>
        <w:spacing w:after="0" w:line="297" w:lineRule="auto"/>
        <w:rPr>
          <w:sz w:val="20"/>
          <w:szCs w:val="20"/>
          <w:color w:val="auto"/>
        </w:rPr>
      </w:pPr>
      <w:r>
        <w:rPr>
          <w:rFonts w:ascii="Arial" w:cs="Arial" w:eastAsia="Arial" w:hAnsi="Arial"/>
          <w:sz w:val="19"/>
          <w:szCs w:val="19"/>
          <w:color w:val="auto"/>
        </w:rPr>
        <w:t>Certificates representing the Common Stock issued pursuant to the exercise of the Option will bear all legends required by law and necessary or advisable to effectuate the provisions of the Plan and this Option. The Company may place a “stop transfer” order against shares of the Common Stock issued pursuant to the exercise of this Option until all restrictions and conditions set forth in the Plan or this Agreement and in the legends referred to in this Section 7 have been complied with.</w:t>
      </w:r>
    </w:p>
    <w:p>
      <w:pPr>
        <w:spacing w:after="0" w:line="133" w:lineRule="exact"/>
        <w:rPr>
          <w:sz w:val="20"/>
          <w:szCs w:val="20"/>
          <w:color w:val="auto"/>
        </w:rPr>
      </w:pPr>
    </w:p>
    <w:p>
      <w:pPr>
        <w:ind w:left="2260" w:hanging="755"/>
        <w:spacing w:after="0"/>
        <w:tabs>
          <w:tab w:leader="none" w:pos="2260"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Shareholder Rights.</w:t>
      </w:r>
    </w:p>
    <w:p>
      <w:pPr>
        <w:spacing w:after="0" w:line="206" w:lineRule="exact"/>
        <w:rPr>
          <w:sz w:val="20"/>
          <w:szCs w:val="20"/>
          <w:color w:val="auto"/>
        </w:rPr>
      </w:pPr>
    </w:p>
    <w:p>
      <w:pPr>
        <w:jc w:val="both"/>
        <w:ind w:right="20" w:firstLine="1497"/>
        <w:spacing w:after="0" w:line="247" w:lineRule="auto"/>
        <w:rPr>
          <w:sz w:val="20"/>
          <w:szCs w:val="20"/>
          <w:color w:val="auto"/>
        </w:rPr>
      </w:pPr>
      <w:r>
        <w:rPr>
          <w:rFonts w:ascii="Arial" w:cs="Arial" w:eastAsia="Arial" w:hAnsi="Arial"/>
          <w:sz w:val="22"/>
          <w:szCs w:val="22"/>
          <w:color w:val="auto"/>
        </w:rPr>
        <w:t>The Optionee shall have no rights of a shareholder with respect to shares of Common Stock subject to the Option unless and until such time as the Option has been exercised and ownership of such shares of Common Stock has been transferred to the Optionee.</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ind w:left="2260" w:hanging="755"/>
        <w:spacing w:after="0"/>
        <w:tabs>
          <w:tab w:leader="none" w:pos="2260"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Successors and Assigns.</w:t>
      </w:r>
    </w:p>
    <w:p>
      <w:pPr>
        <w:spacing w:after="0" w:line="207" w:lineRule="exact"/>
        <w:rPr>
          <w:sz w:val="20"/>
          <w:szCs w:val="20"/>
          <w:color w:val="auto"/>
        </w:rPr>
      </w:pPr>
    </w:p>
    <w:p>
      <w:pPr>
        <w:jc w:val="both"/>
        <w:ind w:firstLine="1497"/>
        <w:spacing w:after="0" w:line="305" w:lineRule="auto"/>
        <w:rPr>
          <w:sz w:val="20"/>
          <w:szCs w:val="20"/>
          <w:color w:val="auto"/>
        </w:rPr>
      </w:pPr>
      <w:r>
        <w:rPr>
          <w:rFonts w:ascii="Arial" w:cs="Arial" w:eastAsia="Arial" w:hAnsi="Arial"/>
          <w:sz w:val="19"/>
          <w:szCs w:val="19"/>
          <w:color w:val="auto"/>
        </w:rPr>
        <w:t>This Agreement shall bind and inure to the benefit of and be enforceable by the Optionee, the Company and their respective permitted successors and assigns (including personal representatives, heirs and legatees), except that the Optionee may not assign any rights or obligations under this Agreement except to the extent and in the manner expressly permitted herein.</w:t>
      </w:r>
    </w:p>
    <w:p>
      <w:pPr>
        <w:spacing w:after="0" w:line="139" w:lineRule="exact"/>
        <w:rPr>
          <w:sz w:val="20"/>
          <w:szCs w:val="20"/>
          <w:color w:val="auto"/>
        </w:rPr>
      </w:pPr>
    </w:p>
    <w:p>
      <w:pPr>
        <w:ind w:left="2260" w:hanging="755"/>
        <w:spacing w:after="0"/>
        <w:tabs>
          <w:tab w:leader="none" w:pos="2260" w:val="left"/>
        </w:tabs>
        <w:numPr>
          <w:ilvl w:val="0"/>
          <w:numId w:val="39"/>
        </w:numPr>
        <w:rPr>
          <w:rFonts w:ascii="Arial" w:cs="Arial" w:eastAsia="Arial" w:hAnsi="Arial"/>
          <w:sz w:val="22"/>
          <w:szCs w:val="22"/>
          <w:color w:val="auto"/>
        </w:rPr>
      </w:pPr>
      <w:r>
        <w:rPr>
          <w:rFonts w:ascii="Arial" w:cs="Arial" w:eastAsia="Arial" w:hAnsi="Arial"/>
          <w:sz w:val="22"/>
          <w:szCs w:val="22"/>
          <w:i w:val="1"/>
          <w:iCs w:val="1"/>
          <w:color w:val="auto"/>
        </w:rPr>
        <w:t>No Service Guaranteed.</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No provision of this Option Agreement shall confer any right upon the Optionee to continued service with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202" w:lineRule="exact"/>
        <w:rPr>
          <w:sz w:val="20"/>
          <w:szCs w:val="20"/>
          <w:color w:val="auto"/>
        </w:rPr>
      </w:pPr>
    </w:p>
    <w:p>
      <w:pPr>
        <w:ind w:left="2260" w:hanging="755"/>
        <w:spacing w:after="0"/>
        <w:tabs>
          <w:tab w:leader="none" w:pos="2260"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Governing Law.</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This Option Agreement shall be governed by, construed and enforced in accordance with the laws of the State of</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Texas.</w:t>
      </w:r>
    </w:p>
    <w:p>
      <w:pPr>
        <w:spacing w:after="0" w:line="188" w:lineRule="exact"/>
        <w:rPr>
          <w:sz w:val="20"/>
          <w:szCs w:val="20"/>
          <w:color w:val="auto"/>
        </w:rPr>
      </w:pPr>
    </w:p>
    <w:p>
      <w:pPr>
        <w:ind w:left="2260" w:hanging="755"/>
        <w:spacing w:after="0"/>
        <w:tabs>
          <w:tab w:leader="none" w:pos="2260" w:val="left"/>
        </w:tabs>
        <w:numPr>
          <w:ilvl w:val="0"/>
          <w:numId w:val="41"/>
        </w:numPr>
        <w:rPr>
          <w:rFonts w:ascii="Arial" w:cs="Arial" w:eastAsia="Arial" w:hAnsi="Arial"/>
          <w:sz w:val="22"/>
          <w:szCs w:val="22"/>
          <w:color w:val="auto"/>
        </w:rPr>
      </w:pPr>
      <w:r>
        <w:rPr>
          <w:rFonts w:ascii="Arial" w:cs="Arial" w:eastAsia="Arial" w:hAnsi="Arial"/>
          <w:sz w:val="22"/>
          <w:szCs w:val="22"/>
          <w:i w:val="1"/>
          <w:iCs w:val="1"/>
          <w:color w:val="auto"/>
        </w:rPr>
        <w:t>Amendment.</w:t>
      </w:r>
    </w:p>
    <w:p>
      <w:pPr>
        <w:spacing w:after="0" w:line="206" w:lineRule="exact"/>
        <w:rPr>
          <w:sz w:val="20"/>
          <w:szCs w:val="20"/>
          <w:color w:val="auto"/>
        </w:rPr>
      </w:pPr>
    </w:p>
    <w:p>
      <w:pPr>
        <w:ind w:firstLine="1497"/>
        <w:spacing w:after="0" w:line="263" w:lineRule="auto"/>
        <w:rPr>
          <w:sz w:val="20"/>
          <w:szCs w:val="20"/>
          <w:color w:val="auto"/>
        </w:rPr>
      </w:pPr>
      <w:r>
        <w:rPr>
          <w:rFonts w:ascii="Arial" w:cs="Arial" w:eastAsia="Arial" w:hAnsi="Arial"/>
          <w:sz w:val="22"/>
          <w:szCs w:val="22"/>
          <w:color w:val="auto"/>
        </w:rPr>
        <w:t>This Agreement cannot be modified, altered or amended except by an agreement, in writing, signed by both the Company and the Optionee.</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22"/>
          <w:szCs w:val="22"/>
          <w:b w:val="1"/>
          <w:bCs w:val="1"/>
          <w:color w:val="auto"/>
        </w:rPr>
        <w:t>EAGLE MATERIALS INC.</w:t>
      </w:r>
    </w:p>
    <w:p>
      <w:pPr>
        <w:spacing w:after="0" w:line="200" w:lineRule="exact"/>
        <w:rPr>
          <w:sz w:val="20"/>
          <w:szCs w:val="20"/>
          <w:color w:val="auto"/>
        </w:rPr>
      </w:pPr>
    </w:p>
    <w:p>
      <w:pPr>
        <w:spacing w:after="0" w:line="336" w:lineRule="exact"/>
        <w:rPr>
          <w:sz w:val="20"/>
          <w:szCs w:val="20"/>
          <w:color w:val="auto"/>
        </w:rPr>
      </w:pPr>
    </w:p>
    <w:tbl>
      <w:tblPr>
        <w:tblLayout w:type="fixed"/>
        <w:tblInd w:w="4840" w:type="dxa"/>
        <w:tblCellMar>
          <w:top w:w="0" w:type="dxa"/>
          <w:left w:w="0" w:type="dxa"/>
          <w:bottom w:w="0" w:type="dxa"/>
          <w:right w:w="0" w:type="dxa"/>
        </w:tblCellMar>
      </w:tblPr>
      <w:tr>
        <w:trPr>
          <w:trHeight w:val="276"/>
        </w:trPr>
        <w:tc>
          <w:tcPr>
            <w:tcW w:w="118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tcBorders>
              <w:bottom w:val="single" w:sz="8" w:color="auto"/>
            </w:tcBorders>
          </w:tcPr>
          <w:p>
            <w:pPr>
              <w:spacing w:after="0"/>
              <w:rPr>
                <w:sz w:val="24"/>
                <w:szCs w:val="24"/>
                <w:color w:val="auto"/>
              </w:rPr>
            </w:pPr>
          </w:p>
        </w:tc>
      </w:tr>
      <w:tr>
        <w:trPr>
          <w:trHeight w:val="505"/>
        </w:trPr>
        <w:tc>
          <w:tcPr>
            <w:tcW w:w="1180" w:type="dxa"/>
            <w:vAlign w:val="bottom"/>
          </w:tcPr>
          <w:p>
            <w:pPr>
              <w:spacing w:after="0"/>
              <w:rPr>
                <w:sz w:val="20"/>
                <w:szCs w:val="20"/>
                <w:color w:val="auto"/>
              </w:rPr>
            </w:pPr>
            <w:r>
              <w:rPr>
                <w:rFonts w:ascii="Arial" w:cs="Arial" w:eastAsia="Arial" w:hAnsi="Arial"/>
                <w:sz w:val="22"/>
                <w:szCs w:val="22"/>
                <w:color w:val="auto"/>
              </w:rPr>
              <w:t>Name:</w:t>
            </w:r>
          </w:p>
        </w:tc>
        <w:tc>
          <w:tcPr>
            <w:tcW w:w="5220" w:type="dxa"/>
            <w:vAlign w:val="bottom"/>
          </w:tcPr>
          <w:p>
            <w:pPr>
              <w:ind w:left="100"/>
              <w:spacing w:after="0"/>
              <w:rPr>
                <w:sz w:val="20"/>
                <w:szCs w:val="20"/>
                <w:color w:val="auto"/>
              </w:rPr>
            </w:pPr>
            <w:r>
              <w:rPr>
                <w:rFonts w:ascii="Arial" w:cs="Arial" w:eastAsia="Arial" w:hAnsi="Arial"/>
                <w:sz w:val="22"/>
                <w:szCs w:val="22"/>
                <w:color w:val="auto"/>
              </w:rPr>
              <w:t>Michael R. Haack</w:t>
            </w:r>
          </w:p>
        </w:tc>
      </w:tr>
      <w:tr>
        <w:trPr>
          <w:trHeight w:val="513"/>
        </w:trPr>
        <w:tc>
          <w:tcPr>
            <w:tcW w:w="1180" w:type="dxa"/>
            <w:vAlign w:val="bottom"/>
          </w:tcPr>
          <w:p>
            <w:pPr>
              <w:spacing w:after="0"/>
              <w:rPr>
                <w:sz w:val="20"/>
                <w:szCs w:val="20"/>
                <w:color w:val="auto"/>
              </w:rPr>
            </w:pPr>
            <w:r>
              <w:rPr>
                <w:rFonts w:ascii="Arial" w:cs="Arial" w:eastAsia="Arial" w:hAnsi="Arial"/>
                <w:sz w:val="22"/>
                <w:szCs w:val="22"/>
                <w:color w:val="auto"/>
              </w:rPr>
              <w:t>Its:</w:t>
            </w:r>
          </w:p>
        </w:tc>
        <w:tc>
          <w:tcPr>
            <w:tcW w:w="5220" w:type="dxa"/>
            <w:vAlign w:val="bottom"/>
          </w:tcPr>
          <w:p>
            <w:pPr>
              <w:ind w:left="100"/>
              <w:spacing w:after="0"/>
              <w:rPr>
                <w:sz w:val="20"/>
                <w:szCs w:val="20"/>
                <w:color w:val="auto"/>
              </w:rPr>
            </w:pPr>
            <w:r>
              <w:rPr>
                <w:rFonts w:ascii="Arial" w:cs="Arial" w:eastAsia="Arial" w:hAnsi="Arial"/>
                <w:sz w:val="22"/>
                <w:szCs w:val="22"/>
                <w:color w:val="auto"/>
              </w:rPr>
              <w:t>President and CEO</w:t>
            </w:r>
          </w:p>
        </w:tc>
      </w:tr>
      <w:tr>
        <w:trPr>
          <w:trHeight w:val="468"/>
        </w:trPr>
        <w:tc>
          <w:tcPr>
            <w:tcW w:w="1180" w:type="dxa"/>
            <w:vAlign w:val="bottom"/>
          </w:tcPr>
          <w:p>
            <w:pPr>
              <w:spacing w:after="0"/>
              <w:rPr>
                <w:sz w:val="20"/>
                <w:szCs w:val="20"/>
                <w:color w:val="auto"/>
              </w:rPr>
            </w:pPr>
            <w:r>
              <w:rPr>
                <w:rFonts w:ascii="Arial" w:cs="Arial" w:eastAsia="Arial" w:hAnsi="Arial"/>
                <w:sz w:val="22"/>
                <w:szCs w:val="22"/>
                <w:color w:val="auto"/>
              </w:rPr>
              <w:t>Address:</w:t>
            </w:r>
          </w:p>
        </w:tc>
        <w:tc>
          <w:tcPr>
            <w:tcW w:w="5220" w:type="dxa"/>
            <w:vAlign w:val="bottom"/>
          </w:tcPr>
          <w:p>
            <w:pPr>
              <w:ind w:left="100"/>
              <w:spacing w:after="0"/>
              <w:rPr>
                <w:sz w:val="20"/>
                <w:szCs w:val="20"/>
                <w:color w:val="auto"/>
              </w:rPr>
            </w:pPr>
            <w:r>
              <w:rPr>
                <w:rFonts w:ascii="Arial" w:cs="Arial" w:eastAsia="Arial" w:hAnsi="Arial"/>
                <w:sz w:val="22"/>
                <w:szCs w:val="22"/>
                <w:color w:val="auto"/>
              </w:rPr>
              <w:t>5960 Berkshire Ln., Suite 900</w:t>
            </w:r>
          </w:p>
        </w:tc>
      </w:tr>
      <w:tr>
        <w:trPr>
          <w:trHeight w:val="274"/>
        </w:trPr>
        <w:tc>
          <w:tcPr>
            <w:tcW w:w="1180" w:type="dxa"/>
            <w:vAlign w:val="bottom"/>
          </w:tcPr>
          <w:p>
            <w:pPr>
              <w:spacing w:after="0"/>
              <w:rPr>
                <w:sz w:val="23"/>
                <w:szCs w:val="23"/>
                <w:color w:val="auto"/>
              </w:rPr>
            </w:pPr>
          </w:p>
        </w:tc>
        <w:tc>
          <w:tcPr>
            <w:tcW w:w="5220" w:type="dxa"/>
            <w:vAlign w:val="bottom"/>
          </w:tcPr>
          <w:p>
            <w:pPr>
              <w:ind w:left="100"/>
              <w:spacing w:after="0"/>
              <w:rPr>
                <w:sz w:val="20"/>
                <w:szCs w:val="20"/>
                <w:color w:val="auto"/>
              </w:rPr>
            </w:pPr>
            <w:r>
              <w:rPr>
                <w:rFonts w:ascii="Arial" w:cs="Arial" w:eastAsia="Arial" w:hAnsi="Arial"/>
                <w:sz w:val="22"/>
                <w:szCs w:val="22"/>
                <w:color w:val="auto"/>
              </w:rPr>
              <w:t>Dallas, Texas 75225</w:t>
            </w:r>
          </w:p>
        </w:tc>
      </w:tr>
    </w:tbl>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ind w:firstLine="1497"/>
        <w:spacing w:after="0" w:line="251" w:lineRule="auto"/>
        <w:rPr>
          <w:sz w:val="20"/>
          <w:szCs w:val="20"/>
          <w:color w:val="auto"/>
        </w:rPr>
      </w:pPr>
      <w:r>
        <w:rPr>
          <w:rFonts w:ascii="Arial" w:cs="Arial" w:eastAsia="Arial" w:hAnsi="Arial"/>
          <w:sz w:val="22"/>
          <w:szCs w:val="22"/>
          <w:color w:val="auto"/>
        </w:rPr>
        <w:t>The Optionee hereby accepts the foregoing Option Agreement, subject to the terms and provisions of the Plan and administrative interpretations thereof referred to above.</w:t>
      </w:r>
    </w:p>
    <w:p>
      <w:pPr>
        <w:spacing w:after="0" w:line="181"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OPTIONEE:</w:t>
      </w:r>
    </w:p>
    <w:p>
      <w:pPr>
        <w:spacing w:after="0" w:line="200" w:lineRule="exact"/>
        <w:rPr>
          <w:sz w:val="20"/>
          <w:szCs w:val="20"/>
          <w:color w:val="auto"/>
        </w:rPr>
      </w:pPr>
    </w:p>
    <w:p>
      <w:pPr>
        <w:spacing w:after="0" w:line="323" w:lineRule="exact"/>
        <w:rPr>
          <w:sz w:val="20"/>
          <w:szCs w:val="20"/>
          <w:color w:val="auto"/>
        </w:rPr>
      </w:pPr>
    </w:p>
    <w:p>
      <w:pPr>
        <w:ind w:left="4460"/>
        <w:spacing w:after="0"/>
        <w:tabs>
          <w:tab w:leader="none" w:pos="5720" w:val="left"/>
        </w:tabs>
        <w:rPr>
          <w:sz w:val="20"/>
          <w:szCs w:val="20"/>
          <w:color w:val="auto"/>
        </w:rPr>
      </w:pPr>
      <w:r>
        <w:rPr>
          <w:rFonts w:ascii="Arial" w:cs="Arial" w:eastAsia="Arial" w:hAnsi="Arial"/>
          <w:sz w:val="22"/>
          <w:szCs w:val="22"/>
          <w:color w:val="auto"/>
        </w:rPr>
        <w:t>Signed:</w:t>
      </w:r>
      <w:r>
        <w:rPr>
          <w:sz w:val="20"/>
          <w:szCs w:val="20"/>
          <w:color w:val="auto"/>
        </w:rPr>
        <w:tab/>
      </w:r>
      <w:r>
        <w:rPr>
          <w:rFonts w:ascii="Arial" w:cs="Arial" w:eastAsia="Arial" w:hAnsi="Arial"/>
          <w:sz w:val="22"/>
          <w:szCs w:val="22"/>
          <w:color w:val="auto"/>
        </w:rPr>
        <w:t>_____________________________________</w:t>
      </w:r>
    </w:p>
    <w:p>
      <w:pPr>
        <w:spacing w:after="0" w:line="260" w:lineRule="exact"/>
        <w:rPr>
          <w:sz w:val="20"/>
          <w:szCs w:val="20"/>
          <w:color w:val="auto"/>
        </w:rPr>
      </w:pPr>
    </w:p>
    <w:p>
      <w:pPr>
        <w:ind w:left="4460"/>
        <w:spacing w:after="0"/>
        <w:tabs>
          <w:tab w:leader="none" w:pos="57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_____________________________________</w:t>
      </w:r>
    </w:p>
    <w:p>
      <w:pPr>
        <w:spacing w:after="0" w:line="200" w:lineRule="exact"/>
        <w:rPr>
          <w:sz w:val="20"/>
          <w:szCs w:val="20"/>
          <w:color w:val="auto"/>
        </w:rPr>
      </w:pPr>
    </w:p>
    <w:p>
      <w:pPr>
        <w:spacing w:after="0" w:line="271" w:lineRule="exact"/>
        <w:rPr>
          <w:sz w:val="20"/>
          <w:szCs w:val="20"/>
          <w:color w:val="auto"/>
        </w:rPr>
      </w:pPr>
    </w:p>
    <w:p>
      <w:pPr>
        <w:ind w:left="4460"/>
        <w:spacing w:after="0"/>
        <w:tabs>
          <w:tab w:leader="none" w:pos="572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22"/>
          <w:szCs w:val="22"/>
          <w:color w:val="auto"/>
        </w:rPr>
        <w:t>_____________________________________</w:t>
      </w:r>
    </w:p>
    <w:p>
      <w:pPr>
        <w:ind w:left="5740"/>
        <w:spacing w:after="0"/>
        <w:rPr>
          <w:sz w:val="20"/>
          <w:szCs w:val="20"/>
          <w:color w:val="auto"/>
        </w:rPr>
      </w:pPr>
      <w:r>
        <w:rPr>
          <w:rFonts w:ascii="Arial" w:cs="Arial" w:eastAsia="Arial" w:hAnsi="Arial"/>
          <w:sz w:val="22"/>
          <w:szCs w:val="22"/>
          <w:color w:val="auto"/>
        </w:rPr>
        <w:t>_____________________________________</w:t>
      </w:r>
    </w:p>
    <w:p>
      <w:pPr>
        <w:spacing w:after="0" w:line="200" w:lineRule="exact"/>
        <w:rPr>
          <w:sz w:val="20"/>
          <w:szCs w:val="20"/>
          <w:color w:val="auto"/>
        </w:rPr>
      </w:pPr>
    </w:p>
    <w:p>
      <w:pPr>
        <w:spacing w:after="0" w:line="312" w:lineRule="exact"/>
        <w:rPr>
          <w:sz w:val="20"/>
          <w:szCs w:val="20"/>
          <w:color w:val="auto"/>
        </w:rPr>
      </w:pPr>
    </w:p>
    <w:p>
      <w:pPr>
        <w:ind w:left="30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22"/>
          <w:szCs w:val="22"/>
          <w:b w:val="1"/>
          <w:bCs w:val="1"/>
          <w:color w:val="auto"/>
        </w:rPr>
        <w:t>EXHIBIT 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w:t>
      </w:r>
    </w:p>
    <w:p>
      <w:pPr>
        <w:spacing w:after="0" w:line="200" w:lineRule="exact"/>
        <w:rPr>
          <w:sz w:val="20"/>
          <w:szCs w:val="20"/>
          <w:color w:val="auto"/>
        </w:rPr>
      </w:pPr>
    </w:p>
    <w:p>
      <w:pPr>
        <w:spacing w:after="0" w:line="21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For the purpose of this Agreement, a “Change in Control” shall mean the occurrence of any of the following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events:</w:t>
      </w:r>
    </w:p>
    <w:p>
      <w:pPr>
        <w:spacing w:after="0" w:line="202" w:lineRule="exact"/>
        <w:rPr>
          <w:sz w:val="20"/>
          <w:szCs w:val="20"/>
          <w:color w:val="auto"/>
        </w:rPr>
      </w:pPr>
    </w:p>
    <w:p>
      <w:pPr>
        <w:jc w:val="both"/>
        <w:ind w:firstLine="1505"/>
        <w:spacing w:after="0" w:line="251" w:lineRule="auto"/>
        <w:tabs>
          <w:tab w:leader="none" w:pos="2995"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acquisition by any Person of beneficial ownership of securities of the Company (including any such acquisition of beneficial ownership deemed to have occurred pursuant to Rule 13d-5 under the Exchange Act) if, immediately thereafter, such Person is the beneficial owner of (i) 50% or more of the total number of outstanding shares of any single class of Company Common Stock or (ii) 40% or more of the total number of outstanding shares of all classes of Company Common Stock, unless such acquisition is made (a) directly from the Company in a transaction approved by a majority of the members of the Incumbent Board or (b) by any employee benefit plan (or related trust) sponsored or maintained by the Company or any corporation controlled by the Company;</w:t>
      </w:r>
    </w:p>
    <w:p>
      <w:pPr>
        <w:spacing w:after="0" w:line="176" w:lineRule="exact"/>
        <w:rPr>
          <w:sz w:val="20"/>
          <w:szCs w:val="20"/>
          <w:color w:val="auto"/>
        </w:rPr>
      </w:pPr>
    </w:p>
    <w:p>
      <w:pPr>
        <w:jc w:val="both"/>
        <w:ind w:firstLine="1505"/>
        <w:spacing w:after="0" w:line="250" w:lineRule="auto"/>
        <w:tabs>
          <w:tab w:leader="none" w:pos="2995" w:val="left"/>
        </w:tabs>
        <w:numPr>
          <w:ilvl w:val="0"/>
          <w:numId w:val="43"/>
        </w:numPr>
        <w:rPr>
          <w:rFonts w:ascii="Arial" w:cs="Arial" w:eastAsia="Arial" w:hAnsi="Arial"/>
          <w:sz w:val="21"/>
          <w:szCs w:val="21"/>
          <w:color w:val="auto"/>
        </w:rPr>
      </w:pPr>
      <w:r>
        <w:rPr>
          <w:rFonts w:ascii="Arial" w:cs="Arial" w:eastAsia="Arial" w:hAnsi="Arial"/>
          <w:sz w:val="21"/>
          <w:szCs w:val="21"/>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(or who is otherwise designated as a member of the Incumbent Board by such a vote) shall be considered as though such individual were a member of the Incumbent Board, except that any such individual shall not be considered a member of the Incumbent Board if his or her initial assumption of office occurs as a result of either an actual or threatened election contest (as such term is used in Rule 14a-11 of Regulation 14A promulgated under the Exchange Act) or other actual or threatened solicitation of proxies or consents by or on behalf of a Person other than the Board;</w:t>
      </w:r>
    </w:p>
    <w:p>
      <w:pPr>
        <w:spacing w:after="0" w:line="193" w:lineRule="exact"/>
        <w:rPr>
          <w:rFonts w:ascii="Arial" w:cs="Arial" w:eastAsia="Arial" w:hAnsi="Arial"/>
          <w:sz w:val="21"/>
          <w:szCs w:val="21"/>
          <w:color w:val="auto"/>
        </w:rPr>
      </w:pPr>
    </w:p>
    <w:p>
      <w:pPr>
        <w:jc w:val="both"/>
        <w:ind w:firstLine="1505"/>
        <w:spacing w:after="0" w:line="276" w:lineRule="auto"/>
        <w:tabs>
          <w:tab w:leader="none" w:pos="2995"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consummation of a Business Combination, unless, immediately following such Business Combination, (i) more than 50% of both the total number of then outstanding shares of common stock of the parent corporation resulting from such Business Combination and the combined voting power of the then outstanding voting securities of such parent corporation entitled to vote generally in the election of directors will be (or is) then beneficially owned, directly or indirectly, by all or substantially all of the Persons who were the beneficial owners, respectively, of the outstanding shares of Company Common Stock immediately prior to such Business Combination in substantially the same proportions as their ownership immediately prior to such Business Combination of the outstanding shares of Company Common Stock, (ii) no Person (other than any employee benefit plan (or related trust) of the Company or any corporation resulting from such Business Combination) beneficially owns, directly or indirectly, 40% or more of the total number of then outstanding shares of common stock of the corporation resulting from such Business Combination or the combined voting power of the then outstanding voting securities of such corporation entitled to vote generally in the election of directors and (iii) at least a majority of the members of the board of directors of the parent corporation resulting from such Business Combination were members of the Incumbent Board immediately prior to the consummation of such Business Combination;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jc w:val="both"/>
        <w:ind w:left="-300" w:firstLine="1505"/>
        <w:spacing w:after="0" w:line="278" w:lineRule="auto"/>
        <w:tabs>
          <w:tab w:leader="none" w:pos="2695" w:val="left"/>
        </w:tabs>
        <w:numPr>
          <w:ilvl w:val="0"/>
          <w:numId w:val="44"/>
        </w:numPr>
        <w:rPr>
          <w:rFonts w:ascii="Arial" w:cs="Arial" w:eastAsia="Arial" w:hAnsi="Arial"/>
          <w:sz w:val="19"/>
          <w:szCs w:val="19"/>
          <w:color w:val="auto"/>
        </w:rPr>
      </w:pPr>
      <w:r>
        <w:rPr>
          <w:rFonts w:ascii="Arial" w:cs="Arial" w:eastAsia="Arial" w:hAnsi="Arial"/>
          <w:sz w:val="19"/>
          <w:szCs w:val="19"/>
          <w:color w:val="auto"/>
        </w:rPr>
        <w:t>Approval by the Board and the shareholders of the Company of (i) a complete liquidation or dissolution of the Company or (ii) a Major Asset Disposition (or, if there is no such approval by shareholders, consummation of such Major Asset Disposition) unless, immediately following such Major Asset Disposition, (A) Persons that were beneficial owners of the outstanding shares of Company Common Stock immediately prior to such Major Asset Disposition beneficially own, directly or indirectly, more than 50% of the total number of then outstanding shares of common stock and the combined voting power of the then outstanding shares of voting stock of the Company (if it continues to exist) and of the Acquiring Entity in substantially the same proportions as their ownership immediately prior to such Major Asset Disposition of the outstanding shares of Company Common Stock; (B) no Person (other than any employee benefit plan (or related trust) of the Company or such entity) beneficially owns, directly or indirectly, 40% or more of the then outstanding shares of common stock or the combined voting power of the then outstanding voting securities of the Company (if it continues to exist) and of the Acquiring Entity entitled to vote generally in the election of directors and (C) at least a majority of the members of the Board of the Company (if it continues to exist) and of the Acquiring Entity were members of the Incumbent Board at the time of the execution of the initial agreement or action of the Board providing for such Major Asset Disposition.</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22"/>
          <w:szCs w:val="22"/>
          <w:color w:val="auto"/>
        </w:rPr>
        <w:t>For purposes of the foregoing,</w:t>
      </w:r>
    </w:p>
    <w:p>
      <w:pPr>
        <w:spacing w:after="0" w:line="206" w:lineRule="exact"/>
        <w:rPr>
          <w:sz w:val="20"/>
          <w:szCs w:val="20"/>
          <w:color w:val="auto"/>
        </w:rPr>
      </w:pPr>
    </w:p>
    <w:p>
      <w:pPr>
        <w:ind w:left="2640" w:hanging="686"/>
        <w:spacing w:after="0"/>
        <w:tabs>
          <w:tab w:leader="none" w:pos="26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term “Person” means an individual, entity or group;</w:t>
      </w:r>
    </w:p>
    <w:p>
      <w:pPr>
        <w:spacing w:after="0" w:line="219" w:lineRule="exact"/>
        <w:rPr>
          <w:rFonts w:ascii="Arial" w:cs="Arial" w:eastAsia="Arial" w:hAnsi="Arial"/>
          <w:sz w:val="22"/>
          <w:szCs w:val="22"/>
          <w:color w:val="auto"/>
        </w:rPr>
      </w:pPr>
    </w:p>
    <w:p>
      <w:pPr>
        <w:ind w:left="2640" w:hanging="686"/>
        <w:spacing w:after="0"/>
        <w:tabs>
          <w:tab w:leader="none" w:pos="26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term “group” is used as it is defined for purposes of Section 13(d)(3) of the</w:t>
      </w:r>
    </w:p>
    <w:p>
      <w:pPr>
        <w:spacing w:after="0" w:line="8" w:lineRule="exact"/>
        <w:rPr>
          <w:rFonts w:ascii="Arial" w:cs="Arial" w:eastAsia="Arial" w:hAnsi="Arial"/>
          <w:sz w:val="22"/>
          <w:szCs w:val="22"/>
          <w:color w:val="auto"/>
        </w:rPr>
      </w:pPr>
    </w:p>
    <w:p>
      <w:pPr>
        <w:ind w:left="1200"/>
        <w:spacing w:after="0"/>
        <w:rPr>
          <w:rFonts w:ascii="Arial" w:cs="Arial" w:eastAsia="Arial" w:hAnsi="Arial"/>
          <w:sz w:val="22"/>
          <w:szCs w:val="22"/>
          <w:color w:val="auto"/>
        </w:rPr>
      </w:pPr>
      <w:r>
        <w:rPr>
          <w:rFonts w:ascii="Arial" w:cs="Arial" w:eastAsia="Arial" w:hAnsi="Arial"/>
          <w:sz w:val="22"/>
          <w:szCs w:val="22"/>
          <w:color w:val="auto"/>
        </w:rPr>
        <w:t>Exchange Act;</w:t>
      </w:r>
    </w:p>
    <w:p>
      <w:pPr>
        <w:spacing w:after="0" w:line="201" w:lineRule="exact"/>
        <w:rPr>
          <w:rFonts w:ascii="Arial" w:cs="Arial" w:eastAsia="Arial" w:hAnsi="Arial"/>
          <w:sz w:val="22"/>
          <w:szCs w:val="22"/>
          <w:color w:val="auto"/>
        </w:rPr>
      </w:pPr>
    </w:p>
    <w:p>
      <w:pPr>
        <w:ind w:left="1200" w:right="760" w:firstLine="754"/>
        <w:spacing w:after="0" w:line="250" w:lineRule="auto"/>
        <w:tabs>
          <w:tab w:leader="none" w:pos="26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terms “beneficial owner”, “beneficial ownership” and “beneficially own” are used as defined for purposes of Rule 13d-3 under the Exchange Act;</w:t>
      </w:r>
    </w:p>
    <w:p>
      <w:pPr>
        <w:spacing w:after="0" w:line="174" w:lineRule="exact"/>
        <w:rPr>
          <w:rFonts w:ascii="Arial" w:cs="Arial" w:eastAsia="Arial" w:hAnsi="Arial"/>
          <w:sz w:val="22"/>
          <w:szCs w:val="22"/>
          <w:color w:val="auto"/>
        </w:rPr>
      </w:pPr>
    </w:p>
    <w:p>
      <w:pPr>
        <w:jc w:val="both"/>
        <w:ind w:left="1200" w:right="760" w:firstLine="754"/>
        <w:spacing w:after="0" w:line="247" w:lineRule="auto"/>
        <w:tabs>
          <w:tab w:leader="none" w:pos="26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term “Business Combination” means (x) a merger, consolidation or share exchange involving the Company or its stock or (y) an acquisition by the Company, directly or through one or more subsidiaries, of another entity or its stock or assets;</w:t>
      </w:r>
    </w:p>
    <w:p>
      <w:pPr>
        <w:spacing w:after="0" w:line="190" w:lineRule="exact"/>
        <w:rPr>
          <w:rFonts w:ascii="Arial" w:cs="Arial" w:eastAsia="Arial" w:hAnsi="Arial"/>
          <w:sz w:val="22"/>
          <w:szCs w:val="22"/>
          <w:color w:val="auto"/>
        </w:rPr>
      </w:pPr>
    </w:p>
    <w:p>
      <w:pPr>
        <w:ind w:left="1200" w:right="760" w:firstLine="754"/>
        <w:spacing w:after="0" w:line="250" w:lineRule="auto"/>
        <w:tabs>
          <w:tab w:leader="none" w:pos="26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term “Company Common Stock” shall mean the Common Stock, par value $.01 per share, of the Company;</w:t>
      </w:r>
    </w:p>
    <w:p>
      <w:pPr>
        <w:spacing w:after="0" w:line="174" w:lineRule="exact"/>
        <w:rPr>
          <w:rFonts w:ascii="Arial" w:cs="Arial" w:eastAsia="Arial" w:hAnsi="Arial"/>
          <w:sz w:val="22"/>
          <w:szCs w:val="22"/>
          <w:color w:val="auto"/>
        </w:rPr>
      </w:pPr>
    </w:p>
    <w:p>
      <w:pPr>
        <w:ind w:left="2640" w:hanging="686"/>
        <w:spacing w:after="0"/>
        <w:tabs>
          <w:tab w:leader="none" w:pos="26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term “Exchange Act” means the Securities Exchange Act of 1934, as amended;</w:t>
      </w:r>
    </w:p>
    <w:p>
      <w:pPr>
        <w:spacing w:after="0" w:line="219" w:lineRule="exact"/>
        <w:rPr>
          <w:rFonts w:ascii="Arial" w:cs="Arial" w:eastAsia="Arial" w:hAnsi="Arial"/>
          <w:sz w:val="22"/>
          <w:szCs w:val="22"/>
          <w:color w:val="auto"/>
        </w:rPr>
      </w:pPr>
    </w:p>
    <w:p>
      <w:pPr>
        <w:jc w:val="both"/>
        <w:ind w:left="1200" w:right="760" w:firstLine="754"/>
        <w:spacing w:after="0" w:line="256" w:lineRule="auto"/>
        <w:tabs>
          <w:tab w:leader="none" w:pos="2640"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phrase “parent corporation resulting from a Business Combination” means the Company if its stock is not acquired or converted in the Business Combination and otherwise means the entity which as a result of such Business Combination owns the Company or all or substantially all of the Company’s assets either directly or through one or more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2 -A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71755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18" w:right="339" w:bottom="1440" w:gutter="0" w:footer="0" w:header="0"/>
        </w:sectPr>
      </w:pPr>
    </w:p>
    <w:bookmarkStart w:id="58" w:name="page59"/>
    <w:bookmarkEnd w:id="58"/>
    <w:p>
      <w:pPr>
        <w:jc w:val="both"/>
        <w:ind w:left="1200" w:right="20" w:firstLine="754"/>
        <w:spacing w:after="0" w:line="242" w:lineRule="auto"/>
        <w:tabs>
          <w:tab w:leader="none" w:pos="26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term “Major Asset Disposition” means the sale or other disposition in one transaction or a series of related transactions of 50% or more of the assets of the Company and its subsidiaries on a consolidated basis; and any specified percentage or portion of the assets of the Company shall be based on fair market value, as determined by a majority of the members of the Incumbent Board;</w:t>
      </w:r>
    </w:p>
    <w:p>
      <w:pPr>
        <w:spacing w:after="0" w:line="183" w:lineRule="exact"/>
        <w:rPr>
          <w:rFonts w:ascii="Arial" w:cs="Arial" w:eastAsia="Arial" w:hAnsi="Arial"/>
          <w:sz w:val="22"/>
          <w:szCs w:val="22"/>
          <w:color w:val="auto"/>
        </w:rPr>
      </w:pPr>
    </w:p>
    <w:p>
      <w:pPr>
        <w:jc w:val="both"/>
        <w:ind w:left="1200" w:right="20" w:firstLine="754"/>
        <w:spacing w:after="0" w:line="241" w:lineRule="auto"/>
        <w:tabs>
          <w:tab w:leader="none" w:pos="26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term “Acquiring Entity” means the entity that acquires the largest portion of the assets sold or otherwise disposed of in a Major Asset Disposition (or the entity, if any, that owns a majority of the outstanding voting stock of such acquiring entity entitled to vote generally in the election of directors or members of a comparable governing body); and</w:t>
      </w:r>
    </w:p>
    <w:p>
      <w:pPr>
        <w:spacing w:after="0" w:line="198" w:lineRule="exact"/>
        <w:rPr>
          <w:rFonts w:ascii="Arial" w:cs="Arial" w:eastAsia="Arial" w:hAnsi="Arial"/>
          <w:sz w:val="22"/>
          <w:szCs w:val="22"/>
          <w:color w:val="auto"/>
        </w:rPr>
      </w:pPr>
    </w:p>
    <w:p>
      <w:pPr>
        <w:jc w:val="both"/>
        <w:ind w:left="1200" w:firstLine="754"/>
        <w:spacing w:after="0" w:line="282" w:lineRule="auto"/>
        <w:tabs>
          <w:tab w:leader="none" w:pos="26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phrase “substantially the same proportions,” when used with reference to ownership interests in the parent corporation resulting from a Business Combination or in an Acquiring Entity, means substantially in proportion to the number of shares of Company Common Stock beneficially owned by the applicable Persons immediately prior to the Business Combination or Major Asset Disposition, but is not to be construed in such a manner as to require that the same ratio or number of shares of such parent corporation or Acquiring Entity be issued, paid or delivered in exchange for or in respect of the shares of each class of Company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3 -A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71755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620" w:top="118" w:right="1079" w:bottom="1440" w:gutter="0" w:footer="0" w:header="0"/>
        </w:sectPr>
      </w:pPr>
    </w:p>
    <w:bookmarkStart w:id="59" w:name="page60"/>
    <w:bookmarkEnd w:id="59"/>
    <w:p>
      <w:pPr>
        <w:ind w:left="10320"/>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Haack, certify that:</w:t>
      </w:r>
    </w:p>
    <w:p>
      <w:pPr>
        <w:spacing w:after="0" w:line="104"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report on Form 10-Q of Eagle Materials Inc.;</w:t>
      </w:r>
    </w:p>
    <w:p>
      <w:pPr>
        <w:spacing w:after="0" w:line="103" w:lineRule="exact"/>
        <w:rPr>
          <w:rFonts w:ascii="Arial" w:cs="Arial" w:eastAsia="Arial" w:hAnsi="Arial"/>
          <w:sz w:val="18"/>
          <w:szCs w:val="18"/>
          <w:color w:val="auto"/>
        </w:rPr>
      </w:pPr>
    </w:p>
    <w:p>
      <w:pPr>
        <w:ind w:firstLine="8"/>
        <w:spacing w:after="0" w:line="342" w:lineRule="auto"/>
        <w:tabs>
          <w:tab w:leader="none" w:pos="201"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 w:lineRule="exact"/>
        <w:rPr>
          <w:rFonts w:ascii="Arial" w:cs="Arial" w:eastAsia="Arial" w:hAnsi="Arial"/>
          <w:sz w:val="16"/>
          <w:szCs w:val="16"/>
          <w:color w:val="auto"/>
        </w:rPr>
      </w:pPr>
    </w:p>
    <w:p>
      <w:pPr>
        <w:ind w:firstLine="8"/>
        <w:spacing w:after="0" w:line="261" w:lineRule="auto"/>
        <w:tabs>
          <w:tab w:leader="none" w:pos="204"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6" w:lineRule="exact"/>
        <w:rPr>
          <w:rFonts w:ascii="Arial" w:cs="Arial" w:eastAsia="Arial" w:hAnsi="Arial"/>
          <w:sz w:val="18"/>
          <w:szCs w:val="18"/>
          <w:color w:val="auto"/>
        </w:rPr>
      </w:pPr>
    </w:p>
    <w:p>
      <w:pPr>
        <w:jc w:val="both"/>
        <w:ind w:firstLine="8"/>
        <w:spacing w:after="0" w:line="248" w:lineRule="auto"/>
        <w:tabs>
          <w:tab w:leader="none" w:pos="18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sz w:val="20"/>
          <w:szCs w:val="20"/>
          <w:color w:val="auto"/>
        </w:rPr>
      </w:pPr>
    </w:p>
    <w:p>
      <w:pPr>
        <w:jc w:val="both"/>
        <w:ind w:firstLine="8"/>
        <w:spacing w:after="0" w:line="256" w:lineRule="auto"/>
        <w:tabs>
          <w:tab w:leader="none" w:pos="18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jc w:val="both"/>
        <w:ind w:firstLine="8"/>
        <w:spacing w:after="0" w:line="256" w:lineRule="auto"/>
        <w:tabs>
          <w:tab w:leader="none" w:pos="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firstLine="8"/>
        <w:spacing w:after="0" w:line="277" w:lineRule="auto"/>
        <w:tabs>
          <w:tab w:leader="none" w:pos="19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8"/>
          <w:szCs w:val="18"/>
          <w:color w:val="auto"/>
        </w:rPr>
      </w:pPr>
    </w:p>
    <w:p>
      <w:pPr>
        <w:jc w:val="both"/>
        <w:ind w:firstLine="8"/>
        <w:spacing w:after="0" w:line="256" w:lineRule="auto"/>
        <w:tabs>
          <w:tab w:leader="none" w:pos="212"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sz w:val="20"/>
          <w:szCs w:val="20"/>
          <w:color w:val="auto"/>
        </w:rPr>
      </w:pPr>
    </w:p>
    <w:p>
      <w:pPr>
        <w:ind w:firstLine="8"/>
        <w:spacing w:after="0" w:line="291" w:lineRule="auto"/>
        <w:tabs>
          <w:tab w:leader="none" w:pos="192"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2" w:lineRule="exact"/>
        <w:rPr>
          <w:sz w:val="20"/>
          <w:szCs w:val="20"/>
          <w:color w:val="auto"/>
        </w:rPr>
      </w:pPr>
    </w:p>
    <w:p>
      <w:pPr>
        <w:ind w:firstLine="8"/>
        <w:spacing w:after="0" w:line="261" w:lineRule="auto"/>
        <w:tabs>
          <w:tab w:leader="none" w:pos="1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8"/>
        <w:spacing w:after="0" w:line="261" w:lineRule="auto"/>
        <w:tabs>
          <w:tab w:leader="none" w:pos="209"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2022</w:t>
      </w:r>
    </w:p>
    <w:p>
      <w:pPr>
        <w:spacing w:after="0" w:line="185"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Haack</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-120650</wp:posOffset>
            </wp:positionV>
            <wp:extent cx="25971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D. Craig Kesler, certify that:</w:t>
      </w:r>
    </w:p>
    <w:p>
      <w:pPr>
        <w:spacing w:after="0" w:line="104" w:lineRule="exact"/>
        <w:rPr>
          <w:sz w:val="20"/>
          <w:szCs w:val="20"/>
          <w:color w:val="auto"/>
        </w:rPr>
      </w:pPr>
    </w:p>
    <w:p>
      <w:pPr>
        <w:ind w:left="180" w:hanging="172"/>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report on Form 10-Q of Eagle Materials Inc.;</w:t>
      </w:r>
    </w:p>
    <w:p>
      <w:pPr>
        <w:spacing w:after="0" w:line="117" w:lineRule="exact"/>
        <w:rPr>
          <w:rFonts w:ascii="Arial" w:cs="Arial" w:eastAsia="Arial" w:hAnsi="Arial"/>
          <w:sz w:val="18"/>
          <w:szCs w:val="18"/>
          <w:color w:val="auto"/>
        </w:rPr>
      </w:pPr>
    </w:p>
    <w:p>
      <w:pPr>
        <w:ind w:firstLine="8"/>
        <w:spacing w:after="0" w:line="324" w:lineRule="auto"/>
        <w:tabs>
          <w:tab w:leader="none" w:pos="201"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firstLine="8"/>
        <w:spacing w:after="0" w:line="277" w:lineRule="auto"/>
        <w:tabs>
          <w:tab w:leader="none" w:pos="204"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firstLine="8"/>
        <w:spacing w:after="0" w:line="248" w:lineRule="auto"/>
        <w:tabs>
          <w:tab w:leader="none" w:pos="18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7" w:lineRule="exact"/>
        <w:rPr>
          <w:sz w:val="20"/>
          <w:szCs w:val="20"/>
          <w:color w:val="auto"/>
        </w:rPr>
      </w:pPr>
    </w:p>
    <w:p>
      <w:pPr>
        <w:jc w:val="both"/>
        <w:ind w:firstLine="8"/>
        <w:spacing w:after="0" w:line="248" w:lineRule="auto"/>
        <w:tabs>
          <w:tab w:leader="none" w:pos="18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8"/>
          <w:szCs w:val="18"/>
          <w:color w:val="auto"/>
        </w:rPr>
      </w:pPr>
    </w:p>
    <w:p>
      <w:pPr>
        <w:jc w:val="both"/>
        <w:ind w:firstLine="8"/>
        <w:spacing w:after="0" w:line="248" w:lineRule="auto"/>
        <w:tabs>
          <w:tab w:leader="none" w:pos="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8"/>
          <w:szCs w:val="18"/>
          <w:color w:val="auto"/>
        </w:rPr>
      </w:pPr>
    </w:p>
    <w:p>
      <w:pPr>
        <w:ind w:firstLine="8"/>
        <w:spacing w:after="0" w:line="261" w:lineRule="auto"/>
        <w:tabs>
          <w:tab w:leader="none" w:pos="1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8"/>
        <w:spacing w:after="0" w:line="256" w:lineRule="auto"/>
        <w:tabs>
          <w:tab w:leader="none" w:pos="2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sz w:val="20"/>
          <w:szCs w:val="20"/>
          <w:color w:val="auto"/>
        </w:rPr>
      </w:pPr>
    </w:p>
    <w:p>
      <w:pPr>
        <w:ind w:firstLine="8"/>
        <w:spacing w:after="0" w:line="308" w:lineRule="auto"/>
        <w:tabs>
          <w:tab w:leader="none" w:pos="192"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5" w:lineRule="exact"/>
        <w:rPr>
          <w:sz w:val="20"/>
          <w:szCs w:val="20"/>
          <w:color w:val="auto"/>
        </w:rPr>
      </w:pPr>
    </w:p>
    <w:p>
      <w:pPr>
        <w:ind w:firstLine="8"/>
        <w:spacing w:after="0" w:line="261" w:lineRule="auto"/>
        <w:tabs>
          <w:tab w:leader="none" w:pos="18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8"/>
        <w:spacing w:after="0" w:line="277" w:lineRule="auto"/>
        <w:tabs>
          <w:tab w:leader="none" w:pos="209"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2022</w:t>
      </w:r>
    </w:p>
    <w:p>
      <w:pPr>
        <w:spacing w:after="0" w:line="212"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 Craig Kesler</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-128905</wp:posOffset>
            </wp:positionV>
            <wp:extent cx="260604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400"/>
        <w:spacing w:after="0" w:line="219" w:lineRule="auto"/>
        <w:rPr>
          <w:sz w:val="20"/>
          <w:szCs w:val="20"/>
          <w:color w:val="auto"/>
        </w:rPr>
      </w:pPr>
      <w:r>
        <w:rPr>
          <w:rFonts w:ascii="Arial" w:cs="Arial" w:eastAsia="Arial" w:hAnsi="Arial"/>
          <w:sz w:val="18"/>
          <w:szCs w:val="18"/>
          <w:color w:val="auto"/>
        </w:rPr>
        <w:t>Chief Financial Officer</w:t>
      </w:r>
    </w:p>
    <w:p>
      <w:pPr>
        <w:ind w:left="4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1" w:name="page62"/>
    <w:bookmarkEnd w:id="61"/>
    <w:p>
      <w:pPr>
        <w:ind w:left="1026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906 of the Sarbanes-Oxley Act of 2002</w:t>
      </w:r>
    </w:p>
    <w:p>
      <w:pPr>
        <w:spacing w:after="0" w:line="216" w:lineRule="exact"/>
        <w:rPr>
          <w:sz w:val="20"/>
          <w:szCs w:val="20"/>
          <w:color w:val="auto"/>
        </w:rPr>
      </w:pPr>
    </w:p>
    <w:p>
      <w:pPr>
        <w:jc w:val="both"/>
        <w:ind w:firstLine="255"/>
        <w:spacing w:after="0" w:line="249" w:lineRule="auto"/>
        <w:rPr>
          <w:sz w:val="20"/>
          <w:szCs w:val="20"/>
          <w:color w:val="auto"/>
        </w:rPr>
      </w:pPr>
      <w:r>
        <w:rPr>
          <w:rFonts w:ascii="Arial" w:cs="Arial" w:eastAsia="Arial" w:hAnsi="Arial"/>
          <w:sz w:val="18"/>
          <w:szCs w:val="18"/>
          <w:color w:val="auto"/>
        </w:rPr>
        <w:t>In connection with the Quarterly Report of Eagle Materials Inc. and subsidiaries (the “Company”) on Form 10-Q for the period ended September 30, 2022 as filed with the Securities and Exchange Commission on the date hereof (the “Report”), I, Michael R. Haack, President and Chief Executive Officer of the Company, certify, pursuant to 18 U.S.C. section 1350, as adopted pursuant to section 906 of the Sarbanes-Oxley Act of 2002, that, to the best of my knowledge:</w:t>
      </w:r>
    </w:p>
    <w:p>
      <w:pPr>
        <w:spacing w:after="0" w:line="73" w:lineRule="exact"/>
        <w:rPr>
          <w:sz w:val="20"/>
          <w:szCs w:val="20"/>
          <w:color w:val="auto"/>
        </w:rPr>
      </w:pPr>
    </w:p>
    <w:p>
      <w:pPr>
        <w:ind w:left="640" w:hanging="377"/>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40" w:hanging="377"/>
        <w:spacing w:after="0"/>
        <w:tabs>
          <w:tab w:leader="none" w:pos="6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2022</w:t>
      </w:r>
    </w:p>
    <w:p>
      <w:pPr>
        <w:spacing w:after="0" w:line="198"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Haack</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-128905</wp:posOffset>
            </wp:positionV>
            <wp:extent cx="260604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2" w:name="page63"/>
    <w:bookmarkEnd w:id="62"/>
    <w:p>
      <w:pPr>
        <w:ind w:left="10260"/>
        <w:spacing w:after="0"/>
        <w:rPr>
          <w:sz w:val="20"/>
          <w:szCs w:val="20"/>
          <w:color w:val="auto"/>
        </w:rPr>
      </w:pPr>
      <w:r>
        <w:rPr>
          <w:rFonts w:ascii="Arial" w:cs="Arial" w:eastAsia="Arial" w:hAnsi="Arial"/>
          <w:sz w:val="17"/>
          <w:szCs w:val="17"/>
          <w:b w:val="1"/>
          <w:bCs w:val="1"/>
          <w:color w:val="auto"/>
        </w:rPr>
        <w:t>Exhibit 32.2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906 of the Sarbanes-Oxley Act of 2002</w:t>
      </w:r>
    </w:p>
    <w:p>
      <w:pPr>
        <w:spacing w:after="0" w:line="216" w:lineRule="exact"/>
        <w:rPr>
          <w:sz w:val="20"/>
          <w:szCs w:val="20"/>
          <w:color w:val="auto"/>
        </w:rPr>
      </w:pPr>
    </w:p>
    <w:p>
      <w:pPr>
        <w:jc w:val="both"/>
        <w:ind w:firstLine="255"/>
        <w:spacing w:after="0" w:line="303" w:lineRule="auto"/>
        <w:rPr>
          <w:sz w:val="20"/>
          <w:szCs w:val="20"/>
          <w:color w:val="auto"/>
        </w:rPr>
      </w:pPr>
      <w:r>
        <w:rPr>
          <w:rFonts w:ascii="Arial" w:cs="Arial" w:eastAsia="Arial" w:hAnsi="Arial"/>
          <w:sz w:val="16"/>
          <w:szCs w:val="16"/>
          <w:color w:val="auto"/>
        </w:rPr>
        <w:t>In connection with the Quarterly Report of Eagle Materials Inc. and subsidiaries (the “Company”) on Form 10-Q for the period ended September 30, 2022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w:t>
      </w:r>
    </w:p>
    <w:p>
      <w:pPr>
        <w:spacing w:after="0" w:line="32" w:lineRule="exact"/>
        <w:rPr>
          <w:sz w:val="20"/>
          <w:szCs w:val="20"/>
          <w:color w:val="auto"/>
        </w:rPr>
      </w:pPr>
    </w:p>
    <w:p>
      <w:pPr>
        <w:ind w:left="640" w:hanging="377"/>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640" w:hanging="377"/>
        <w:spacing w:after="0"/>
        <w:tabs>
          <w:tab w:leader="none" w:pos="6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26, 2022</w:t>
      </w:r>
    </w:p>
    <w:p>
      <w:pPr>
        <w:spacing w:after="0" w:line="198"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 Craig Kesler</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-128905</wp:posOffset>
            </wp:positionV>
            <wp:extent cx="26060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400"/>
        <w:spacing w:after="0" w:line="219" w:lineRule="auto"/>
        <w:rPr>
          <w:sz w:val="20"/>
          <w:szCs w:val="20"/>
          <w:color w:val="auto"/>
        </w:rPr>
      </w:pPr>
      <w:r>
        <w:rPr>
          <w:rFonts w:ascii="Arial" w:cs="Arial" w:eastAsia="Arial" w:hAnsi="Arial"/>
          <w:sz w:val="18"/>
          <w:szCs w:val="18"/>
          <w:color w:val="auto"/>
        </w:rPr>
        <w:t>Chief Financial Officer</w:t>
      </w:r>
    </w:p>
    <w:p>
      <w:pPr>
        <w:ind w:left="4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3" w:name="page64"/>
    <w:bookmarkEnd w:id="63"/>
    <w:p>
      <w:pPr>
        <w:ind w:left="10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-50800</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88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5"/>
          <w:szCs w:val="15"/>
          <w:color w:val="auto"/>
        </w:rPr>
        <w:t>Section 1503 of the Dodd-Frank Wall Street Reform and Consumer Protection Act contains reporting requirements regarding mine safety. The operation of our quarries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889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88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120" w:right="340"/>
        <w:spacing w:after="0" w:line="251" w:lineRule="auto"/>
        <w:rPr>
          <w:sz w:val="20"/>
          <w:szCs w:val="20"/>
          <w:color w:val="auto"/>
        </w:rPr>
      </w:pPr>
      <w:r>
        <w:rPr>
          <w:rFonts w:ascii="Arial" w:cs="Arial" w:eastAsia="Arial" w:hAnsi="Arial"/>
          <w:sz w:val="14"/>
          <w:szCs w:val="14"/>
          <w:color w:val="auto"/>
        </w:rPr>
        <w:t>is subject to regulation by the federal Mine Safety and Health Administration, or MSHA, under the Federal Mine Safety and Health Act of 1977, or the Mine Act. Set forth below is the required information regarding certain mining safety and health matters for the three-month period ended September 30, 2022 for our facilities.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88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88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-44450</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ind w:left="120" w:right="200"/>
        <w:spacing w:after="0" w:line="251" w:lineRule="auto"/>
        <w:rPr>
          <w:sz w:val="20"/>
          <w:szCs w:val="20"/>
          <w:color w:val="auto"/>
        </w:rPr>
      </w:pPr>
      <w:r>
        <w:rPr>
          <w:rFonts w:ascii="Arial" w:cs="Arial" w:eastAsia="Arial" w:hAnsi="Arial"/>
          <w:sz w:val="14"/>
          <w:szCs w:val="14"/>
          <w:color w:val="auto"/>
        </w:rPr>
        <w:t>evaluating this information, consideration should be given to factors such as: (i) the number of citations and orders will vary depending on the size of the quarry, (ii) the number of citations issued will vary from inspector-to-inspector and mine-to-mine, and (iii) citations and orders can be contested and appealed, and in that process,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be reduced in severity and amount, and are sometimes dismissed.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8"/>
        </w:trPr>
        <w:tc>
          <w:tcPr>
            <w:tcW w:w="2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jc w:val="center"/>
              <w:spacing w:after="0" w:line="157" w:lineRule="exact"/>
              <w:rPr>
                <w:sz w:val="20"/>
                <w:szCs w:val="20"/>
                <w:color w:val="auto"/>
              </w:rPr>
            </w:pPr>
            <w:r>
              <w:rPr>
                <w:rFonts w:ascii="Arial" w:cs="Arial" w:eastAsia="Arial" w:hAnsi="Arial"/>
                <w:sz w:val="14"/>
                <w:szCs w:val="14"/>
                <w:color w:val="auto"/>
                <w:w w:val="92"/>
              </w:rPr>
              <w:t>Received</w:t>
            </w: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2"/>
              </w:rPr>
              <w:t>Received</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1"/>
              </w:rPr>
              <w:t>Potential</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Pattern of</w:t>
            </w:r>
          </w:p>
        </w:tc>
        <w:tc>
          <w:tcPr>
            <w:tcW w:w="820" w:type="dxa"/>
            <w:vAlign w:val="bottom"/>
          </w:tcPr>
          <w:p>
            <w:pPr>
              <w:jc w:val="center"/>
              <w:spacing w:after="0"/>
              <w:rPr>
                <w:sz w:val="20"/>
                <w:szCs w:val="20"/>
                <w:color w:val="auto"/>
              </w:rPr>
            </w:pPr>
            <w:r>
              <w:rPr>
                <w:rFonts w:ascii="Arial" w:cs="Arial" w:eastAsia="Arial" w:hAnsi="Arial"/>
                <w:sz w:val="14"/>
                <w:szCs w:val="14"/>
                <w:color w:val="auto"/>
                <w:w w:val="95"/>
              </w:rPr>
              <w:t>to Have</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Legal</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6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Total Dollar</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5"/>
              </w:rPr>
              <w:t>Violations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Pattern</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rPr>
              <w:t>Actions</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4"/>
              </w:rPr>
              <w:t>104</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2"/>
              </w:rPr>
              <w:t>Sectio</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Sectio</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Value of</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Number</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0" w:type="dxa"/>
            <w:vAlign w:val="bottom"/>
          </w:tcPr>
          <w:p>
            <w:pPr>
              <w:spacing w:after="0"/>
              <w:rPr>
                <w:sz w:val="1"/>
                <w:szCs w:val="1"/>
                <w:color w:val="auto"/>
              </w:rPr>
            </w:pPr>
          </w:p>
        </w:tc>
      </w:tr>
      <w:tr>
        <w:trPr>
          <w:trHeight w:val="154"/>
        </w:trPr>
        <w:tc>
          <w:tcPr>
            <w:tcW w:w="2160" w:type="dxa"/>
            <w:vAlign w:val="bottom"/>
          </w:tcPr>
          <w:p>
            <w:pPr>
              <w:spacing w:after="0"/>
              <w:rPr>
                <w:sz w:val="13"/>
                <w:szCs w:val="13"/>
                <w:color w:val="auto"/>
              </w:rPr>
            </w:pPr>
          </w:p>
        </w:tc>
        <w:tc>
          <w:tcPr>
            <w:tcW w:w="700" w:type="dxa"/>
            <w:vAlign w:val="bottom"/>
          </w:tcPr>
          <w:p>
            <w:pPr>
              <w:jc w:val="center"/>
              <w:spacing w:after="0" w:line="154" w:lineRule="exact"/>
              <w:rPr>
                <w:sz w:val="20"/>
                <w:szCs w:val="20"/>
                <w:color w:val="auto"/>
              </w:rPr>
            </w:pPr>
            <w:r>
              <w:rPr>
                <w:rFonts w:ascii="Arial" w:cs="Arial" w:eastAsia="Arial" w:hAnsi="Arial"/>
                <w:sz w:val="14"/>
                <w:szCs w:val="14"/>
                <w:color w:val="auto"/>
                <w:w w:val="99"/>
              </w:rPr>
              <w:t>S&amp;S</w:t>
            </w:r>
          </w:p>
        </w:tc>
        <w:tc>
          <w:tcPr>
            <w:tcW w:w="600" w:type="dxa"/>
            <w:vAlign w:val="bottom"/>
          </w:tcPr>
          <w:p>
            <w:pPr>
              <w:jc w:val="center"/>
              <w:spacing w:after="0" w:line="154" w:lineRule="exact"/>
              <w:rPr>
                <w:sz w:val="20"/>
                <w:szCs w:val="20"/>
                <w:color w:val="auto"/>
              </w:rPr>
            </w:pPr>
            <w:r>
              <w:rPr>
                <w:rFonts w:ascii="Arial" w:cs="Arial" w:eastAsia="Arial" w:hAnsi="Arial"/>
                <w:sz w:val="14"/>
                <w:szCs w:val="14"/>
                <w:color w:val="auto"/>
              </w:rPr>
              <w:t>n</w:t>
            </w:r>
          </w:p>
        </w:tc>
        <w:tc>
          <w:tcPr>
            <w:tcW w:w="660" w:type="dxa"/>
            <w:vAlign w:val="bottom"/>
          </w:tcPr>
          <w:p>
            <w:pPr>
              <w:ind w:left="100"/>
              <w:spacing w:after="0" w:line="154" w:lineRule="exact"/>
              <w:rPr>
                <w:sz w:val="20"/>
                <w:szCs w:val="20"/>
                <w:color w:val="auto"/>
              </w:rPr>
            </w:pPr>
            <w:r>
              <w:rPr>
                <w:rFonts w:ascii="Arial" w:cs="Arial" w:eastAsia="Arial" w:hAnsi="Arial"/>
                <w:sz w:val="14"/>
                <w:szCs w:val="14"/>
                <w:color w:val="auto"/>
              </w:rPr>
              <w:t>Citation</w:t>
            </w:r>
          </w:p>
        </w:tc>
        <w:tc>
          <w:tcPr>
            <w:tcW w:w="740" w:type="dxa"/>
            <w:vAlign w:val="bottom"/>
          </w:tcPr>
          <w:p>
            <w:pPr>
              <w:jc w:val="center"/>
              <w:spacing w:after="0" w:line="154" w:lineRule="exact"/>
              <w:rPr>
                <w:sz w:val="20"/>
                <w:szCs w:val="20"/>
                <w:color w:val="auto"/>
              </w:rPr>
            </w:pPr>
            <w:r>
              <w:rPr>
                <w:rFonts w:ascii="Arial" w:cs="Arial" w:eastAsia="Arial" w:hAnsi="Arial"/>
                <w:sz w:val="14"/>
                <w:szCs w:val="14"/>
                <w:color w:val="auto"/>
                <w:w w:val="93"/>
              </w:rPr>
              <w:t>110(b)(2)</w:t>
            </w:r>
          </w:p>
        </w:tc>
        <w:tc>
          <w:tcPr>
            <w:tcW w:w="620" w:type="dxa"/>
            <w:vAlign w:val="bottom"/>
          </w:tcPr>
          <w:p>
            <w:pPr>
              <w:jc w:val="center"/>
              <w:spacing w:after="0" w:line="154" w:lineRule="exact"/>
              <w:rPr>
                <w:sz w:val="20"/>
                <w:szCs w:val="20"/>
                <w:color w:val="auto"/>
              </w:rPr>
            </w:pPr>
            <w:r>
              <w:rPr>
                <w:rFonts w:ascii="Arial" w:cs="Arial" w:eastAsia="Arial" w:hAnsi="Arial"/>
                <w:sz w:val="14"/>
                <w:szCs w:val="14"/>
                <w:color w:val="auto"/>
                <w:w w:val="76"/>
              </w:rPr>
              <w:t>n</w:t>
            </w:r>
          </w:p>
        </w:tc>
        <w:tc>
          <w:tcPr>
            <w:tcW w:w="220" w:type="dxa"/>
            <w:vAlign w:val="bottom"/>
          </w:tcPr>
          <w:p>
            <w:pPr>
              <w:spacing w:after="0"/>
              <w:rPr>
                <w:sz w:val="13"/>
                <w:szCs w:val="13"/>
                <w:color w:val="auto"/>
              </w:rPr>
            </w:pPr>
          </w:p>
        </w:tc>
        <w:tc>
          <w:tcPr>
            <w:tcW w:w="680" w:type="dxa"/>
            <w:vAlign w:val="bottom"/>
          </w:tcPr>
          <w:p>
            <w:pPr>
              <w:jc w:val="center"/>
              <w:ind w:right="188"/>
              <w:spacing w:after="0" w:line="154" w:lineRule="exact"/>
              <w:rPr>
                <w:sz w:val="20"/>
                <w:szCs w:val="20"/>
                <w:color w:val="auto"/>
              </w:rPr>
            </w:pPr>
            <w:r>
              <w:rPr>
                <w:rFonts w:ascii="Arial" w:cs="Arial" w:eastAsia="Arial" w:hAnsi="Arial"/>
                <w:sz w:val="14"/>
                <w:szCs w:val="14"/>
                <w:color w:val="auto"/>
              </w:rPr>
              <w:t>MSHA</w:t>
            </w:r>
          </w:p>
        </w:tc>
        <w:tc>
          <w:tcPr>
            <w:tcW w:w="820" w:type="dxa"/>
            <w:vAlign w:val="bottom"/>
          </w:tcPr>
          <w:p>
            <w:pPr>
              <w:jc w:val="center"/>
              <w:spacing w:after="0" w:line="154" w:lineRule="exact"/>
              <w:rPr>
                <w:sz w:val="20"/>
                <w:szCs w:val="20"/>
                <w:color w:val="auto"/>
              </w:rPr>
            </w:pPr>
            <w:r>
              <w:rPr>
                <w:rFonts w:ascii="Arial" w:cs="Arial" w:eastAsia="Arial" w:hAnsi="Arial"/>
                <w:sz w:val="14"/>
                <w:szCs w:val="14"/>
                <w:color w:val="auto"/>
              </w:rPr>
              <w:t>of Mining</w:t>
            </w:r>
          </w:p>
        </w:tc>
        <w:tc>
          <w:tcPr>
            <w:tcW w:w="860" w:type="dxa"/>
            <w:vAlign w:val="bottom"/>
          </w:tcPr>
          <w:p>
            <w:pPr>
              <w:jc w:val="center"/>
              <w:spacing w:after="0" w:line="154" w:lineRule="exact"/>
              <w:rPr>
                <w:sz w:val="20"/>
                <w:szCs w:val="20"/>
                <w:color w:val="auto"/>
              </w:rPr>
            </w:pPr>
            <w:r>
              <w:rPr>
                <w:rFonts w:ascii="Arial" w:cs="Arial" w:eastAsia="Arial" w:hAnsi="Arial"/>
                <w:sz w:val="14"/>
                <w:szCs w:val="14"/>
                <w:color w:val="auto"/>
                <w:w w:val="94"/>
              </w:rPr>
              <w:t>Section</w:t>
            </w:r>
          </w:p>
        </w:tc>
        <w:tc>
          <w:tcPr>
            <w:tcW w:w="820" w:type="dxa"/>
            <w:vAlign w:val="bottom"/>
          </w:tcPr>
          <w:p>
            <w:pPr>
              <w:jc w:val="center"/>
              <w:spacing w:after="0" w:line="154" w:lineRule="exact"/>
              <w:rPr>
                <w:sz w:val="20"/>
                <w:szCs w:val="20"/>
                <w:color w:val="auto"/>
              </w:rPr>
            </w:pPr>
            <w:r>
              <w:rPr>
                <w:rFonts w:ascii="Arial" w:cs="Arial" w:eastAsia="Arial" w:hAnsi="Arial"/>
                <w:sz w:val="14"/>
                <w:szCs w:val="14"/>
                <w:color w:val="auto"/>
                <w:w w:val="89"/>
              </w:rPr>
              <w:t>Section</w:t>
            </w:r>
          </w:p>
        </w:tc>
        <w:tc>
          <w:tcPr>
            <w:tcW w:w="880" w:type="dxa"/>
            <w:vAlign w:val="bottom"/>
          </w:tcPr>
          <w:p>
            <w:pPr>
              <w:jc w:val="center"/>
              <w:spacing w:after="0" w:line="154" w:lineRule="exact"/>
              <w:rPr>
                <w:sz w:val="20"/>
                <w:szCs w:val="20"/>
                <w:color w:val="auto"/>
              </w:rPr>
            </w:pPr>
            <w:r>
              <w:rPr>
                <w:rFonts w:ascii="Arial" w:cs="Arial" w:eastAsia="Arial" w:hAnsi="Arial"/>
                <w:sz w:val="14"/>
                <w:szCs w:val="14"/>
                <w:color w:val="auto"/>
                <w:w w:val="95"/>
              </w:rPr>
              <w:t>of Last</w:t>
            </w:r>
          </w:p>
        </w:tc>
        <w:tc>
          <w:tcPr>
            <w:tcW w:w="700" w:type="dxa"/>
            <w:vAlign w:val="bottom"/>
          </w:tcPr>
          <w:p>
            <w:pPr>
              <w:jc w:val="center"/>
              <w:spacing w:after="0" w:line="154" w:lineRule="exact"/>
              <w:rPr>
                <w:sz w:val="20"/>
                <w:szCs w:val="20"/>
                <w:color w:val="auto"/>
              </w:rPr>
            </w:pPr>
            <w:r>
              <w:rPr>
                <w:rFonts w:ascii="Arial" w:cs="Arial" w:eastAsia="Arial" w:hAnsi="Arial"/>
                <w:sz w:val="14"/>
                <w:szCs w:val="14"/>
                <w:color w:val="auto"/>
                <w:w w:val="97"/>
              </w:rPr>
              <w:t>Initiated</w:t>
            </w:r>
          </w:p>
        </w:tc>
        <w:tc>
          <w:tcPr>
            <w:tcW w:w="780" w:type="dxa"/>
            <w:vAlign w:val="bottom"/>
          </w:tcPr>
          <w:p>
            <w:pPr>
              <w:ind w:left="180"/>
              <w:spacing w:after="0" w:line="154" w:lineRule="exact"/>
              <w:rPr>
                <w:sz w:val="20"/>
                <w:szCs w:val="20"/>
                <w:color w:val="auto"/>
              </w:rPr>
            </w:pPr>
            <w:r>
              <w:rPr>
                <w:rFonts w:ascii="Arial" w:cs="Arial" w:eastAsia="Arial" w:hAnsi="Arial"/>
                <w:sz w:val="14"/>
                <w:szCs w:val="14"/>
                <w:color w:val="auto"/>
              </w:rPr>
              <w:t>Resolve</w:t>
            </w:r>
          </w:p>
        </w:tc>
        <w:tc>
          <w:tcPr>
            <w:tcW w:w="0" w:type="dxa"/>
            <w:vAlign w:val="bottom"/>
          </w:tcPr>
          <w:p>
            <w:pPr>
              <w:spacing w:after="0"/>
              <w:rPr>
                <w:sz w:val="1"/>
                <w:szCs w:val="1"/>
                <w:color w:val="auto"/>
              </w:rPr>
            </w:pPr>
          </w:p>
        </w:tc>
      </w:tr>
      <w:tr>
        <w:trPr>
          <w:trHeight w:val="148"/>
        </w:trPr>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Mine or Operating Name/MSHA</w:t>
            </w:r>
          </w:p>
        </w:tc>
        <w:tc>
          <w:tcPr>
            <w:tcW w:w="700" w:type="dxa"/>
            <w:vAlign w:val="bottom"/>
          </w:tcPr>
          <w:p>
            <w:pPr>
              <w:ind w:left="120"/>
              <w:spacing w:after="0" w:line="149" w:lineRule="exact"/>
              <w:rPr>
                <w:sz w:val="20"/>
                <w:szCs w:val="20"/>
                <w:color w:val="auto"/>
              </w:rPr>
            </w:pPr>
            <w:r>
              <w:rPr>
                <w:rFonts w:ascii="Arial" w:cs="Arial" w:eastAsia="Arial" w:hAnsi="Arial"/>
                <w:sz w:val="14"/>
                <w:szCs w:val="14"/>
                <w:color w:val="auto"/>
              </w:rPr>
              <w:t>Citation</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3"/>
              </w:rPr>
              <w:t>104(b)</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7"/>
              </w:rPr>
              <w:t>s and</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rPr>
              <w:t>Violation</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9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9"/>
              </w:rPr>
              <w:t>Assessment</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20" w:type="dxa"/>
            <w:vAlign w:val="bottom"/>
          </w:tcPr>
          <w:p>
            <w:pPr>
              <w:jc w:val="center"/>
              <w:ind w:left="8"/>
              <w:spacing w:after="0" w:line="149" w:lineRule="exact"/>
              <w:rPr>
                <w:sz w:val="20"/>
                <w:szCs w:val="20"/>
                <w:color w:val="auto"/>
              </w:rPr>
            </w:pPr>
            <w:r>
              <w:rPr>
                <w:rFonts w:ascii="Arial" w:cs="Arial" w:eastAsia="Arial" w:hAnsi="Arial"/>
                <w:sz w:val="14"/>
                <w:szCs w:val="14"/>
                <w:color w:val="auto"/>
                <w:w w:val="93"/>
              </w:rPr>
              <w:t>104(e)</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3"/>
              </w:rPr>
              <w:t>Day of</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8"/>
              </w:rPr>
              <w:t>d During</w:t>
            </w:r>
          </w:p>
        </w:tc>
        <w:tc>
          <w:tcPr>
            <w:tcW w:w="0" w:type="dxa"/>
            <w:vAlign w:val="bottom"/>
          </w:tcPr>
          <w:p>
            <w:pPr>
              <w:spacing w:after="0"/>
              <w:rPr>
                <w:sz w:val="1"/>
                <w:szCs w:val="1"/>
                <w:color w:val="auto"/>
              </w:rPr>
            </w:pPr>
          </w:p>
        </w:tc>
      </w:tr>
      <w:tr>
        <w:trPr>
          <w:trHeight w:val="189"/>
        </w:trPr>
        <w:tc>
          <w:tcPr>
            <w:tcW w:w="2160" w:type="dxa"/>
            <w:vAlign w:val="bottom"/>
          </w:tcPr>
          <w:p>
            <w:pPr>
              <w:ind w:left="120"/>
              <w:spacing w:after="0"/>
              <w:rPr>
                <w:sz w:val="20"/>
                <w:szCs w:val="20"/>
                <w:color w:val="auto"/>
              </w:rPr>
            </w:pPr>
            <w:r>
              <w:rPr>
                <w:rFonts w:ascii="Arial" w:cs="Arial" w:eastAsia="Arial" w:hAnsi="Arial"/>
                <w:sz w:val="14"/>
                <w:szCs w:val="14"/>
                <w:color w:val="auto"/>
              </w:rPr>
              <w:t>Identification Number</w:t>
            </w:r>
          </w:p>
        </w:tc>
        <w:tc>
          <w:tcPr>
            <w:tcW w:w="700" w:type="dxa"/>
            <w:vAlign w:val="bottom"/>
          </w:tcPr>
          <w:p>
            <w:pPr>
              <w:jc w:val="center"/>
              <w:spacing w:after="0"/>
              <w:rPr>
                <w:sz w:val="20"/>
                <w:szCs w:val="20"/>
                <w:color w:val="auto"/>
              </w:rPr>
            </w:pPr>
            <w:r>
              <w:rPr>
                <w:rFonts w:ascii="Arial" w:cs="Arial" w:eastAsia="Arial" w:hAnsi="Arial"/>
                <w:sz w:val="14"/>
                <w:szCs w:val="14"/>
                <w:color w:val="auto"/>
                <w:w w:val="85"/>
              </w:rPr>
              <w:t>s</w:t>
            </w:r>
          </w:p>
        </w:tc>
        <w:tc>
          <w:tcPr>
            <w:tcW w:w="600" w:type="dxa"/>
            <w:vAlign w:val="bottom"/>
          </w:tcPr>
          <w:p>
            <w:pPr>
              <w:jc w:val="center"/>
              <w:spacing w:after="0"/>
              <w:rPr>
                <w:sz w:val="20"/>
                <w:szCs w:val="20"/>
                <w:color w:val="auto"/>
              </w:rPr>
            </w:pPr>
            <w:r>
              <w:rPr>
                <w:rFonts w:ascii="Arial" w:cs="Arial" w:eastAsia="Arial" w:hAnsi="Arial"/>
                <w:sz w:val="14"/>
                <w:szCs w:val="14"/>
                <w:color w:val="auto"/>
                <w:w w:val="93"/>
              </w:rPr>
              <w:t>Orders</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Orders</w:t>
            </w:r>
          </w:p>
        </w:tc>
        <w:tc>
          <w:tcPr>
            <w:tcW w:w="740" w:type="dxa"/>
            <w:vAlign w:val="bottom"/>
          </w:tcPr>
          <w:p>
            <w:pPr>
              <w:jc w:val="center"/>
              <w:spacing w:after="0"/>
              <w:rPr>
                <w:sz w:val="20"/>
                <w:szCs w:val="20"/>
                <w:color w:val="auto"/>
              </w:rPr>
            </w:pPr>
            <w:r>
              <w:rPr>
                <w:rFonts w:ascii="Arial" w:cs="Arial" w:eastAsia="Arial" w:hAnsi="Arial"/>
                <w:sz w:val="14"/>
                <w:szCs w:val="14"/>
                <w:color w:val="auto"/>
                <w:w w:val="85"/>
              </w:rPr>
              <w:t>s</w:t>
            </w:r>
          </w:p>
        </w:tc>
        <w:tc>
          <w:tcPr>
            <w:tcW w:w="620" w:type="dxa"/>
            <w:vAlign w:val="bottom"/>
          </w:tcPr>
          <w:p>
            <w:pPr>
              <w:jc w:val="center"/>
              <w:spacing w:after="0"/>
              <w:rPr>
                <w:sz w:val="20"/>
                <w:szCs w:val="20"/>
                <w:color w:val="auto"/>
              </w:rPr>
            </w:pPr>
            <w:r>
              <w:rPr>
                <w:rFonts w:ascii="Arial" w:cs="Arial" w:eastAsia="Arial" w:hAnsi="Arial"/>
                <w:sz w:val="14"/>
                <w:szCs w:val="14"/>
                <w:color w:val="auto"/>
                <w:w w:val="88"/>
              </w:rPr>
              <w:t>Orders</w:t>
            </w: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w w:val="87"/>
              </w:rPr>
              <w:t>s Proposed</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Fatalities</w:t>
            </w:r>
          </w:p>
        </w:tc>
        <w:tc>
          <w:tcPr>
            <w:tcW w:w="860" w:type="dxa"/>
            <w:vAlign w:val="bottom"/>
          </w:tcPr>
          <w:p>
            <w:pPr>
              <w:jc w:val="center"/>
              <w:spacing w:after="0"/>
              <w:rPr>
                <w:sz w:val="20"/>
                <w:szCs w:val="20"/>
                <w:color w:val="auto"/>
              </w:rPr>
            </w:pPr>
            <w:r>
              <w:rPr>
                <w:rFonts w:ascii="Arial" w:cs="Arial" w:eastAsia="Arial" w:hAnsi="Arial"/>
                <w:sz w:val="14"/>
                <w:szCs w:val="14"/>
                <w:color w:val="auto"/>
                <w:w w:val="94"/>
              </w:rPr>
              <w:t>(yes/no)</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90"/>
              </w:rPr>
              <w:t>(yes/no)</w:t>
            </w: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Period</w:t>
            </w:r>
          </w:p>
        </w:tc>
        <w:tc>
          <w:tcPr>
            <w:tcW w:w="700" w:type="dxa"/>
            <w:vAlign w:val="bottom"/>
          </w:tcPr>
          <w:p>
            <w:pPr>
              <w:jc w:val="center"/>
              <w:spacing w:after="0"/>
              <w:rPr>
                <w:sz w:val="20"/>
                <w:szCs w:val="20"/>
                <w:color w:val="auto"/>
              </w:rPr>
            </w:pPr>
            <w:r>
              <w:rPr>
                <w:rFonts w:ascii="Arial" w:cs="Arial" w:eastAsia="Arial" w:hAnsi="Arial"/>
                <w:sz w:val="14"/>
                <w:szCs w:val="14"/>
                <w:color w:val="auto"/>
                <w:w w:val="88"/>
              </w:rPr>
              <w:t>Period</w:t>
            </w:r>
          </w:p>
        </w:tc>
        <w:tc>
          <w:tcPr>
            <w:tcW w:w="780" w:type="dxa"/>
            <w:vAlign w:val="bottom"/>
          </w:tcPr>
          <w:p>
            <w:pPr>
              <w:jc w:val="center"/>
              <w:spacing w:after="0"/>
              <w:rPr>
                <w:sz w:val="20"/>
                <w:szCs w:val="20"/>
                <w:color w:val="auto"/>
              </w:rPr>
            </w:pPr>
            <w:r>
              <w:rPr>
                <w:rFonts w:ascii="Arial" w:cs="Arial" w:eastAsia="Arial" w:hAnsi="Arial"/>
                <w:sz w:val="14"/>
                <w:szCs w:val="14"/>
                <w:color w:val="auto"/>
                <w:w w:val="88"/>
              </w:rPr>
              <w:t>Period</w:t>
            </w:r>
          </w:p>
        </w:tc>
        <w:tc>
          <w:tcPr>
            <w:tcW w:w="0" w:type="dxa"/>
            <w:vAlign w:val="bottom"/>
          </w:tcPr>
          <w:p>
            <w:pPr>
              <w:spacing w:after="0"/>
              <w:rPr>
                <w:sz w:val="1"/>
                <w:szCs w:val="1"/>
                <w:color w:val="auto"/>
              </w:rPr>
            </w:pPr>
          </w:p>
        </w:tc>
      </w:tr>
      <w:tr>
        <w:trPr>
          <w:trHeight w:val="170"/>
        </w:trPr>
        <w:tc>
          <w:tcPr>
            <w:tcW w:w="2160" w:type="dxa"/>
            <w:vAlign w:val="bottom"/>
            <w:shd w:val="clear" w:color="auto" w:fill="DAEEF3"/>
          </w:tcPr>
          <w:p>
            <w:pPr>
              <w:ind w:left="120"/>
              <w:spacing w:after="0"/>
              <w:rPr>
                <w:sz w:val="20"/>
                <w:szCs w:val="20"/>
                <w:color w:val="auto"/>
              </w:rPr>
            </w:pPr>
            <w:r>
              <w:rPr>
                <w:rFonts w:ascii="Arial" w:cs="Arial" w:eastAsia="Arial" w:hAnsi="Arial"/>
                <w:sz w:val="14"/>
                <w:szCs w:val="14"/>
                <w:color w:val="auto"/>
              </w:rPr>
              <w:t>3D Concrete LLC</w:t>
            </w:r>
          </w:p>
        </w:tc>
        <w:tc>
          <w:tcPr>
            <w:tcW w:w="70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6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4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2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vMerge w:val="restart"/>
            <w:shd w:val="clear" w:color="auto" w:fill="DAEEF3"/>
          </w:tcPr>
          <w:p>
            <w:pPr>
              <w:ind w:left="12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DAEEF3"/>
          </w:tcPr>
          <w:p>
            <w:pPr>
              <w:ind w:left="160"/>
              <w:spacing w:after="0"/>
              <w:rPr>
                <w:sz w:val="20"/>
                <w:szCs w:val="20"/>
                <w:color w:val="auto"/>
              </w:rPr>
            </w:pPr>
            <w:r>
              <w:rPr>
                <w:rFonts w:ascii="Arial" w:cs="Arial" w:eastAsia="Arial" w:hAnsi="Arial"/>
                <w:sz w:val="14"/>
                <w:szCs w:val="14"/>
                <w:color w:val="auto"/>
              </w:rPr>
              <w:t>0</w:t>
            </w:r>
          </w:p>
        </w:tc>
        <w:tc>
          <w:tcPr>
            <w:tcW w:w="82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vMerge w:val="restart"/>
            <w:shd w:val="clear" w:color="auto" w:fill="DAEEF3"/>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vMerge w:val="restart"/>
            <w:shd w:val="clear" w:color="auto" w:fill="DAEEF3"/>
          </w:tcPr>
          <w:p>
            <w:pPr>
              <w:ind w:left="420"/>
              <w:spacing w:after="0"/>
              <w:rPr>
                <w:sz w:val="20"/>
                <w:szCs w:val="20"/>
                <w:color w:val="auto"/>
              </w:rPr>
            </w:pPr>
            <w:r>
              <w:rPr>
                <w:rFonts w:ascii="Arial" w:cs="Arial" w:eastAsia="Arial" w:hAnsi="Arial"/>
                <w:sz w:val="14"/>
                <w:szCs w:val="14"/>
                <w:color w:val="auto"/>
              </w:rPr>
              <w:t>0</w:t>
            </w:r>
          </w:p>
        </w:tc>
        <w:tc>
          <w:tcPr>
            <w:tcW w:w="70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8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15"/>
        </w:trPr>
        <w:tc>
          <w:tcPr>
            <w:tcW w:w="2160" w:type="dxa"/>
            <w:vAlign w:val="bottom"/>
            <w:vMerge w:val="restart"/>
            <w:shd w:val="clear" w:color="auto" w:fill="DAEEF3"/>
          </w:tcPr>
          <w:p>
            <w:pPr>
              <w:ind w:left="120"/>
              <w:spacing w:after="0"/>
              <w:rPr>
                <w:sz w:val="20"/>
                <w:szCs w:val="20"/>
                <w:color w:val="auto"/>
              </w:rPr>
            </w:pPr>
            <w:r>
              <w:rPr>
                <w:rFonts w:ascii="Arial" w:cs="Arial" w:eastAsia="Arial" w:hAnsi="Arial"/>
                <w:sz w:val="14"/>
                <w:szCs w:val="14"/>
                <w:color w:val="auto"/>
              </w:rPr>
              <w:t>Lander, NV (2602434)</w:t>
            </w:r>
          </w:p>
        </w:tc>
        <w:tc>
          <w:tcPr>
            <w:tcW w:w="700" w:type="dxa"/>
            <w:vAlign w:val="bottom"/>
            <w:vMerge w:val="continue"/>
            <w:shd w:val="clear" w:color="auto" w:fill="DAEEF3"/>
          </w:tcPr>
          <w:p>
            <w:pPr>
              <w:spacing w:after="0"/>
              <w:rPr>
                <w:sz w:val="9"/>
                <w:szCs w:val="9"/>
                <w:color w:val="auto"/>
              </w:rPr>
            </w:pPr>
          </w:p>
        </w:tc>
        <w:tc>
          <w:tcPr>
            <w:tcW w:w="600" w:type="dxa"/>
            <w:vAlign w:val="bottom"/>
            <w:vMerge w:val="continue"/>
            <w:shd w:val="clear" w:color="auto" w:fill="DAEEF3"/>
          </w:tcPr>
          <w:p>
            <w:pPr>
              <w:spacing w:after="0"/>
              <w:rPr>
                <w:sz w:val="9"/>
                <w:szCs w:val="9"/>
                <w:color w:val="auto"/>
              </w:rPr>
            </w:pPr>
          </w:p>
        </w:tc>
        <w:tc>
          <w:tcPr>
            <w:tcW w:w="660" w:type="dxa"/>
            <w:vAlign w:val="bottom"/>
            <w:vMerge w:val="continue"/>
            <w:shd w:val="clear" w:color="auto" w:fill="DAEEF3"/>
          </w:tcPr>
          <w:p>
            <w:pPr>
              <w:spacing w:after="0"/>
              <w:rPr>
                <w:sz w:val="9"/>
                <w:szCs w:val="9"/>
                <w:color w:val="auto"/>
              </w:rPr>
            </w:pPr>
          </w:p>
        </w:tc>
        <w:tc>
          <w:tcPr>
            <w:tcW w:w="740" w:type="dxa"/>
            <w:vAlign w:val="bottom"/>
            <w:vMerge w:val="continue"/>
            <w:shd w:val="clear" w:color="auto" w:fill="DAEEF3"/>
          </w:tcPr>
          <w:p>
            <w:pPr>
              <w:spacing w:after="0"/>
              <w:rPr>
                <w:sz w:val="9"/>
                <w:szCs w:val="9"/>
                <w:color w:val="auto"/>
              </w:rPr>
            </w:pPr>
          </w:p>
        </w:tc>
        <w:tc>
          <w:tcPr>
            <w:tcW w:w="620" w:type="dxa"/>
            <w:vAlign w:val="bottom"/>
            <w:vMerge w:val="continue"/>
            <w:shd w:val="clear" w:color="auto" w:fill="DAEEF3"/>
          </w:tcPr>
          <w:p>
            <w:pPr>
              <w:spacing w:after="0"/>
              <w:rPr>
                <w:sz w:val="9"/>
                <w:szCs w:val="9"/>
                <w:color w:val="auto"/>
              </w:rPr>
            </w:pPr>
          </w:p>
        </w:tc>
        <w:tc>
          <w:tcPr>
            <w:tcW w:w="220" w:type="dxa"/>
            <w:vAlign w:val="bottom"/>
            <w:vMerge w:val="continue"/>
            <w:shd w:val="clear" w:color="auto" w:fill="DAEEF3"/>
          </w:tcPr>
          <w:p>
            <w:pPr>
              <w:spacing w:after="0"/>
              <w:rPr>
                <w:sz w:val="9"/>
                <w:szCs w:val="9"/>
                <w:color w:val="auto"/>
              </w:rPr>
            </w:pPr>
          </w:p>
        </w:tc>
        <w:tc>
          <w:tcPr>
            <w:tcW w:w="680" w:type="dxa"/>
            <w:vAlign w:val="bottom"/>
            <w:vMerge w:val="continue"/>
            <w:shd w:val="clear" w:color="auto" w:fill="DAEEF3"/>
          </w:tcPr>
          <w:p>
            <w:pPr>
              <w:spacing w:after="0"/>
              <w:rPr>
                <w:sz w:val="9"/>
                <w:szCs w:val="9"/>
                <w:color w:val="auto"/>
              </w:rPr>
            </w:pPr>
          </w:p>
        </w:tc>
        <w:tc>
          <w:tcPr>
            <w:tcW w:w="820" w:type="dxa"/>
            <w:vAlign w:val="bottom"/>
            <w:vMerge w:val="continue"/>
            <w:shd w:val="clear" w:color="auto" w:fill="DAEEF3"/>
          </w:tcPr>
          <w:p>
            <w:pPr>
              <w:spacing w:after="0"/>
              <w:rPr>
                <w:sz w:val="9"/>
                <w:szCs w:val="9"/>
                <w:color w:val="auto"/>
              </w:rPr>
            </w:pPr>
          </w:p>
        </w:tc>
        <w:tc>
          <w:tcPr>
            <w:tcW w:w="860" w:type="dxa"/>
            <w:vAlign w:val="bottom"/>
            <w:vMerge w:val="continue"/>
            <w:shd w:val="clear" w:color="auto" w:fill="DAEEF3"/>
          </w:tcPr>
          <w:p>
            <w:pPr>
              <w:spacing w:after="0"/>
              <w:rPr>
                <w:sz w:val="9"/>
                <w:szCs w:val="9"/>
                <w:color w:val="auto"/>
              </w:rPr>
            </w:pPr>
          </w:p>
        </w:tc>
        <w:tc>
          <w:tcPr>
            <w:tcW w:w="820" w:type="dxa"/>
            <w:vAlign w:val="bottom"/>
            <w:vMerge w:val="continue"/>
            <w:shd w:val="clear" w:color="auto" w:fill="DAEEF3"/>
          </w:tcPr>
          <w:p>
            <w:pPr>
              <w:spacing w:after="0"/>
              <w:rPr>
                <w:sz w:val="9"/>
                <w:szCs w:val="9"/>
                <w:color w:val="auto"/>
              </w:rPr>
            </w:pPr>
          </w:p>
        </w:tc>
        <w:tc>
          <w:tcPr>
            <w:tcW w:w="880" w:type="dxa"/>
            <w:vAlign w:val="bottom"/>
            <w:vMerge w:val="continue"/>
            <w:shd w:val="clear" w:color="auto" w:fill="DAEEF3"/>
          </w:tcPr>
          <w:p>
            <w:pPr>
              <w:spacing w:after="0"/>
              <w:rPr>
                <w:sz w:val="9"/>
                <w:szCs w:val="9"/>
                <w:color w:val="auto"/>
              </w:rPr>
            </w:pPr>
          </w:p>
        </w:tc>
        <w:tc>
          <w:tcPr>
            <w:tcW w:w="700" w:type="dxa"/>
            <w:vAlign w:val="bottom"/>
            <w:vMerge w:val="continue"/>
            <w:shd w:val="clear" w:color="auto" w:fill="DAEEF3"/>
          </w:tcPr>
          <w:p>
            <w:pPr>
              <w:spacing w:after="0"/>
              <w:rPr>
                <w:sz w:val="9"/>
                <w:szCs w:val="9"/>
                <w:color w:val="auto"/>
              </w:rPr>
            </w:pPr>
          </w:p>
        </w:tc>
        <w:tc>
          <w:tcPr>
            <w:tcW w:w="780" w:type="dxa"/>
            <w:vAlign w:val="bottom"/>
            <w:vMerge w:val="continue"/>
            <w:shd w:val="clear" w:color="auto" w:fill="DAEEF3"/>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160" w:type="dxa"/>
            <w:vAlign w:val="bottom"/>
            <w:tcBorders>
              <w:bottom w:val="single" w:sz="8" w:color="DAEEF3"/>
            </w:tcBorders>
            <w:vMerge w:val="continue"/>
            <w:shd w:val="clear" w:color="auto" w:fill="DAEEF3"/>
          </w:tcPr>
          <w:p>
            <w:pPr>
              <w:spacing w:after="0"/>
              <w:rPr>
                <w:sz w:val="7"/>
                <w:szCs w:val="7"/>
                <w:color w:val="auto"/>
              </w:rPr>
            </w:pPr>
          </w:p>
        </w:tc>
        <w:tc>
          <w:tcPr>
            <w:tcW w:w="700" w:type="dxa"/>
            <w:vAlign w:val="bottom"/>
            <w:tcBorders>
              <w:bottom w:val="single" w:sz="8" w:color="DAEEF3"/>
            </w:tcBorders>
            <w:shd w:val="clear" w:color="auto" w:fill="DAEEF3"/>
          </w:tcPr>
          <w:p>
            <w:pPr>
              <w:spacing w:after="0"/>
              <w:rPr>
                <w:sz w:val="7"/>
                <w:szCs w:val="7"/>
                <w:color w:val="auto"/>
              </w:rPr>
            </w:pPr>
          </w:p>
        </w:tc>
        <w:tc>
          <w:tcPr>
            <w:tcW w:w="600" w:type="dxa"/>
            <w:vAlign w:val="bottom"/>
            <w:tcBorders>
              <w:bottom w:val="single" w:sz="8" w:color="DAEEF3"/>
            </w:tcBorders>
            <w:shd w:val="clear" w:color="auto" w:fill="DAEEF3"/>
          </w:tcPr>
          <w:p>
            <w:pPr>
              <w:spacing w:after="0"/>
              <w:rPr>
                <w:sz w:val="7"/>
                <w:szCs w:val="7"/>
                <w:color w:val="auto"/>
              </w:rPr>
            </w:pPr>
          </w:p>
        </w:tc>
        <w:tc>
          <w:tcPr>
            <w:tcW w:w="660" w:type="dxa"/>
            <w:vAlign w:val="bottom"/>
            <w:tcBorders>
              <w:bottom w:val="single" w:sz="8" w:color="DAEEF3"/>
            </w:tcBorders>
            <w:shd w:val="clear" w:color="auto" w:fill="DAEEF3"/>
          </w:tcPr>
          <w:p>
            <w:pPr>
              <w:spacing w:after="0"/>
              <w:rPr>
                <w:sz w:val="7"/>
                <w:szCs w:val="7"/>
                <w:color w:val="auto"/>
              </w:rPr>
            </w:pPr>
          </w:p>
        </w:tc>
        <w:tc>
          <w:tcPr>
            <w:tcW w:w="740" w:type="dxa"/>
            <w:vAlign w:val="bottom"/>
            <w:tcBorders>
              <w:bottom w:val="single" w:sz="8" w:color="DAEEF3"/>
            </w:tcBorders>
            <w:shd w:val="clear" w:color="auto" w:fill="DAEEF3"/>
          </w:tcPr>
          <w:p>
            <w:pPr>
              <w:spacing w:after="0"/>
              <w:rPr>
                <w:sz w:val="7"/>
                <w:szCs w:val="7"/>
                <w:color w:val="auto"/>
              </w:rPr>
            </w:pPr>
          </w:p>
        </w:tc>
        <w:tc>
          <w:tcPr>
            <w:tcW w:w="620" w:type="dxa"/>
            <w:vAlign w:val="bottom"/>
            <w:tcBorders>
              <w:bottom w:val="single" w:sz="8" w:color="DAEEF3"/>
            </w:tcBorders>
            <w:shd w:val="clear" w:color="auto" w:fill="DAEEF3"/>
          </w:tcPr>
          <w:p>
            <w:pPr>
              <w:spacing w:after="0"/>
              <w:rPr>
                <w:sz w:val="7"/>
                <w:szCs w:val="7"/>
                <w:color w:val="auto"/>
              </w:rPr>
            </w:pPr>
          </w:p>
        </w:tc>
        <w:tc>
          <w:tcPr>
            <w:tcW w:w="220" w:type="dxa"/>
            <w:vAlign w:val="bottom"/>
            <w:tcBorders>
              <w:bottom w:val="single" w:sz="8" w:color="DAEEF3"/>
            </w:tcBorders>
            <w:shd w:val="clear" w:color="auto" w:fill="DAEEF3"/>
          </w:tcPr>
          <w:p>
            <w:pPr>
              <w:spacing w:after="0"/>
              <w:rPr>
                <w:sz w:val="7"/>
                <w:szCs w:val="7"/>
                <w:color w:val="auto"/>
              </w:rPr>
            </w:pPr>
          </w:p>
        </w:tc>
        <w:tc>
          <w:tcPr>
            <w:tcW w:w="680" w:type="dxa"/>
            <w:vAlign w:val="bottom"/>
            <w:tcBorders>
              <w:bottom w:val="single" w:sz="8" w:color="DAEEF3"/>
            </w:tcBorders>
            <w:shd w:val="clear" w:color="auto" w:fill="DAEEF3"/>
          </w:tcPr>
          <w:p>
            <w:pPr>
              <w:spacing w:after="0"/>
              <w:rPr>
                <w:sz w:val="7"/>
                <w:szCs w:val="7"/>
                <w:color w:val="auto"/>
              </w:rPr>
            </w:pPr>
          </w:p>
        </w:tc>
        <w:tc>
          <w:tcPr>
            <w:tcW w:w="820" w:type="dxa"/>
            <w:vAlign w:val="bottom"/>
            <w:tcBorders>
              <w:bottom w:val="single" w:sz="8" w:color="DAEEF3"/>
            </w:tcBorders>
            <w:shd w:val="clear" w:color="auto" w:fill="DAEEF3"/>
          </w:tcPr>
          <w:p>
            <w:pPr>
              <w:spacing w:after="0"/>
              <w:rPr>
                <w:sz w:val="7"/>
                <w:szCs w:val="7"/>
                <w:color w:val="auto"/>
              </w:rPr>
            </w:pPr>
          </w:p>
        </w:tc>
        <w:tc>
          <w:tcPr>
            <w:tcW w:w="860" w:type="dxa"/>
            <w:vAlign w:val="bottom"/>
            <w:tcBorders>
              <w:bottom w:val="single" w:sz="8" w:color="DAEEF3"/>
            </w:tcBorders>
            <w:shd w:val="clear" w:color="auto" w:fill="DAEEF3"/>
          </w:tcPr>
          <w:p>
            <w:pPr>
              <w:spacing w:after="0"/>
              <w:rPr>
                <w:sz w:val="7"/>
                <w:szCs w:val="7"/>
                <w:color w:val="auto"/>
              </w:rPr>
            </w:pPr>
          </w:p>
        </w:tc>
        <w:tc>
          <w:tcPr>
            <w:tcW w:w="820" w:type="dxa"/>
            <w:vAlign w:val="bottom"/>
            <w:tcBorders>
              <w:bottom w:val="single" w:sz="8" w:color="DAEEF3"/>
            </w:tcBorders>
            <w:shd w:val="clear" w:color="auto" w:fill="DAEEF3"/>
          </w:tcPr>
          <w:p>
            <w:pPr>
              <w:spacing w:after="0"/>
              <w:rPr>
                <w:sz w:val="7"/>
                <w:szCs w:val="7"/>
                <w:color w:val="auto"/>
              </w:rPr>
            </w:pPr>
          </w:p>
        </w:tc>
        <w:tc>
          <w:tcPr>
            <w:tcW w:w="880" w:type="dxa"/>
            <w:vAlign w:val="bottom"/>
            <w:tcBorders>
              <w:bottom w:val="single" w:sz="8" w:color="DAEEF3"/>
            </w:tcBorders>
            <w:shd w:val="clear" w:color="auto" w:fill="DAEEF3"/>
          </w:tcPr>
          <w:p>
            <w:pPr>
              <w:spacing w:after="0"/>
              <w:rPr>
                <w:sz w:val="7"/>
                <w:szCs w:val="7"/>
                <w:color w:val="auto"/>
              </w:rPr>
            </w:pPr>
          </w:p>
        </w:tc>
        <w:tc>
          <w:tcPr>
            <w:tcW w:w="700" w:type="dxa"/>
            <w:vAlign w:val="bottom"/>
            <w:tcBorders>
              <w:bottom w:val="single" w:sz="8" w:color="DAEEF3"/>
            </w:tcBorders>
            <w:shd w:val="clear" w:color="auto" w:fill="DAEEF3"/>
          </w:tcPr>
          <w:p>
            <w:pPr>
              <w:spacing w:after="0"/>
              <w:rPr>
                <w:sz w:val="7"/>
                <w:szCs w:val="7"/>
                <w:color w:val="auto"/>
              </w:rPr>
            </w:pPr>
          </w:p>
        </w:tc>
        <w:tc>
          <w:tcPr>
            <w:tcW w:w="780" w:type="dxa"/>
            <w:vAlign w:val="bottom"/>
            <w:tcBorders>
              <w:bottom w:val="single" w:sz="8" w:color="DAEEF3"/>
            </w:tcBorders>
            <w:shd w:val="clear" w:color="auto" w:fill="DAEEF3"/>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120"/>
              <w:spacing w:after="0"/>
              <w:rPr>
                <w:sz w:val="20"/>
                <w:szCs w:val="20"/>
                <w:color w:val="auto"/>
              </w:rPr>
            </w:pPr>
            <w:r>
              <w:rPr>
                <w:rFonts w:ascii="Arial" w:cs="Arial" w:eastAsia="Arial" w:hAnsi="Arial"/>
                <w:sz w:val="14"/>
                <w:szCs w:val="14"/>
                <w:color w:val="auto"/>
              </w:rPr>
              <w:t>3D Concrete LLC</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ind w:left="160"/>
              <w:spacing w:after="0"/>
              <w:rPr>
                <w:sz w:val="20"/>
                <w:szCs w:val="20"/>
                <w:color w:val="auto"/>
              </w:rPr>
            </w:pPr>
            <w:r>
              <w:rPr>
                <w:rFonts w:ascii="Arial" w:cs="Arial" w:eastAsia="Arial" w:hAnsi="Arial"/>
                <w:sz w:val="14"/>
                <w:szCs w:val="14"/>
                <w:color w:val="auto"/>
              </w:rPr>
              <w:t>0</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vMerge w:val="restart"/>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vMerge w:val="restart"/>
          </w:tcPr>
          <w:p>
            <w:pPr>
              <w:ind w:left="420"/>
              <w:spacing w:after="0"/>
              <w:rPr>
                <w:sz w:val="20"/>
                <w:szCs w:val="20"/>
                <w:color w:val="auto"/>
              </w:rPr>
            </w:pPr>
            <w:r>
              <w:rPr>
                <w:rFonts w:ascii="Arial" w:cs="Arial" w:eastAsia="Arial" w:hAnsi="Arial"/>
                <w:sz w:val="14"/>
                <w:szCs w:val="14"/>
                <w:color w:val="auto"/>
              </w:rPr>
              <w:t>0</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15"/>
        </w:trPr>
        <w:tc>
          <w:tcPr>
            <w:tcW w:w="2160" w:type="dxa"/>
            <w:vAlign w:val="bottom"/>
            <w:vMerge w:val="restart"/>
          </w:tcPr>
          <w:p>
            <w:pPr>
              <w:ind w:left="120"/>
              <w:spacing w:after="0"/>
              <w:rPr>
                <w:sz w:val="20"/>
                <w:szCs w:val="20"/>
                <w:color w:val="auto"/>
              </w:rPr>
            </w:pPr>
            <w:r>
              <w:rPr>
                <w:rFonts w:ascii="Arial" w:cs="Arial" w:eastAsia="Arial" w:hAnsi="Arial"/>
                <w:sz w:val="14"/>
                <w:szCs w:val="14"/>
                <w:color w:val="auto"/>
              </w:rPr>
              <w:t>Lyon, Nevada (2602412)</w:t>
            </w: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1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3"/>
        </w:trPr>
        <w:tc>
          <w:tcPr>
            <w:tcW w:w="2160" w:type="dxa"/>
            <w:vAlign w:val="bottom"/>
            <w:shd w:val="clear" w:color="auto" w:fill="DAEEF3"/>
          </w:tcPr>
          <w:p>
            <w:pPr>
              <w:ind w:left="120"/>
              <w:spacing w:after="0" w:line="143" w:lineRule="exact"/>
              <w:rPr>
                <w:sz w:val="20"/>
                <w:szCs w:val="20"/>
                <w:color w:val="auto"/>
              </w:rPr>
            </w:pPr>
            <w:r>
              <w:rPr>
                <w:rFonts w:ascii="Arial" w:cs="Arial" w:eastAsia="Arial" w:hAnsi="Arial"/>
                <w:sz w:val="14"/>
                <w:szCs w:val="14"/>
                <w:color w:val="auto"/>
              </w:rPr>
              <w:t>American Gypsum Company</w:t>
            </w:r>
          </w:p>
        </w:tc>
        <w:tc>
          <w:tcPr>
            <w:tcW w:w="700" w:type="dxa"/>
            <w:vAlign w:val="bottom"/>
            <w:shd w:val="clear" w:color="auto" w:fill="DAEEF3"/>
          </w:tcPr>
          <w:p>
            <w:pPr>
              <w:spacing w:after="0"/>
              <w:rPr>
                <w:sz w:val="12"/>
                <w:szCs w:val="12"/>
                <w:color w:val="auto"/>
              </w:rPr>
            </w:pPr>
          </w:p>
        </w:tc>
        <w:tc>
          <w:tcPr>
            <w:tcW w:w="600" w:type="dxa"/>
            <w:vAlign w:val="bottom"/>
            <w:shd w:val="clear" w:color="auto" w:fill="DAEEF3"/>
          </w:tcPr>
          <w:p>
            <w:pPr>
              <w:spacing w:after="0"/>
              <w:rPr>
                <w:sz w:val="12"/>
                <w:szCs w:val="12"/>
                <w:color w:val="auto"/>
              </w:rPr>
            </w:pPr>
          </w:p>
        </w:tc>
        <w:tc>
          <w:tcPr>
            <w:tcW w:w="660" w:type="dxa"/>
            <w:vAlign w:val="bottom"/>
            <w:shd w:val="clear" w:color="auto" w:fill="DAEEF3"/>
          </w:tcPr>
          <w:p>
            <w:pPr>
              <w:spacing w:after="0"/>
              <w:rPr>
                <w:sz w:val="12"/>
                <w:szCs w:val="12"/>
                <w:color w:val="auto"/>
              </w:rPr>
            </w:pPr>
          </w:p>
        </w:tc>
        <w:tc>
          <w:tcPr>
            <w:tcW w:w="740" w:type="dxa"/>
            <w:vAlign w:val="bottom"/>
            <w:shd w:val="clear" w:color="auto" w:fill="DAEEF3"/>
          </w:tcPr>
          <w:p>
            <w:pPr>
              <w:spacing w:after="0"/>
              <w:rPr>
                <w:sz w:val="12"/>
                <w:szCs w:val="12"/>
                <w:color w:val="auto"/>
              </w:rPr>
            </w:pPr>
          </w:p>
        </w:tc>
        <w:tc>
          <w:tcPr>
            <w:tcW w:w="620" w:type="dxa"/>
            <w:vAlign w:val="bottom"/>
            <w:shd w:val="clear" w:color="auto" w:fill="DAEEF3"/>
          </w:tcPr>
          <w:p>
            <w:pPr>
              <w:spacing w:after="0"/>
              <w:rPr>
                <w:sz w:val="12"/>
                <w:szCs w:val="12"/>
                <w:color w:val="auto"/>
              </w:rPr>
            </w:pPr>
          </w:p>
        </w:tc>
        <w:tc>
          <w:tcPr>
            <w:tcW w:w="220" w:type="dxa"/>
            <w:vAlign w:val="bottom"/>
            <w:shd w:val="clear" w:color="auto" w:fill="DAEEF3"/>
          </w:tcPr>
          <w:p>
            <w:pPr>
              <w:spacing w:after="0"/>
              <w:rPr>
                <w:sz w:val="12"/>
                <w:szCs w:val="12"/>
                <w:color w:val="auto"/>
              </w:rPr>
            </w:pPr>
          </w:p>
        </w:tc>
        <w:tc>
          <w:tcPr>
            <w:tcW w:w="680" w:type="dxa"/>
            <w:vAlign w:val="bottom"/>
            <w:shd w:val="clear" w:color="auto" w:fill="DAEEF3"/>
          </w:tcPr>
          <w:p>
            <w:pPr>
              <w:spacing w:after="0"/>
              <w:rPr>
                <w:sz w:val="12"/>
                <w:szCs w:val="12"/>
                <w:color w:val="auto"/>
              </w:rPr>
            </w:pPr>
          </w:p>
        </w:tc>
        <w:tc>
          <w:tcPr>
            <w:tcW w:w="820" w:type="dxa"/>
            <w:vAlign w:val="bottom"/>
            <w:shd w:val="clear" w:color="auto" w:fill="DAEEF3"/>
          </w:tcPr>
          <w:p>
            <w:pPr>
              <w:spacing w:after="0"/>
              <w:rPr>
                <w:sz w:val="12"/>
                <w:szCs w:val="12"/>
                <w:color w:val="auto"/>
              </w:rPr>
            </w:pPr>
          </w:p>
        </w:tc>
        <w:tc>
          <w:tcPr>
            <w:tcW w:w="860" w:type="dxa"/>
            <w:vAlign w:val="bottom"/>
            <w:shd w:val="clear" w:color="auto" w:fill="DAEEF3"/>
          </w:tcPr>
          <w:p>
            <w:pPr>
              <w:spacing w:after="0"/>
              <w:rPr>
                <w:sz w:val="12"/>
                <w:szCs w:val="12"/>
                <w:color w:val="auto"/>
              </w:rPr>
            </w:pPr>
          </w:p>
        </w:tc>
        <w:tc>
          <w:tcPr>
            <w:tcW w:w="820" w:type="dxa"/>
            <w:vAlign w:val="bottom"/>
            <w:shd w:val="clear" w:color="auto" w:fill="DAEEF3"/>
          </w:tcPr>
          <w:p>
            <w:pPr>
              <w:spacing w:after="0"/>
              <w:rPr>
                <w:sz w:val="12"/>
                <w:szCs w:val="12"/>
                <w:color w:val="auto"/>
              </w:rPr>
            </w:pPr>
          </w:p>
        </w:tc>
        <w:tc>
          <w:tcPr>
            <w:tcW w:w="880" w:type="dxa"/>
            <w:vAlign w:val="bottom"/>
            <w:vMerge w:val="restart"/>
            <w:shd w:val="clear" w:color="auto" w:fill="DAEEF3"/>
          </w:tcPr>
          <w:p>
            <w:pPr>
              <w:jc w:val="center"/>
              <w:spacing w:after="0" w:line="292" w:lineRule="exact"/>
              <w:rPr>
                <w:sz w:val="20"/>
                <w:szCs w:val="20"/>
                <w:color w:val="auto"/>
              </w:rPr>
            </w:pPr>
            <w:r>
              <w:rPr>
                <w:rFonts w:ascii="Arial" w:cs="Arial" w:eastAsia="Arial" w:hAnsi="Arial"/>
                <w:sz w:val="28"/>
                <w:szCs w:val="28"/>
                <w:color w:val="auto"/>
                <w:w w:val="79"/>
                <w:vertAlign w:val="subscript"/>
              </w:rPr>
              <w:t>1</w:t>
            </w:r>
            <w:r>
              <w:rPr>
                <w:rFonts w:ascii="Arial" w:cs="Arial" w:eastAsia="Arial" w:hAnsi="Arial"/>
                <w:sz w:val="10"/>
                <w:szCs w:val="10"/>
                <w:color w:val="auto"/>
                <w:w w:val="79"/>
              </w:rPr>
              <w:t>(1)</w:t>
            </w:r>
          </w:p>
        </w:tc>
        <w:tc>
          <w:tcPr>
            <w:tcW w:w="700" w:type="dxa"/>
            <w:vAlign w:val="bottom"/>
            <w:vMerge w:val="restart"/>
            <w:shd w:val="clear" w:color="auto" w:fill="DAEEF3"/>
          </w:tcPr>
          <w:p>
            <w:pPr>
              <w:jc w:val="center"/>
              <w:spacing w:after="0" w:line="292" w:lineRule="exact"/>
              <w:rPr>
                <w:sz w:val="20"/>
                <w:szCs w:val="20"/>
                <w:color w:val="auto"/>
              </w:rPr>
            </w:pPr>
            <w:r>
              <w:rPr>
                <w:rFonts w:ascii="Arial" w:cs="Arial" w:eastAsia="Arial" w:hAnsi="Arial"/>
                <w:sz w:val="28"/>
                <w:szCs w:val="28"/>
                <w:color w:val="auto"/>
                <w:w w:val="88"/>
                <w:vertAlign w:val="subscript"/>
              </w:rPr>
              <w:t>1</w:t>
            </w:r>
            <w:r>
              <w:rPr>
                <w:rFonts w:ascii="Arial" w:cs="Arial" w:eastAsia="Arial" w:hAnsi="Arial"/>
                <w:sz w:val="10"/>
                <w:szCs w:val="10"/>
                <w:color w:val="auto"/>
                <w:w w:val="88"/>
              </w:rPr>
              <w:t>(1)</w:t>
            </w:r>
          </w:p>
        </w:tc>
        <w:tc>
          <w:tcPr>
            <w:tcW w:w="780" w:type="dxa"/>
            <w:vAlign w:val="bottom"/>
            <w:shd w:val="clear" w:color="auto" w:fill="DAEE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DAEEF3"/>
          </w:tcPr>
          <w:p>
            <w:pPr>
              <w:ind w:left="120"/>
              <w:spacing w:after="0" w:line="149" w:lineRule="exact"/>
              <w:rPr>
                <w:sz w:val="20"/>
                <w:szCs w:val="20"/>
                <w:color w:val="auto"/>
              </w:rPr>
            </w:pPr>
            <w:r>
              <w:rPr>
                <w:rFonts w:ascii="Arial" w:cs="Arial" w:eastAsia="Arial" w:hAnsi="Arial"/>
                <w:sz w:val="14"/>
                <w:szCs w:val="14"/>
                <w:color w:val="auto"/>
              </w:rPr>
              <w:t>LLC</w:t>
            </w:r>
          </w:p>
        </w:tc>
        <w:tc>
          <w:tcPr>
            <w:tcW w:w="70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60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rPr>
              <w:t>0</w:t>
            </w:r>
          </w:p>
        </w:tc>
        <w:tc>
          <w:tcPr>
            <w:tcW w:w="66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rPr>
              <w:t>0</w:t>
            </w:r>
          </w:p>
        </w:tc>
        <w:tc>
          <w:tcPr>
            <w:tcW w:w="62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220" w:type="dxa"/>
            <w:vAlign w:val="bottom"/>
            <w:shd w:val="clear" w:color="auto" w:fill="DAEEF3"/>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DAEEF3"/>
          </w:tcPr>
          <w:p>
            <w:pPr>
              <w:jc w:val="right"/>
              <w:ind w:right="188"/>
              <w:spacing w:after="0" w:line="149" w:lineRule="exact"/>
              <w:rPr>
                <w:sz w:val="20"/>
                <w:szCs w:val="20"/>
                <w:color w:val="auto"/>
              </w:rPr>
            </w:pPr>
            <w:r>
              <w:rPr>
                <w:rFonts w:ascii="Arial" w:cs="Arial" w:eastAsia="Arial" w:hAnsi="Arial"/>
                <w:sz w:val="14"/>
                <w:szCs w:val="14"/>
                <w:color w:val="auto"/>
              </w:rPr>
              <w:t>0</w:t>
            </w:r>
          </w:p>
        </w:tc>
        <w:tc>
          <w:tcPr>
            <w:tcW w:w="82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86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20" w:type="dxa"/>
            <w:vAlign w:val="bottom"/>
            <w:shd w:val="clear" w:color="auto" w:fill="DAEEF3"/>
          </w:tcPr>
          <w:p>
            <w:pPr>
              <w:jc w:val="center"/>
              <w:ind w:left="8"/>
              <w:spacing w:after="0" w:line="149" w:lineRule="exact"/>
              <w:rPr>
                <w:sz w:val="20"/>
                <w:szCs w:val="20"/>
                <w:color w:val="auto"/>
              </w:rPr>
            </w:pPr>
            <w:r>
              <w:rPr>
                <w:rFonts w:ascii="Arial" w:cs="Arial" w:eastAsia="Arial" w:hAnsi="Arial"/>
                <w:sz w:val="14"/>
                <w:szCs w:val="14"/>
                <w:color w:val="auto"/>
                <w:w w:val="89"/>
              </w:rPr>
              <w:t>no</w:t>
            </w:r>
          </w:p>
        </w:tc>
        <w:tc>
          <w:tcPr>
            <w:tcW w:w="880" w:type="dxa"/>
            <w:vAlign w:val="bottom"/>
            <w:vMerge w:val="continue"/>
            <w:shd w:val="clear" w:color="auto" w:fill="DAEEF3"/>
          </w:tcPr>
          <w:p>
            <w:pPr>
              <w:spacing w:after="0"/>
              <w:rPr>
                <w:sz w:val="12"/>
                <w:szCs w:val="12"/>
                <w:color w:val="auto"/>
              </w:rPr>
            </w:pPr>
          </w:p>
        </w:tc>
        <w:tc>
          <w:tcPr>
            <w:tcW w:w="700" w:type="dxa"/>
            <w:vAlign w:val="bottom"/>
            <w:vMerge w:val="continue"/>
            <w:shd w:val="clear" w:color="auto" w:fill="DAEEF3"/>
          </w:tcPr>
          <w:p>
            <w:pPr>
              <w:spacing w:after="0"/>
              <w:rPr>
                <w:sz w:val="12"/>
                <w:szCs w:val="12"/>
                <w:color w:val="auto"/>
              </w:rPr>
            </w:pPr>
          </w:p>
        </w:tc>
        <w:tc>
          <w:tcPr>
            <w:tcW w:w="78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94"/>
        </w:trPr>
        <w:tc>
          <w:tcPr>
            <w:tcW w:w="2160" w:type="dxa"/>
            <w:vAlign w:val="bottom"/>
            <w:shd w:val="clear" w:color="auto" w:fill="DAEEF3"/>
          </w:tcPr>
          <w:p>
            <w:pPr>
              <w:ind w:left="120"/>
              <w:spacing w:after="0"/>
              <w:rPr>
                <w:sz w:val="20"/>
                <w:szCs w:val="20"/>
                <w:color w:val="auto"/>
              </w:rPr>
            </w:pPr>
            <w:r>
              <w:rPr>
                <w:rFonts w:ascii="Arial" w:cs="Arial" w:eastAsia="Arial" w:hAnsi="Arial"/>
                <w:sz w:val="14"/>
                <w:szCs w:val="14"/>
                <w:color w:val="auto"/>
              </w:rPr>
              <w:t>Albuquerque, NM (2900181)</w:t>
            </w:r>
          </w:p>
        </w:tc>
        <w:tc>
          <w:tcPr>
            <w:tcW w:w="700" w:type="dxa"/>
            <w:vAlign w:val="bottom"/>
            <w:shd w:val="clear" w:color="auto" w:fill="DAEEF3"/>
          </w:tcPr>
          <w:p>
            <w:pPr>
              <w:spacing w:after="0"/>
              <w:rPr>
                <w:sz w:val="16"/>
                <w:szCs w:val="16"/>
                <w:color w:val="auto"/>
              </w:rPr>
            </w:pPr>
          </w:p>
        </w:tc>
        <w:tc>
          <w:tcPr>
            <w:tcW w:w="600" w:type="dxa"/>
            <w:vAlign w:val="bottom"/>
            <w:shd w:val="clear" w:color="auto" w:fill="DAEEF3"/>
          </w:tcPr>
          <w:p>
            <w:pPr>
              <w:spacing w:after="0"/>
              <w:rPr>
                <w:sz w:val="16"/>
                <w:szCs w:val="16"/>
                <w:color w:val="auto"/>
              </w:rPr>
            </w:pPr>
          </w:p>
        </w:tc>
        <w:tc>
          <w:tcPr>
            <w:tcW w:w="660" w:type="dxa"/>
            <w:vAlign w:val="bottom"/>
            <w:shd w:val="clear" w:color="auto" w:fill="DAEEF3"/>
          </w:tcPr>
          <w:p>
            <w:pPr>
              <w:spacing w:after="0"/>
              <w:rPr>
                <w:sz w:val="16"/>
                <w:szCs w:val="16"/>
                <w:color w:val="auto"/>
              </w:rPr>
            </w:pPr>
          </w:p>
        </w:tc>
        <w:tc>
          <w:tcPr>
            <w:tcW w:w="740" w:type="dxa"/>
            <w:vAlign w:val="bottom"/>
            <w:shd w:val="clear" w:color="auto" w:fill="DAEEF3"/>
          </w:tcPr>
          <w:p>
            <w:pPr>
              <w:spacing w:after="0"/>
              <w:rPr>
                <w:sz w:val="16"/>
                <w:szCs w:val="16"/>
                <w:color w:val="auto"/>
              </w:rPr>
            </w:pPr>
          </w:p>
        </w:tc>
        <w:tc>
          <w:tcPr>
            <w:tcW w:w="620" w:type="dxa"/>
            <w:vAlign w:val="bottom"/>
            <w:shd w:val="clear" w:color="auto" w:fill="DAEEF3"/>
          </w:tcPr>
          <w:p>
            <w:pPr>
              <w:spacing w:after="0"/>
              <w:rPr>
                <w:sz w:val="16"/>
                <w:szCs w:val="16"/>
                <w:color w:val="auto"/>
              </w:rPr>
            </w:pPr>
          </w:p>
        </w:tc>
        <w:tc>
          <w:tcPr>
            <w:tcW w:w="220" w:type="dxa"/>
            <w:vAlign w:val="bottom"/>
            <w:shd w:val="clear" w:color="auto" w:fill="DAEEF3"/>
          </w:tcPr>
          <w:p>
            <w:pPr>
              <w:spacing w:after="0"/>
              <w:rPr>
                <w:sz w:val="16"/>
                <w:szCs w:val="16"/>
                <w:color w:val="auto"/>
              </w:rPr>
            </w:pPr>
          </w:p>
        </w:tc>
        <w:tc>
          <w:tcPr>
            <w:tcW w:w="680" w:type="dxa"/>
            <w:vAlign w:val="bottom"/>
            <w:shd w:val="clear" w:color="auto" w:fill="DAEEF3"/>
          </w:tcPr>
          <w:p>
            <w:pPr>
              <w:spacing w:after="0"/>
              <w:rPr>
                <w:sz w:val="16"/>
                <w:szCs w:val="16"/>
                <w:color w:val="auto"/>
              </w:rPr>
            </w:pPr>
          </w:p>
        </w:tc>
        <w:tc>
          <w:tcPr>
            <w:tcW w:w="820" w:type="dxa"/>
            <w:vAlign w:val="bottom"/>
            <w:shd w:val="clear" w:color="auto" w:fill="DAEEF3"/>
          </w:tcPr>
          <w:p>
            <w:pPr>
              <w:spacing w:after="0"/>
              <w:rPr>
                <w:sz w:val="16"/>
                <w:szCs w:val="16"/>
                <w:color w:val="auto"/>
              </w:rPr>
            </w:pPr>
          </w:p>
        </w:tc>
        <w:tc>
          <w:tcPr>
            <w:tcW w:w="860" w:type="dxa"/>
            <w:vAlign w:val="bottom"/>
            <w:shd w:val="clear" w:color="auto" w:fill="DAEEF3"/>
          </w:tcPr>
          <w:p>
            <w:pPr>
              <w:spacing w:after="0"/>
              <w:rPr>
                <w:sz w:val="16"/>
                <w:szCs w:val="16"/>
                <w:color w:val="auto"/>
              </w:rPr>
            </w:pPr>
          </w:p>
        </w:tc>
        <w:tc>
          <w:tcPr>
            <w:tcW w:w="820" w:type="dxa"/>
            <w:vAlign w:val="bottom"/>
            <w:shd w:val="clear" w:color="auto" w:fill="DAEEF3"/>
          </w:tcPr>
          <w:p>
            <w:pPr>
              <w:spacing w:after="0"/>
              <w:rPr>
                <w:sz w:val="16"/>
                <w:szCs w:val="16"/>
                <w:color w:val="auto"/>
              </w:rPr>
            </w:pPr>
          </w:p>
        </w:tc>
        <w:tc>
          <w:tcPr>
            <w:tcW w:w="880" w:type="dxa"/>
            <w:vAlign w:val="bottom"/>
            <w:shd w:val="clear" w:color="auto" w:fill="DAEEF3"/>
          </w:tcPr>
          <w:p>
            <w:pPr>
              <w:spacing w:after="0"/>
              <w:rPr>
                <w:sz w:val="16"/>
                <w:szCs w:val="16"/>
                <w:color w:val="auto"/>
              </w:rPr>
            </w:pPr>
          </w:p>
        </w:tc>
        <w:tc>
          <w:tcPr>
            <w:tcW w:w="700" w:type="dxa"/>
            <w:vAlign w:val="bottom"/>
            <w:shd w:val="clear" w:color="auto" w:fill="DAEEF3"/>
          </w:tcPr>
          <w:p>
            <w:pPr>
              <w:spacing w:after="0"/>
              <w:rPr>
                <w:sz w:val="16"/>
                <w:szCs w:val="16"/>
                <w:color w:val="auto"/>
              </w:rPr>
            </w:pPr>
          </w:p>
        </w:tc>
        <w:tc>
          <w:tcPr>
            <w:tcW w:w="780" w:type="dxa"/>
            <w:vAlign w:val="bottom"/>
            <w:shd w:val="clear" w:color="auto" w:fill="DAEEF3"/>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160" w:type="dxa"/>
            <w:vAlign w:val="bottom"/>
          </w:tcPr>
          <w:p>
            <w:pPr>
              <w:ind w:left="120"/>
              <w:spacing w:after="0" w:line="143" w:lineRule="exact"/>
              <w:rPr>
                <w:sz w:val="20"/>
                <w:szCs w:val="20"/>
                <w:color w:val="auto"/>
              </w:rPr>
            </w:pPr>
            <w:r>
              <w:rPr>
                <w:rFonts w:ascii="Arial" w:cs="Arial" w:eastAsia="Arial" w:hAnsi="Arial"/>
                <w:sz w:val="14"/>
                <w:szCs w:val="14"/>
                <w:color w:val="auto"/>
              </w:rPr>
              <w:t>American Gypsum Company</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LLC</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76"/>
              </w:rPr>
              <w:t>0</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76"/>
              </w:rPr>
              <w:t>0</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ind w:left="160"/>
              <w:spacing w:after="0" w:line="149" w:lineRule="exact"/>
              <w:rPr>
                <w:sz w:val="20"/>
                <w:szCs w:val="20"/>
                <w:color w:val="auto"/>
              </w:rPr>
            </w:pPr>
            <w:r>
              <w:rPr>
                <w:rFonts w:ascii="Arial" w:cs="Arial" w:eastAsia="Arial" w:hAnsi="Arial"/>
                <w:sz w:val="14"/>
                <w:szCs w:val="14"/>
                <w:color w:val="auto"/>
              </w:rPr>
              <w:t>0</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76"/>
              </w:rPr>
              <w:t>0</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20" w:type="dxa"/>
            <w:vAlign w:val="bottom"/>
          </w:tcPr>
          <w:p>
            <w:pPr>
              <w:jc w:val="center"/>
              <w:ind w:left="8"/>
              <w:spacing w:after="0" w:line="149" w:lineRule="exact"/>
              <w:rPr>
                <w:sz w:val="20"/>
                <w:szCs w:val="20"/>
                <w:color w:val="auto"/>
              </w:rPr>
            </w:pPr>
            <w:r>
              <w:rPr>
                <w:rFonts w:ascii="Arial" w:cs="Arial" w:eastAsia="Arial" w:hAnsi="Arial"/>
                <w:sz w:val="14"/>
                <w:szCs w:val="14"/>
                <w:color w:val="auto"/>
                <w:w w:val="89"/>
              </w:rPr>
              <w:t>no</w:t>
            </w:r>
          </w:p>
        </w:tc>
        <w:tc>
          <w:tcPr>
            <w:tcW w:w="880" w:type="dxa"/>
            <w:vAlign w:val="bottom"/>
          </w:tcPr>
          <w:p>
            <w:pPr>
              <w:ind w:left="420"/>
              <w:spacing w:after="0" w:line="149" w:lineRule="exact"/>
              <w:rPr>
                <w:sz w:val="20"/>
                <w:szCs w:val="20"/>
                <w:color w:val="auto"/>
              </w:rPr>
            </w:pPr>
            <w:r>
              <w:rPr>
                <w:rFonts w:ascii="Arial" w:cs="Arial" w:eastAsia="Arial" w:hAnsi="Arial"/>
                <w:sz w:val="14"/>
                <w:szCs w:val="14"/>
                <w:color w:val="auto"/>
              </w:rPr>
              <w:t>0</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8"/>
        </w:trPr>
        <w:tc>
          <w:tcPr>
            <w:tcW w:w="2160" w:type="dxa"/>
            <w:vAlign w:val="bottom"/>
          </w:tcPr>
          <w:p>
            <w:pPr>
              <w:ind w:left="120"/>
              <w:spacing w:after="0"/>
              <w:rPr>
                <w:sz w:val="20"/>
                <w:szCs w:val="20"/>
                <w:color w:val="auto"/>
              </w:rPr>
            </w:pPr>
            <w:r>
              <w:rPr>
                <w:rFonts w:ascii="Arial" w:cs="Arial" w:eastAsia="Arial" w:hAnsi="Arial"/>
                <w:sz w:val="14"/>
                <w:szCs w:val="14"/>
                <w:color w:val="auto"/>
              </w:rPr>
              <w:t>Duke, OK (3400256)</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DAEEF3"/>
          </w:tcPr>
          <w:p>
            <w:pPr>
              <w:ind w:left="120"/>
              <w:spacing w:after="0" w:line="149" w:lineRule="exact"/>
              <w:rPr>
                <w:sz w:val="20"/>
                <w:szCs w:val="20"/>
                <w:color w:val="auto"/>
              </w:rPr>
            </w:pPr>
            <w:r>
              <w:rPr>
                <w:rFonts w:ascii="Arial" w:cs="Arial" w:eastAsia="Arial" w:hAnsi="Arial"/>
                <w:sz w:val="14"/>
                <w:szCs w:val="14"/>
                <w:color w:val="auto"/>
              </w:rPr>
              <w:t>American Gypsum Company</w:t>
            </w:r>
          </w:p>
        </w:tc>
        <w:tc>
          <w:tcPr>
            <w:tcW w:w="700" w:type="dxa"/>
            <w:vAlign w:val="bottom"/>
            <w:shd w:val="clear" w:color="auto" w:fill="DAEEF3"/>
          </w:tcPr>
          <w:p>
            <w:pPr>
              <w:spacing w:after="0"/>
              <w:rPr>
                <w:sz w:val="12"/>
                <w:szCs w:val="12"/>
                <w:color w:val="auto"/>
              </w:rPr>
            </w:pPr>
          </w:p>
        </w:tc>
        <w:tc>
          <w:tcPr>
            <w:tcW w:w="600" w:type="dxa"/>
            <w:vAlign w:val="bottom"/>
            <w:shd w:val="clear" w:color="auto" w:fill="DAEEF3"/>
          </w:tcPr>
          <w:p>
            <w:pPr>
              <w:spacing w:after="0"/>
              <w:rPr>
                <w:sz w:val="12"/>
                <w:szCs w:val="12"/>
                <w:color w:val="auto"/>
              </w:rPr>
            </w:pPr>
          </w:p>
        </w:tc>
        <w:tc>
          <w:tcPr>
            <w:tcW w:w="660" w:type="dxa"/>
            <w:vAlign w:val="bottom"/>
            <w:shd w:val="clear" w:color="auto" w:fill="DAEEF3"/>
          </w:tcPr>
          <w:p>
            <w:pPr>
              <w:spacing w:after="0"/>
              <w:rPr>
                <w:sz w:val="12"/>
                <w:szCs w:val="12"/>
                <w:color w:val="auto"/>
              </w:rPr>
            </w:pPr>
          </w:p>
        </w:tc>
        <w:tc>
          <w:tcPr>
            <w:tcW w:w="740" w:type="dxa"/>
            <w:vAlign w:val="bottom"/>
            <w:shd w:val="clear" w:color="auto" w:fill="DAEEF3"/>
          </w:tcPr>
          <w:p>
            <w:pPr>
              <w:spacing w:after="0"/>
              <w:rPr>
                <w:sz w:val="12"/>
                <w:szCs w:val="12"/>
                <w:color w:val="auto"/>
              </w:rPr>
            </w:pPr>
          </w:p>
        </w:tc>
        <w:tc>
          <w:tcPr>
            <w:tcW w:w="620" w:type="dxa"/>
            <w:vAlign w:val="bottom"/>
            <w:shd w:val="clear" w:color="auto" w:fill="DAEEF3"/>
          </w:tcPr>
          <w:p>
            <w:pPr>
              <w:spacing w:after="0"/>
              <w:rPr>
                <w:sz w:val="12"/>
                <w:szCs w:val="12"/>
                <w:color w:val="auto"/>
              </w:rPr>
            </w:pPr>
          </w:p>
        </w:tc>
        <w:tc>
          <w:tcPr>
            <w:tcW w:w="220" w:type="dxa"/>
            <w:vAlign w:val="bottom"/>
            <w:shd w:val="clear" w:color="auto" w:fill="DAEEF3"/>
          </w:tcPr>
          <w:p>
            <w:pPr>
              <w:spacing w:after="0"/>
              <w:rPr>
                <w:sz w:val="12"/>
                <w:szCs w:val="12"/>
                <w:color w:val="auto"/>
              </w:rPr>
            </w:pPr>
          </w:p>
        </w:tc>
        <w:tc>
          <w:tcPr>
            <w:tcW w:w="680" w:type="dxa"/>
            <w:vAlign w:val="bottom"/>
            <w:shd w:val="clear" w:color="auto" w:fill="DAEEF3"/>
          </w:tcPr>
          <w:p>
            <w:pPr>
              <w:spacing w:after="0"/>
              <w:rPr>
                <w:sz w:val="12"/>
                <w:szCs w:val="12"/>
                <w:color w:val="auto"/>
              </w:rPr>
            </w:pPr>
          </w:p>
        </w:tc>
        <w:tc>
          <w:tcPr>
            <w:tcW w:w="820" w:type="dxa"/>
            <w:vAlign w:val="bottom"/>
            <w:shd w:val="clear" w:color="auto" w:fill="DAEEF3"/>
          </w:tcPr>
          <w:p>
            <w:pPr>
              <w:spacing w:after="0"/>
              <w:rPr>
                <w:sz w:val="12"/>
                <w:szCs w:val="12"/>
                <w:color w:val="auto"/>
              </w:rPr>
            </w:pPr>
          </w:p>
        </w:tc>
        <w:tc>
          <w:tcPr>
            <w:tcW w:w="860" w:type="dxa"/>
            <w:vAlign w:val="bottom"/>
            <w:shd w:val="clear" w:color="auto" w:fill="DAEEF3"/>
          </w:tcPr>
          <w:p>
            <w:pPr>
              <w:spacing w:after="0"/>
              <w:rPr>
                <w:sz w:val="12"/>
                <w:szCs w:val="12"/>
                <w:color w:val="auto"/>
              </w:rPr>
            </w:pPr>
          </w:p>
        </w:tc>
        <w:tc>
          <w:tcPr>
            <w:tcW w:w="820" w:type="dxa"/>
            <w:vAlign w:val="bottom"/>
            <w:shd w:val="clear" w:color="auto" w:fill="DAEEF3"/>
          </w:tcPr>
          <w:p>
            <w:pPr>
              <w:spacing w:after="0"/>
              <w:rPr>
                <w:sz w:val="12"/>
                <w:szCs w:val="12"/>
                <w:color w:val="auto"/>
              </w:rPr>
            </w:pPr>
          </w:p>
        </w:tc>
        <w:tc>
          <w:tcPr>
            <w:tcW w:w="880" w:type="dxa"/>
            <w:vAlign w:val="bottom"/>
            <w:shd w:val="clear" w:color="auto" w:fill="DAEEF3"/>
          </w:tcPr>
          <w:p>
            <w:pPr>
              <w:spacing w:after="0"/>
              <w:rPr>
                <w:sz w:val="12"/>
                <w:szCs w:val="12"/>
                <w:color w:val="auto"/>
              </w:rPr>
            </w:pPr>
          </w:p>
        </w:tc>
        <w:tc>
          <w:tcPr>
            <w:tcW w:w="700" w:type="dxa"/>
            <w:vAlign w:val="bottom"/>
            <w:shd w:val="clear" w:color="auto" w:fill="DAEEF3"/>
          </w:tcPr>
          <w:p>
            <w:pPr>
              <w:spacing w:after="0"/>
              <w:rPr>
                <w:sz w:val="12"/>
                <w:szCs w:val="12"/>
                <w:color w:val="auto"/>
              </w:rPr>
            </w:pPr>
          </w:p>
        </w:tc>
        <w:tc>
          <w:tcPr>
            <w:tcW w:w="780" w:type="dxa"/>
            <w:vAlign w:val="bottom"/>
            <w:shd w:val="clear" w:color="auto" w:fill="DAEE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DAEEF3"/>
          </w:tcPr>
          <w:p>
            <w:pPr>
              <w:ind w:left="120"/>
              <w:spacing w:after="0" w:line="149" w:lineRule="exact"/>
              <w:rPr>
                <w:sz w:val="20"/>
                <w:szCs w:val="20"/>
                <w:color w:val="auto"/>
              </w:rPr>
            </w:pPr>
            <w:r>
              <w:rPr>
                <w:rFonts w:ascii="Arial" w:cs="Arial" w:eastAsia="Arial" w:hAnsi="Arial"/>
                <w:sz w:val="14"/>
                <w:szCs w:val="14"/>
                <w:color w:val="auto"/>
              </w:rPr>
              <w:t>LLC</w:t>
            </w:r>
          </w:p>
        </w:tc>
        <w:tc>
          <w:tcPr>
            <w:tcW w:w="70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60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rPr>
              <w:t>0</w:t>
            </w:r>
          </w:p>
        </w:tc>
        <w:tc>
          <w:tcPr>
            <w:tcW w:w="66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rPr>
              <w:t>0</w:t>
            </w:r>
          </w:p>
        </w:tc>
        <w:tc>
          <w:tcPr>
            <w:tcW w:w="62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220" w:type="dxa"/>
            <w:vAlign w:val="bottom"/>
            <w:shd w:val="clear" w:color="auto" w:fill="DAEEF3"/>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DAEEF3"/>
          </w:tcPr>
          <w:p>
            <w:pPr>
              <w:ind w:left="160"/>
              <w:spacing w:after="0" w:line="149" w:lineRule="exact"/>
              <w:rPr>
                <w:sz w:val="20"/>
                <w:szCs w:val="20"/>
                <w:color w:val="auto"/>
              </w:rPr>
            </w:pPr>
            <w:r>
              <w:rPr>
                <w:rFonts w:ascii="Arial" w:cs="Arial" w:eastAsia="Arial" w:hAnsi="Arial"/>
                <w:sz w:val="14"/>
                <w:szCs w:val="14"/>
                <w:color w:val="auto"/>
              </w:rPr>
              <w:t>0</w:t>
            </w:r>
          </w:p>
        </w:tc>
        <w:tc>
          <w:tcPr>
            <w:tcW w:w="82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86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20" w:type="dxa"/>
            <w:vAlign w:val="bottom"/>
            <w:shd w:val="clear" w:color="auto" w:fill="DAEEF3"/>
          </w:tcPr>
          <w:p>
            <w:pPr>
              <w:jc w:val="center"/>
              <w:ind w:left="8"/>
              <w:spacing w:after="0" w:line="149" w:lineRule="exact"/>
              <w:rPr>
                <w:sz w:val="20"/>
                <w:szCs w:val="20"/>
                <w:color w:val="auto"/>
              </w:rPr>
            </w:pPr>
            <w:r>
              <w:rPr>
                <w:rFonts w:ascii="Arial" w:cs="Arial" w:eastAsia="Arial" w:hAnsi="Arial"/>
                <w:sz w:val="14"/>
                <w:szCs w:val="14"/>
                <w:color w:val="auto"/>
                <w:w w:val="89"/>
              </w:rPr>
              <w:t>no</w:t>
            </w:r>
          </w:p>
        </w:tc>
        <w:tc>
          <w:tcPr>
            <w:tcW w:w="880" w:type="dxa"/>
            <w:vAlign w:val="bottom"/>
            <w:shd w:val="clear" w:color="auto" w:fill="DAEEF3"/>
          </w:tcPr>
          <w:p>
            <w:pPr>
              <w:ind w:left="420"/>
              <w:spacing w:after="0" w:line="149" w:lineRule="exact"/>
              <w:rPr>
                <w:sz w:val="20"/>
                <w:szCs w:val="20"/>
                <w:color w:val="auto"/>
              </w:rPr>
            </w:pPr>
            <w:r>
              <w:rPr>
                <w:rFonts w:ascii="Arial" w:cs="Arial" w:eastAsia="Arial" w:hAnsi="Arial"/>
                <w:sz w:val="14"/>
                <w:szCs w:val="14"/>
                <w:color w:val="auto"/>
              </w:rPr>
              <w:t>0</w:t>
            </w:r>
          </w:p>
        </w:tc>
        <w:tc>
          <w:tcPr>
            <w:tcW w:w="70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rPr>
              <w:t>0</w:t>
            </w:r>
          </w:p>
        </w:tc>
        <w:tc>
          <w:tcPr>
            <w:tcW w:w="78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94"/>
        </w:trPr>
        <w:tc>
          <w:tcPr>
            <w:tcW w:w="2160" w:type="dxa"/>
            <w:vAlign w:val="bottom"/>
            <w:shd w:val="clear" w:color="auto" w:fill="DAEEF3"/>
          </w:tcPr>
          <w:p>
            <w:pPr>
              <w:ind w:left="120"/>
              <w:spacing w:after="0"/>
              <w:rPr>
                <w:sz w:val="20"/>
                <w:szCs w:val="20"/>
                <w:color w:val="auto"/>
              </w:rPr>
            </w:pPr>
            <w:r>
              <w:rPr>
                <w:rFonts w:ascii="Arial" w:cs="Arial" w:eastAsia="Arial" w:hAnsi="Arial"/>
                <w:sz w:val="14"/>
                <w:szCs w:val="14"/>
                <w:color w:val="auto"/>
              </w:rPr>
              <w:t>Eagle, CO (0503997)</w:t>
            </w:r>
          </w:p>
        </w:tc>
        <w:tc>
          <w:tcPr>
            <w:tcW w:w="700" w:type="dxa"/>
            <w:vAlign w:val="bottom"/>
            <w:shd w:val="clear" w:color="auto" w:fill="DAEEF3"/>
          </w:tcPr>
          <w:p>
            <w:pPr>
              <w:spacing w:after="0"/>
              <w:rPr>
                <w:sz w:val="16"/>
                <w:szCs w:val="16"/>
                <w:color w:val="auto"/>
              </w:rPr>
            </w:pPr>
          </w:p>
        </w:tc>
        <w:tc>
          <w:tcPr>
            <w:tcW w:w="600" w:type="dxa"/>
            <w:vAlign w:val="bottom"/>
            <w:shd w:val="clear" w:color="auto" w:fill="DAEEF3"/>
          </w:tcPr>
          <w:p>
            <w:pPr>
              <w:spacing w:after="0"/>
              <w:rPr>
                <w:sz w:val="16"/>
                <w:szCs w:val="16"/>
                <w:color w:val="auto"/>
              </w:rPr>
            </w:pPr>
          </w:p>
        </w:tc>
        <w:tc>
          <w:tcPr>
            <w:tcW w:w="660" w:type="dxa"/>
            <w:vAlign w:val="bottom"/>
            <w:shd w:val="clear" w:color="auto" w:fill="DAEEF3"/>
          </w:tcPr>
          <w:p>
            <w:pPr>
              <w:spacing w:after="0"/>
              <w:rPr>
                <w:sz w:val="16"/>
                <w:szCs w:val="16"/>
                <w:color w:val="auto"/>
              </w:rPr>
            </w:pPr>
          </w:p>
        </w:tc>
        <w:tc>
          <w:tcPr>
            <w:tcW w:w="740" w:type="dxa"/>
            <w:vAlign w:val="bottom"/>
            <w:shd w:val="clear" w:color="auto" w:fill="DAEEF3"/>
          </w:tcPr>
          <w:p>
            <w:pPr>
              <w:spacing w:after="0"/>
              <w:rPr>
                <w:sz w:val="16"/>
                <w:szCs w:val="16"/>
                <w:color w:val="auto"/>
              </w:rPr>
            </w:pPr>
          </w:p>
        </w:tc>
        <w:tc>
          <w:tcPr>
            <w:tcW w:w="620" w:type="dxa"/>
            <w:vAlign w:val="bottom"/>
            <w:shd w:val="clear" w:color="auto" w:fill="DAEEF3"/>
          </w:tcPr>
          <w:p>
            <w:pPr>
              <w:spacing w:after="0"/>
              <w:rPr>
                <w:sz w:val="16"/>
                <w:szCs w:val="16"/>
                <w:color w:val="auto"/>
              </w:rPr>
            </w:pPr>
          </w:p>
        </w:tc>
        <w:tc>
          <w:tcPr>
            <w:tcW w:w="220" w:type="dxa"/>
            <w:vAlign w:val="bottom"/>
            <w:shd w:val="clear" w:color="auto" w:fill="DAEEF3"/>
          </w:tcPr>
          <w:p>
            <w:pPr>
              <w:spacing w:after="0"/>
              <w:rPr>
                <w:sz w:val="16"/>
                <w:szCs w:val="16"/>
                <w:color w:val="auto"/>
              </w:rPr>
            </w:pPr>
          </w:p>
        </w:tc>
        <w:tc>
          <w:tcPr>
            <w:tcW w:w="680" w:type="dxa"/>
            <w:vAlign w:val="bottom"/>
            <w:shd w:val="clear" w:color="auto" w:fill="DAEEF3"/>
          </w:tcPr>
          <w:p>
            <w:pPr>
              <w:spacing w:after="0"/>
              <w:rPr>
                <w:sz w:val="16"/>
                <w:szCs w:val="16"/>
                <w:color w:val="auto"/>
              </w:rPr>
            </w:pPr>
          </w:p>
        </w:tc>
        <w:tc>
          <w:tcPr>
            <w:tcW w:w="820" w:type="dxa"/>
            <w:vAlign w:val="bottom"/>
            <w:shd w:val="clear" w:color="auto" w:fill="DAEEF3"/>
          </w:tcPr>
          <w:p>
            <w:pPr>
              <w:spacing w:after="0"/>
              <w:rPr>
                <w:sz w:val="16"/>
                <w:szCs w:val="16"/>
                <w:color w:val="auto"/>
              </w:rPr>
            </w:pPr>
          </w:p>
        </w:tc>
        <w:tc>
          <w:tcPr>
            <w:tcW w:w="860" w:type="dxa"/>
            <w:vAlign w:val="bottom"/>
            <w:shd w:val="clear" w:color="auto" w:fill="DAEEF3"/>
          </w:tcPr>
          <w:p>
            <w:pPr>
              <w:spacing w:after="0"/>
              <w:rPr>
                <w:sz w:val="16"/>
                <w:szCs w:val="16"/>
                <w:color w:val="auto"/>
              </w:rPr>
            </w:pPr>
          </w:p>
        </w:tc>
        <w:tc>
          <w:tcPr>
            <w:tcW w:w="820" w:type="dxa"/>
            <w:vAlign w:val="bottom"/>
            <w:shd w:val="clear" w:color="auto" w:fill="DAEEF3"/>
          </w:tcPr>
          <w:p>
            <w:pPr>
              <w:spacing w:after="0"/>
              <w:rPr>
                <w:sz w:val="16"/>
                <w:szCs w:val="16"/>
                <w:color w:val="auto"/>
              </w:rPr>
            </w:pPr>
          </w:p>
        </w:tc>
        <w:tc>
          <w:tcPr>
            <w:tcW w:w="880" w:type="dxa"/>
            <w:vAlign w:val="bottom"/>
            <w:shd w:val="clear" w:color="auto" w:fill="DAEEF3"/>
          </w:tcPr>
          <w:p>
            <w:pPr>
              <w:spacing w:after="0"/>
              <w:rPr>
                <w:sz w:val="16"/>
                <w:szCs w:val="16"/>
                <w:color w:val="auto"/>
              </w:rPr>
            </w:pPr>
          </w:p>
        </w:tc>
        <w:tc>
          <w:tcPr>
            <w:tcW w:w="700" w:type="dxa"/>
            <w:vAlign w:val="bottom"/>
            <w:shd w:val="clear" w:color="auto" w:fill="DAEEF3"/>
          </w:tcPr>
          <w:p>
            <w:pPr>
              <w:spacing w:after="0"/>
              <w:rPr>
                <w:sz w:val="16"/>
                <w:szCs w:val="16"/>
                <w:color w:val="auto"/>
              </w:rPr>
            </w:pPr>
          </w:p>
        </w:tc>
        <w:tc>
          <w:tcPr>
            <w:tcW w:w="780" w:type="dxa"/>
            <w:vAlign w:val="bottom"/>
            <w:shd w:val="clear" w:color="auto" w:fill="DAEEF3"/>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120"/>
              <w:spacing w:after="0"/>
              <w:rPr>
                <w:sz w:val="20"/>
                <w:szCs w:val="20"/>
                <w:color w:val="auto"/>
              </w:rPr>
            </w:pPr>
            <w:r>
              <w:rPr>
                <w:rFonts w:ascii="Arial" w:cs="Arial" w:eastAsia="Arial" w:hAnsi="Arial"/>
                <w:sz w:val="14"/>
                <w:szCs w:val="14"/>
                <w:color w:val="auto"/>
              </w:rPr>
              <w:t>Centex Materials LLC</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ind w:left="160"/>
              <w:spacing w:after="0"/>
              <w:rPr>
                <w:sz w:val="20"/>
                <w:szCs w:val="20"/>
                <w:color w:val="auto"/>
              </w:rPr>
            </w:pPr>
            <w:r>
              <w:rPr>
                <w:rFonts w:ascii="Arial" w:cs="Arial" w:eastAsia="Arial" w:hAnsi="Arial"/>
                <w:sz w:val="14"/>
                <w:szCs w:val="14"/>
                <w:color w:val="auto"/>
              </w:rPr>
              <w:t>0</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vMerge w:val="restart"/>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vMerge w:val="restart"/>
          </w:tcPr>
          <w:p>
            <w:pPr>
              <w:ind w:left="420"/>
              <w:spacing w:after="0"/>
              <w:rPr>
                <w:sz w:val="20"/>
                <w:szCs w:val="20"/>
                <w:color w:val="auto"/>
              </w:rPr>
            </w:pPr>
            <w:r>
              <w:rPr>
                <w:rFonts w:ascii="Arial" w:cs="Arial" w:eastAsia="Arial" w:hAnsi="Arial"/>
                <w:sz w:val="14"/>
                <w:szCs w:val="14"/>
                <w:color w:val="auto"/>
              </w:rPr>
              <w:t>0</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15"/>
        </w:trPr>
        <w:tc>
          <w:tcPr>
            <w:tcW w:w="2160" w:type="dxa"/>
            <w:vAlign w:val="bottom"/>
            <w:vMerge w:val="restart"/>
          </w:tcPr>
          <w:p>
            <w:pPr>
              <w:ind w:left="120"/>
              <w:spacing w:after="0"/>
              <w:rPr>
                <w:sz w:val="20"/>
                <w:szCs w:val="20"/>
                <w:color w:val="auto"/>
              </w:rPr>
            </w:pPr>
            <w:r>
              <w:rPr>
                <w:rFonts w:ascii="Arial" w:cs="Arial" w:eastAsia="Arial" w:hAnsi="Arial"/>
                <w:sz w:val="14"/>
                <w:szCs w:val="14"/>
                <w:color w:val="auto"/>
              </w:rPr>
              <w:t>Buda, TX (4102241)</w:t>
            </w: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1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3"/>
        </w:trPr>
        <w:tc>
          <w:tcPr>
            <w:tcW w:w="2160" w:type="dxa"/>
            <w:vAlign w:val="bottom"/>
            <w:shd w:val="clear" w:color="auto" w:fill="DAEEF3"/>
          </w:tcPr>
          <w:p>
            <w:pPr>
              <w:ind w:left="120"/>
              <w:spacing w:after="0" w:line="143" w:lineRule="exact"/>
              <w:rPr>
                <w:sz w:val="20"/>
                <w:szCs w:val="20"/>
                <w:color w:val="auto"/>
              </w:rPr>
            </w:pPr>
            <w:r>
              <w:rPr>
                <w:rFonts w:ascii="Arial" w:cs="Arial" w:eastAsia="Arial" w:hAnsi="Arial"/>
                <w:sz w:val="14"/>
                <w:szCs w:val="14"/>
                <w:color w:val="auto"/>
                <w:w w:val="99"/>
              </w:rPr>
              <w:t>Central Plains Cement Company</w:t>
            </w:r>
          </w:p>
        </w:tc>
        <w:tc>
          <w:tcPr>
            <w:tcW w:w="700" w:type="dxa"/>
            <w:vAlign w:val="bottom"/>
            <w:shd w:val="clear" w:color="auto" w:fill="DAEEF3"/>
          </w:tcPr>
          <w:p>
            <w:pPr>
              <w:spacing w:after="0"/>
              <w:rPr>
                <w:sz w:val="12"/>
                <w:szCs w:val="12"/>
                <w:color w:val="auto"/>
              </w:rPr>
            </w:pPr>
          </w:p>
        </w:tc>
        <w:tc>
          <w:tcPr>
            <w:tcW w:w="600" w:type="dxa"/>
            <w:vAlign w:val="bottom"/>
            <w:shd w:val="clear" w:color="auto" w:fill="DAEEF3"/>
          </w:tcPr>
          <w:p>
            <w:pPr>
              <w:spacing w:after="0"/>
              <w:rPr>
                <w:sz w:val="12"/>
                <w:szCs w:val="12"/>
                <w:color w:val="auto"/>
              </w:rPr>
            </w:pPr>
          </w:p>
        </w:tc>
        <w:tc>
          <w:tcPr>
            <w:tcW w:w="660" w:type="dxa"/>
            <w:vAlign w:val="bottom"/>
            <w:shd w:val="clear" w:color="auto" w:fill="DAEEF3"/>
          </w:tcPr>
          <w:p>
            <w:pPr>
              <w:spacing w:after="0"/>
              <w:rPr>
                <w:sz w:val="12"/>
                <w:szCs w:val="12"/>
                <w:color w:val="auto"/>
              </w:rPr>
            </w:pPr>
          </w:p>
        </w:tc>
        <w:tc>
          <w:tcPr>
            <w:tcW w:w="740" w:type="dxa"/>
            <w:vAlign w:val="bottom"/>
            <w:shd w:val="clear" w:color="auto" w:fill="DAEEF3"/>
          </w:tcPr>
          <w:p>
            <w:pPr>
              <w:spacing w:after="0"/>
              <w:rPr>
                <w:sz w:val="12"/>
                <w:szCs w:val="12"/>
                <w:color w:val="auto"/>
              </w:rPr>
            </w:pPr>
          </w:p>
        </w:tc>
        <w:tc>
          <w:tcPr>
            <w:tcW w:w="620" w:type="dxa"/>
            <w:vAlign w:val="bottom"/>
            <w:shd w:val="clear" w:color="auto" w:fill="DAEEF3"/>
          </w:tcPr>
          <w:p>
            <w:pPr>
              <w:spacing w:after="0"/>
              <w:rPr>
                <w:sz w:val="12"/>
                <w:szCs w:val="12"/>
                <w:color w:val="auto"/>
              </w:rPr>
            </w:pPr>
          </w:p>
        </w:tc>
        <w:tc>
          <w:tcPr>
            <w:tcW w:w="220" w:type="dxa"/>
            <w:vAlign w:val="bottom"/>
            <w:shd w:val="clear" w:color="auto" w:fill="DAEEF3"/>
          </w:tcPr>
          <w:p>
            <w:pPr>
              <w:spacing w:after="0"/>
              <w:rPr>
                <w:sz w:val="12"/>
                <w:szCs w:val="12"/>
                <w:color w:val="auto"/>
              </w:rPr>
            </w:pPr>
          </w:p>
        </w:tc>
        <w:tc>
          <w:tcPr>
            <w:tcW w:w="680" w:type="dxa"/>
            <w:vAlign w:val="bottom"/>
            <w:shd w:val="clear" w:color="auto" w:fill="DAEEF3"/>
          </w:tcPr>
          <w:p>
            <w:pPr>
              <w:spacing w:after="0"/>
              <w:rPr>
                <w:sz w:val="12"/>
                <w:szCs w:val="12"/>
                <w:color w:val="auto"/>
              </w:rPr>
            </w:pPr>
          </w:p>
        </w:tc>
        <w:tc>
          <w:tcPr>
            <w:tcW w:w="820" w:type="dxa"/>
            <w:vAlign w:val="bottom"/>
            <w:shd w:val="clear" w:color="auto" w:fill="DAEEF3"/>
          </w:tcPr>
          <w:p>
            <w:pPr>
              <w:spacing w:after="0"/>
              <w:rPr>
                <w:sz w:val="12"/>
                <w:szCs w:val="12"/>
                <w:color w:val="auto"/>
              </w:rPr>
            </w:pPr>
          </w:p>
        </w:tc>
        <w:tc>
          <w:tcPr>
            <w:tcW w:w="860" w:type="dxa"/>
            <w:vAlign w:val="bottom"/>
            <w:shd w:val="clear" w:color="auto" w:fill="DAEEF3"/>
          </w:tcPr>
          <w:p>
            <w:pPr>
              <w:spacing w:after="0"/>
              <w:rPr>
                <w:sz w:val="12"/>
                <w:szCs w:val="12"/>
                <w:color w:val="auto"/>
              </w:rPr>
            </w:pPr>
          </w:p>
        </w:tc>
        <w:tc>
          <w:tcPr>
            <w:tcW w:w="820" w:type="dxa"/>
            <w:vAlign w:val="bottom"/>
            <w:shd w:val="clear" w:color="auto" w:fill="DAEEF3"/>
          </w:tcPr>
          <w:p>
            <w:pPr>
              <w:spacing w:after="0"/>
              <w:rPr>
                <w:sz w:val="12"/>
                <w:szCs w:val="12"/>
                <w:color w:val="auto"/>
              </w:rPr>
            </w:pPr>
          </w:p>
        </w:tc>
        <w:tc>
          <w:tcPr>
            <w:tcW w:w="880" w:type="dxa"/>
            <w:vAlign w:val="bottom"/>
            <w:shd w:val="clear" w:color="auto" w:fill="DAEEF3"/>
          </w:tcPr>
          <w:p>
            <w:pPr>
              <w:spacing w:after="0"/>
              <w:rPr>
                <w:sz w:val="12"/>
                <w:szCs w:val="12"/>
                <w:color w:val="auto"/>
              </w:rPr>
            </w:pPr>
          </w:p>
        </w:tc>
        <w:tc>
          <w:tcPr>
            <w:tcW w:w="700" w:type="dxa"/>
            <w:vAlign w:val="bottom"/>
            <w:vMerge w:val="restart"/>
            <w:shd w:val="clear" w:color="auto" w:fill="DAEEF3"/>
          </w:tcPr>
          <w:p>
            <w:pPr>
              <w:jc w:val="center"/>
              <w:spacing w:after="0" w:line="292" w:lineRule="exact"/>
              <w:rPr>
                <w:sz w:val="20"/>
                <w:szCs w:val="20"/>
                <w:color w:val="auto"/>
              </w:rPr>
            </w:pPr>
            <w:r>
              <w:rPr>
                <w:rFonts w:ascii="Arial" w:cs="Arial" w:eastAsia="Arial" w:hAnsi="Arial"/>
                <w:sz w:val="28"/>
                <w:szCs w:val="28"/>
                <w:color w:val="auto"/>
                <w:w w:val="88"/>
                <w:vertAlign w:val="subscript"/>
              </w:rPr>
              <w:t>4</w:t>
            </w:r>
            <w:r>
              <w:rPr>
                <w:rFonts w:ascii="Arial" w:cs="Arial" w:eastAsia="Arial" w:hAnsi="Arial"/>
                <w:sz w:val="10"/>
                <w:szCs w:val="10"/>
                <w:color w:val="auto"/>
                <w:w w:val="88"/>
              </w:rPr>
              <w:t>(1)</w:t>
            </w:r>
          </w:p>
        </w:tc>
        <w:tc>
          <w:tcPr>
            <w:tcW w:w="780" w:type="dxa"/>
            <w:vAlign w:val="bottom"/>
            <w:shd w:val="clear" w:color="auto" w:fill="DAEEF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DAEEF3"/>
          </w:tcPr>
          <w:p>
            <w:pPr>
              <w:ind w:left="120"/>
              <w:spacing w:after="0" w:line="149" w:lineRule="exact"/>
              <w:rPr>
                <w:sz w:val="20"/>
                <w:szCs w:val="20"/>
                <w:color w:val="auto"/>
              </w:rPr>
            </w:pPr>
            <w:r>
              <w:rPr>
                <w:rFonts w:ascii="Arial" w:cs="Arial" w:eastAsia="Arial" w:hAnsi="Arial"/>
                <w:sz w:val="14"/>
                <w:szCs w:val="14"/>
                <w:color w:val="auto"/>
              </w:rPr>
              <w:t>LLC</w:t>
            </w:r>
          </w:p>
        </w:tc>
        <w:tc>
          <w:tcPr>
            <w:tcW w:w="70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w w:val="76"/>
              </w:rPr>
              <w:t>4</w:t>
            </w:r>
          </w:p>
        </w:tc>
        <w:tc>
          <w:tcPr>
            <w:tcW w:w="60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rPr>
              <w:t>0</w:t>
            </w:r>
          </w:p>
        </w:tc>
        <w:tc>
          <w:tcPr>
            <w:tcW w:w="66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rPr>
              <w:t>1</w:t>
            </w:r>
          </w:p>
        </w:tc>
        <w:tc>
          <w:tcPr>
            <w:tcW w:w="74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rPr>
              <w:t>0</w:t>
            </w:r>
          </w:p>
        </w:tc>
        <w:tc>
          <w:tcPr>
            <w:tcW w:w="62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220" w:type="dxa"/>
            <w:vAlign w:val="bottom"/>
            <w:shd w:val="clear" w:color="auto" w:fill="DAEEF3"/>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DAEEF3"/>
          </w:tcPr>
          <w:p>
            <w:pPr>
              <w:ind w:left="160"/>
              <w:spacing w:after="0" w:line="149" w:lineRule="exact"/>
              <w:rPr>
                <w:sz w:val="20"/>
                <w:szCs w:val="20"/>
                <w:color w:val="auto"/>
              </w:rPr>
            </w:pPr>
            <w:r>
              <w:rPr>
                <w:rFonts w:ascii="Arial" w:cs="Arial" w:eastAsia="Arial" w:hAnsi="Arial"/>
                <w:sz w:val="14"/>
                <w:szCs w:val="14"/>
                <w:color w:val="auto"/>
              </w:rPr>
              <w:t>2,194</w:t>
            </w:r>
          </w:p>
        </w:tc>
        <w:tc>
          <w:tcPr>
            <w:tcW w:w="82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w w:val="76"/>
              </w:rPr>
              <w:t>0</w:t>
            </w:r>
          </w:p>
        </w:tc>
        <w:tc>
          <w:tcPr>
            <w:tcW w:w="86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20" w:type="dxa"/>
            <w:vAlign w:val="bottom"/>
            <w:shd w:val="clear" w:color="auto" w:fill="DAEEF3"/>
          </w:tcPr>
          <w:p>
            <w:pPr>
              <w:jc w:val="center"/>
              <w:ind w:left="8"/>
              <w:spacing w:after="0" w:line="149" w:lineRule="exact"/>
              <w:rPr>
                <w:sz w:val="20"/>
                <w:szCs w:val="20"/>
                <w:color w:val="auto"/>
              </w:rPr>
            </w:pPr>
            <w:r>
              <w:rPr>
                <w:rFonts w:ascii="Arial" w:cs="Arial" w:eastAsia="Arial" w:hAnsi="Arial"/>
                <w:sz w:val="14"/>
                <w:szCs w:val="14"/>
                <w:color w:val="auto"/>
                <w:w w:val="89"/>
              </w:rPr>
              <w:t>no</w:t>
            </w:r>
          </w:p>
        </w:tc>
        <w:tc>
          <w:tcPr>
            <w:tcW w:w="880" w:type="dxa"/>
            <w:vAlign w:val="bottom"/>
            <w:shd w:val="clear" w:color="auto" w:fill="DAEEF3"/>
          </w:tcPr>
          <w:p>
            <w:pPr>
              <w:ind w:left="420"/>
              <w:spacing w:after="0" w:line="149" w:lineRule="exact"/>
              <w:rPr>
                <w:sz w:val="20"/>
                <w:szCs w:val="20"/>
                <w:color w:val="auto"/>
              </w:rPr>
            </w:pPr>
            <w:r>
              <w:rPr>
                <w:rFonts w:ascii="Arial" w:cs="Arial" w:eastAsia="Arial" w:hAnsi="Arial"/>
                <w:sz w:val="14"/>
                <w:szCs w:val="14"/>
                <w:color w:val="auto"/>
              </w:rPr>
              <w:t>0</w:t>
            </w:r>
          </w:p>
        </w:tc>
        <w:tc>
          <w:tcPr>
            <w:tcW w:w="700" w:type="dxa"/>
            <w:vAlign w:val="bottom"/>
            <w:vMerge w:val="continue"/>
            <w:shd w:val="clear" w:color="auto" w:fill="DAEEF3"/>
          </w:tcPr>
          <w:p>
            <w:pPr>
              <w:spacing w:after="0"/>
              <w:rPr>
                <w:sz w:val="12"/>
                <w:szCs w:val="12"/>
                <w:color w:val="auto"/>
              </w:rPr>
            </w:pPr>
          </w:p>
        </w:tc>
        <w:tc>
          <w:tcPr>
            <w:tcW w:w="780" w:type="dxa"/>
            <w:vAlign w:val="bottom"/>
            <w:shd w:val="clear" w:color="auto" w:fill="DAEEF3"/>
          </w:tcPr>
          <w:p>
            <w:pPr>
              <w:jc w:val="center"/>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94"/>
        </w:trPr>
        <w:tc>
          <w:tcPr>
            <w:tcW w:w="2160" w:type="dxa"/>
            <w:vAlign w:val="bottom"/>
            <w:shd w:val="clear" w:color="auto" w:fill="DAEEF3"/>
          </w:tcPr>
          <w:p>
            <w:pPr>
              <w:ind w:left="120"/>
              <w:spacing w:after="0"/>
              <w:rPr>
                <w:sz w:val="20"/>
                <w:szCs w:val="20"/>
                <w:color w:val="auto"/>
              </w:rPr>
            </w:pPr>
            <w:r>
              <w:rPr>
                <w:rFonts w:ascii="Arial" w:cs="Arial" w:eastAsia="Arial" w:hAnsi="Arial"/>
                <w:sz w:val="14"/>
                <w:szCs w:val="14"/>
                <w:color w:val="auto"/>
              </w:rPr>
              <w:t>Sugar Creek, MO (2302171)</w:t>
            </w:r>
          </w:p>
        </w:tc>
        <w:tc>
          <w:tcPr>
            <w:tcW w:w="700" w:type="dxa"/>
            <w:vAlign w:val="bottom"/>
            <w:shd w:val="clear" w:color="auto" w:fill="DAEEF3"/>
          </w:tcPr>
          <w:p>
            <w:pPr>
              <w:spacing w:after="0"/>
              <w:rPr>
                <w:sz w:val="16"/>
                <w:szCs w:val="16"/>
                <w:color w:val="auto"/>
              </w:rPr>
            </w:pPr>
          </w:p>
        </w:tc>
        <w:tc>
          <w:tcPr>
            <w:tcW w:w="600" w:type="dxa"/>
            <w:vAlign w:val="bottom"/>
            <w:shd w:val="clear" w:color="auto" w:fill="DAEEF3"/>
          </w:tcPr>
          <w:p>
            <w:pPr>
              <w:spacing w:after="0"/>
              <w:rPr>
                <w:sz w:val="16"/>
                <w:szCs w:val="16"/>
                <w:color w:val="auto"/>
              </w:rPr>
            </w:pPr>
          </w:p>
        </w:tc>
        <w:tc>
          <w:tcPr>
            <w:tcW w:w="660" w:type="dxa"/>
            <w:vAlign w:val="bottom"/>
            <w:shd w:val="clear" w:color="auto" w:fill="DAEEF3"/>
          </w:tcPr>
          <w:p>
            <w:pPr>
              <w:spacing w:after="0"/>
              <w:rPr>
                <w:sz w:val="16"/>
                <w:szCs w:val="16"/>
                <w:color w:val="auto"/>
              </w:rPr>
            </w:pPr>
          </w:p>
        </w:tc>
        <w:tc>
          <w:tcPr>
            <w:tcW w:w="740" w:type="dxa"/>
            <w:vAlign w:val="bottom"/>
            <w:shd w:val="clear" w:color="auto" w:fill="DAEEF3"/>
          </w:tcPr>
          <w:p>
            <w:pPr>
              <w:spacing w:after="0"/>
              <w:rPr>
                <w:sz w:val="16"/>
                <w:szCs w:val="16"/>
                <w:color w:val="auto"/>
              </w:rPr>
            </w:pPr>
          </w:p>
        </w:tc>
        <w:tc>
          <w:tcPr>
            <w:tcW w:w="620" w:type="dxa"/>
            <w:vAlign w:val="bottom"/>
            <w:shd w:val="clear" w:color="auto" w:fill="DAEEF3"/>
          </w:tcPr>
          <w:p>
            <w:pPr>
              <w:spacing w:after="0"/>
              <w:rPr>
                <w:sz w:val="16"/>
                <w:szCs w:val="16"/>
                <w:color w:val="auto"/>
              </w:rPr>
            </w:pPr>
          </w:p>
        </w:tc>
        <w:tc>
          <w:tcPr>
            <w:tcW w:w="220" w:type="dxa"/>
            <w:vAlign w:val="bottom"/>
            <w:shd w:val="clear" w:color="auto" w:fill="DAEEF3"/>
          </w:tcPr>
          <w:p>
            <w:pPr>
              <w:spacing w:after="0"/>
              <w:rPr>
                <w:sz w:val="16"/>
                <w:szCs w:val="16"/>
                <w:color w:val="auto"/>
              </w:rPr>
            </w:pPr>
          </w:p>
        </w:tc>
        <w:tc>
          <w:tcPr>
            <w:tcW w:w="680" w:type="dxa"/>
            <w:vAlign w:val="bottom"/>
            <w:shd w:val="clear" w:color="auto" w:fill="DAEEF3"/>
          </w:tcPr>
          <w:p>
            <w:pPr>
              <w:spacing w:after="0"/>
              <w:rPr>
                <w:sz w:val="16"/>
                <w:szCs w:val="16"/>
                <w:color w:val="auto"/>
              </w:rPr>
            </w:pPr>
          </w:p>
        </w:tc>
        <w:tc>
          <w:tcPr>
            <w:tcW w:w="820" w:type="dxa"/>
            <w:vAlign w:val="bottom"/>
            <w:shd w:val="clear" w:color="auto" w:fill="DAEEF3"/>
          </w:tcPr>
          <w:p>
            <w:pPr>
              <w:spacing w:after="0"/>
              <w:rPr>
                <w:sz w:val="16"/>
                <w:szCs w:val="16"/>
                <w:color w:val="auto"/>
              </w:rPr>
            </w:pPr>
          </w:p>
        </w:tc>
        <w:tc>
          <w:tcPr>
            <w:tcW w:w="860" w:type="dxa"/>
            <w:vAlign w:val="bottom"/>
            <w:shd w:val="clear" w:color="auto" w:fill="DAEEF3"/>
          </w:tcPr>
          <w:p>
            <w:pPr>
              <w:spacing w:after="0"/>
              <w:rPr>
                <w:sz w:val="16"/>
                <w:szCs w:val="16"/>
                <w:color w:val="auto"/>
              </w:rPr>
            </w:pPr>
          </w:p>
        </w:tc>
        <w:tc>
          <w:tcPr>
            <w:tcW w:w="820" w:type="dxa"/>
            <w:vAlign w:val="bottom"/>
            <w:shd w:val="clear" w:color="auto" w:fill="DAEEF3"/>
          </w:tcPr>
          <w:p>
            <w:pPr>
              <w:spacing w:after="0"/>
              <w:rPr>
                <w:sz w:val="16"/>
                <w:szCs w:val="16"/>
                <w:color w:val="auto"/>
              </w:rPr>
            </w:pPr>
          </w:p>
        </w:tc>
        <w:tc>
          <w:tcPr>
            <w:tcW w:w="880" w:type="dxa"/>
            <w:vAlign w:val="bottom"/>
            <w:shd w:val="clear" w:color="auto" w:fill="DAEEF3"/>
          </w:tcPr>
          <w:p>
            <w:pPr>
              <w:spacing w:after="0"/>
              <w:rPr>
                <w:sz w:val="16"/>
                <w:szCs w:val="16"/>
                <w:color w:val="auto"/>
              </w:rPr>
            </w:pPr>
          </w:p>
        </w:tc>
        <w:tc>
          <w:tcPr>
            <w:tcW w:w="700" w:type="dxa"/>
            <w:vAlign w:val="bottom"/>
            <w:shd w:val="clear" w:color="auto" w:fill="DAEEF3"/>
          </w:tcPr>
          <w:p>
            <w:pPr>
              <w:spacing w:after="0"/>
              <w:rPr>
                <w:sz w:val="16"/>
                <w:szCs w:val="16"/>
                <w:color w:val="auto"/>
              </w:rPr>
            </w:pPr>
          </w:p>
        </w:tc>
        <w:tc>
          <w:tcPr>
            <w:tcW w:w="780" w:type="dxa"/>
            <w:vAlign w:val="bottom"/>
            <w:shd w:val="clear" w:color="auto" w:fill="DAEEF3"/>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160" w:type="dxa"/>
            <w:vAlign w:val="bottom"/>
          </w:tcPr>
          <w:p>
            <w:pPr>
              <w:ind w:left="120"/>
              <w:spacing w:after="0" w:line="143" w:lineRule="exact"/>
              <w:rPr>
                <w:sz w:val="20"/>
                <w:szCs w:val="20"/>
                <w:color w:val="auto"/>
              </w:rPr>
            </w:pPr>
            <w:r>
              <w:rPr>
                <w:rFonts w:ascii="Arial" w:cs="Arial" w:eastAsia="Arial" w:hAnsi="Arial"/>
                <w:sz w:val="14"/>
                <w:szCs w:val="14"/>
                <w:color w:val="auto"/>
                <w:w w:val="99"/>
              </w:rPr>
              <w:t>Central Plains Cement Company</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LLC</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76"/>
              </w:rPr>
              <w:t>1</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76"/>
              </w:rPr>
              <w:t>0</w:t>
            </w:r>
          </w:p>
        </w:tc>
        <w:tc>
          <w:tcPr>
            <w:tcW w:w="2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ind w:left="160"/>
              <w:spacing w:after="0" w:line="149" w:lineRule="exact"/>
              <w:rPr>
                <w:sz w:val="20"/>
                <w:szCs w:val="20"/>
                <w:color w:val="auto"/>
              </w:rPr>
            </w:pPr>
            <w:r>
              <w:rPr>
                <w:rFonts w:ascii="Arial" w:cs="Arial" w:eastAsia="Arial" w:hAnsi="Arial"/>
                <w:sz w:val="14"/>
                <w:szCs w:val="14"/>
                <w:color w:val="auto"/>
              </w:rPr>
              <w:t>7,269</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76"/>
              </w:rPr>
              <w:t>0</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9"/>
              </w:rPr>
              <w:t>no</w:t>
            </w:r>
          </w:p>
        </w:tc>
        <w:tc>
          <w:tcPr>
            <w:tcW w:w="820" w:type="dxa"/>
            <w:vAlign w:val="bottom"/>
          </w:tcPr>
          <w:p>
            <w:pPr>
              <w:jc w:val="center"/>
              <w:ind w:left="8"/>
              <w:spacing w:after="0" w:line="149" w:lineRule="exact"/>
              <w:rPr>
                <w:sz w:val="20"/>
                <w:szCs w:val="20"/>
                <w:color w:val="auto"/>
              </w:rPr>
            </w:pPr>
            <w:r>
              <w:rPr>
                <w:rFonts w:ascii="Arial" w:cs="Arial" w:eastAsia="Arial" w:hAnsi="Arial"/>
                <w:sz w:val="14"/>
                <w:szCs w:val="14"/>
                <w:color w:val="auto"/>
                <w:w w:val="89"/>
              </w:rPr>
              <w:t>no</w:t>
            </w:r>
          </w:p>
        </w:tc>
        <w:tc>
          <w:tcPr>
            <w:tcW w:w="880" w:type="dxa"/>
            <w:vAlign w:val="bottom"/>
          </w:tcPr>
          <w:p>
            <w:pPr>
              <w:ind w:left="420"/>
              <w:spacing w:after="0" w:line="149" w:lineRule="exact"/>
              <w:rPr>
                <w:sz w:val="20"/>
                <w:szCs w:val="20"/>
                <w:color w:val="auto"/>
              </w:rPr>
            </w:pPr>
            <w:r>
              <w:rPr>
                <w:rFonts w:ascii="Arial" w:cs="Arial" w:eastAsia="Arial" w:hAnsi="Arial"/>
                <w:sz w:val="14"/>
                <w:szCs w:val="14"/>
                <w:color w:val="auto"/>
              </w:rPr>
              <w:t>0</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8"/>
        </w:trPr>
        <w:tc>
          <w:tcPr>
            <w:tcW w:w="2160" w:type="dxa"/>
            <w:vAlign w:val="bottom"/>
          </w:tcPr>
          <w:p>
            <w:pPr>
              <w:ind w:left="120"/>
              <w:spacing w:after="0"/>
              <w:rPr>
                <w:sz w:val="20"/>
                <w:szCs w:val="20"/>
                <w:color w:val="auto"/>
              </w:rPr>
            </w:pPr>
            <w:r>
              <w:rPr>
                <w:rFonts w:ascii="Arial" w:cs="Arial" w:eastAsia="Arial" w:hAnsi="Arial"/>
                <w:sz w:val="14"/>
                <w:szCs w:val="14"/>
                <w:color w:val="auto"/>
              </w:rPr>
              <w:t>Tulsa, OK (3400026)</w:t>
            </w:r>
          </w:p>
        </w:tc>
        <w:tc>
          <w:tcPr>
            <w:tcW w:w="7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DAEEF3"/>
          </w:tcPr>
          <w:p>
            <w:pPr>
              <w:ind w:left="120"/>
              <w:spacing w:after="0"/>
              <w:rPr>
                <w:sz w:val="20"/>
                <w:szCs w:val="20"/>
                <w:color w:val="auto"/>
              </w:rPr>
            </w:pPr>
            <w:r>
              <w:rPr>
                <w:rFonts w:ascii="Arial" w:cs="Arial" w:eastAsia="Arial" w:hAnsi="Arial"/>
                <w:sz w:val="14"/>
                <w:szCs w:val="14"/>
                <w:color w:val="auto"/>
              </w:rPr>
              <w:t>Fairborn Cement Company LLC</w:t>
            </w:r>
          </w:p>
        </w:tc>
        <w:tc>
          <w:tcPr>
            <w:tcW w:w="70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6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4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2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vMerge w:val="restart"/>
            <w:shd w:val="clear" w:color="auto" w:fill="DAEEF3"/>
          </w:tcPr>
          <w:p>
            <w:pPr>
              <w:ind w:left="12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DAEEF3"/>
          </w:tcPr>
          <w:p>
            <w:pPr>
              <w:ind w:left="160"/>
              <w:spacing w:after="0"/>
              <w:rPr>
                <w:sz w:val="20"/>
                <w:szCs w:val="20"/>
                <w:color w:val="auto"/>
              </w:rPr>
            </w:pPr>
            <w:r>
              <w:rPr>
                <w:rFonts w:ascii="Arial" w:cs="Arial" w:eastAsia="Arial" w:hAnsi="Arial"/>
                <w:sz w:val="14"/>
                <w:szCs w:val="14"/>
                <w:color w:val="auto"/>
              </w:rPr>
              <w:t>0</w:t>
            </w:r>
          </w:p>
        </w:tc>
        <w:tc>
          <w:tcPr>
            <w:tcW w:w="82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vMerge w:val="restart"/>
            <w:shd w:val="clear" w:color="auto" w:fill="DAEEF3"/>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vMerge w:val="restart"/>
            <w:shd w:val="clear" w:color="auto" w:fill="DAEEF3"/>
          </w:tcPr>
          <w:p>
            <w:pPr>
              <w:ind w:left="420"/>
              <w:spacing w:after="0"/>
              <w:rPr>
                <w:sz w:val="20"/>
                <w:szCs w:val="20"/>
                <w:color w:val="auto"/>
              </w:rPr>
            </w:pPr>
            <w:r>
              <w:rPr>
                <w:rFonts w:ascii="Arial" w:cs="Arial" w:eastAsia="Arial" w:hAnsi="Arial"/>
                <w:sz w:val="14"/>
                <w:szCs w:val="14"/>
                <w:color w:val="auto"/>
              </w:rPr>
              <w:t>0</w:t>
            </w:r>
          </w:p>
        </w:tc>
        <w:tc>
          <w:tcPr>
            <w:tcW w:w="70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8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15"/>
        </w:trPr>
        <w:tc>
          <w:tcPr>
            <w:tcW w:w="2160" w:type="dxa"/>
            <w:vAlign w:val="bottom"/>
            <w:vMerge w:val="restart"/>
            <w:shd w:val="clear" w:color="auto" w:fill="DAEEF3"/>
          </w:tcPr>
          <w:p>
            <w:pPr>
              <w:ind w:left="120"/>
              <w:spacing w:after="0"/>
              <w:rPr>
                <w:sz w:val="20"/>
                <w:szCs w:val="20"/>
                <w:color w:val="auto"/>
              </w:rPr>
            </w:pPr>
            <w:r>
              <w:rPr>
                <w:rFonts w:ascii="Arial" w:cs="Arial" w:eastAsia="Arial" w:hAnsi="Arial"/>
                <w:sz w:val="14"/>
                <w:szCs w:val="14"/>
                <w:color w:val="auto"/>
              </w:rPr>
              <w:t>Greene County, OH (3300161)</w:t>
            </w:r>
          </w:p>
        </w:tc>
        <w:tc>
          <w:tcPr>
            <w:tcW w:w="700" w:type="dxa"/>
            <w:vAlign w:val="bottom"/>
            <w:vMerge w:val="continue"/>
            <w:shd w:val="clear" w:color="auto" w:fill="DAEEF3"/>
          </w:tcPr>
          <w:p>
            <w:pPr>
              <w:spacing w:after="0"/>
              <w:rPr>
                <w:sz w:val="9"/>
                <w:szCs w:val="9"/>
                <w:color w:val="auto"/>
              </w:rPr>
            </w:pPr>
          </w:p>
        </w:tc>
        <w:tc>
          <w:tcPr>
            <w:tcW w:w="600" w:type="dxa"/>
            <w:vAlign w:val="bottom"/>
            <w:vMerge w:val="continue"/>
            <w:shd w:val="clear" w:color="auto" w:fill="DAEEF3"/>
          </w:tcPr>
          <w:p>
            <w:pPr>
              <w:spacing w:after="0"/>
              <w:rPr>
                <w:sz w:val="9"/>
                <w:szCs w:val="9"/>
                <w:color w:val="auto"/>
              </w:rPr>
            </w:pPr>
          </w:p>
        </w:tc>
        <w:tc>
          <w:tcPr>
            <w:tcW w:w="660" w:type="dxa"/>
            <w:vAlign w:val="bottom"/>
            <w:vMerge w:val="continue"/>
            <w:shd w:val="clear" w:color="auto" w:fill="DAEEF3"/>
          </w:tcPr>
          <w:p>
            <w:pPr>
              <w:spacing w:after="0"/>
              <w:rPr>
                <w:sz w:val="9"/>
                <w:szCs w:val="9"/>
                <w:color w:val="auto"/>
              </w:rPr>
            </w:pPr>
          </w:p>
        </w:tc>
        <w:tc>
          <w:tcPr>
            <w:tcW w:w="740" w:type="dxa"/>
            <w:vAlign w:val="bottom"/>
            <w:vMerge w:val="continue"/>
            <w:shd w:val="clear" w:color="auto" w:fill="DAEEF3"/>
          </w:tcPr>
          <w:p>
            <w:pPr>
              <w:spacing w:after="0"/>
              <w:rPr>
                <w:sz w:val="9"/>
                <w:szCs w:val="9"/>
                <w:color w:val="auto"/>
              </w:rPr>
            </w:pPr>
          </w:p>
        </w:tc>
        <w:tc>
          <w:tcPr>
            <w:tcW w:w="620" w:type="dxa"/>
            <w:vAlign w:val="bottom"/>
            <w:vMerge w:val="continue"/>
            <w:shd w:val="clear" w:color="auto" w:fill="DAEEF3"/>
          </w:tcPr>
          <w:p>
            <w:pPr>
              <w:spacing w:after="0"/>
              <w:rPr>
                <w:sz w:val="9"/>
                <w:szCs w:val="9"/>
                <w:color w:val="auto"/>
              </w:rPr>
            </w:pPr>
          </w:p>
        </w:tc>
        <w:tc>
          <w:tcPr>
            <w:tcW w:w="220" w:type="dxa"/>
            <w:vAlign w:val="bottom"/>
            <w:vMerge w:val="continue"/>
            <w:shd w:val="clear" w:color="auto" w:fill="DAEEF3"/>
          </w:tcPr>
          <w:p>
            <w:pPr>
              <w:spacing w:after="0"/>
              <w:rPr>
                <w:sz w:val="9"/>
                <w:szCs w:val="9"/>
                <w:color w:val="auto"/>
              </w:rPr>
            </w:pPr>
          </w:p>
        </w:tc>
        <w:tc>
          <w:tcPr>
            <w:tcW w:w="680" w:type="dxa"/>
            <w:vAlign w:val="bottom"/>
            <w:vMerge w:val="continue"/>
            <w:shd w:val="clear" w:color="auto" w:fill="DAEEF3"/>
          </w:tcPr>
          <w:p>
            <w:pPr>
              <w:spacing w:after="0"/>
              <w:rPr>
                <w:sz w:val="9"/>
                <w:szCs w:val="9"/>
                <w:color w:val="auto"/>
              </w:rPr>
            </w:pPr>
          </w:p>
        </w:tc>
        <w:tc>
          <w:tcPr>
            <w:tcW w:w="820" w:type="dxa"/>
            <w:vAlign w:val="bottom"/>
            <w:vMerge w:val="continue"/>
            <w:shd w:val="clear" w:color="auto" w:fill="DAEEF3"/>
          </w:tcPr>
          <w:p>
            <w:pPr>
              <w:spacing w:after="0"/>
              <w:rPr>
                <w:sz w:val="9"/>
                <w:szCs w:val="9"/>
                <w:color w:val="auto"/>
              </w:rPr>
            </w:pPr>
          </w:p>
        </w:tc>
        <w:tc>
          <w:tcPr>
            <w:tcW w:w="860" w:type="dxa"/>
            <w:vAlign w:val="bottom"/>
            <w:vMerge w:val="continue"/>
            <w:shd w:val="clear" w:color="auto" w:fill="DAEEF3"/>
          </w:tcPr>
          <w:p>
            <w:pPr>
              <w:spacing w:after="0"/>
              <w:rPr>
                <w:sz w:val="9"/>
                <w:szCs w:val="9"/>
                <w:color w:val="auto"/>
              </w:rPr>
            </w:pPr>
          </w:p>
        </w:tc>
        <w:tc>
          <w:tcPr>
            <w:tcW w:w="820" w:type="dxa"/>
            <w:vAlign w:val="bottom"/>
            <w:vMerge w:val="continue"/>
            <w:shd w:val="clear" w:color="auto" w:fill="DAEEF3"/>
          </w:tcPr>
          <w:p>
            <w:pPr>
              <w:spacing w:after="0"/>
              <w:rPr>
                <w:sz w:val="9"/>
                <w:szCs w:val="9"/>
                <w:color w:val="auto"/>
              </w:rPr>
            </w:pPr>
          </w:p>
        </w:tc>
        <w:tc>
          <w:tcPr>
            <w:tcW w:w="880" w:type="dxa"/>
            <w:vAlign w:val="bottom"/>
            <w:vMerge w:val="continue"/>
            <w:shd w:val="clear" w:color="auto" w:fill="DAEEF3"/>
          </w:tcPr>
          <w:p>
            <w:pPr>
              <w:spacing w:after="0"/>
              <w:rPr>
                <w:sz w:val="9"/>
                <w:szCs w:val="9"/>
                <w:color w:val="auto"/>
              </w:rPr>
            </w:pPr>
          </w:p>
        </w:tc>
        <w:tc>
          <w:tcPr>
            <w:tcW w:w="700" w:type="dxa"/>
            <w:vAlign w:val="bottom"/>
            <w:vMerge w:val="continue"/>
            <w:shd w:val="clear" w:color="auto" w:fill="DAEEF3"/>
          </w:tcPr>
          <w:p>
            <w:pPr>
              <w:spacing w:after="0"/>
              <w:rPr>
                <w:sz w:val="9"/>
                <w:szCs w:val="9"/>
                <w:color w:val="auto"/>
              </w:rPr>
            </w:pPr>
          </w:p>
        </w:tc>
        <w:tc>
          <w:tcPr>
            <w:tcW w:w="780" w:type="dxa"/>
            <w:vAlign w:val="bottom"/>
            <w:vMerge w:val="continue"/>
            <w:shd w:val="clear" w:color="auto" w:fill="DAEEF3"/>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160" w:type="dxa"/>
            <w:vAlign w:val="bottom"/>
            <w:tcBorders>
              <w:bottom w:val="single" w:sz="8" w:color="DAEEF3"/>
            </w:tcBorders>
            <w:vMerge w:val="continue"/>
            <w:shd w:val="clear" w:color="auto" w:fill="DAEEF3"/>
          </w:tcPr>
          <w:p>
            <w:pPr>
              <w:spacing w:after="0"/>
              <w:rPr>
                <w:sz w:val="7"/>
                <w:szCs w:val="7"/>
                <w:color w:val="auto"/>
              </w:rPr>
            </w:pPr>
          </w:p>
        </w:tc>
        <w:tc>
          <w:tcPr>
            <w:tcW w:w="700" w:type="dxa"/>
            <w:vAlign w:val="bottom"/>
            <w:tcBorders>
              <w:bottom w:val="single" w:sz="8" w:color="DAEEF3"/>
            </w:tcBorders>
            <w:shd w:val="clear" w:color="auto" w:fill="DAEEF3"/>
          </w:tcPr>
          <w:p>
            <w:pPr>
              <w:spacing w:after="0"/>
              <w:rPr>
                <w:sz w:val="7"/>
                <w:szCs w:val="7"/>
                <w:color w:val="auto"/>
              </w:rPr>
            </w:pPr>
          </w:p>
        </w:tc>
        <w:tc>
          <w:tcPr>
            <w:tcW w:w="600" w:type="dxa"/>
            <w:vAlign w:val="bottom"/>
            <w:tcBorders>
              <w:bottom w:val="single" w:sz="8" w:color="DAEEF3"/>
            </w:tcBorders>
            <w:shd w:val="clear" w:color="auto" w:fill="DAEEF3"/>
          </w:tcPr>
          <w:p>
            <w:pPr>
              <w:spacing w:after="0"/>
              <w:rPr>
                <w:sz w:val="7"/>
                <w:szCs w:val="7"/>
                <w:color w:val="auto"/>
              </w:rPr>
            </w:pPr>
          </w:p>
        </w:tc>
        <w:tc>
          <w:tcPr>
            <w:tcW w:w="660" w:type="dxa"/>
            <w:vAlign w:val="bottom"/>
            <w:tcBorders>
              <w:bottom w:val="single" w:sz="8" w:color="DAEEF3"/>
            </w:tcBorders>
            <w:shd w:val="clear" w:color="auto" w:fill="DAEEF3"/>
          </w:tcPr>
          <w:p>
            <w:pPr>
              <w:spacing w:after="0"/>
              <w:rPr>
                <w:sz w:val="7"/>
                <w:szCs w:val="7"/>
                <w:color w:val="auto"/>
              </w:rPr>
            </w:pPr>
          </w:p>
        </w:tc>
        <w:tc>
          <w:tcPr>
            <w:tcW w:w="740" w:type="dxa"/>
            <w:vAlign w:val="bottom"/>
            <w:tcBorders>
              <w:bottom w:val="single" w:sz="8" w:color="DAEEF3"/>
            </w:tcBorders>
            <w:shd w:val="clear" w:color="auto" w:fill="DAEEF3"/>
          </w:tcPr>
          <w:p>
            <w:pPr>
              <w:spacing w:after="0"/>
              <w:rPr>
                <w:sz w:val="7"/>
                <w:szCs w:val="7"/>
                <w:color w:val="auto"/>
              </w:rPr>
            </w:pPr>
          </w:p>
        </w:tc>
        <w:tc>
          <w:tcPr>
            <w:tcW w:w="620" w:type="dxa"/>
            <w:vAlign w:val="bottom"/>
            <w:tcBorders>
              <w:bottom w:val="single" w:sz="8" w:color="DAEEF3"/>
            </w:tcBorders>
            <w:shd w:val="clear" w:color="auto" w:fill="DAEEF3"/>
          </w:tcPr>
          <w:p>
            <w:pPr>
              <w:spacing w:after="0"/>
              <w:rPr>
                <w:sz w:val="7"/>
                <w:szCs w:val="7"/>
                <w:color w:val="auto"/>
              </w:rPr>
            </w:pPr>
          </w:p>
        </w:tc>
        <w:tc>
          <w:tcPr>
            <w:tcW w:w="220" w:type="dxa"/>
            <w:vAlign w:val="bottom"/>
            <w:tcBorders>
              <w:bottom w:val="single" w:sz="8" w:color="DAEEF3"/>
            </w:tcBorders>
            <w:shd w:val="clear" w:color="auto" w:fill="DAEEF3"/>
          </w:tcPr>
          <w:p>
            <w:pPr>
              <w:spacing w:after="0"/>
              <w:rPr>
                <w:sz w:val="7"/>
                <w:szCs w:val="7"/>
                <w:color w:val="auto"/>
              </w:rPr>
            </w:pPr>
          </w:p>
        </w:tc>
        <w:tc>
          <w:tcPr>
            <w:tcW w:w="680" w:type="dxa"/>
            <w:vAlign w:val="bottom"/>
            <w:tcBorders>
              <w:bottom w:val="single" w:sz="8" w:color="DAEEF3"/>
            </w:tcBorders>
            <w:shd w:val="clear" w:color="auto" w:fill="DAEEF3"/>
          </w:tcPr>
          <w:p>
            <w:pPr>
              <w:spacing w:after="0"/>
              <w:rPr>
                <w:sz w:val="7"/>
                <w:szCs w:val="7"/>
                <w:color w:val="auto"/>
              </w:rPr>
            </w:pPr>
          </w:p>
        </w:tc>
        <w:tc>
          <w:tcPr>
            <w:tcW w:w="820" w:type="dxa"/>
            <w:vAlign w:val="bottom"/>
            <w:tcBorders>
              <w:bottom w:val="single" w:sz="8" w:color="DAEEF3"/>
            </w:tcBorders>
            <w:shd w:val="clear" w:color="auto" w:fill="DAEEF3"/>
          </w:tcPr>
          <w:p>
            <w:pPr>
              <w:spacing w:after="0"/>
              <w:rPr>
                <w:sz w:val="7"/>
                <w:szCs w:val="7"/>
                <w:color w:val="auto"/>
              </w:rPr>
            </w:pPr>
          </w:p>
        </w:tc>
        <w:tc>
          <w:tcPr>
            <w:tcW w:w="860" w:type="dxa"/>
            <w:vAlign w:val="bottom"/>
            <w:tcBorders>
              <w:bottom w:val="single" w:sz="8" w:color="DAEEF3"/>
            </w:tcBorders>
            <w:shd w:val="clear" w:color="auto" w:fill="DAEEF3"/>
          </w:tcPr>
          <w:p>
            <w:pPr>
              <w:spacing w:after="0"/>
              <w:rPr>
                <w:sz w:val="7"/>
                <w:szCs w:val="7"/>
                <w:color w:val="auto"/>
              </w:rPr>
            </w:pPr>
          </w:p>
        </w:tc>
        <w:tc>
          <w:tcPr>
            <w:tcW w:w="820" w:type="dxa"/>
            <w:vAlign w:val="bottom"/>
            <w:tcBorders>
              <w:bottom w:val="single" w:sz="8" w:color="DAEEF3"/>
            </w:tcBorders>
            <w:shd w:val="clear" w:color="auto" w:fill="DAEEF3"/>
          </w:tcPr>
          <w:p>
            <w:pPr>
              <w:spacing w:after="0"/>
              <w:rPr>
                <w:sz w:val="7"/>
                <w:szCs w:val="7"/>
                <w:color w:val="auto"/>
              </w:rPr>
            </w:pPr>
          </w:p>
        </w:tc>
        <w:tc>
          <w:tcPr>
            <w:tcW w:w="880" w:type="dxa"/>
            <w:vAlign w:val="bottom"/>
            <w:tcBorders>
              <w:bottom w:val="single" w:sz="8" w:color="DAEEF3"/>
            </w:tcBorders>
            <w:shd w:val="clear" w:color="auto" w:fill="DAEEF3"/>
          </w:tcPr>
          <w:p>
            <w:pPr>
              <w:spacing w:after="0"/>
              <w:rPr>
                <w:sz w:val="7"/>
                <w:szCs w:val="7"/>
                <w:color w:val="auto"/>
              </w:rPr>
            </w:pPr>
          </w:p>
        </w:tc>
        <w:tc>
          <w:tcPr>
            <w:tcW w:w="700" w:type="dxa"/>
            <w:vAlign w:val="bottom"/>
            <w:tcBorders>
              <w:bottom w:val="single" w:sz="8" w:color="DAEEF3"/>
            </w:tcBorders>
            <w:shd w:val="clear" w:color="auto" w:fill="DAEEF3"/>
          </w:tcPr>
          <w:p>
            <w:pPr>
              <w:spacing w:after="0"/>
              <w:rPr>
                <w:sz w:val="7"/>
                <w:szCs w:val="7"/>
                <w:color w:val="auto"/>
              </w:rPr>
            </w:pPr>
          </w:p>
        </w:tc>
        <w:tc>
          <w:tcPr>
            <w:tcW w:w="780" w:type="dxa"/>
            <w:vAlign w:val="bottom"/>
            <w:tcBorders>
              <w:bottom w:val="single" w:sz="8" w:color="DAEEF3"/>
            </w:tcBorders>
            <w:shd w:val="clear" w:color="auto" w:fill="DAEEF3"/>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2160" w:type="dxa"/>
            <w:vAlign w:val="bottom"/>
          </w:tcPr>
          <w:p>
            <w:pPr>
              <w:ind w:left="120"/>
              <w:spacing w:after="0"/>
              <w:rPr>
                <w:sz w:val="20"/>
                <w:szCs w:val="20"/>
                <w:color w:val="auto"/>
              </w:rPr>
            </w:pPr>
            <w:r>
              <w:rPr>
                <w:rFonts w:ascii="Arial" w:cs="Arial" w:eastAsia="Arial" w:hAnsi="Arial"/>
                <w:sz w:val="14"/>
                <w:szCs w:val="14"/>
                <w:color w:val="auto"/>
              </w:rPr>
              <w:t>Illinois Cement Company LLC</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w w:val="76"/>
              </w:rPr>
              <w:t>3</w:t>
            </w:r>
          </w:p>
        </w:tc>
        <w:tc>
          <w:tcPr>
            <w:tcW w:w="60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ind w:left="160"/>
              <w:spacing w:after="0"/>
              <w:rPr>
                <w:sz w:val="20"/>
                <w:szCs w:val="20"/>
                <w:color w:val="auto"/>
              </w:rPr>
            </w:pPr>
            <w:r>
              <w:rPr>
                <w:rFonts w:ascii="Arial" w:cs="Arial" w:eastAsia="Arial" w:hAnsi="Arial"/>
                <w:sz w:val="14"/>
                <w:szCs w:val="14"/>
                <w:color w:val="auto"/>
              </w:rPr>
              <w:t>0</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vMerge w:val="restart"/>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vMerge w:val="restart"/>
          </w:tcPr>
          <w:p>
            <w:pPr>
              <w:ind w:left="420"/>
              <w:spacing w:after="0"/>
              <w:rPr>
                <w:sz w:val="20"/>
                <w:szCs w:val="20"/>
                <w:color w:val="auto"/>
              </w:rPr>
            </w:pPr>
            <w:r>
              <w:rPr>
                <w:rFonts w:ascii="Arial" w:cs="Arial" w:eastAsia="Arial" w:hAnsi="Arial"/>
                <w:sz w:val="14"/>
                <w:szCs w:val="14"/>
                <w:color w:val="auto"/>
              </w:rPr>
              <w:t>0</w:t>
            </w:r>
          </w:p>
        </w:tc>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15"/>
        </w:trPr>
        <w:tc>
          <w:tcPr>
            <w:tcW w:w="2160" w:type="dxa"/>
            <w:vAlign w:val="bottom"/>
            <w:vMerge w:val="restart"/>
          </w:tcPr>
          <w:p>
            <w:pPr>
              <w:ind w:left="120"/>
              <w:spacing w:after="0"/>
              <w:rPr>
                <w:sz w:val="20"/>
                <w:szCs w:val="20"/>
                <w:color w:val="auto"/>
              </w:rPr>
            </w:pPr>
            <w:r>
              <w:rPr>
                <w:rFonts w:ascii="Arial" w:cs="Arial" w:eastAsia="Arial" w:hAnsi="Arial"/>
                <w:sz w:val="14"/>
                <w:szCs w:val="14"/>
                <w:color w:val="auto"/>
              </w:rPr>
              <w:t>LaSalle, IL (1100003)</w:t>
            </w:r>
          </w:p>
        </w:tc>
        <w:tc>
          <w:tcPr>
            <w:tcW w:w="70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1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160" w:type="dxa"/>
            <w:vAlign w:val="bottom"/>
            <w:shd w:val="clear" w:color="auto" w:fill="DAEEF3"/>
          </w:tcPr>
          <w:p>
            <w:pPr>
              <w:ind w:left="120"/>
              <w:spacing w:after="0"/>
              <w:rPr>
                <w:sz w:val="20"/>
                <w:szCs w:val="20"/>
                <w:color w:val="auto"/>
              </w:rPr>
            </w:pPr>
            <w:r>
              <w:rPr>
                <w:rFonts w:ascii="Arial" w:cs="Arial" w:eastAsia="Arial" w:hAnsi="Arial"/>
                <w:sz w:val="14"/>
                <w:szCs w:val="14"/>
                <w:color w:val="auto"/>
              </w:rPr>
              <w:t>Kosmos Cement Company LLC</w:t>
            </w:r>
          </w:p>
        </w:tc>
        <w:tc>
          <w:tcPr>
            <w:tcW w:w="70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w w:val="76"/>
              </w:rPr>
              <w:t>3</w:t>
            </w:r>
          </w:p>
        </w:tc>
        <w:tc>
          <w:tcPr>
            <w:tcW w:w="60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6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4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2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vMerge w:val="restart"/>
            <w:shd w:val="clear" w:color="auto" w:fill="DAEEF3"/>
          </w:tcPr>
          <w:p>
            <w:pPr>
              <w:ind w:left="12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DAEEF3"/>
          </w:tcPr>
          <w:p>
            <w:pPr>
              <w:ind w:left="160"/>
              <w:spacing w:after="0"/>
              <w:rPr>
                <w:sz w:val="20"/>
                <w:szCs w:val="20"/>
                <w:color w:val="auto"/>
              </w:rPr>
            </w:pPr>
            <w:r>
              <w:rPr>
                <w:rFonts w:ascii="Arial" w:cs="Arial" w:eastAsia="Arial" w:hAnsi="Arial"/>
                <w:sz w:val="14"/>
                <w:szCs w:val="14"/>
                <w:color w:val="auto"/>
              </w:rPr>
              <w:t>0</w:t>
            </w:r>
          </w:p>
        </w:tc>
        <w:tc>
          <w:tcPr>
            <w:tcW w:w="82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vMerge w:val="restart"/>
            <w:shd w:val="clear" w:color="auto" w:fill="DAEEF3"/>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vMerge w:val="restart"/>
            <w:shd w:val="clear" w:color="auto" w:fill="DAEEF3"/>
          </w:tcPr>
          <w:p>
            <w:pPr>
              <w:ind w:left="420"/>
              <w:spacing w:after="0"/>
              <w:rPr>
                <w:sz w:val="20"/>
                <w:szCs w:val="20"/>
                <w:color w:val="auto"/>
              </w:rPr>
            </w:pPr>
            <w:r>
              <w:rPr>
                <w:rFonts w:ascii="Arial" w:cs="Arial" w:eastAsia="Arial" w:hAnsi="Arial"/>
                <w:sz w:val="14"/>
                <w:szCs w:val="14"/>
                <w:color w:val="auto"/>
              </w:rPr>
              <w:t>0</w:t>
            </w:r>
          </w:p>
        </w:tc>
        <w:tc>
          <w:tcPr>
            <w:tcW w:w="70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8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15"/>
        </w:trPr>
        <w:tc>
          <w:tcPr>
            <w:tcW w:w="2160" w:type="dxa"/>
            <w:vAlign w:val="bottom"/>
            <w:vMerge w:val="restart"/>
            <w:shd w:val="clear" w:color="auto" w:fill="DAEEF3"/>
          </w:tcPr>
          <w:p>
            <w:pPr>
              <w:ind w:left="120"/>
              <w:spacing w:after="0"/>
              <w:rPr>
                <w:sz w:val="20"/>
                <w:szCs w:val="20"/>
                <w:color w:val="auto"/>
              </w:rPr>
            </w:pPr>
            <w:r>
              <w:rPr>
                <w:rFonts w:ascii="Arial" w:cs="Arial" w:eastAsia="Arial" w:hAnsi="Arial"/>
                <w:sz w:val="14"/>
                <w:szCs w:val="14"/>
                <w:color w:val="auto"/>
              </w:rPr>
              <w:t>Jefferson, KY (1504469)</w:t>
            </w:r>
          </w:p>
        </w:tc>
        <w:tc>
          <w:tcPr>
            <w:tcW w:w="700" w:type="dxa"/>
            <w:vAlign w:val="bottom"/>
            <w:vMerge w:val="continue"/>
            <w:shd w:val="clear" w:color="auto" w:fill="DAEEF3"/>
          </w:tcPr>
          <w:p>
            <w:pPr>
              <w:spacing w:after="0"/>
              <w:rPr>
                <w:sz w:val="9"/>
                <w:szCs w:val="9"/>
                <w:color w:val="auto"/>
              </w:rPr>
            </w:pPr>
          </w:p>
        </w:tc>
        <w:tc>
          <w:tcPr>
            <w:tcW w:w="600" w:type="dxa"/>
            <w:vAlign w:val="bottom"/>
            <w:vMerge w:val="continue"/>
            <w:shd w:val="clear" w:color="auto" w:fill="DAEEF3"/>
          </w:tcPr>
          <w:p>
            <w:pPr>
              <w:spacing w:after="0"/>
              <w:rPr>
                <w:sz w:val="9"/>
                <w:szCs w:val="9"/>
                <w:color w:val="auto"/>
              </w:rPr>
            </w:pPr>
          </w:p>
        </w:tc>
        <w:tc>
          <w:tcPr>
            <w:tcW w:w="660" w:type="dxa"/>
            <w:vAlign w:val="bottom"/>
            <w:vMerge w:val="continue"/>
            <w:shd w:val="clear" w:color="auto" w:fill="DAEEF3"/>
          </w:tcPr>
          <w:p>
            <w:pPr>
              <w:spacing w:after="0"/>
              <w:rPr>
                <w:sz w:val="9"/>
                <w:szCs w:val="9"/>
                <w:color w:val="auto"/>
              </w:rPr>
            </w:pPr>
          </w:p>
        </w:tc>
        <w:tc>
          <w:tcPr>
            <w:tcW w:w="740" w:type="dxa"/>
            <w:vAlign w:val="bottom"/>
            <w:vMerge w:val="continue"/>
            <w:shd w:val="clear" w:color="auto" w:fill="DAEEF3"/>
          </w:tcPr>
          <w:p>
            <w:pPr>
              <w:spacing w:after="0"/>
              <w:rPr>
                <w:sz w:val="9"/>
                <w:szCs w:val="9"/>
                <w:color w:val="auto"/>
              </w:rPr>
            </w:pPr>
          </w:p>
        </w:tc>
        <w:tc>
          <w:tcPr>
            <w:tcW w:w="620" w:type="dxa"/>
            <w:vAlign w:val="bottom"/>
            <w:vMerge w:val="continue"/>
            <w:shd w:val="clear" w:color="auto" w:fill="DAEEF3"/>
          </w:tcPr>
          <w:p>
            <w:pPr>
              <w:spacing w:after="0"/>
              <w:rPr>
                <w:sz w:val="9"/>
                <w:szCs w:val="9"/>
                <w:color w:val="auto"/>
              </w:rPr>
            </w:pPr>
          </w:p>
        </w:tc>
        <w:tc>
          <w:tcPr>
            <w:tcW w:w="220" w:type="dxa"/>
            <w:vAlign w:val="bottom"/>
            <w:vMerge w:val="continue"/>
            <w:shd w:val="clear" w:color="auto" w:fill="DAEEF3"/>
          </w:tcPr>
          <w:p>
            <w:pPr>
              <w:spacing w:after="0"/>
              <w:rPr>
                <w:sz w:val="9"/>
                <w:szCs w:val="9"/>
                <w:color w:val="auto"/>
              </w:rPr>
            </w:pPr>
          </w:p>
        </w:tc>
        <w:tc>
          <w:tcPr>
            <w:tcW w:w="680" w:type="dxa"/>
            <w:vAlign w:val="bottom"/>
            <w:vMerge w:val="continue"/>
            <w:shd w:val="clear" w:color="auto" w:fill="DAEEF3"/>
          </w:tcPr>
          <w:p>
            <w:pPr>
              <w:spacing w:after="0"/>
              <w:rPr>
                <w:sz w:val="9"/>
                <w:szCs w:val="9"/>
                <w:color w:val="auto"/>
              </w:rPr>
            </w:pPr>
          </w:p>
        </w:tc>
        <w:tc>
          <w:tcPr>
            <w:tcW w:w="820" w:type="dxa"/>
            <w:vAlign w:val="bottom"/>
            <w:vMerge w:val="continue"/>
            <w:shd w:val="clear" w:color="auto" w:fill="DAEEF3"/>
          </w:tcPr>
          <w:p>
            <w:pPr>
              <w:spacing w:after="0"/>
              <w:rPr>
                <w:sz w:val="9"/>
                <w:szCs w:val="9"/>
                <w:color w:val="auto"/>
              </w:rPr>
            </w:pPr>
          </w:p>
        </w:tc>
        <w:tc>
          <w:tcPr>
            <w:tcW w:w="860" w:type="dxa"/>
            <w:vAlign w:val="bottom"/>
            <w:vMerge w:val="continue"/>
            <w:shd w:val="clear" w:color="auto" w:fill="DAEEF3"/>
          </w:tcPr>
          <w:p>
            <w:pPr>
              <w:spacing w:after="0"/>
              <w:rPr>
                <w:sz w:val="9"/>
                <w:szCs w:val="9"/>
                <w:color w:val="auto"/>
              </w:rPr>
            </w:pPr>
          </w:p>
        </w:tc>
        <w:tc>
          <w:tcPr>
            <w:tcW w:w="820" w:type="dxa"/>
            <w:vAlign w:val="bottom"/>
            <w:vMerge w:val="continue"/>
            <w:shd w:val="clear" w:color="auto" w:fill="DAEEF3"/>
          </w:tcPr>
          <w:p>
            <w:pPr>
              <w:spacing w:after="0"/>
              <w:rPr>
                <w:sz w:val="9"/>
                <w:szCs w:val="9"/>
                <w:color w:val="auto"/>
              </w:rPr>
            </w:pPr>
          </w:p>
        </w:tc>
        <w:tc>
          <w:tcPr>
            <w:tcW w:w="880" w:type="dxa"/>
            <w:vAlign w:val="bottom"/>
            <w:vMerge w:val="continue"/>
            <w:shd w:val="clear" w:color="auto" w:fill="DAEEF3"/>
          </w:tcPr>
          <w:p>
            <w:pPr>
              <w:spacing w:after="0"/>
              <w:rPr>
                <w:sz w:val="9"/>
                <w:szCs w:val="9"/>
                <w:color w:val="auto"/>
              </w:rPr>
            </w:pPr>
          </w:p>
        </w:tc>
        <w:tc>
          <w:tcPr>
            <w:tcW w:w="700" w:type="dxa"/>
            <w:vAlign w:val="bottom"/>
            <w:vMerge w:val="continue"/>
            <w:shd w:val="clear" w:color="auto" w:fill="DAEEF3"/>
          </w:tcPr>
          <w:p>
            <w:pPr>
              <w:spacing w:after="0"/>
              <w:rPr>
                <w:sz w:val="9"/>
                <w:szCs w:val="9"/>
                <w:color w:val="auto"/>
              </w:rPr>
            </w:pPr>
          </w:p>
        </w:tc>
        <w:tc>
          <w:tcPr>
            <w:tcW w:w="780" w:type="dxa"/>
            <w:vAlign w:val="bottom"/>
            <w:vMerge w:val="continue"/>
            <w:shd w:val="clear" w:color="auto" w:fill="DAEEF3"/>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160" w:type="dxa"/>
            <w:vAlign w:val="bottom"/>
            <w:tcBorders>
              <w:bottom w:val="single" w:sz="8" w:color="DAEEF3"/>
            </w:tcBorders>
            <w:vMerge w:val="continue"/>
            <w:shd w:val="clear" w:color="auto" w:fill="DAEEF3"/>
          </w:tcPr>
          <w:p>
            <w:pPr>
              <w:spacing w:after="0"/>
              <w:rPr>
                <w:sz w:val="7"/>
                <w:szCs w:val="7"/>
                <w:color w:val="auto"/>
              </w:rPr>
            </w:pPr>
          </w:p>
        </w:tc>
        <w:tc>
          <w:tcPr>
            <w:tcW w:w="700" w:type="dxa"/>
            <w:vAlign w:val="bottom"/>
            <w:tcBorders>
              <w:bottom w:val="single" w:sz="8" w:color="DAEEF3"/>
            </w:tcBorders>
            <w:shd w:val="clear" w:color="auto" w:fill="DAEEF3"/>
          </w:tcPr>
          <w:p>
            <w:pPr>
              <w:spacing w:after="0"/>
              <w:rPr>
                <w:sz w:val="7"/>
                <w:szCs w:val="7"/>
                <w:color w:val="auto"/>
              </w:rPr>
            </w:pPr>
          </w:p>
        </w:tc>
        <w:tc>
          <w:tcPr>
            <w:tcW w:w="600" w:type="dxa"/>
            <w:vAlign w:val="bottom"/>
            <w:tcBorders>
              <w:bottom w:val="single" w:sz="8" w:color="DAEEF3"/>
            </w:tcBorders>
            <w:shd w:val="clear" w:color="auto" w:fill="DAEEF3"/>
          </w:tcPr>
          <w:p>
            <w:pPr>
              <w:spacing w:after="0"/>
              <w:rPr>
                <w:sz w:val="7"/>
                <w:szCs w:val="7"/>
                <w:color w:val="auto"/>
              </w:rPr>
            </w:pPr>
          </w:p>
        </w:tc>
        <w:tc>
          <w:tcPr>
            <w:tcW w:w="660" w:type="dxa"/>
            <w:vAlign w:val="bottom"/>
            <w:tcBorders>
              <w:bottom w:val="single" w:sz="8" w:color="DAEEF3"/>
            </w:tcBorders>
            <w:shd w:val="clear" w:color="auto" w:fill="DAEEF3"/>
          </w:tcPr>
          <w:p>
            <w:pPr>
              <w:spacing w:after="0"/>
              <w:rPr>
                <w:sz w:val="7"/>
                <w:szCs w:val="7"/>
                <w:color w:val="auto"/>
              </w:rPr>
            </w:pPr>
          </w:p>
        </w:tc>
        <w:tc>
          <w:tcPr>
            <w:tcW w:w="740" w:type="dxa"/>
            <w:vAlign w:val="bottom"/>
            <w:tcBorders>
              <w:bottom w:val="single" w:sz="8" w:color="DAEEF3"/>
            </w:tcBorders>
            <w:shd w:val="clear" w:color="auto" w:fill="DAEEF3"/>
          </w:tcPr>
          <w:p>
            <w:pPr>
              <w:spacing w:after="0"/>
              <w:rPr>
                <w:sz w:val="7"/>
                <w:szCs w:val="7"/>
                <w:color w:val="auto"/>
              </w:rPr>
            </w:pPr>
          </w:p>
        </w:tc>
        <w:tc>
          <w:tcPr>
            <w:tcW w:w="620" w:type="dxa"/>
            <w:vAlign w:val="bottom"/>
            <w:tcBorders>
              <w:bottom w:val="single" w:sz="8" w:color="DAEEF3"/>
            </w:tcBorders>
            <w:shd w:val="clear" w:color="auto" w:fill="DAEEF3"/>
          </w:tcPr>
          <w:p>
            <w:pPr>
              <w:spacing w:after="0"/>
              <w:rPr>
                <w:sz w:val="7"/>
                <w:szCs w:val="7"/>
                <w:color w:val="auto"/>
              </w:rPr>
            </w:pPr>
          </w:p>
        </w:tc>
        <w:tc>
          <w:tcPr>
            <w:tcW w:w="220" w:type="dxa"/>
            <w:vAlign w:val="bottom"/>
            <w:tcBorders>
              <w:bottom w:val="single" w:sz="8" w:color="DAEEF3"/>
            </w:tcBorders>
            <w:shd w:val="clear" w:color="auto" w:fill="DAEEF3"/>
          </w:tcPr>
          <w:p>
            <w:pPr>
              <w:spacing w:after="0"/>
              <w:rPr>
                <w:sz w:val="7"/>
                <w:szCs w:val="7"/>
                <w:color w:val="auto"/>
              </w:rPr>
            </w:pPr>
          </w:p>
        </w:tc>
        <w:tc>
          <w:tcPr>
            <w:tcW w:w="680" w:type="dxa"/>
            <w:vAlign w:val="bottom"/>
            <w:tcBorders>
              <w:bottom w:val="single" w:sz="8" w:color="DAEEF3"/>
            </w:tcBorders>
            <w:shd w:val="clear" w:color="auto" w:fill="DAEEF3"/>
          </w:tcPr>
          <w:p>
            <w:pPr>
              <w:spacing w:after="0"/>
              <w:rPr>
                <w:sz w:val="7"/>
                <w:szCs w:val="7"/>
                <w:color w:val="auto"/>
              </w:rPr>
            </w:pPr>
          </w:p>
        </w:tc>
        <w:tc>
          <w:tcPr>
            <w:tcW w:w="820" w:type="dxa"/>
            <w:vAlign w:val="bottom"/>
            <w:tcBorders>
              <w:bottom w:val="single" w:sz="8" w:color="DAEEF3"/>
            </w:tcBorders>
            <w:shd w:val="clear" w:color="auto" w:fill="DAEEF3"/>
          </w:tcPr>
          <w:p>
            <w:pPr>
              <w:spacing w:after="0"/>
              <w:rPr>
                <w:sz w:val="7"/>
                <w:szCs w:val="7"/>
                <w:color w:val="auto"/>
              </w:rPr>
            </w:pPr>
          </w:p>
        </w:tc>
        <w:tc>
          <w:tcPr>
            <w:tcW w:w="860" w:type="dxa"/>
            <w:vAlign w:val="bottom"/>
            <w:tcBorders>
              <w:bottom w:val="single" w:sz="8" w:color="DAEEF3"/>
            </w:tcBorders>
            <w:shd w:val="clear" w:color="auto" w:fill="DAEEF3"/>
          </w:tcPr>
          <w:p>
            <w:pPr>
              <w:spacing w:after="0"/>
              <w:rPr>
                <w:sz w:val="7"/>
                <w:szCs w:val="7"/>
                <w:color w:val="auto"/>
              </w:rPr>
            </w:pPr>
          </w:p>
        </w:tc>
        <w:tc>
          <w:tcPr>
            <w:tcW w:w="820" w:type="dxa"/>
            <w:vAlign w:val="bottom"/>
            <w:tcBorders>
              <w:bottom w:val="single" w:sz="8" w:color="DAEEF3"/>
            </w:tcBorders>
            <w:shd w:val="clear" w:color="auto" w:fill="DAEEF3"/>
          </w:tcPr>
          <w:p>
            <w:pPr>
              <w:spacing w:after="0"/>
              <w:rPr>
                <w:sz w:val="7"/>
                <w:szCs w:val="7"/>
                <w:color w:val="auto"/>
              </w:rPr>
            </w:pPr>
          </w:p>
        </w:tc>
        <w:tc>
          <w:tcPr>
            <w:tcW w:w="880" w:type="dxa"/>
            <w:vAlign w:val="bottom"/>
            <w:tcBorders>
              <w:bottom w:val="single" w:sz="8" w:color="DAEEF3"/>
            </w:tcBorders>
            <w:shd w:val="clear" w:color="auto" w:fill="DAEEF3"/>
          </w:tcPr>
          <w:p>
            <w:pPr>
              <w:spacing w:after="0"/>
              <w:rPr>
                <w:sz w:val="7"/>
                <w:szCs w:val="7"/>
                <w:color w:val="auto"/>
              </w:rPr>
            </w:pPr>
          </w:p>
        </w:tc>
        <w:tc>
          <w:tcPr>
            <w:tcW w:w="700" w:type="dxa"/>
            <w:vAlign w:val="bottom"/>
            <w:tcBorders>
              <w:bottom w:val="single" w:sz="8" w:color="DAEEF3"/>
            </w:tcBorders>
            <w:shd w:val="clear" w:color="auto" w:fill="DAEEF3"/>
          </w:tcPr>
          <w:p>
            <w:pPr>
              <w:spacing w:after="0"/>
              <w:rPr>
                <w:sz w:val="7"/>
                <w:szCs w:val="7"/>
                <w:color w:val="auto"/>
              </w:rPr>
            </w:pPr>
          </w:p>
        </w:tc>
        <w:tc>
          <w:tcPr>
            <w:tcW w:w="780" w:type="dxa"/>
            <w:vAlign w:val="bottom"/>
            <w:tcBorders>
              <w:bottom w:val="single" w:sz="8" w:color="DAEEF3"/>
            </w:tcBorders>
            <w:shd w:val="clear" w:color="auto" w:fill="DAEEF3"/>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160" w:type="dxa"/>
            <w:vAlign w:val="bottom"/>
          </w:tcPr>
          <w:p>
            <w:pPr>
              <w:ind w:left="120"/>
              <w:spacing w:after="0"/>
              <w:rPr>
                <w:sz w:val="20"/>
                <w:szCs w:val="20"/>
                <w:color w:val="auto"/>
              </w:rPr>
            </w:pPr>
            <w:r>
              <w:rPr>
                <w:rFonts w:ascii="Arial" w:cs="Arial" w:eastAsia="Arial" w:hAnsi="Arial"/>
                <w:sz w:val="14"/>
                <w:szCs w:val="14"/>
                <w:color w:val="auto"/>
                <w:w w:val="99"/>
              </w:rPr>
              <w:t>Mountain Cement Company LLC</w:t>
            </w:r>
          </w:p>
        </w:tc>
        <w:tc>
          <w:tcPr>
            <w:tcW w:w="70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600" w:type="dxa"/>
            <w:vAlign w:val="bottom"/>
          </w:tcPr>
          <w:p>
            <w:pPr>
              <w:jc w:val="center"/>
              <w:spacing w:after="0"/>
              <w:rPr>
                <w:sz w:val="20"/>
                <w:szCs w:val="20"/>
                <w:color w:val="auto"/>
              </w:rPr>
            </w:pPr>
            <w:r>
              <w:rPr>
                <w:rFonts w:ascii="Arial" w:cs="Arial" w:eastAsia="Arial" w:hAnsi="Arial"/>
                <w:sz w:val="14"/>
                <w:szCs w:val="14"/>
                <w:color w:val="auto"/>
              </w:rPr>
              <w:t>0</w:t>
            </w:r>
          </w:p>
        </w:tc>
        <w:tc>
          <w:tcPr>
            <w:tcW w:w="660" w:type="dxa"/>
            <w:vAlign w:val="bottom"/>
          </w:tcPr>
          <w:p>
            <w:pPr>
              <w:jc w:val="center"/>
              <w:spacing w:after="0"/>
              <w:rPr>
                <w:sz w:val="20"/>
                <w:szCs w:val="20"/>
                <w:color w:val="auto"/>
              </w:rPr>
            </w:pPr>
            <w:r>
              <w:rPr>
                <w:rFonts w:ascii="Arial" w:cs="Arial" w:eastAsia="Arial" w:hAnsi="Arial"/>
                <w:sz w:val="14"/>
                <w:szCs w:val="14"/>
                <w:color w:val="auto"/>
              </w:rPr>
              <w:t>0</w:t>
            </w:r>
          </w:p>
        </w:tc>
        <w:tc>
          <w:tcPr>
            <w:tcW w:w="740" w:type="dxa"/>
            <w:vAlign w:val="bottom"/>
          </w:tcPr>
          <w:p>
            <w:pPr>
              <w:jc w:val="center"/>
              <w:spacing w:after="0"/>
              <w:rPr>
                <w:sz w:val="20"/>
                <w:szCs w:val="20"/>
                <w:color w:val="auto"/>
              </w:rPr>
            </w:pPr>
            <w:r>
              <w:rPr>
                <w:rFonts w:ascii="Arial" w:cs="Arial" w:eastAsia="Arial" w:hAnsi="Arial"/>
                <w:sz w:val="14"/>
                <w:szCs w:val="14"/>
                <w:color w:val="auto"/>
              </w:rPr>
              <w:t>0</w:t>
            </w:r>
          </w:p>
        </w:tc>
        <w:tc>
          <w:tcPr>
            <w:tcW w:w="6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tcPr>
          <w:p>
            <w:pPr>
              <w:ind w:left="1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08"/>
              <w:spacing w:after="0"/>
              <w:rPr>
                <w:sz w:val="20"/>
                <w:szCs w:val="20"/>
                <w:color w:val="auto"/>
              </w:rPr>
            </w:pPr>
            <w:r>
              <w:rPr>
                <w:rFonts w:ascii="Arial" w:cs="Arial" w:eastAsia="Arial" w:hAnsi="Arial"/>
                <w:sz w:val="14"/>
                <w:szCs w:val="14"/>
                <w:color w:val="auto"/>
                <w:w w:val="88"/>
              </w:rPr>
              <w:t>11,458</w:t>
            </w: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tcPr>
          <w:p>
            <w:pPr>
              <w:ind w:left="420"/>
              <w:spacing w:after="0" w:line="243" w:lineRule="exact"/>
              <w:rPr>
                <w:sz w:val="20"/>
                <w:szCs w:val="20"/>
                <w:color w:val="auto"/>
              </w:rPr>
            </w:pPr>
            <w:r>
              <w:rPr>
                <w:rFonts w:ascii="Arial" w:cs="Arial" w:eastAsia="Arial" w:hAnsi="Arial"/>
                <w:sz w:val="28"/>
                <w:szCs w:val="28"/>
                <w:color w:val="auto"/>
                <w:vertAlign w:val="subscript"/>
              </w:rPr>
              <w:t>1</w:t>
            </w:r>
            <w:r>
              <w:rPr>
                <w:rFonts w:ascii="Arial" w:cs="Arial" w:eastAsia="Arial" w:hAnsi="Arial"/>
                <w:sz w:val="10"/>
                <w:szCs w:val="10"/>
                <w:color w:val="auto"/>
              </w:rPr>
              <w:t>(1)</w:t>
            </w:r>
          </w:p>
        </w:tc>
        <w:tc>
          <w:tcPr>
            <w:tcW w:w="700" w:type="dxa"/>
            <w:vAlign w:val="bottom"/>
          </w:tcPr>
          <w:p>
            <w:pPr>
              <w:jc w:val="right"/>
              <w:ind w:right="132"/>
              <w:spacing w:after="0" w:line="243" w:lineRule="exact"/>
              <w:rPr>
                <w:sz w:val="20"/>
                <w:szCs w:val="20"/>
                <w:color w:val="auto"/>
              </w:rPr>
            </w:pPr>
            <w:r>
              <w:rPr>
                <w:rFonts w:ascii="Arial" w:cs="Arial" w:eastAsia="Arial" w:hAnsi="Arial"/>
                <w:sz w:val="28"/>
                <w:szCs w:val="28"/>
                <w:color w:val="auto"/>
                <w:vertAlign w:val="subscript"/>
              </w:rPr>
              <w:t>1</w:t>
            </w:r>
            <w:r>
              <w:rPr>
                <w:rFonts w:ascii="Arial" w:cs="Arial" w:eastAsia="Arial" w:hAnsi="Arial"/>
                <w:sz w:val="10"/>
                <w:szCs w:val="10"/>
                <w:color w:val="auto"/>
              </w:rPr>
              <w:t>(1)</w:t>
            </w:r>
          </w:p>
        </w:tc>
        <w:tc>
          <w:tcPr>
            <w:tcW w:w="78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48"/>
        </w:trPr>
        <w:tc>
          <w:tcPr>
            <w:tcW w:w="2160" w:type="dxa"/>
            <w:vAlign w:val="bottom"/>
          </w:tcPr>
          <w:p>
            <w:pPr>
              <w:ind w:left="120"/>
              <w:spacing w:after="0" w:line="149" w:lineRule="exact"/>
              <w:rPr>
                <w:sz w:val="20"/>
                <w:szCs w:val="20"/>
                <w:color w:val="auto"/>
              </w:rPr>
            </w:pPr>
            <w:r>
              <w:rPr>
                <w:rFonts w:ascii="Arial" w:cs="Arial" w:eastAsia="Arial" w:hAnsi="Arial"/>
                <w:sz w:val="14"/>
                <w:szCs w:val="14"/>
                <w:color w:val="auto"/>
              </w:rPr>
              <w:t>Laramie, WY (4800007)</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160" w:type="dxa"/>
            <w:vAlign w:val="bottom"/>
            <w:shd w:val="clear" w:color="auto" w:fill="DAEEF3"/>
          </w:tcPr>
          <w:p>
            <w:pPr>
              <w:ind w:left="120"/>
              <w:spacing w:after="0"/>
              <w:rPr>
                <w:sz w:val="20"/>
                <w:szCs w:val="20"/>
                <w:color w:val="auto"/>
              </w:rPr>
            </w:pPr>
            <w:r>
              <w:rPr>
                <w:rFonts w:ascii="Arial" w:cs="Arial" w:eastAsia="Arial" w:hAnsi="Arial"/>
                <w:sz w:val="14"/>
                <w:szCs w:val="14"/>
                <w:color w:val="auto"/>
              </w:rPr>
              <w:t>Nevada Cement Company LLC</w:t>
            </w:r>
          </w:p>
        </w:tc>
        <w:tc>
          <w:tcPr>
            <w:tcW w:w="70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60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60" w:type="dxa"/>
            <w:vAlign w:val="bottom"/>
            <w:shd w:val="clear" w:color="auto" w:fill="DAEEF3"/>
          </w:tcPr>
          <w:p>
            <w:pPr>
              <w:spacing w:after="0"/>
              <w:rPr>
                <w:sz w:val="14"/>
                <w:szCs w:val="14"/>
                <w:color w:val="auto"/>
              </w:rPr>
            </w:pPr>
          </w:p>
        </w:tc>
        <w:tc>
          <w:tcPr>
            <w:tcW w:w="74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62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220" w:type="dxa"/>
            <w:vAlign w:val="bottom"/>
            <w:vMerge w:val="restart"/>
            <w:shd w:val="clear" w:color="auto" w:fill="DAEEF3"/>
          </w:tcPr>
          <w:p>
            <w:pPr>
              <w:ind w:left="120"/>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DAEEF3"/>
          </w:tcPr>
          <w:p>
            <w:pPr>
              <w:ind w:left="240"/>
              <w:spacing w:after="0"/>
              <w:rPr>
                <w:sz w:val="20"/>
                <w:szCs w:val="20"/>
                <w:color w:val="auto"/>
              </w:rPr>
            </w:pPr>
            <w:r>
              <w:rPr>
                <w:rFonts w:ascii="Arial" w:cs="Arial" w:eastAsia="Arial" w:hAnsi="Arial"/>
                <w:sz w:val="14"/>
                <w:szCs w:val="14"/>
                <w:color w:val="auto"/>
              </w:rPr>
              <w:t>0</w:t>
            </w:r>
          </w:p>
        </w:tc>
        <w:tc>
          <w:tcPr>
            <w:tcW w:w="82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w w:val="76"/>
              </w:rPr>
              <w:t>0</w:t>
            </w:r>
          </w:p>
        </w:tc>
        <w:tc>
          <w:tcPr>
            <w:tcW w:w="86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w w:val="89"/>
              </w:rPr>
              <w:t>no</w:t>
            </w:r>
          </w:p>
        </w:tc>
        <w:tc>
          <w:tcPr>
            <w:tcW w:w="820" w:type="dxa"/>
            <w:vAlign w:val="bottom"/>
            <w:vMerge w:val="restart"/>
            <w:shd w:val="clear" w:color="auto" w:fill="DAEEF3"/>
          </w:tcPr>
          <w:p>
            <w:pPr>
              <w:jc w:val="center"/>
              <w:ind w:left="8"/>
              <w:spacing w:after="0"/>
              <w:rPr>
                <w:sz w:val="20"/>
                <w:szCs w:val="20"/>
                <w:color w:val="auto"/>
              </w:rPr>
            </w:pPr>
            <w:r>
              <w:rPr>
                <w:rFonts w:ascii="Arial" w:cs="Arial" w:eastAsia="Arial" w:hAnsi="Arial"/>
                <w:sz w:val="14"/>
                <w:szCs w:val="14"/>
                <w:color w:val="auto"/>
                <w:w w:val="89"/>
              </w:rPr>
              <w:t>no</w:t>
            </w:r>
          </w:p>
        </w:tc>
        <w:tc>
          <w:tcPr>
            <w:tcW w:w="880" w:type="dxa"/>
            <w:vAlign w:val="bottom"/>
            <w:vMerge w:val="restart"/>
            <w:shd w:val="clear" w:color="auto" w:fill="DAEEF3"/>
          </w:tcPr>
          <w:p>
            <w:pPr>
              <w:ind w:left="420"/>
              <w:spacing w:after="0"/>
              <w:rPr>
                <w:sz w:val="20"/>
                <w:szCs w:val="20"/>
                <w:color w:val="auto"/>
              </w:rPr>
            </w:pPr>
            <w:r>
              <w:rPr>
                <w:rFonts w:ascii="Arial" w:cs="Arial" w:eastAsia="Arial" w:hAnsi="Arial"/>
                <w:sz w:val="14"/>
                <w:szCs w:val="14"/>
                <w:color w:val="auto"/>
              </w:rPr>
              <w:t>0</w:t>
            </w:r>
          </w:p>
        </w:tc>
        <w:tc>
          <w:tcPr>
            <w:tcW w:w="70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780" w:type="dxa"/>
            <w:vAlign w:val="bottom"/>
            <w:vMerge w:val="restart"/>
            <w:shd w:val="clear" w:color="auto" w:fill="DAEEF3"/>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15"/>
        </w:trPr>
        <w:tc>
          <w:tcPr>
            <w:tcW w:w="2160" w:type="dxa"/>
            <w:vAlign w:val="bottom"/>
            <w:vMerge w:val="restart"/>
            <w:shd w:val="clear" w:color="auto" w:fill="DAEEF3"/>
          </w:tcPr>
          <w:p>
            <w:pPr>
              <w:ind w:left="120"/>
              <w:spacing w:after="0"/>
              <w:rPr>
                <w:sz w:val="20"/>
                <w:szCs w:val="20"/>
                <w:color w:val="auto"/>
              </w:rPr>
            </w:pPr>
            <w:r>
              <w:rPr>
                <w:rFonts w:ascii="Arial" w:cs="Arial" w:eastAsia="Arial" w:hAnsi="Arial"/>
                <w:sz w:val="14"/>
                <w:szCs w:val="14"/>
                <w:color w:val="auto"/>
              </w:rPr>
              <w:t>Fernley, NV (2600015)</w:t>
            </w:r>
          </w:p>
        </w:tc>
        <w:tc>
          <w:tcPr>
            <w:tcW w:w="700" w:type="dxa"/>
            <w:vAlign w:val="bottom"/>
            <w:vMerge w:val="continue"/>
            <w:shd w:val="clear" w:color="auto" w:fill="DAEEF3"/>
          </w:tcPr>
          <w:p>
            <w:pPr>
              <w:spacing w:after="0"/>
              <w:rPr>
                <w:sz w:val="9"/>
                <w:szCs w:val="9"/>
                <w:color w:val="auto"/>
              </w:rPr>
            </w:pPr>
          </w:p>
        </w:tc>
        <w:tc>
          <w:tcPr>
            <w:tcW w:w="600" w:type="dxa"/>
            <w:vAlign w:val="bottom"/>
            <w:vMerge w:val="continue"/>
            <w:shd w:val="clear" w:color="auto" w:fill="DAEEF3"/>
          </w:tcPr>
          <w:p>
            <w:pPr>
              <w:spacing w:after="0"/>
              <w:rPr>
                <w:sz w:val="9"/>
                <w:szCs w:val="9"/>
                <w:color w:val="auto"/>
              </w:rPr>
            </w:pPr>
          </w:p>
        </w:tc>
        <w:tc>
          <w:tcPr>
            <w:tcW w:w="660" w:type="dxa"/>
            <w:vAlign w:val="bottom"/>
            <w:shd w:val="clear" w:color="auto" w:fill="DAEEF3"/>
          </w:tcPr>
          <w:p>
            <w:pPr>
              <w:spacing w:after="0"/>
              <w:rPr>
                <w:sz w:val="9"/>
                <w:szCs w:val="9"/>
                <w:color w:val="auto"/>
              </w:rPr>
            </w:pPr>
          </w:p>
        </w:tc>
        <w:tc>
          <w:tcPr>
            <w:tcW w:w="740" w:type="dxa"/>
            <w:vAlign w:val="bottom"/>
            <w:vMerge w:val="continue"/>
            <w:shd w:val="clear" w:color="auto" w:fill="DAEEF3"/>
          </w:tcPr>
          <w:p>
            <w:pPr>
              <w:spacing w:after="0"/>
              <w:rPr>
                <w:sz w:val="9"/>
                <w:szCs w:val="9"/>
                <w:color w:val="auto"/>
              </w:rPr>
            </w:pPr>
          </w:p>
        </w:tc>
        <w:tc>
          <w:tcPr>
            <w:tcW w:w="620" w:type="dxa"/>
            <w:vAlign w:val="bottom"/>
            <w:vMerge w:val="continue"/>
            <w:shd w:val="clear" w:color="auto" w:fill="DAEEF3"/>
          </w:tcPr>
          <w:p>
            <w:pPr>
              <w:spacing w:after="0"/>
              <w:rPr>
                <w:sz w:val="9"/>
                <w:szCs w:val="9"/>
                <w:color w:val="auto"/>
              </w:rPr>
            </w:pPr>
          </w:p>
        </w:tc>
        <w:tc>
          <w:tcPr>
            <w:tcW w:w="220" w:type="dxa"/>
            <w:vAlign w:val="bottom"/>
            <w:vMerge w:val="continue"/>
            <w:shd w:val="clear" w:color="auto" w:fill="DAEEF3"/>
          </w:tcPr>
          <w:p>
            <w:pPr>
              <w:spacing w:after="0"/>
              <w:rPr>
                <w:sz w:val="9"/>
                <w:szCs w:val="9"/>
                <w:color w:val="auto"/>
              </w:rPr>
            </w:pPr>
          </w:p>
        </w:tc>
        <w:tc>
          <w:tcPr>
            <w:tcW w:w="680" w:type="dxa"/>
            <w:vAlign w:val="bottom"/>
            <w:vMerge w:val="continue"/>
            <w:shd w:val="clear" w:color="auto" w:fill="DAEEF3"/>
          </w:tcPr>
          <w:p>
            <w:pPr>
              <w:spacing w:after="0"/>
              <w:rPr>
                <w:sz w:val="9"/>
                <w:szCs w:val="9"/>
                <w:color w:val="auto"/>
              </w:rPr>
            </w:pPr>
          </w:p>
        </w:tc>
        <w:tc>
          <w:tcPr>
            <w:tcW w:w="820" w:type="dxa"/>
            <w:vAlign w:val="bottom"/>
            <w:vMerge w:val="continue"/>
            <w:shd w:val="clear" w:color="auto" w:fill="DAEEF3"/>
          </w:tcPr>
          <w:p>
            <w:pPr>
              <w:spacing w:after="0"/>
              <w:rPr>
                <w:sz w:val="9"/>
                <w:szCs w:val="9"/>
                <w:color w:val="auto"/>
              </w:rPr>
            </w:pPr>
          </w:p>
        </w:tc>
        <w:tc>
          <w:tcPr>
            <w:tcW w:w="860" w:type="dxa"/>
            <w:vAlign w:val="bottom"/>
            <w:vMerge w:val="continue"/>
            <w:shd w:val="clear" w:color="auto" w:fill="DAEEF3"/>
          </w:tcPr>
          <w:p>
            <w:pPr>
              <w:spacing w:after="0"/>
              <w:rPr>
                <w:sz w:val="9"/>
                <w:szCs w:val="9"/>
                <w:color w:val="auto"/>
              </w:rPr>
            </w:pPr>
          </w:p>
        </w:tc>
        <w:tc>
          <w:tcPr>
            <w:tcW w:w="820" w:type="dxa"/>
            <w:vAlign w:val="bottom"/>
            <w:vMerge w:val="continue"/>
            <w:shd w:val="clear" w:color="auto" w:fill="DAEEF3"/>
          </w:tcPr>
          <w:p>
            <w:pPr>
              <w:spacing w:after="0"/>
              <w:rPr>
                <w:sz w:val="9"/>
                <w:szCs w:val="9"/>
                <w:color w:val="auto"/>
              </w:rPr>
            </w:pPr>
          </w:p>
        </w:tc>
        <w:tc>
          <w:tcPr>
            <w:tcW w:w="880" w:type="dxa"/>
            <w:vAlign w:val="bottom"/>
            <w:vMerge w:val="continue"/>
            <w:shd w:val="clear" w:color="auto" w:fill="DAEEF3"/>
          </w:tcPr>
          <w:p>
            <w:pPr>
              <w:spacing w:after="0"/>
              <w:rPr>
                <w:sz w:val="9"/>
                <w:szCs w:val="9"/>
                <w:color w:val="auto"/>
              </w:rPr>
            </w:pPr>
          </w:p>
        </w:tc>
        <w:tc>
          <w:tcPr>
            <w:tcW w:w="700" w:type="dxa"/>
            <w:vAlign w:val="bottom"/>
            <w:vMerge w:val="continue"/>
            <w:shd w:val="clear" w:color="auto" w:fill="DAEEF3"/>
          </w:tcPr>
          <w:p>
            <w:pPr>
              <w:spacing w:after="0"/>
              <w:rPr>
                <w:sz w:val="9"/>
                <w:szCs w:val="9"/>
                <w:color w:val="auto"/>
              </w:rPr>
            </w:pPr>
          </w:p>
        </w:tc>
        <w:tc>
          <w:tcPr>
            <w:tcW w:w="780" w:type="dxa"/>
            <w:vAlign w:val="bottom"/>
            <w:vMerge w:val="continue"/>
            <w:shd w:val="clear" w:color="auto" w:fill="DAEEF3"/>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160" w:type="dxa"/>
            <w:vAlign w:val="bottom"/>
            <w:vMerge w:val="continue"/>
            <w:shd w:val="clear" w:color="auto" w:fill="DAEEF3"/>
          </w:tcPr>
          <w:p>
            <w:pPr>
              <w:spacing w:after="0"/>
              <w:rPr>
                <w:sz w:val="5"/>
                <w:szCs w:val="5"/>
                <w:color w:val="auto"/>
              </w:rPr>
            </w:pPr>
          </w:p>
        </w:tc>
        <w:tc>
          <w:tcPr>
            <w:tcW w:w="700" w:type="dxa"/>
            <w:vAlign w:val="bottom"/>
            <w:shd w:val="clear" w:color="auto" w:fill="DAEEF3"/>
          </w:tcPr>
          <w:p>
            <w:pPr>
              <w:spacing w:after="0"/>
              <w:rPr>
                <w:sz w:val="5"/>
                <w:szCs w:val="5"/>
                <w:color w:val="auto"/>
              </w:rPr>
            </w:pPr>
          </w:p>
        </w:tc>
        <w:tc>
          <w:tcPr>
            <w:tcW w:w="600" w:type="dxa"/>
            <w:vAlign w:val="bottom"/>
            <w:shd w:val="clear" w:color="auto" w:fill="DAEEF3"/>
          </w:tcPr>
          <w:p>
            <w:pPr>
              <w:spacing w:after="0"/>
              <w:rPr>
                <w:sz w:val="5"/>
                <w:szCs w:val="5"/>
                <w:color w:val="auto"/>
              </w:rPr>
            </w:pPr>
          </w:p>
        </w:tc>
        <w:tc>
          <w:tcPr>
            <w:tcW w:w="660" w:type="dxa"/>
            <w:vAlign w:val="bottom"/>
            <w:shd w:val="clear" w:color="auto" w:fill="DAEEF3"/>
          </w:tcPr>
          <w:p>
            <w:pPr>
              <w:spacing w:after="0"/>
              <w:rPr>
                <w:sz w:val="5"/>
                <w:szCs w:val="5"/>
                <w:color w:val="auto"/>
              </w:rPr>
            </w:pPr>
          </w:p>
        </w:tc>
        <w:tc>
          <w:tcPr>
            <w:tcW w:w="740" w:type="dxa"/>
            <w:vAlign w:val="bottom"/>
            <w:shd w:val="clear" w:color="auto" w:fill="DAEEF3"/>
          </w:tcPr>
          <w:p>
            <w:pPr>
              <w:spacing w:after="0"/>
              <w:rPr>
                <w:sz w:val="5"/>
                <w:szCs w:val="5"/>
                <w:color w:val="auto"/>
              </w:rPr>
            </w:pPr>
          </w:p>
        </w:tc>
        <w:tc>
          <w:tcPr>
            <w:tcW w:w="620" w:type="dxa"/>
            <w:vAlign w:val="bottom"/>
            <w:shd w:val="clear" w:color="auto" w:fill="DAEEF3"/>
          </w:tcPr>
          <w:p>
            <w:pPr>
              <w:spacing w:after="0"/>
              <w:rPr>
                <w:sz w:val="5"/>
                <w:szCs w:val="5"/>
                <w:color w:val="auto"/>
              </w:rPr>
            </w:pPr>
          </w:p>
        </w:tc>
        <w:tc>
          <w:tcPr>
            <w:tcW w:w="220" w:type="dxa"/>
            <w:vAlign w:val="bottom"/>
            <w:shd w:val="clear" w:color="auto" w:fill="DAEEF3"/>
          </w:tcPr>
          <w:p>
            <w:pPr>
              <w:spacing w:after="0"/>
              <w:rPr>
                <w:sz w:val="5"/>
                <w:szCs w:val="5"/>
                <w:color w:val="auto"/>
              </w:rPr>
            </w:pPr>
          </w:p>
        </w:tc>
        <w:tc>
          <w:tcPr>
            <w:tcW w:w="680" w:type="dxa"/>
            <w:vAlign w:val="bottom"/>
            <w:shd w:val="clear" w:color="auto" w:fill="DAEEF3"/>
          </w:tcPr>
          <w:p>
            <w:pPr>
              <w:spacing w:after="0"/>
              <w:rPr>
                <w:sz w:val="5"/>
                <w:szCs w:val="5"/>
                <w:color w:val="auto"/>
              </w:rPr>
            </w:pPr>
          </w:p>
        </w:tc>
        <w:tc>
          <w:tcPr>
            <w:tcW w:w="820" w:type="dxa"/>
            <w:vAlign w:val="bottom"/>
            <w:shd w:val="clear" w:color="auto" w:fill="DAEEF3"/>
          </w:tcPr>
          <w:p>
            <w:pPr>
              <w:spacing w:after="0"/>
              <w:rPr>
                <w:sz w:val="5"/>
                <w:szCs w:val="5"/>
                <w:color w:val="auto"/>
              </w:rPr>
            </w:pPr>
          </w:p>
        </w:tc>
        <w:tc>
          <w:tcPr>
            <w:tcW w:w="860" w:type="dxa"/>
            <w:vAlign w:val="bottom"/>
            <w:shd w:val="clear" w:color="auto" w:fill="DAEEF3"/>
          </w:tcPr>
          <w:p>
            <w:pPr>
              <w:spacing w:after="0"/>
              <w:rPr>
                <w:sz w:val="5"/>
                <w:szCs w:val="5"/>
                <w:color w:val="auto"/>
              </w:rPr>
            </w:pPr>
          </w:p>
        </w:tc>
        <w:tc>
          <w:tcPr>
            <w:tcW w:w="820" w:type="dxa"/>
            <w:vAlign w:val="bottom"/>
            <w:shd w:val="clear" w:color="auto" w:fill="DAEEF3"/>
          </w:tcPr>
          <w:p>
            <w:pPr>
              <w:spacing w:after="0"/>
              <w:rPr>
                <w:sz w:val="5"/>
                <w:szCs w:val="5"/>
                <w:color w:val="auto"/>
              </w:rPr>
            </w:pPr>
          </w:p>
        </w:tc>
        <w:tc>
          <w:tcPr>
            <w:tcW w:w="880" w:type="dxa"/>
            <w:vAlign w:val="bottom"/>
            <w:shd w:val="clear" w:color="auto" w:fill="DAEEF3"/>
          </w:tcPr>
          <w:p>
            <w:pPr>
              <w:spacing w:after="0"/>
              <w:rPr>
                <w:sz w:val="5"/>
                <w:szCs w:val="5"/>
                <w:color w:val="auto"/>
              </w:rPr>
            </w:pPr>
          </w:p>
        </w:tc>
        <w:tc>
          <w:tcPr>
            <w:tcW w:w="700" w:type="dxa"/>
            <w:vAlign w:val="bottom"/>
            <w:shd w:val="clear" w:color="auto" w:fill="DAEEF3"/>
          </w:tcPr>
          <w:p>
            <w:pPr>
              <w:spacing w:after="0"/>
              <w:rPr>
                <w:sz w:val="5"/>
                <w:szCs w:val="5"/>
                <w:color w:val="auto"/>
              </w:rPr>
            </w:pPr>
          </w:p>
        </w:tc>
        <w:tc>
          <w:tcPr>
            <w:tcW w:w="780" w:type="dxa"/>
            <w:vAlign w:val="bottom"/>
            <w:shd w:val="clear" w:color="auto" w:fill="DAEEF3"/>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160" w:type="dxa"/>
            <w:vAlign w:val="bottom"/>
            <w:shd w:val="clear" w:color="auto" w:fill="DAEEF3"/>
          </w:tcPr>
          <w:p>
            <w:pPr>
              <w:spacing w:after="0"/>
              <w:rPr>
                <w:sz w:val="3"/>
                <w:szCs w:val="3"/>
                <w:color w:val="auto"/>
              </w:rPr>
            </w:pPr>
          </w:p>
        </w:tc>
        <w:tc>
          <w:tcPr>
            <w:tcW w:w="700" w:type="dxa"/>
            <w:vAlign w:val="bottom"/>
            <w:shd w:val="clear" w:color="auto" w:fill="DAEEF3"/>
          </w:tcPr>
          <w:p>
            <w:pPr>
              <w:spacing w:after="0"/>
              <w:rPr>
                <w:sz w:val="3"/>
                <w:szCs w:val="3"/>
                <w:color w:val="auto"/>
              </w:rPr>
            </w:pPr>
          </w:p>
        </w:tc>
        <w:tc>
          <w:tcPr>
            <w:tcW w:w="600" w:type="dxa"/>
            <w:vAlign w:val="bottom"/>
            <w:shd w:val="clear" w:color="auto" w:fill="DAEEF3"/>
          </w:tcPr>
          <w:p>
            <w:pPr>
              <w:spacing w:after="0"/>
              <w:rPr>
                <w:sz w:val="3"/>
                <w:szCs w:val="3"/>
                <w:color w:val="auto"/>
              </w:rPr>
            </w:pPr>
          </w:p>
        </w:tc>
        <w:tc>
          <w:tcPr>
            <w:tcW w:w="660" w:type="dxa"/>
            <w:vAlign w:val="bottom"/>
            <w:shd w:val="clear" w:color="auto" w:fill="DAEEF3"/>
          </w:tcPr>
          <w:p>
            <w:pPr>
              <w:spacing w:after="0"/>
              <w:rPr>
                <w:sz w:val="3"/>
                <w:szCs w:val="3"/>
                <w:color w:val="auto"/>
              </w:rPr>
            </w:pPr>
          </w:p>
        </w:tc>
        <w:tc>
          <w:tcPr>
            <w:tcW w:w="740" w:type="dxa"/>
            <w:vAlign w:val="bottom"/>
            <w:shd w:val="clear" w:color="auto" w:fill="DAEEF3"/>
          </w:tcPr>
          <w:p>
            <w:pPr>
              <w:spacing w:after="0"/>
              <w:rPr>
                <w:sz w:val="3"/>
                <w:szCs w:val="3"/>
                <w:color w:val="auto"/>
              </w:rPr>
            </w:pPr>
          </w:p>
        </w:tc>
        <w:tc>
          <w:tcPr>
            <w:tcW w:w="620" w:type="dxa"/>
            <w:vAlign w:val="bottom"/>
            <w:shd w:val="clear" w:color="auto" w:fill="DAEEF3"/>
          </w:tcPr>
          <w:p>
            <w:pPr>
              <w:spacing w:after="0"/>
              <w:rPr>
                <w:sz w:val="3"/>
                <w:szCs w:val="3"/>
                <w:color w:val="auto"/>
              </w:rPr>
            </w:pPr>
          </w:p>
        </w:tc>
        <w:tc>
          <w:tcPr>
            <w:tcW w:w="220" w:type="dxa"/>
            <w:vAlign w:val="bottom"/>
            <w:shd w:val="clear" w:color="auto" w:fill="DAEEF3"/>
          </w:tcPr>
          <w:p>
            <w:pPr>
              <w:spacing w:after="0"/>
              <w:rPr>
                <w:sz w:val="3"/>
                <w:szCs w:val="3"/>
                <w:color w:val="auto"/>
              </w:rPr>
            </w:pPr>
          </w:p>
        </w:tc>
        <w:tc>
          <w:tcPr>
            <w:tcW w:w="680" w:type="dxa"/>
            <w:vAlign w:val="bottom"/>
            <w:shd w:val="clear" w:color="auto" w:fill="DAEEF3"/>
          </w:tcPr>
          <w:p>
            <w:pPr>
              <w:spacing w:after="0"/>
              <w:rPr>
                <w:sz w:val="3"/>
                <w:szCs w:val="3"/>
                <w:color w:val="auto"/>
              </w:rPr>
            </w:pPr>
          </w:p>
        </w:tc>
        <w:tc>
          <w:tcPr>
            <w:tcW w:w="820" w:type="dxa"/>
            <w:vAlign w:val="bottom"/>
            <w:shd w:val="clear" w:color="auto" w:fill="DAEEF3"/>
          </w:tcPr>
          <w:p>
            <w:pPr>
              <w:spacing w:after="0"/>
              <w:rPr>
                <w:sz w:val="3"/>
                <w:szCs w:val="3"/>
                <w:color w:val="auto"/>
              </w:rPr>
            </w:pPr>
          </w:p>
        </w:tc>
        <w:tc>
          <w:tcPr>
            <w:tcW w:w="860" w:type="dxa"/>
            <w:vAlign w:val="bottom"/>
            <w:shd w:val="clear" w:color="auto" w:fill="DAEEF3"/>
          </w:tcPr>
          <w:p>
            <w:pPr>
              <w:spacing w:after="0"/>
              <w:rPr>
                <w:sz w:val="3"/>
                <w:szCs w:val="3"/>
                <w:color w:val="auto"/>
              </w:rPr>
            </w:pPr>
          </w:p>
        </w:tc>
        <w:tc>
          <w:tcPr>
            <w:tcW w:w="820" w:type="dxa"/>
            <w:vAlign w:val="bottom"/>
            <w:shd w:val="clear" w:color="auto" w:fill="DAEEF3"/>
          </w:tcPr>
          <w:p>
            <w:pPr>
              <w:spacing w:after="0"/>
              <w:rPr>
                <w:sz w:val="3"/>
                <w:szCs w:val="3"/>
                <w:color w:val="auto"/>
              </w:rPr>
            </w:pPr>
          </w:p>
        </w:tc>
        <w:tc>
          <w:tcPr>
            <w:tcW w:w="880" w:type="dxa"/>
            <w:vAlign w:val="bottom"/>
            <w:shd w:val="clear" w:color="auto" w:fill="DAEEF3"/>
          </w:tcPr>
          <w:p>
            <w:pPr>
              <w:spacing w:after="0"/>
              <w:rPr>
                <w:sz w:val="3"/>
                <w:szCs w:val="3"/>
                <w:color w:val="auto"/>
              </w:rPr>
            </w:pPr>
          </w:p>
        </w:tc>
        <w:tc>
          <w:tcPr>
            <w:tcW w:w="700" w:type="dxa"/>
            <w:vAlign w:val="bottom"/>
            <w:shd w:val="clear" w:color="auto" w:fill="DAEEF3"/>
          </w:tcPr>
          <w:p>
            <w:pPr>
              <w:spacing w:after="0"/>
              <w:rPr>
                <w:sz w:val="3"/>
                <w:szCs w:val="3"/>
                <w:color w:val="auto"/>
              </w:rPr>
            </w:pPr>
          </w:p>
        </w:tc>
        <w:tc>
          <w:tcPr>
            <w:tcW w:w="780" w:type="dxa"/>
            <w:vAlign w:val="bottom"/>
            <w:shd w:val="clear" w:color="auto" w:fill="DAEEF3"/>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-4413885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-4396740</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-4379595</wp:posOffset>
            </wp:positionV>
            <wp:extent cx="889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-4362450</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-4345305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-4328160</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-4311015</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-4293870</wp:posOffset>
            </wp:positionV>
            <wp:extent cx="88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-4276725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-4259580</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-4242435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-4225290</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-4208145</wp:posOffset>
            </wp:positionV>
            <wp:extent cx="88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-4191000</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-4173855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-4156710</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-4139565</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-4122420</wp:posOffset>
            </wp:positionV>
            <wp:extent cx="88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-4105275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-4088130</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-4070985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-4053840</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-4036695</wp:posOffset>
            </wp:positionV>
            <wp:extent cx="8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-4019550</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-4002405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-3985260</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-3968115</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-3950970</wp:posOffset>
            </wp:positionV>
            <wp:extent cx="88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-3933825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-3916680</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-3899535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-3882390</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-3865245</wp:posOffset>
            </wp:positionV>
            <wp:extent cx="88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-3848100</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-3830955</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-3813810</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-3796665</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-3779520</wp:posOffset>
            </wp:positionV>
            <wp:extent cx="889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-3762375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-3745230</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-3728720</wp:posOffset>
            </wp:positionV>
            <wp:extent cx="889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-3710940</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-3693795</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-3676650</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-3659505</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-3642995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-3625215</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-3608070</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-3590925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-3573780</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-3557270</wp:posOffset>
            </wp:positionV>
            <wp:extent cx="88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-4413885</wp:posOffset>
            </wp:positionV>
            <wp:extent cx="7132320" cy="45345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45345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-4413885</wp:posOffset>
            </wp:positionV>
            <wp:extent cx="7132320" cy="45345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453453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60" w:hanging="152"/>
        <w:spacing w:after="0"/>
        <w:tabs>
          <w:tab w:leader="none" w:pos="16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All legal actions were penalty contests.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214"/>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1)"/>
      <w:numFmt w:val="lowerRoman"/>
      <w:start w:val="3"/>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
      <w:numFmt w:val="bullet"/>
      <w:start w:val="1"/>
    </w:lvl>
    <w:lvl w:ilvl="1">
      <w:lvlJc w:val="left"/>
      <w:lvlText w:val="%2"/>
      <w:numFmt w:val="decimal"/>
      <w:start w:val="104"/>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9">
    <w:nsid w:val="2463B9EA"/>
    <w:multiLevelType w:val="hybridMultilevel"/>
    <w:lvl w:ilvl="0">
      <w:lvlJc w:val="left"/>
      <w:lvlText w:val="%1."/>
      <w:numFmt w:val="decimal"/>
      <w:start w:val="5"/>
    </w:lvl>
    <w:lvl w:ilvl="1">
      <w:lvlJc w:val="left"/>
      <w:lvlText w:val="(%2)"/>
      <w:numFmt w:val="lowerLetter"/>
      <w:start w:val="1"/>
    </w:lvl>
  </w:abstractNum>
  <w:abstractNum w:abstractNumId="20">
    <w:nsid w:val="5E884ADC"/>
    <w:multiLevelType w:val="hybridMultilevel"/>
    <w:lvl w:ilvl="0">
      <w:lvlJc w:val="left"/>
      <w:lvlText w:val="-"/>
      <w:numFmt w:val="bullet"/>
      <w:start w:val="1"/>
    </w:lvl>
    <w:lvl w:ilvl="1">
      <w:lvlJc w:val="left"/>
      <w:lvlText w:val="%2."/>
      <w:numFmt w:val="decimal"/>
      <w:start w:val="9"/>
    </w:lvl>
  </w:abstractNum>
  <w:abstractNum w:abstractNumId="21">
    <w:nsid w:val="51EAD36B"/>
    <w:multiLevelType w:val="hybridMultilevel"/>
    <w:lvl w:ilvl="0">
      <w:lvlJc w:val="left"/>
      <w:lvlText w:val="%1."/>
      <w:numFmt w:val="decimal"/>
      <w:start w:val="10"/>
    </w:lvl>
  </w:abstractNum>
  <w:abstractNum w:abstractNumId="22">
    <w:nsid w:val="2D517796"/>
    <w:multiLevelType w:val="hybridMultilevel"/>
    <w:lvl w:ilvl="0">
      <w:lvlJc w:val="left"/>
      <w:lvlText w:val="(%1)"/>
      <w:numFmt w:val="lowerLetter"/>
      <w:start w:val="1"/>
    </w:lvl>
  </w:abstractNum>
  <w:abstractNum w:abstractNumId="23">
    <w:nsid w:val="580BD78F"/>
    <w:multiLevelType w:val="hybridMultilevel"/>
    <w:lvl w:ilvl="0">
      <w:lvlJc w:val="left"/>
      <w:lvlText w:val="(%1)"/>
      <w:numFmt w:val="lowerRoman"/>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1."/>
      <w:numFmt w:val="decimal"/>
      <w:start w:val="2"/>
    </w:lvl>
  </w:abstractNum>
  <w:abstractNum w:abstractNumId="26">
    <w:nsid w:val="70A64E2A"/>
    <w:multiLevelType w:val="hybridMultilevel"/>
    <w:lvl w:ilvl="0">
      <w:lvlJc w:val="left"/>
      <w:lvlText w:val="(%1)"/>
      <w:numFmt w:val="lowerLetter"/>
      <w:start w:val="1"/>
    </w:lvl>
  </w:abstractNum>
  <w:abstractNum w:abstractNumId="27">
    <w:nsid w:val="6A2342EC"/>
    <w:multiLevelType w:val="hybridMultilevel"/>
    <w:lvl w:ilvl="0">
      <w:lvlJc w:val="left"/>
      <w:lvlText w:val="%1."/>
      <w:numFmt w:val="decimal"/>
      <w:start w:val="3"/>
    </w:lvl>
  </w:abstractNum>
  <w:abstractNum w:abstractNumId="28">
    <w:nsid w:val="2A487CB0"/>
    <w:multiLevelType w:val="hybridMultilevel"/>
    <w:lvl w:ilvl="0">
      <w:lvlJc w:val="left"/>
      <w:lvlText w:val="(%1)"/>
      <w:numFmt w:val="lowerLetter"/>
      <w:start w:val="2"/>
    </w:lvl>
  </w:abstractNum>
  <w:abstractNum w:abstractNumId="29">
    <w:nsid w:val="1D4ED43B"/>
    <w:multiLevelType w:val="hybridMultilevel"/>
    <w:lvl w:ilvl="0">
      <w:lvlJc w:val="left"/>
      <w:lvlText w:val="(%1)"/>
      <w:numFmt w:val="lowerLetter"/>
      <w:start w:val="2"/>
    </w:lvl>
  </w:abstractNum>
  <w:abstractNum w:abstractNumId="30">
    <w:nsid w:val="725A06FB"/>
    <w:multiLevelType w:val="hybridMultilevel"/>
    <w:lvl w:ilvl="0">
      <w:lvlJc w:val="left"/>
      <w:lvlText w:val="%1."/>
      <w:numFmt w:val="decimal"/>
      <w:start w:val="4"/>
    </w:lvl>
  </w:abstractNum>
  <w:abstractNum w:abstractNumId="31">
    <w:nsid w:val="2CD89A32"/>
    <w:multiLevelType w:val="hybridMultilevel"/>
    <w:lvl w:ilvl="0">
      <w:lvlJc w:val="left"/>
      <w:lvlText w:val="%1."/>
      <w:numFmt w:val="decimal"/>
      <w:start w:val="5"/>
    </w:lvl>
  </w:abstractNum>
  <w:abstractNum w:abstractNumId="32">
    <w:nsid w:val="57E4CCAF"/>
    <w:multiLevelType w:val="hybridMultilevel"/>
    <w:lvl w:ilvl="0">
      <w:lvlJc w:val="left"/>
      <w:lvlText w:val="(%1)"/>
      <w:numFmt w:val="lowerLetter"/>
      <w:start w:val="2"/>
    </w:lvl>
  </w:abstractNum>
  <w:abstractNum w:abstractNumId="33">
    <w:nsid w:val="7A6D8D3C"/>
    <w:multiLevelType w:val="hybridMultilevel"/>
    <w:lvl w:ilvl="0">
      <w:lvlJc w:val="left"/>
      <w:lvlText w:val="(%1)"/>
      <w:numFmt w:val="lowerLetter"/>
      <w:start w:val="3"/>
    </w:lvl>
  </w:abstractNum>
  <w:abstractNum w:abstractNumId="34">
    <w:nsid w:val="4B588F54"/>
    <w:multiLevelType w:val="hybridMultilevel"/>
    <w:lvl w:ilvl="0">
      <w:lvlJc w:val="left"/>
      <w:lvlText w:val="%1."/>
      <w:numFmt w:val="decimal"/>
      <w:start w:val="6"/>
    </w:lvl>
  </w:abstractNum>
  <w:abstractNum w:abstractNumId="35">
    <w:nsid w:val="542289EC"/>
    <w:multiLevelType w:val="hybridMultilevel"/>
    <w:lvl w:ilvl="0">
      <w:lvlJc w:val="left"/>
      <w:lvlText w:val="%1."/>
      <w:numFmt w:val="decimal"/>
      <w:start w:val="7"/>
    </w:lvl>
  </w:abstractNum>
  <w:abstractNum w:abstractNumId="36">
    <w:nsid w:val="6DE91B18"/>
    <w:multiLevelType w:val="hybridMultilevel"/>
    <w:lvl w:ilvl="0">
      <w:lvlJc w:val="left"/>
      <w:lvlText w:val="%1."/>
      <w:numFmt w:val="decimal"/>
      <w:start w:val="8"/>
    </w:lvl>
  </w:abstractNum>
  <w:abstractNum w:abstractNumId="37">
    <w:nsid w:val="38437FDB"/>
    <w:multiLevelType w:val="hybridMultilevel"/>
    <w:lvl w:ilvl="0">
      <w:lvlJc w:val="left"/>
      <w:lvlText w:val="%1."/>
      <w:numFmt w:val="decimal"/>
      <w:start w:val="9"/>
    </w:lvl>
  </w:abstractNum>
  <w:abstractNum w:abstractNumId="38">
    <w:nsid w:val="7644A45C"/>
    <w:multiLevelType w:val="hybridMultilevel"/>
    <w:lvl w:ilvl="0">
      <w:lvlJc w:val="left"/>
      <w:lvlText w:val="%1."/>
      <w:numFmt w:val="decimal"/>
      <w:start w:val="10"/>
    </w:lvl>
  </w:abstractNum>
  <w:abstractNum w:abstractNumId="39">
    <w:nsid w:val="32FFF902"/>
    <w:multiLevelType w:val="hybridMultilevel"/>
    <w:lvl w:ilvl="0">
      <w:lvlJc w:val="left"/>
      <w:lvlText w:val="%1."/>
      <w:numFmt w:val="decimal"/>
      <w:start w:val="11"/>
    </w:lvl>
  </w:abstractNum>
  <w:abstractNum w:abstractNumId="40">
    <w:nsid w:val="684A481A"/>
    <w:multiLevelType w:val="hybridMultilevel"/>
    <w:lvl w:ilvl="0">
      <w:lvlJc w:val="left"/>
      <w:lvlText w:val="%1."/>
      <w:numFmt w:val="decimal"/>
      <w:start w:val="12"/>
    </w:lvl>
  </w:abstractNum>
  <w:abstractNum w:abstractNumId="41">
    <w:nsid w:val="579478FE"/>
    <w:multiLevelType w:val="hybridMultilevel"/>
    <w:lvl w:ilvl="0">
      <w:lvlJc w:val="left"/>
      <w:lvlText w:val="(%1)"/>
      <w:numFmt w:val="lowerLetter"/>
      <w:start w:val="2"/>
    </w:lvl>
  </w:abstractNum>
  <w:abstractNum w:abstractNumId="42">
    <w:nsid w:val="749ABB43"/>
    <w:multiLevelType w:val="hybridMultilevel"/>
    <w:lvl w:ilvl="0">
      <w:lvlJc w:val="left"/>
      <w:lvlText w:val="(%1)"/>
      <w:numFmt w:val="lowerLetter"/>
      <w:start w:val="2"/>
    </w:lvl>
  </w:abstractNum>
  <w:abstractNum w:abstractNumId="43">
    <w:nsid w:val="3DC240FB"/>
    <w:multiLevelType w:val="hybridMultilevel"/>
    <w:lvl w:ilvl="0">
      <w:lvlJc w:val="left"/>
      <w:lvlText w:val="(%1)"/>
      <w:numFmt w:val="lowerLetter"/>
      <w:start w:val="4"/>
    </w:lvl>
  </w:abstractNum>
  <w:abstractNum w:abstractNumId="44">
    <w:nsid w:val="1BA026FA"/>
    <w:multiLevelType w:val="hybridMultilevel"/>
    <w:lvl w:ilvl="0">
      <w:lvlJc w:val="left"/>
      <w:lvlText w:val="(%1)"/>
      <w:numFmt w:val="lowerRoman"/>
      <w:start w:val="1"/>
    </w:lvl>
  </w:abstractNum>
  <w:abstractNum w:abstractNumId="45">
    <w:nsid w:val="79A1DEAA"/>
    <w:multiLevelType w:val="hybridMultilevel"/>
    <w:lvl w:ilvl="0">
      <w:lvlJc w:val="left"/>
      <w:lvlText w:val="(%1)"/>
      <w:numFmt w:val="lowerRoman"/>
      <w:start w:val="8"/>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1."/>
      <w:numFmt w:val="decimal"/>
      <w:start w:val="5"/>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1."/>
      <w:numFmt w:val="decimal"/>
      <w:start w:val="5"/>
    </w:lvl>
  </w:abstractNum>
  <w:abstractNum w:abstractNumId="53">
    <w:nsid w:val="649BB77C"/>
    <w:multiLevelType w:val="hybridMultilevel"/>
    <w:lvl w:ilvl="0">
      <w:lvlJc w:val="left"/>
      <w:lvlText w:val="%1)"/>
      <w:numFmt w:val="lowerLetter"/>
      <w:start w:val="1"/>
    </w:lvl>
  </w:abstractNum>
  <w:abstractNum w:abstractNumId="54">
    <w:nsid w:val="275AC794"/>
    <w:multiLevelType w:val="hybridMultilevel"/>
    <w:lvl w:ilvl="0">
      <w:lvlJc w:val="left"/>
      <w:lvlText w:val="(%1)"/>
      <w:numFmt w:val="lowerRoman"/>
      <w:start w:val="1"/>
    </w:lvl>
  </w:abstractNum>
  <w:abstractNum w:abstractNumId="55">
    <w:nsid w:val="39386575"/>
    <w:multiLevelType w:val="hybridMultilevel"/>
    <w:lvl w:ilvl="0">
      <w:lvlJc w:val="left"/>
      <w:lvlText w:val="(%1)"/>
      <w:numFmt w:val="lowerRoman"/>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2022-10-26T16:02:51Z</dcterms:created>
  <dcterms:modified xsi:type="dcterms:W3CDTF">2022-10-26T16:02:51Z</dcterms:modified>
</cp:coreProperties>
</file>