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EAGLE MATERIALS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9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205740</wp:posOffset>
            </wp:positionV>
            <wp:extent cx="176657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65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3811 Turtle Creek Blvd, Suite 1100</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Dallas, Texas 75219-4487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my pleasure to invite you to our Annual Meeting of Stockholders, which will be held on Tuesday, August 7, 2012, at the Sheraton Suites Market Center, 2101 North Stemmons Freeway, Dallas, Texas 75207, at 8:00 a.m. We hope that you will attend the meeting, but we encourage you to vote by proxy whether or not you plan to attend the meeting in person.</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year we are again taking advantage of the Securities and Exchange Commission rules that allow companies to furnish their proxy materials over the Internet. As a result, beginning on June 22, 2012, we are mailing to many of our stockholders a Notice Regarding the Availability of Proxy Materials, or Notice,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If you attend the Annual Meeting and desire to vote your shares personally rather than by proxy, you may withdraw your proxy at any time before it is exercised.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very important, whether you own one share or many.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87503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R. Rowley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75219-4487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7,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annual meeting of stockholders of Eagle Materials Inc., which we refer to as the “Company,” will be held at the Sheraton Suites Market Center, located at 2101 North Stemmons Freeway, Dallas, Texas 75207 at 8:00 a.m., local time, on Tuesday, August 7, 2012. At the meeting, stockholders will vote on:</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three Class III directors identified in the accompanying proxy statement, each to hold office for three years.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expected appointment of Ernst &amp; Young LLP as the Company’s independent auditors for the fiscal year ending March 31, 2013.</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Board of Directors has fixed the close of business on June 11, 2012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10"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 Attention:</w:t>
      </w:r>
      <w:r>
        <w:rPr>
          <w:rFonts w:ascii="Arial" w:cs="Arial" w:eastAsia="Arial" w:hAnsi="Arial"/>
          <w:sz w:val="16"/>
          <w:szCs w:val="16"/>
          <w:b w:val="1"/>
          <w:bCs w:val="1"/>
          <w:color w:val="auto"/>
        </w:rPr>
        <w:t xml:space="preserve"> </w:t>
      </w:r>
      <w:r>
        <w:rPr>
          <w:rFonts w:ascii="Arial" w:cs="Arial" w:eastAsia="Arial" w:hAnsi="Arial"/>
          <w:sz w:val="16"/>
          <w:szCs w:val="16"/>
          <w:color w:val="auto"/>
        </w:rPr>
        <w:t>James H. Graass, Secretary, 3811 Turtle Creek Blvd., Suite 1100, Dallas, Texas 75219-4487 (telephone: (214) 432-2000).</w:t>
      </w:r>
    </w:p>
    <w:p>
      <w:pPr>
        <w:spacing w:after="0" w:line="10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16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i w:val="1"/>
          <w:iCs w:val="1"/>
          <w:color w:val="auto"/>
        </w:rPr>
        <w:t>Executive Vice President,</w:t>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22, 2012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7, 2012.</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2012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4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INTRODUCTION</w:t>
              </w:r>
            </w:hyperlink>
          </w:p>
        </w:tc>
        <w:tc>
          <w:tcPr>
            <w:tcW w:w="9620" w:type="dxa"/>
            <w:vAlign w:val="bottom"/>
            <w:gridSpan w:val="4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Date, Time and Place of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Purposes of the Annual Meeting and Recommendations of our Board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ABOUT THE MEETING</w:t>
              </w:r>
            </w:hyperlink>
          </w:p>
        </w:tc>
        <w:tc>
          <w:tcPr>
            <w:tcW w:w="910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Who Can Vote</w:t>
              </w:r>
            </w:hyperlink>
          </w:p>
        </w:tc>
        <w:tc>
          <w:tcPr>
            <w:tcW w:w="9500" w:type="dxa"/>
            <w:vAlign w:val="bottom"/>
            <w:gridSpan w:val="4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Proxies Will be Voted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to Revoke Your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0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Quorum and Required Vote</w:t>
              </w:r>
            </w:hyperlink>
          </w:p>
        </w:tc>
        <w:tc>
          <w:tcPr>
            <w:tcW w:w="850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Expenses of Soliciting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How You Can Vote</w:t>
              </w:r>
            </w:hyperlink>
          </w:p>
        </w:tc>
        <w:tc>
          <w:tcPr>
            <w:tcW w:w="838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PROPOSAL NO. 1: ELECTION OF DIRECTORS AND RELATED MATTERS</w:t>
              </w:r>
            </w:hyperlink>
          </w:p>
        </w:tc>
        <w:tc>
          <w:tcPr>
            <w:tcW w:w="49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General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4"/>
              </w:rPr>
            </w:pPr>
            <w:hyperlink w:anchor="page9">
              <w:r>
                <w:rPr>
                  <w:rFonts w:ascii="Arial" w:cs="Arial" w:eastAsia="Arial" w:hAnsi="Arial"/>
                  <w:sz w:val="18"/>
                  <w:szCs w:val="18"/>
                  <w:b w:val="1"/>
                  <w:bCs w:val="1"/>
                  <w:color w:val="0000EE"/>
                  <w:w w:val="84"/>
                </w:rPr>
                <w:t>Director Independence</w:t>
              </w:r>
            </w:hyperlink>
          </w:p>
        </w:tc>
        <w:tc>
          <w:tcPr>
            <w:tcW w:w="892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3"/>
              </w:rPr>
            </w:pPr>
            <w:hyperlink w:anchor="page10">
              <w:r>
                <w:rPr>
                  <w:rFonts w:ascii="Arial" w:cs="Arial" w:eastAsia="Arial" w:hAnsi="Arial"/>
                  <w:sz w:val="18"/>
                  <w:szCs w:val="18"/>
                  <w:b w:val="1"/>
                  <w:bCs w:val="1"/>
                  <w:color w:val="0000EE"/>
                  <w:w w:val="83"/>
                </w:rPr>
                <w:t>Nominees</w:t>
              </w:r>
            </w:hyperlink>
          </w:p>
        </w:tc>
        <w:tc>
          <w:tcPr>
            <w:tcW w:w="9860" w:type="dxa"/>
            <w:vAlign w:val="bottom"/>
            <w:gridSpan w:val="4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6"/>
              </w:rPr>
            </w:pPr>
            <w:hyperlink w:anchor="page10">
              <w:r>
                <w:rPr>
                  <w:rFonts w:ascii="Arial" w:cs="Arial" w:eastAsia="Arial" w:hAnsi="Arial"/>
                  <w:sz w:val="18"/>
                  <w:szCs w:val="18"/>
                  <w:b w:val="1"/>
                  <w:bCs w:val="1"/>
                  <w:color w:val="0000EE"/>
                  <w:w w:val="86"/>
                </w:rPr>
                <w:t>Recommendation of the Board</w:t>
              </w:r>
            </w:hyperlink>
          </w:p>
        </w:tc>
        <w:tc>
          <w:tcPr>
            <w:tcW w:w="830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Director Qualifications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Meetings and Attendance Records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040" w:type="dxa"/>
            <w:vAlign w:val="bottom"/>
            <w:gridSpan w:val="47"/>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BOARD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20"/>
        </w:trPr>
        <w:tc>
          <w:tcPr>
            <w:tcW w:w="4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Non-Employee Director Compensation for Fiscal Year 2012</w:t>
              </w:r>
            </w:hyperlink>
          </w:p>
        </w:tc>
        <w:tc>
          <w:tcPr>
            <w:tcW w:w="6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r>
      <w:tr>
        <w:trPr>
          <w:trHeight w:val="196"/>
        </w:trPr>
        <w:tc>
          <w:tcPr>
            <w:tcW w:w="440" w:type="dxa"/>
            <w:vAlign w:val="bottom"/>
          </w:tcPr>
          <w:p>
            <w:pPr>
              <w:spacing w:after="0"/>
              <w:rPr>
                <w:sz w:val="17"/>
                <w:szCs w:val="17"/>
                <w:color w:val="auto"/>
              </w:rPr>
            </w:pPr>
          </w:p>
        </w:tc>
        <w:tc>
          <w:tcPr>
            <w:tcW w:w="420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Board Leadership Structure and Role in Risk Oversight</w:t>
              </w:r>
            </w:hyperlink>
          </w:p>
        </w:tc>
        <w:tc>
          <w:tcPr>
            <w:tcW w:w="64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70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88"/>
              </w:rPr>
            </w:pPr>
            <w:hyperlink w:anchor="page19">
              <w:r>
                <w:rPr>
                  <w:rFonts w:ascii="Arial" w:cs="Arial" w:eastAsia="Arial" w:hAnsi="Arial"/>
                  <w:sz w:val="18"/>
                  <w:szCs w:val="18"/>
                  <w:b w:val="1"/>
                  <w:bCs w:val="1"/>
                  <w:color w:val="0000EE"/>
                  <w:w w:val="88"/>
                </w:rPr>
                <w:t>Compensation Committee Interlocks and Insider Participation</w:t>
              </w:r>
            </w:hyperlink>
          </w:p>
        </w:tc>
        <w:tc>
          <w:tcPr>
            <w:tcW w:w="59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How to Contact Our Board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8"/>
              </w:rPr>
            </w:pPr>
            <w:hyperlink w:anchor="page21">
              <w:r>
                <w:rPr>
                  <w:rFonts w:ascii="Arial" w:cs="Arial" w:eastAsia="Arial" w:hAnsi="Arial"/>
                  <w:sz w:val="18"/>
                  <w:szCs w:val="18"/>
                  <w:b w:val="1"/>
                  <w:bCs w:val="1"/>
                  <w:color w:val="0000EE"/>
                  <w:w w:val="98"/>
                </w:rPr>
                <w:t>EXECUTIVE OFFICERS WHO ARE NOT DIRECTORS</w:t>
              </w:r>
            </w:hyperlink>
          </w:p>
        </w:tc>
        <w:tc>
          <w:tcPr>
            <w:tcW w:w="66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34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COMPENSATION COMMITTEE REPORT</w:t>
              </w:r>
            </w:hyperlink>
          </w:p>
        </w:tc>
        <w:tc>
          <w:tcPr>
            <w:tcW w:w="764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196"/>
        </w:trPr>
        <w:tc>
          <w:tcPr>
            <w:tcW w:w="11040" w:type="dxa"/>
            <w:vAlign w:val="bottom"/>
            <w:gridSpan w:val="47"/>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44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Executive Summary</w:t>
              </w:r>
            </w:hyperlink>
          </w:p>
        </w:tc>
        <w:tc>
          <w:tcPr>
            <w:tcW w:w="1940" w:type="dxa"/>
            <w:vAlign w:val="bottom"/>
            <w:tcBorders>
              <w:top w:val="single" w:sz="8" w:color="0000EE"/>
            </w:tcBorders>
            <w:gridSpan w:val="17"/>
          </w:tcPr>
          <w:p>
            <w:pPr>
              <w:spacing w:after="0"/>
              <w:rPr>
                <w:sz w:val="17"/>
                <w:szCs w:val="17"/>
                <w:color w:val="auto"/>
              </w:rPr>
            </w:pPr>
          </w:p>
        </w:tc>
        <w:tc>
          <w:tcPr>
            <w:tcW w:w="71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7"/>
              </w:rPr>
            </w:pPr>
            <w:hyperlink w:anchor="page27">
              <w:r>
                <w:rPr>
                  <w:rFonts w:ascii="Arial" w:cs="Arial" w:eastAsia="Arial" w:hAnsi="Arial"/>
                  <w:sz w:val="18"/>
                  <w:szCs w:val="18"/>
                  <w:b w:val="1"/>
                  <w:bCs w:val="1"/>
                  <w:color w:val="0000EE"/>
                  <w:w w:val="87"/>
                </w:rPr>
                <w:t>Named Executive Officers</w:t>
              </w:r>
            </w:hyperlink>
          </w:p>
        </w:tc>
        <w:tc>
          <w:tcPr>
            <w:tcW w:w="862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5"/>
              </w:rPr>
            </w:pPr>
            <w:hyperlink w:anchor="page27">
              <w:r>
                <w:rPr>
                  <w:rFonts w:ascii="Arial" w:cs="Arial" w:eastAsia="Arial" w:hAnsi="Arial"/>
                  <w:sz w:val="18"/>
                  <w:szCs w:val="18"/>
                  <w:b w:val="1"/>
                  <w:bCs w:val="1"/>
                  <w:color w:val="0000EE"/>
                  <w:w w:val="85"/>
                </w:rPr>
                <w:t>Compensation Philosophy</w:t>
              </w:r>
            </w:hyperlink>
          </w:p>
        </w:tc>
        <w:tc>
          <w:tcPr>
            <w:tcW w:w="864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86"/>
              </w:rPr>
            </w:pPr>
            <w:hyperlink w:anchor="page28">
              <w:r>
                <w:rPr>
                  <w:rFonts w:ascii="Arial" w:cs="Arial" w:eastAsia="Arial" w:hAnsi="Arial"/>
                  <w:sz w:val="18"/>
                  <w:szCs w:val="18"/>
                  <w:b w:val="1"/>
                  <w:bCs w:val="1"/>
                  <w:color w:val="0000EE"/>
                  <w:w w:val="86"/>
                </w:rPr>
                <w:t>Advisory Vote on Executive Compensation</w:t>
              </w:r>
            </w:hyperlink>
          </w:p>
        </w:tc>
        <w:tc>
          <w:tcPr>
            <w:tcW w:w="74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Compensation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87"/>
              </w:rPr>
            </w:pPr>
            <w:hyperlink w:anchor="page28">
              <w:r>
                <w:rPr>
                  <w:rFonts w:ascii="Arial" w:cs="Arial" w:eastAsia="Arial" w:hAnsi="Arial"/>
                  <w:sz w:val="18"/>
                  <w:szCs w:val="18"/>
                  <w:b w:val="1"/>
                  <w:bCs w:val="1"/>
                  <w:color w:val="0000EE"/>
                  <w:w w:val="87"/>
                </w:rPr>
                <w:t>Role of the Compensation Committee and Management in Executive Compensation</w:t>
              </w:r>
            </w:hyperlink>
          </w:p>
        </w:tc>
        <w:tc>
          <w:tcPr>
            <w:tcW w:w="43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196"/>
        </w:trPr>
        <w:tc>
          <w:tcPr>
            <w:tcW w:w="44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7"/>
              </w:rPr>
            </w:pPr>
            <w:hyperlink w:anchor="page29">
              <w:r>
                <w:rPr>
                  <w:rFonts w:ascii="Arial" w:cs="Arial" w:eastAsia="Arial" w:hAnsi="Arial"/>
                  <w:sz w:val="18"/>
                  <w:szCs w:val="18"/>
                  <w:b w:val="1"/>
                  <w:bCs w:val="1"/>
                  <w:color w:val="0000EE"/>
                  <w:w w:val="87"/>
                </w:rPr>
                <w:t>Benchmarking</w:t>
              </w:r>
            </w:hyperlink>
          </w:p>
        </w:tc>
        <w:tc>
          <w:tcPr>
            <w:tcW w:w="9480" w:type="dxa"/>
            <w:vAlign w:val="bottom"/>
            <w:gridSpan w:val="4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Elements of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Change in Control Benefits</w:t>
              </w:r>
            </w:hyperlink>
          </w:p>
        </w:tc>
        <w:tc>
          <w:tcPr>
            <w:tcW w:w="78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6"/>
              </w:rPr>
            </w:pPr>
            <w:hyperlink w:anchor="page38">
              <w:r>
                <w:rPr>
                  <w:rFonts w:ascii="Arial" w:cs="Arial" w:eastAsia="Arial" w:hAnsi="Arial"/>
                  <w:sz w:val="18"/>
                  <w:szCs w:val="18"/>
                  <w:b w:val="1"/>
                  <w:bCs w:val="1"/>
                  <w:color w:val="0000EE"/>
                  <w:w w:val="86"/>
                </w:rPr>
                <w:t>Stock Ownership Guidelines</w:t>
              </w:r>
            </w:hyperlink>
          </w:p>
        </w:tc>
        <w:tc>
          <w:tcPr>
            <w:tcW w:w="846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Limitations on Tax Deductibility of Compensation</w:t>
              </w:r>
            </w:hyperlink>
          </w:p>
        </w:tc>
        <w:tc>
          <w:tcPr>
            <w:tcW w:w="68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25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EXECUTIVE COMPENSATION</w:t>
              </w:r>
            </w:hyperlink>
          </w:p>
        </w:tc>
        <w:tc>
          <w:tcPr>
            <w:tcW w:w="850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Summary Compensation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w w:val="90"/>
              </w:rPr>
            </w:pPr>
            <w:hyperlink w:anchor="page41">
              <w:r>
                <w:rPr>
                  <w:rFonts w:ascii="Arial" w:cs="Arial" w:eastAsia="Arial" w:hAnsi="Arial"/>
                  <w:sz w:val="18"/>
                  <w:szCs w:val="18"/>
                  <w:b w:val="1"/>
                  <w:bCs w:val="1"/>
                  <w:color w:val="0000EE"/>
                  <w:w w:val="90"/>
                </w:rPr>
                <w:t>Grants of Plan-Based Awards</w:t>
              </w:r>
            </w:hyperlink>
          </w:p>
        </w:tc>
        <w:tc>
          <w:tcPr>
            <w:tcW w:w="82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Outstanding Equity Awards at Fiscal Year-End</w:t>
              </w:r>
            </w:hyperlink>
          </w:p>
        </w:tc>
        <w:tc>
          <w:tcPr>
            <w:tcW w:w="70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196"/>
        </w:trPr>
        <w:tc>
          <w:tcPr>
            <w:tcW w:w="440" w:type="dxa"/>
            <w:vAlign w:val="bottom"/>
          </w:tcPr>
          <w:p>
            <w:pPr>
              <w:spacing w:after="0"/>
              <w:rPr>
                <w:sz w:val="17"/>
                <w:szCs w:val="17"/>
                <w:color w:val="auto"/>
              </w:rPr>
            </w:pPr>
          </w:p>
        </w:tc>
        <w:tc>
          <w:tcPr>
            <w:tcW w:w="260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85"/>
              </w:rPr>
            </w:pPr>
            <w:hyperlink w:anchor="page44">
              <w:r>
                <w:rPr>
                  <w:rFonts w:ascii="Arial" w:cs="Arial" w:eastAsia="Arial" w:hAnsi="Arial"/>
                  <w:sz w:val="18"/>
                  <w:szCs w:val="18"/>
                  <w:b w:val="1"/>
                  <w:bCs w:val="1"/>
                  <w:color w:val="0000EE"/>
                  <w:w w:val="85"/>
                </w:rPr>
                <w:t>Option Exercises and Stock Vested</w:t>
              </w:r>
            </w:hyperlink>
          </w:p>
        </w:tc>
        <w:tc>
          <w:tcPr>
            <w:tcW w:w="800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8"/>
              </w:rPr>
            </w:pPr>
            <w:hyperlink w:anchor="page45">
              <w:r>
                <w:rPr>
                  <w:rFonts w:ascii="Arial" w:cs="Arial" w:eastAsia="Arial" w:hAnsi="Arial"/>
                  <w:sz w:val="18"/>
                  <w:szCs w:val="18"/>
                  <w:b w:val="1"/>
                  <w:bCs w:val="1"/>
                  <w:color w:val="0000EE"/>
                  <w:w w:val="88"/>
                </w:rPr>
                <w:t>Nonqualified Deferred Compensation in FY 2012</w:t>
              </w:r>
            </w:hyperlink>
          </w:p>
        </w:tc>
        <w:tc>
          <w:tcPr>
            <w:tcW w:w="69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w:t>
            </w:r>
          </w:p>
        </w:tc>
      </w:tr>
      <w:tr>
        <w:trPr>
          <w:trHeight w:val="196"/>
        </w:trPr>
        <w:tc>
          <w:tcPr>
            <w:tcW w:w="11040" w:type="dxa"/>
            <w:vAlign w:val="bottom"/>
            <w:gridSpan w:val="47"/>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POTENTIAL PAYMENTS UPON TERMINATION OR CHANGE IN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r>
      <w:tr>
        <w:trPr>
          <w:trHeight w:val="196"/>
        </w:trPr>
        <w:tc>
          <w:tcPr>
            <w:tcW w:w="44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gridSpan w:val="40"/>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Payments Made Upon Any Termination</w:t>
              </w:r>
            </w:hyperlink>
          </w:p>
        </w:tc>
        <w:tc>
          <w:tcPr>
            <w:tcW w:w="48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49">
              <w:r>
                <w:rPr>
                  <w:rFonts w:ascii="Arial" w:cs="Arial" w:eastAsia="Arial" w:hAnsi="Arial"/>
                  <w:sz w:val="18"/>
                  <w:szCs w:val="18"/>
                  <w:b w:val="1"/>
                  <w:bCs w:val="1"/>
                  <w:color w:val="0000EE"/>
                  <w:w w:val="97"/>
                </w:rPr>
                <w:t>STOCK OWNERSHIP</w:t>
              </w:r>
            </w:hyperlink>
          </w:p>
        </w:tc>
        <w:tc>
          <w:tcPr>
            <w:tcW w:w="928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r>
      <w:tr>
        <w:trPr>
          <w:trHeight w:val="20"/>
        </w:trPr>
        <w:tc>
          <w:tcPr>
            <w:tcW w:w="4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Certain Beneficial Owners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w:t>
            </w:r>
          </w:p>
        </w:tc>
      </w:tr>
      <w:tr>
        <w:trPr>
          <w:trHeight w:val="20"/>
        </w:trPr>
        <w:tc>
          <w:tcPr>
            <w:tcW w:w="44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r>
      <w:tr>
        <w:trPr>
          <w:trHeight w:val="20"/>
        </w:trPr>
        <w:tc>
          <w:tcPr>
            <w:tcW w:w="44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8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87"/>
              </w:rPr>
            </w:pPr>
            <w:hyperlink w:anchor="page51">
              <w:r>
                <w:rPr>
                  <w:rFonts w:ascii="Arial" w:cs="Arial" w:eastAsia="Arial" w:hAnsi="Arial"/>
                  <w:sz w:val="18"/>
                  <w:szCs w:val="18"/>
                  <w:b w:val="1"/>
                  <w:bCs w:val="1"/>
                  <w:color w:val="0000EE"/>
                  <w:w w:val="87"/>
                </w:rPr>
                <w:t>Section 16(a) Beneficial Ownership Reporting Compliance</w:t>
              </w:r>
            </w:hyperlink>
          </w:p>
        </w:tc>
        <w:tc>
          <w:tcPr>
            <w:tcW w:w="62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r>
      <w:tr>
        <w:trPr>
          <w:trHeight w:val="196"/>
        </w:trPr>
        <w:tc>
          <w:tcPr>
            <w:tcW w:w="44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Code of Conduct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20"/>
        </w:trPr>
        <w:tc>
          <w:tcPr>
            <w:tcW w:w="44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60" w:type="dxa"/>
            <w:vAlign w:val="bottom"/>
            <w:tcBorders>
              <w:bottom w:val="single" w:sz="8" w:color="0000EE"/>
            </w:tcBorders>
            <w:gridSpan w:val="46"/>
          </w:tcPr>
          <w:p>
            <w:pPr>
              <w:spacing w:after="0" w:line="196" w:lineRule="exact"/>
              <w:rPr>
                <w:rFonts w:ascii="Arial" w:cs="Arial" w:eastAsia="Arial" w:hAnsi="Arial"/>
                <w:sz w:val="18"/>
                <w:szCs w:val="18"/>
                <w:b w:val="1"/>
                <w:bCs w:val="1"/>
                <w:color w:val="0000EE"/>
                <w:w w:val="97"/>
              </w:rPr>
            </w:pPr>
            <w:hyperlink w:anchor="page53">
              <w:r>
                <w:rPr>
                  <w:rFonts w:ascii="Arial" w:cs="Arial" w:eastAsia="Arial" w:hAnsi="Arial"/>
                  <w:sz w:val="18"/>
                  <w:szCs w:val="18"/>
                  <w:b w:val="1"/>
                  <w:bCs w:val="1"/>
                  <w:color w:val="0000EE"/>
                  <w:w w:val="97"/>
                </w:rPr>
                <w:t>PROPOSAL NO. 2: ADVISORY VOTE ON COMPENSATION OF OUR NAMED EXECUTIVE OFFICERS</w:t>
              </w:r>
            </w:hyperlink>
          </w:p>
        </w:tc>
        <w:tc>
          <w:tcPr>
            <w:tcW w:w="2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6"/>
              </w:rPr>
            </w:pPr>
            <w:hyperlink w:anchor="page53">
              <w:r>
                <w:rPr>
                  <w:rFonts w:ascii="Arial" w:cs="Arial" w:eastAsia="Arial" w:hAnsi="Arial"/>
                  <w:sz w:val="18"/>
                  <w:szCs w:val="18"/>
                  <w:b w:val="1"/>
                  <w:bCs w:val="1"/>
                  <w:color w:val="0000EE"/>
                  <w:w w:val="86"/>
                </w:rPr>
                <w:t>Recommendation of the Board</w:t>
              </w:r>
            </w:hyperlink>
          </w:p>
        </w:tc>
        <w:tc>
          <w:tcPr>
            <w:tcW w:w="830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11040" w:type="dxa"/>
            <w:vAlign w:val="bottom"/>
            <w:gridSpan w:val="47"/>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PROPOSAL NO. 3: APPROVAL OF EXPECTED APPOINTMENT OF INDEPENDENT AUDITORS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44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4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General</w:t>
              </w:r>
            </w:hyperlink>
          </w:p>
        </w:tc>
        <w:tc>
          <w:tcPr>
            <w:tcW w:w="33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14"/>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6"/>
              </w:rPr>
            </w:pPr>
            <w:hyperlink w:anchor="page54">
              <w:r>
                <w:rPr>
                  <w:rFonts w:ascii="Arial" w:cs="Arial" w:eastAsia="Arial" w:hAnsi="Arial"/>
                  <w:sz w:val="18"/>
                  <w:szCs w:val="18"/>
                  <w:b w:val="1"/>
                  <w:bCs w:val="1"/>
                  <w:color w:val="0000EE"/>
                  <w:w w:val="86"/>
                </w:rPr>
                <w:t>Recommendation of the Board</w:t>
              </w:r>
            </w:hyperlink>
          </w:p>
        </w:tc>
        <w:tc>
          <w:tcPr>
            <w:tcW w:w="830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53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RELATIONSHIP WITH INDEPENDENT PUBLIC ACCOUNTANTS</w:t>
              </w:r>
            </w:hyperlink>
          </w:p>
        </w:tc>
        <w:tc>
          <w:tcPr>
            <w:tcW w:w="57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196"/>
        </w:trPr>
        <w:tc>
          <w:tcPr>
            <w:tcW w:w="25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AUDIT COMMITTEE REPORT</w:t>
              </w:r>
            </w:hyperlink>
          </w:p>
        </w:tc>
        <w:tc>
          <w:tcPr>
            <w:tcW w:w="852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196"/>
        </w:trPr>
        <w:tc>
          <w:tcPr>
            <w:tcW w:w="6800" w:type="dxa"/>
            <w:vAlign w:val="bottom"/>
            <w:tcBorders>
              <w:bottom w:val="single" w:sz="8" w:color="0000EE"/>
            </w:tcBorders>
            <w:gridSpan w:val="44"/>
          </w:tcPr>
          <w:p>
            <w:pPr>
              <w:spacing w:after="0" w:line="196" w:lineRule="exact"/>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OTHER MATTERS WHICH MAY BE PRESENTED FOR ACTION AT THE MEETING</w:t>
              </w:r>
            </w:hyperlink>
          </w:p>
        </w:tc>
        <w:tc>
          <w:tcPr>
            <w:tcW w:w="4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11040" w:type="dxa"/>
            <w:vAlign w:val="bottom"/>
            <w:gridSpan w:val="47"/>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DELIVERY OF DOCUMENTS TO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20"/>
        </w:trPr>
        <w:tc>
          <w:tcPr>
            <w:tcW w:w="4200" w:type="dxa"/>
            <w:vAlign w:val="bottom"/>
            <w:gridSpan w:val="3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7"/>
              </w:rPr>
            </w:pPr>
            <w:hyperlink w:anchor="page56">
              <w:r>
                <w:rPr>
                  <w:rFonts w:ascii="Arial" w:cs="Arial" w:eastAsia="Arial" w:hAnsi="Arial"/>
                  <w:sz w:val="18"/>
                  <w:szCs w:val="18"/>
                  <w:b w:val="1"/>
                  <w:bCs w:val="1"/>
                  <w:color w:val="0000EE"/>
                  <w:w w:val="97"/>
                </w:rPr>
                <w:t>DEADLINE FOR RECEIPT OF STOCKHOLDER PROPOSALS</w:t>
              </w:r>
            </w:hyperlink>
          </w:p>
        </w:tc>
        <w:tc>
          <w:tcPr>
            <w:tcW w:w="60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75219-4487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22,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2012 annual meeting of our stockholders will be held at the Sheraton Suites Market Center, located at 2101 North Stemmons Freeway, Dallas, Texas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75207 at 8:00 a.m., local time, on Tuesday, August 7,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90" w:lineRule="exact"/>
        <w:rPr>
          <w:sz w:val="20"/>
          <w:szCs w:val="20"/>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three Class III directors identified in this proxy statement, each to hold office for a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years.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Board of Directors recommends that you vote “for” the election of its three nominees for director named in this proxy statement.</w:t>
      </w:r>
    </w:p>
    <w:p>
      <w:pPr>
        <w:spacing w:after="0" w:line="119" w:lineRule="exact"/>
        <w:rPr>
          <w:sz w:val="20"/>
          <w:szCs w:val="20"/>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 are asking you to approve a non-binding advisory resolution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named executive officers as reported in this proxy statement.</w:t>
      </w:r>
    </w:p>
    <w:p>
      <w:pPr>
        <w:spacing w:after="0" w:line="45" w:lineRule="exact"/>
        <w:rPr>
          <w:sz w:val="20"/>
          <w:szCs w:val="20"/>
          <w:color w:val="auto"/>
        </w:rPr>
      </w:pPr>
    </w:p>
    <w:p>
      <w:pPr>
        <w:ind w:left="920" w:right="34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45" w:lineRule="exact"/>
        <w:rPr>
          <w:sz w:val="20"/>
          <w:szCs w:val="20"/>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by our Audit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LLP as the Company’s independent auditors for the fiscal year ending March 31, 2013.</w:t>
      </w:r>
    </w:p>
    <w:p>
      <w:pPr>
        <w:spacing w:after="0" w:line="45"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2013.</w:t>
      </w:r>
    </w:p>
    <w:p>
      <w:pPr>
        <w:spacing w:after="0" w:line="45" w:lineRule="exact"/>
        <w:rPr>
          <w:sz w:val="20"/>
          <w:szCs w:val="20"/>
          <w:color w:val="auto"/>
        </w:rPr>
      </w:pPr>
    </w:p>
    <w:p>
      <w:pPr>
        <w:ind w:left="900" w:right="8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(3) above.</w:t>
      </w:r>
    </w:p>
    <w:p>
      <w:pPr>
        <w:spacing w:after="0" w:line="18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7, 2012.</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2012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11, 2012. In this proxy statement, we refer to this date as the “record date.” As of the record date, there were 45,281,317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Election of Directors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Advisory vote on compensation of our named executive officers</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of the expected appointment of Ernst &amp; Young LLP as our independent auditors for the fiscal year ending March 31, 2013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6"/>
              </w:rPr>
              <w:t>Effect of Abstentions and</w:t>
            </w:r>
          </w:p>
        </w:tc>
      </w:tr>
      <w:tr>
        <w:trPr>
          <w:trHeight w:val="175"/>
        </w:trPr>
        <w:tc>
          <w:tcPr>
            <w:tcW w:w="3880" w:type="dxa"/>
            <w:vAlign w:val="bottom"/>
            <w:gridSpan w:val="2"/>
          </w:tcPr>
          <w:p>
            <w:pPr>
              <w:ind w:left="1420"/>
              <w:spacing w:after="0"/>
              <w:rPr>
                <w:sz w:val="20"/>
                <w:szCs w:val="20"/>
                <w:color w:val="auto"/>
              </w:rPr>
            </w:pPr>
            <w:r>
              <w:rPr>
                <w:rFonts w:ascii="Arial" w:cs="Arial" w:eastAsia="Arial" w:hAnsi="Arial"/>
                <w:sz w:val="14"/>
                <w:szCs w:val="14"/>
                <w:b w:val="1"/>
                <w:bCs w:val="1"/>
                <w:color w:val="auto"/>
              </w:rPr>
              <w:t>Required Vote</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6"/>
        </w:trPr>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Majority of votes cast</w:t>
            </w:r>
          </w:p>
        </w:tc>
        <w:tc>
          <w:tcPr>
            <w:tcW w:w="220" w:type="dxa"/>
            <w:vAlign w:val="bottom"/>
          </w:tcPr>
          <w:p>
            <w:pPr>
              <w:spacing w:after="0"/>
              <w:rPr>
                <w:sz w:val="18"/>
                <w:szCs w:val="18"/>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 effect on outcome of vote</w:t>
            </w: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Majority of votes cast</w:t>
            </w:r>
          </w:p>
        </w:tc>
        <w:tc>
          <w:tcPr>
            <w:tcW w:w="3300" w:type="dxa"/>
            <w:vAlign w:val="bottom"/>
          </w:tcPr>
          <w:p>
            <w:pPr>
              <w:spacing w:after="0"/>
              <w:rPr>
                <w:sz w:val="20"/>
                <w:szCs w:val="20"/>
                <w:color w:val="auto"/>
              </w:rPr>
            </w:pPr>
            <w:r>
              <w:rPr>
                <w:rFonts w:ascii="Arial" w:cs="Arial" w:eastAsia="Arial" w:hAnsi="Arial"/>
                <w:sz w:val="18"/>
                <w:szCs w:val="18"/>
                <w:color w:val="auto"/>
              </w:rPr>
              <w:t>No effect on outcome of vote</w:t>
            </w:r>
          </w:p>
        </w:tc>
      </w:tr>
      <w:tr>
        <w:trPr>
          <w:trHeight w:val="534"/>
        </w:trPr>
        <w:tc>
          <w:tcPr>
            <w:tcW w:w="388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 shares of</w:t>
            </w:r>
          </w:p>
        </w:tc>
        <w:tc>
          <w:tcPr>
            <w:tcW w:w="3300" w:type="dxa"/>
            <w:vAlign w:val="bottom"/>
          </w:tcPr>
          <w:p>
            <w:pPr>
              <w:spacing w:after="0"/>
              <w:rPr>
                <w:sz w:val="20"/>
                <w:szCs w:val="20"/>
                <w:color w:val="auto"/>
              </w:rPr>
            </w:pPr>
            <w:r>
              <w:rPr>
                <w:rFonts w:ascii="Arial" w:cs="Arial" w:eastAsia="Arial" w:hAnsi="Arial"/>
                <w:sz w:val="18"/>
                <w:szCs w:val="18"/>
                <w:color w:val="auto"/>
              </w:rPr>
              <w:t>Same effect as votes against proposal</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w w:val="93"/>
              </w:rPr>
              <w:t>Common Stock present in person or represented by</w:t>
            </w:r>
          </w:p>
        </w:tc>
        <w:tc>
          <w:tcPr>
            <w:tcW w:w="330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proxy at the meeting</w:t>
            </w:r>
          </w:p>
        </w:tc>
        <w:tc>
          <w:tcPr>
            <w:tcW w:w="3300" w:type="dxa"/>
            <w:vAlign w:val="bottom"/>
          </w:tcPr>
          <w:p>
            <w:pPr>
              <w:spacing w:after="0"/>
              <w:rPr>
                <w:sz w:val="19"/>
                <w:szCs w:val="19"/>
                <w:color w:val="auto"/>
              </w:rPr>
            </w:pPr>
          </w:p>
        </w:tc>
      </w:tr>
    </w:tbl>
    <w:p>
      <w:pPr>
        <w:spacing w:after="0" w:line="155" w:lineRule="exact"/>
        <w:rPr>
          <w:sz w:val="20"/>
          <w:szCs w:val="20"/>
          <w:color w:val="auto"/>
        </w:rPr>
      </w:pPr>
    </w:p>
    <w:p>
      <w:pPr>
        <w:sectPr>
          <w:pgSz w:w="11900" w:h="16838" w:orient="portrait"/>
          <w:cols w:equalWidth="0" w:num="2">
            <w:col w:w="4000" w:space="240"/>
            <w:col w:w="7180"/>
          </w:cols>
          <w:pgMar w:left="240" w:top="459" w:right="239" w:bottom="1440" w:gutter="0" w:footer="0" w:header="0"/>
          <w:type w:val="continuous"/>
        </w:sectPr>
      </w:pPr>
    </w:p>
    <w:p>
      <w:pPr>
        <w:jc w:val="both"/>
        <w:ind w:right="160" w:firstLine="456"/>
        <w:spacing w:after="0" w:line="256" w:lineRule="auto"/>
        <w:rPr>
          <w:sz w:val="20"/>
          <w:szCs w:val="20"/>
          <w:color w:val="auto"/>
        </w:rPr>
      </w:pPr>
      <w:r>
        <w:rPr>
          <w:rFonts w:ascii="Arial" w:cs="Arial" w:eastAsia="Arial" w:hAnsi="Arial"/>
          <w:sz w:val="18"/>
          <w:szCs w:val="18"/>
          <w:color w:val="auto"/>
        </w:rPr>
        <w:t>In the past, brokers had discretion to vote in the election of directors if they did not receive instructions from the beneficial owner. Due to a change in the rules of the NYSE, the election of directors is no longer considered a “routine” matter and thus brokers no longer have this discretionary authority. The advisory vote regarding executive compensation is also not considered “routine,” and brokers may not vote your shares with respect to such matters without instructions from you.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240" w:top="459" w:right="8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we have two Class I directors, three Class II directors and three Class III directors. Our Board has determined that the Board shall consist of eight directors.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shows the composition of our Board after the annual meeting, assuming the election of the proposed slate of director nominees: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Directors</w:t>
            </w:r>
          </w:p>
        </w:tc>
        <w:tc>
          <w:tcPr>
            <w:tcW w:w="240" w:type="dxa"/>
            <w:vAlign w:val="bottom"/>
          </w:tcPr>
          <w:p>
            <w:pPr>
              <w:spacing w:after="0"/>
              <w:rPr>
                <w:sz w:val="14"/>
                <w:szCs w:val="14"/>
                <w:color w:val="auto"/>
              </w:rPr>
            </w:pPr>
          </w:p>
        </w:tc>
      </w:tr>
      <w:tr>
        <w:trPr>
          <w:trHeight w:val="309"/>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w w:val="96"/>
              </w:rPr>
              <w:t>Class I</w:t>
            </w:r>
            <w:r>
              <w:rPr>
                <w:rFonts w:ascii="Arial" w:cs="Arial" w:eastAsia="Arial" w:hAnsi="Arial"/>
                <w:sz w:val="18"/>
                <w:szCs w:val="18"/>
                <w:color w:val="auto"/>
                <w:w w:val="96"/>
              </w:rPr>
              <w:t>: Term expires at the 2013 annual meeting and every three years</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Robert L. Clarke</w:t>
            </w:r>
          </w:p>
        </w:tc>
      </w:tr>
      <w:tr>
        <w:trPr>
          <w:trHeight w:val="222"/>
        </w:trPr>
        <w:tc>
          <w:tcPr>
            <w:tcW w:w="5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7"/>
              </w:rPr>
              <w:t>Steven R. Rowley</w:t>
            </w:r>
          </w:p>
        </w:tc>
      </w:tr>
      <w:tr>
        <w:trPr>
          <w:trHeight w:val="331"/>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w w:val="95"/>
              </w:rPr>
              <w:t xml:space="preserve">Class II: </w:t>
            </w:r>
            <w:r>
              <w:rPr>
                <w:rFonts w:ascii="Arial" w:cs="Arial" w:eastAsia="Arial" w:hAnsi="Arial"/>
                <w:sz w:val="18"/>
                <w:szCs w:val="18"/>
                <w:color w:val="auto"/>
                <w:w w:val="95"/>
              </w:rPr>
              <w:t>Term expires at the 2014 annual meeting and every three years</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1"/>
              </w:rPr>
              <w:t>Laurence E. Hirsch</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1"/>
              </w:rPr>
              <w:t>Michael R. Nicolais</w:t>
            </w: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2"/>
              </w:rPr>
              <w:t>Richard R. Stewart</w:t>
            </w:r>
          </w:p>
        </w:tc>
      </w:tr>
      <w:tr>
        <w:trPr>
          <w:trHeight w:val="331"/>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w w:val="94"/>
              </w:rPr>
              <w:t xml:space="preserve">Class III: </w:t>
            </w:r>
            <w:r>
              <w:rPr>
                <w:rFonts w:ascii="Arial" w:cs="Arial" w:eastAsia="Arial" w:hAnsi="Arial"/>
                <w:sz w:val="18"/>
                <w:szCs w:val="18"/>
                <w:color w:val="auto"/>
                <w:w w:val="94"/>
              </w:rPr>
              <w:t>Term expires at the 2015 annual meeting and every three years</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8"/>
              </w:rPr>
              <w:t>F. William Barnett</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Ed H. Bowman</w:t>
            </w: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David W. Quinn</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seven of our eight directors are “independent,” our Board of Directors considered the following facts:</w:t>
      </w:r>
    </w:p>
    <w:p>
      <w:pPr>
        <w:spacing w:after="0" w:line="90" w:lineRule="exact"/>
        <w:rPr>
          <w:sz w:val="20"/>
          <w:szCs w:val="20"/>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F. William Barnett, Ed H. Bowman, Robert L. Clarke and Richard R. Stewart have no relationship with the Company that potentially affects their independence.</w:t>
      </w:r>
    </w:p>
    <w:p>
      <w:pPr>
        <w:spacing w:after="0" w:line="50"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62" w:lineRule="exact"/>
        <w:rPr>
          <w:rFonts w:ascii="Arial" w:cs="Arial" w:eastAsia="Arial" w:hAnsi="Arial"/>
          <w:sz w:val="18"/>
          <w:szCs w:val="18"/>
          <w:color w:val="auto"/>
        </w:rPr>
      </w:pPr>
    </w:p>
    <w:p>
      <w:pPr>
        <w:ind w:left="900" w:right="160" w:hanging="446"/>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Because it has been over five years since Mr. Hirsch retired from Centex or served as an officer of the Company on an interim basis, and in light of the absence of any other material relationship with the Company (other than as a director of the Company), our Board of Directors has determined that Mr. Hirsch has no material relationship with the Company.</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Partners,” a private investment partnership of which Mr. Hirsch is the sole equity owner. In view of, among other things: (1) the fact that Mr. Nicolais has never served as an officer or employee of the Company or any of its parents or subsidiaries; (2) the employment relationship between Mr. Nicolais and Highlander Partners commenced after the completion of the spin-off of the Company from Centex and after the date Mr. Hirsch retired as an executive officer and director of Centex; (3)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(with Mr. Barnett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Although each of the nominees is standing for election to a three-year term, under the Company’s director retirement policy, Mr. Quinn must retire from the Board at the next annual meeting to occur after his 72</w:t>
      </w:r>
      <w:r>
        <w:rPr>
          <w:rFonts w:ascii="Arial" w:cs="Arial" w:eastAsia="Arial" w:hAnsi="Arial"/>
          <w:sz w:val="10"/>
          <w:szCs w:val="10"/>
          <w:color w:val="auto"/>
        </w:rPr>
        <w:t>nd</w:t>
      </w:r>
      <w:r>
        <w:rPr>
          <w:rFonts w:ascii="Arial" w:cs="Arial" w:eastAsia="Arial" w:hAnsi="Arial"/>
          <w:sz w:val="16"/>
          <w:szCs w:val="16"/>
          <w:color w:val="auto"/>
        </w:rPr>
        <w:t xml:space="preserve"> birthday. Therefore, if elected, Mr. Quinn will retire from the Board at the 2014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III directors for a three-year term ending at our 2015 annual meeting of stockholders: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W. Quinn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Set forth below is information about the nominees standing for election at our 2012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Director Whose Terms Expire at our 2012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 First</w:t>
            </w:r>
          </w:p>
        </w:tc>
        <w:tc>
          <w:tcPr>
            <w:tcW w:w="8080" w:type="dxa"/>
            <w:vAlign w:val="bottom"/>
          </w:tcPr>
          <w:p>
            <w:pPr>
              <w:jc w:val="center"/>
              <w:spacing w:after="0"/>
              <w:rPr>
                <w:sz w:val="20"/>
                <w:szCs w:val="20"/>
                <w:color w:val="auto"/>
              </w:rPr>
            </w:pPr>
            <w:r>
              <w:rPr>
                <w:rFonts w:ascii="Arial" w:cs="Arial" w:eastAsia="Arial" w:hAnsi="Arial"/>
                <w:sz w:val="14"/>
                <w:szCs w:val="14"/>
                <w:b w:val="1"/>
                <w:bCs w:val="1"/>
                <w:color w:val="auto"/>
                <w:w w:val="86"/>
              </w:rPr>
              <w:t>Business Experience and Principal Occupation;</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5"/>
                <w:szCs w:val="15"/>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Elected</w:t>
            </w:r>
          </w:p>
        </w:tc>
        <w:tc>
          <w:tcPr>
            <w:tcW w:w="808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Directorships in Public Corporations and Investment Companies</w:t>
            </w:r>
          </w:p>
        </w:tc>
      </w:tr>
      <w:tr>
        <w:trPr>
          <w:trHeight w:val="28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F. William Barnett</w:t>
            </w:r>
          </w:p>
        </w:tc>
        <w:tc>
          <w:tcPr>
            <w:tcW w:w="3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4"/>
                <w:szCs w:val="24"/>
                <w:color w:val="auto"/>
              </w:rPr>
            </w:pP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Mr. Barnett retired in 2003 from his position as a Director in the Dallas office of McKinsey &amp; Company, Inc., an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international consulting firm, after 23 years of employment, where he led the firm’s Strategy Practice. Mr. Barnett</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also served as a</w:t>
            </w:r>
          </w:p>
        </w:tc>
      </w:tr>
      <w:tr>
        <w:trPr>
          <w:trHeight w:val="378"/>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jc w:val="right"/>
              <w:ind w:right="5579"/>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director of Papa John’s International, Inc. from 2003 until March 2009, and has been an Adjunct Professor at the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Yale School of Management and the Jesse H. Jones Graduate School of Business at Rice University. Mr. Barnett</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currently chairs our Governance Committee.</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8"/>
              </w:rPr>
              <w:t>Mr. Barnett brings to the Board and the Governance Committee his corporate governance and strategy</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development and implementation experience gained from his long career in management consulting and his</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service on another board.</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Ed H. Bowman</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Mr. Bowman served as Chief Executive Officer, President and a director of SOURCECORP from 1996 until 2012.</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Prior to 1996, Mr. Bowman was a senior executive at First Data Corporation. Mr. Bowman joined our Board in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May 2011. Mr. Bowman serves on the advisory board of the J. Mack Robinson College of Business at Georgia</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State University.</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Mr. Bowman brings to the Board his proven leadership and business experience as the recently retired CEO of an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expanding company. Mr. Bowman also brings corporate governance, finance and compensation knowledge gained</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from his experience at other public companies.</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David W. Quinn</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70</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Mr. Quinn served as a director of Centex from 1989 until its merger with Pulte in 2009, as Vice Chairman of the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7"/>
              </w:rPr>
              <w:t>Board of Directors of Centex from May 1996 to March 2002, as Executive Vice President of Centex from</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February 1987 to May 1996, and Chief Financial Officer of Centex from February 1987 until June 1997 and again</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from October 1997 until May 2000. Mr. Quinn is the chairman of the Audit Committee of our Board of Directors.</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Mr. Quinn brings to the Board and the Audit Committee his extensive management, financial and audit experience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gained from his 17 years as CFO and/or Vice Chairman of the Company’s former parent company and through</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prior experience as a partner with a major accounting firm. Mr. Quinn also brings corporate governance experience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gained from membership on the boards of other public and private companies.</w:t>
            </w:r>
          </w:p>
        </w:tc>
      </w:tr>
      <w:tr>
        <w:trPr>
          <w:trHeight w:val="54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0" w:type="dxa"/>
            <w:vAlign w:val="bottom"/>
            <w:gridSpan w:val="3"/>
          </w:tcPr>
          <w:p>
            <w:pPr>
              <w:ind w:left="620"/>
              <w:spacing w:after="0"/>
              <w:rPr>
                <w:sz w:val="20"/>
                <w:szCs w:val="20"/>
                <w:color w:val="auto"/>
              </w:rPr>
            </w:pPr>
            <w:r>
              <w:rPr>
                <w:rFonts w:ascii="Arial" w:cs="Arial" w:eastAsia="Arial" w:hAnsi="Arial"/>
                <w:sz w:val="18"/>
                <w:szCs w:val="18"/>
                <w:b w:val="1"/>
                <w:bCs w:val="1"/>
                <w:color w:val="auto"/>
              </w:rPr>
              <w:t>Continuing Directors Whose Terms Expire at our 2013 Annual Meeting</w:t>
            </w:r>
          </w:p>
        </w:tc>
      </w:tr>
      <w:tr>
        <w:trPr>
          <w:trHeight w:val="228"/>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ind w:left="1680"/>
              <w:spacing w:after="0"/>
              <w:rPr>
                <w:sz w:val="20"/>
                <w:szCs w:val="20"/>
                <w:color w:val="auto"/>
              </w:rPr>
            </w:pPr>
            <w:r>
              <w:rPr>
                <w:rFonts w:ascii="Arial" w:cs="Arial" w:eastAsia="Arial" w:hAnsi="Arial"/>
                <w:sz w:val="18"/>
                <w:szCs w:val="18"/>
                <w:b w:val="1"/>
                <w:bCs w:val="1"/>
                <w:color w:val="auto"/>
              </w:rPr>
              <w:t>(Class I Directors)</w:t>
            </w:r>
          </w:p>
        </w:tc>
      </w:tr>
      <w:tr>
        <w:trPr>
          <w:trHeight w:val="340"/>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 First</w:t>
            </w:r>
          </w:p>
        </w:tc>
        <w:tc>
          <w:tcPr>
            <w:tcW w:w="8080" w:type="dxa"/>
            <w:vAlign w:val="bottom"/>
          </w:tcPr>
          <w:p>
            <w:pPr>
              <w:ind w:left="26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5"/>
                <w:szCs w:val="15"/>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Elected</w:t>
            </w:r>
          </w:p>
        </w:tc>
        <w:tc>
          <w:tcPr>
            <w:tcW w:w="8080" w:type="dxa"/>
            <w:vAlign w:val="bottom"/>
          </w:tcPr>
          <w:p>
            <w:pPr>
              <w:ind w:left="21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r>
      <w:tr>
        <w:trPr>
          <w:trHeight w:val="28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Robert L. Clarke</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69</w:t>
            </w:r>
          </w:p>
        </w:tc>
        <w:tc>
          <w:tcPr>
            <w:tcW w:w="1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1994</w:t>
            </w:r>
          </w:p>
        </w:tc>
        <w:tc>
          <w:tcPr>
            <w:tcW w:w="120" w:type="dxa"/>
            <w:vAlign w:val="bottom"/>
          </w:tcPr>
          <w:p>
            <w:pPr>
              <w:spacing w:after="0"/>
              <w:rPr>
                <w:sz w:val="24"/>
                <w:szCs w:val="24"/>
                <w:color w:val="auto"/>
              </w:rPr>
            </w:pP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Mr. Clarke was a partner in the law firm of Bracewell &amp; Giuliani LLP (formerly known as Bracewell &amp; Patterson)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from 1971 to December 1985, returned to the firm as a partner in March 1992 and currently is a senior partner in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that firm. From December 1985 to February 1992, he was Comptroller of the Currency of the United States.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6"/>
              </w:rPr>
              <w:t>Clarke is also a director of Stewart Information Services Corporation. Mr. Clarke is a member of the Audit</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Committee and Compensation Committee of our Board of Directors.</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Mr. Clarke brings to the Board, the Audit Committee and the Compensation Committee extensive financial and</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legal experience and knowledge of corporate governance and financial oversight gained from his long legal career,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his membership on the boards of other public companies and his service as Comptroller of the Currency of the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Steven R. Rowley</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59</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Mr. Rowley has been the Company’s President and Chief Executive Officer and a member of our Board of</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Directors since September 2003. Mr. Rowley is also a member of the Executive Committee of our Board of</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Directors. Mr. Rowley joined the Company in 1991 as a plant manager at its Nevada cement operations and</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subsequently became Executive Vice President of the Company’s Illinois Cement Company subsidiary in June of</w:t>
            </w:r>
          </w:p>
        </w:tc>
      </w:tr>
    </w:tbl>
    <w:p>
      <w:pPr>
        <w:jc w:val="both"/>
        <w:ind w:left="3340" w:right="220"/>
        <w:spacing w:after="0" w:line="255" w:lineRule="auto"/>
        <w:rPr>
          <w:sz w:val="20"/>
          <w:szCs w:val="20"/>
          <w:color w:val="auto"/>
        </w:rPr>
      </w:pPr>
      <w:r>
        <w:rPr>
          <w:rFonts w:ascii="Arial" w:cs="Arial" w:eastAsia="Arial" w:hAnsi="Arial"/>
          <w:sz w:val="18"/>
          <w:szCs w:val="18"/>
          <w:color w:val="auto"/>
        </w:rPr>
        <w:t>1995. Mr. Rowley was named the Company’s Executive Vice President-Cement in 1998. In 2001, Mr. Rowley’s operational responsibilities were expanded to include concrete and aggregates. Mr. Rowley was the Company’s Chief Operating Officer from October 2002 until September 2003.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Mr. Rowley brings to the Board his extensive executive and operations experience in the construction products</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industry, including over 20 years of service with the Company.</w:t>
            </w:r>
          </w:p>
        </w:tc>
      </w:tr>
      <w:tr>
        <w:trPr>
          <w:trHeight w:val="528"/>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0" w:type="dxa"/>
            <w:vAlign w:val="bottom"/>
            <w:gridSpan w:val="3"/>
          </w:tcPr>
          <w:p>
            <w:pPr>
              <w:ind w:left="620"/>
              <w:spacing w:after="0"/>
              <w:rPr>
                <w:sz w:val="20"/>
                <w:szCs w:val="20"/>
                <w:color w:val="auto"/>
              </w:rPr>
            </w:pPr>
            <w:r>
              <w:rPr>
                <w:rFonts w:ascii="Arial" w:cs="Arial" w:eastAsia="Arial" w:hAnsi="Arial"/>
                <w:sz w:val="18"/>
                <w:szCs w:val="18"/>
                <w:b w:val="1"/>
                <w:bCs w:val="1"/>
                <w:color w:val="auto"/>
              </w:rPr>
              <w:t>Continuing Directors Whose Terms Expire at our 2014 Annual Meeting</w:t>
            </w:r>
          </w:p>
        </w:tc>
      </w:tr>
      <w:tr>
        <w:trPr>
          <w:trHeight w:val="228"/>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ind w:left="1660"/>
              <w:spacing w:after="0"/>
              <w:rPr>
                <w:sz w:val="20"/>
                <w:szCs w:val="20"/>
                <w:color w:val="auto"/>
              </w:rPr>
            </w:pPr>
            <w:r>
              <w:rPr>
                <w:rFonts w:ascii="Arial" w:cs="Arial" w:eastAsia="Arial" w:hAnsi="Arial"/>
                <w:sz w:val="18"/>
                <w:szCs w:val="18"/>
                <w:b w:val="1"/>
                <w:bCs w:val="1"/>
                <w:color w:val="auto"/>
              </w:rPr>
              <w:t>(Class II Directors)</w:t>
            </w:r>
          </w:p>
        </w:tc>
      </w:tr>
      <w:tr>
        <w:trPr>
          <w:trHeight w:val="340"/>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 First</w:t>
            </w:r>
          </w:p>
        </w:tc>
        <w:tc>
          <w:tcPr>
            <w:tcW w:w="8080" w:type="dxa"/>
            <w:vAlign w:val="bottom"/>
          </w:tcPr>
          <w:p>
            <w:pPr>
              <w:ind w:left="26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5"/>
                <w:szCs w:val="15"/>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Elected</w:t>
            </w:r>
          </w:p>
        </w:tc>
        <w:tc>
          <w:tcPr>
            <w:tcW w:w="8080" w:type="dxa"/>
            <w:vAlign w:val="bottom"/>
          </w:tcPr>
          <w:p>
            <w:pPr>
              <w:ind w:left="21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r>
      <w:tr>
        <w:trPr>
          <w:trHeight w:val="28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Laurence E. Hirsch</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66</w:t>
            </w:r>
          </w:p>
        </w:tc>
        <w:tc>
          <w:tcPr>
            <w:tcW w:w="1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1985</w:t>
            </w:r>
          </w:p>
        </w:tc>
        <w:tc>
          <w:tcPr>
            <w:tcW w:w="120" w:type="dxa"/>
            <w:vAlign w:val="bottom"/>
          </w:tcPr>
          <w:p>
            <w:pPr>
              <w:spacing w:after="0"/>
              <w:rPr>
                <w:sz w:val="24"/>
                <w:szCs w:val="24"/>
                <w:color w:val="auto"/>
              </w:rPr>
            </w:pP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Mr. Hirsch is chairman of Highlander Partners, a private investment company. He has served as chairman of our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Board of Directors from July 1999 to the present and also served in that capacity from January 1994 through</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December 1997. He was our interim Chief Executive Officer from April 2003 through September 2003.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Hirsch is a member of the Executive Committee of our Board of Directors. Until his retirement on March 31,</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2004, Mr. Hirsch served Centex Corporation in various capacities, including as President beginning in 1985, as</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Chief Executive Officer beginning in July 1988 and as chairman of its board of directors beginning in July 1991.</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Mr. Hirsch served as a director of Belo Corp. from August 1999 through January 2008 and continued as a director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of A. H. Belo until May 2011. Mr. Hirsch served as a director of the Federal Home Loan Mortgage Corp. (Freddie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Mac) from November 2009 until February 2012. Mr. Hirsch is currently Chairman of the Center for European</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Policy Analysis.</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Mr. Hirsch brings to the Board his extensive executive experience gained through his service as the CEO of a</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public company. In addition, Mr. Hirsch brings extensive knowledge of the Company through having served as our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Chairman for most of the last 15 years. Mr. Hirsch also brings valuable experience as an executive officer within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the construction products industry and his knowledge of corporate governance and financial oversight gained from</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his membership on the boards of other public companies.</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Michael R. Nicolais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In April 2004, Mr. Nicolais became president of Highlander Partners. From August 2002 until March 2004,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Nicolais served as managing director of Stephens, Inc., an investment banking firm. Prior to joining Stephens, Inc.,</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he was a partner in the private investment firm of Olivhan Investments, L.P. from March 2001 until August 2002.</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From August 1986 to December 2000, he was employed by Donaldson, Lufkin &amp; Jenrette Securities Corporation’s</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Investment Banking Division, most recently in the position of Managing Director and co-head of that firm’s Dallas</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office. Mr. Nicolais has been a member of our Board of Directors since 2001. He also serves as a member of the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Compensation Committee and the Governance Committee.</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Mr. Nicolais brings to the Board, the Governance Committee and the Compensation Committee his extensive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knowledge of capital markets, financial analysis and financial oversight gained through his experience as an</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 banker and investment manager.</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Richard R. Stewart</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From 1998 until 2006 Mr. Stewart served as President and CEO of GE Aero Energy, a division of GE Power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Systems and as an officer of General Electric Company. Mr. Stewart retired from General Electric in 2006.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Stewart’s career at General Electric began in 1998 as a result of General Electric’s acquisition of the gas turbine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business of Stewart &amp; Stevenson Services, Inc. Mr. Stewart began his career at Stewart &amp; Stevenson in 1972 and</w:t>
            </w:r>
          </w:p>
        </w:tc>
      </w:tr>
    </w:tbl>
    <w:p>
      <w:pPr>
        <w:ind w:left="3340" w:right="180"/>
        <w:spacing w:after="0" w:line="295" w:lineRule="auto"/>
        <w:rPr>
          <w:sz w:val="20"/>
          <w:szCs w:val="20"/>
          <w:color w:val="auto"/>
        </w:rPr>
      </w:pPr>
      <w:r>
        <w:rPr>
          <w:rFonts w:ascii="Arial" w:cs="Arial" w:eastAsia="Arial" w:hAnsi="Arial"/>
          <w:sz w:val="16"/>
          <w:szCs w:val="16"/>
          <w:color w:val="auto"/>
        </w:rPr>
        <w:t>while at Stewart &amp; Stevenson served in various positions including as Group President and member of the board of directors. Mr. Stewart also served as a director of Plug Power Inc. from July of 2003 to March of 2006. Mr. Stewart became a director of Kirby Corporation in 2008 and a director of Lufkin Industries, Inc. in 2009. Mr. Stewart serves as chairman of the Compensation Committee of our Board of Directors.</w:t>
      </w:r>
    </w:p>
    <w:p>
      <w:pPr>
        <w:spacing w:after="0" w:line="34" w:lineRule="exact"/>
        <w:rPr>
          <w:sz w:val="20"/>
          <w:szCs w:val="20"/>
          <w:color w:val="auto"/>
        </w:rPr>
      </w:pPr>
    </w:p>
    <w:p>
      <w:pPr>
        <w:ind w:left="3340" w:right="100"/>
        <w:spacing w:after="0" w:line="256" w:lineRule="auto"/>
        <w:rPr>
          <w:sz w:val="20"/>
          <w:szCs w:val="20"/>
          <w:color w:val="auto"/>
        </w:rPr>
      </w:pPr>
      <w:r>
        <w:rPr>
          <w:rFonts w:ascii="Arial" w:cs="Arial" w:eastAsia="Arial" w:hAnsi="Arial"/>
          <w:sz w:val="18"/>
          <w:szCs w:val="18"/>
          <w:color w:val="auto"/>
        </w:rPr>
        <w:t>Mr. Stewart brings to the Board and the Compensation Committee his proven leadership and business experience as the former CEO of a manufacturing company. Mr. Stewart also brings corporate governance and compensation experience gained from membership on the boards of other public companies and as an officer with General Electric.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Company’s fiscal year ended March 31, 2012, our Board of Directors held four regularly scheduled meetings and no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2012 annual stockholders meeting. All of our directors attended our 2011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COMPENSATION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Board compensation is generally set for the next 12 months at our Board of Directors meeting following our annual meeting of stockholders. In August 2011, our Board of Directors approved the same compensation levels paid last year by adopting a director compensation structure in which directors who are not employees of the Company or any of our subsidiaries received compensation for their services during the next 12 months (for the period from August 2011 through July 2012) by electing one of the following two compensation package alternatives: (1) total compensation valued at $150,000 per year, of which $75,000 is paid in cash and the remainder is provided in the form of an equity grant valued at $75,000; or (2) an equity grant valued at $170,000. The equity grant under either alternative is comprised of options to purchase Common Stock. In accordance with the terms of the Eagle Materials Inc. Incentive Plan, the exercise price of stock options is set at closing price of the Common Stock on the NYSE on the date of grant. The number of option shares is determined as of the date of grant by using the Black-Scholes method. All the options granted to directors in August 2011 were fully exercisable when granted and have a ten-year term.</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Non-employee directors who chair committees of the Board of Directors receive additional annual compensation. The Governance Committee Chair receives a fee of $10,000 per year. The chairs of the Audit Committee and the Compensation Committee each receive a fee of $15,000 per year. The Chairman of the Board receives a fee of $50,000 per year. Chairpersons who elect to receive all Board compensation in the form of equity may also elect to receive this additional compensation in the form of options to purchase Common Stock, in which case a 26.67% premium is added to such fees when valuing the number of options to be received by such chairperson.</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directors hold restricted stock units, which we refer to as “RSUs,” granted as part of director compensation in prior fiscal years (which includes all directors other than Ed Bowman and Richard Stewart), these directors will accrue dividend equivalent units as and when the Company pays a cash dividend on the Common Stock in accordance with the terms of the RSUs.</w:t>
      </w:r>
    </w:p>
    <w:p>
      <w:pPr>
        <w:spacing w:after="0" w:line="140"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18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Non-Employee Director Compensation for Fiscal Year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compensation paid by the Company to our non-employee directors for the fiscal year ended March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Change in Pension</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Non-Equity</w:t>
            </w: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Value and</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or</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1"/>
              </w:rPr>
              <w:t>Paid in</w:t>
            </w: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11"/>
                <w:szCs w:val="11"/>
                <w:color w:val="auto"/>
              </w:rPr>
            </w:pPr>
          </w:p>
        </w:tc>
        <w:tc>
          <w:tcPr>
            <w:tcW w:w="10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5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Deferred</w:t>
            </w: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7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Cash</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316"/>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r>
              <w:rPr>
                <w:rFonts w:ascii="Arial" w:cs="Arial" w:eastAsia="Arial" w:hAnsi="Arial"/>
                <w:sz w:val="11"/>
                <w:szCs w:val="11"/>
                <w:color w:val="auto"/>
              </w:rPr>
              <w:t>(2)</w:t>
            </w: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$182,667</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3"/>
          </w:tcPr>
          <w:p>
            <w:pPr>
              <w:spacing w:after="0"/>
              <w:rPr>
                <w:sz w:val="20"/>
                <w:szCs w:val="20"/>
                <w:color w:val="auto"/>
              </w:rPr>
            </w:pPr>
            <w:r>
              <w:rPr>
                <w:rFonts w:ascii="Arial" w:cs="Arial" w:eastAsia="Arial" w:hAnsi="Arial"/>
                <w:sz w:val="18"/>
                <w:szCs w:val="18"/>
                <w:color w:val="auto"/>
              </w:rPr>
              <w:t>Ed H. Bowman</w:t>
            </w:r>
            <w:r>
              <w:rPr>
                <w:rFonts w:ascii="Arial" w:cs="Arial" w:eastAsia="Arial" w:hAnsi="Arial"/>
                <w:sz w:val="11"/>
                <w:szCs w:val="11"/>
                <w:color w:val="auto"/>
              </w:rPr>
              <w:t>(3)(4)</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  30,645</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170,000</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200,645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(3)</w:t>
            </w: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170,000</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3"/>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(5)</w:t>
            </w:r>
          </w:p>
        </w:tc>
        <w:tc>
          <w:tcPr>
            <w:tcW w:w="102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233,335</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233,335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(6)</w:t>
            </w:r>
          </w:p>
        </w:tc>
        <w:tc>
          <w:tcPr>
            <w:tcW w:w="2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3"/>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(7)</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75,000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1"/>
                <w:szCs w:val="11"/>
                <w:color w:val="auto"/>
              </w:rPr>
              <w:t>(8)</w:t>
            </w: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189,001</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3"/>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(9)</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90,000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20" w:hanging="452"/>
        <w:spacing w:after="0" w:line="305"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directors in the fiscal year ended March 31, 2012 and are consistent with the grant date fair value of the award computed in accordance with FASB ASC Topic 718. For assumptions used in determining these values, refer to footnote</w:t>
      </w:r>
    </w:p>
    <w:p>
      <w:pPr>
        <w:ind w:left="460" w:right="180"/>
        <w:spacing w:after="0" w:line="250" w:lineRule="auto"/>
        <w:rPr>
          <w:rFonts w:ascii="Arial" w:cs="Arial" w:eastAsia="Arial" w:hAnsi="Arial"/>
          <w:sz w:val="15"/>
          <w:szCs w:val="15"/>
          <w:color w:val="auto"/>
        </w:rPr>
      </w:pPr>
      <w:r>
        <w:rPr>
          <w:rFonts w:ascii="Arial" w:cs="Arial" w:eastAsia="Arial" w:hAnsi="Arial"/>
          <w:sz w:val="18"/>
          <w:szCs w:val="18"/>
          <w:color w:val="auto"/>
        </w:rPr>
        <w:t>(I) to the Company’s audited financial statements for the fiscal year ended March 31, 2012 included in the Company’s Annual Report on Form 10-K filed with the SEC on May 25, 2012, or “Fiscal 2012 Form 10-K.”</w:t>
      </w:r>
    </w:p>
    <w:p>
      <w:pPr>
        <w:ind w:left="460" w:right="7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fiscal 2012 in the form of equity (including his chairperson fee).</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Messrs. Bowman and Clarke elected to receive 100% of their director compensation for fiscal 2012 in the form of equity.</w:t>
      </w:r>
    </w:p>
    <w:p>
      <w:pPr>
        <w:spacing w:after="0" w:line="9"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Bowman was appointed to the Board in May 2011 and received cash compensation for his service as a director from the date of his appointment through July 2011.</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Hirsch elected to receive 100% of his director compensation for fiscal 2012 in the form of equity (including his Chairman of the Board fee).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Maresh retired as a director effective August 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Nicolais elected to receive 50% of their director compensation for fiscal 2012 in the form of equity and 50% in cash.</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Quinn is the Chair of the Audit Committee. He elected to receive 100% of his director compensation for fiscal 2012 in the form of equity (including his chairperson fee).</w:t>
      </w:r>
    </w:p>
    <w:p>
      <w:pPr>
        <w:ind w:left="460" w:right="1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Stewart is the Chair of the Compensation Committee. He elected to receive 50% of his director compensation for fiscal 2012 in the form of equity and 50% in the form of cash. Mr. Stewart also elected to receive his committee chairperson fee in cash.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number of outstanding stock options and RSUs held by each director as of March 31, 2012.</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260"/>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gridSpan w:val="3"/>
          </w:tcPr>
          <w:p>
            <w:pPr>
              <w:ind w:left="2540"/>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22"/>
                <w:szCs w:val="22"/>
                <w:b w:val="1"/>
                <w:bCs w:val="1"/>
                <w:color w:val="auto"/>
                <w:vertAlign w:val="superscript"/>
              </w:rPr>
              <w:t>(1)</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119,299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Ed H. Bowman</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18,831</w:t>
            </w:r>
          </w:p>
        </w:tc>
        <w:tc>
          <w:tcPr>
            <w:tcW w:w="5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103,679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138,457</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54,555</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109,491</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 Stewart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39,322</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these stock options are fully exercisable.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302"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RSUs granted to non-employee directors are vested in full on the date of grant but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936 RSUs;</w:t>
      </w:r>
    </w:p>
    <w:p>
      <w:pPr>
        <w:spacing w:after="0" w:line="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Clarke – 936 RSUs; Mr. Hirsch – 1,218 RSUs; Mr. Nicolais – 415 RSUs; and Mr. Quinn – 681 RSUs.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positions of Chairman of the Board and CEO are performed by two different persons. Mr. Rowley, our CEO, focuses on the day-to-day operation of the Company’s businesses and participates in both operational and long-term strategy and development. Mr. Hirsch, our Chairman, oversees the Company’s general strategic direction and leads and manages the Board.</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 Assessment in Compensation Programs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there are no risks arising from the Company’s compensation policies and practices that are reasonably likely to have a material adverse effect on the Company or encourage unnecessary and excessive risk-taking. This assessment was overseen by the Compensation Committee, in consultation with management. We reviewed the compensation policies and practices in effect for our executive officers, senior management and other employees and assessed the features we have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2012, and the number of meetings held by each committee during the fiscal year ended March 31, 2012:</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89"/>
              </w:rPr>
              <w:t>Director</w:t>
            </w:r>
          </w:p>
        </w:tc>
        <w:tc>
          <w:tcPr>
            <w:tcW w:w="44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9"/>
              </w:rPr>
              <w:t>Audit</w:t>
            </w:r>
          </w:p>
        </w:tc>
        <w:tc>
          <w:tcPr>
            <w:tcW w:w="700" w:type="dxa"/>
            <w:vAlign w:val="bottom"/>
          </w:tcPr>
          <w:p>
            <w:pPr>
              <w:spacing w:after="0"/>
              <w:rPr>
                <w:sz w:val="14"/>
                <w:szCs w:val="14"/>
                <w:color w:val="auto"/>
              </w:rPr>
            </w:pP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w w:val="88"/>
              </w:rPr>
              <w:t>Compensation</w:t>
            </w:r>
          </w:p>
        </w:tc>
        <w:tc>
          <w:tcPr>
            <w:tcW w:w="9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8"/>
              </w:rPr>
              <w:t>Governance</w:t>
            </w:r>
          </w:p>
        </w:tc>
        <w:tc>
          <w:tcPr>
            <w:tcW w:w="1480" w:type="dxa"/>
            <w:vAlign w:val="bottom"/>
            <w:gridSpan w:val="2"/>
          </w:tcPr>
          <w:p>
            <w:pPr>
              <w:ind w:left="900"/>
              <w:spacing w:after="0"/>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 William Barnett</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Chair</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980" w:type="dxa"/>
            <w:vAlign w:val="bottom"/>
            <w:gridSpan w:val="2"/>
          </w:tcPr>
          <w:p>
            <w:pPr>
              <w:spacing w:after="0"/>
              <w:rPr>
                <w:sz w:val="20"/>
                <w:szCs w:val="20"/>
                <w:color w:val="auto"/>
              </w:rPr>
            </w:pPr>
            <w:r>
              <w:rPr>
                <w:rFonts w:ascii="Arial" w:cs="Arial" w:eastAsia="Arial" w:hAnsi="Arial"/>
                <w:sz w:val="18"/>
                <w:szCs w:val="18"/>
                <w:color w:val="auto"/>
              </w:rPr>
              <w:t>Ed H. Bowman</w:t>
            </w:r>
          </w:p>
        </w:tc>
        <w:tc>
          <w:tcPr>
            <w:tcW w:w="104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1040" w:type="dxa"/>
            <w:vAlign w:val="bottom"/>
            <w:gridSpan w:val="2"/>
          </w:tcPr>
          <w:p>
            <w:pPr>
              <w:spacing w:after="0"/>
              <w:rPr>
                <w:sz w:val="20"/>
                <w:szCs w:val="20"/>
                <w:color w:val="auto"/>
              </w:rPr>
            </w:pPr>
            <w:r>
              <w:rPr>
                <w:rFonts w:ascii="Arial" w:cs="Arial" w:eastAsia="Arial" w:hAnsi="Arial"/>
                <w:sz w:val="18"/>
                <w:szCs w:val="18"/>
                <w:color w:val="auto"/>
              </w:rPr>
              <w:t>Member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040" w:type="dxa"/>
            <w:vAlign w:val="bottom"/>
            <w:gridSpan w:val="2"/>
          </w:tcPr>
          <w:p>
            <w:pPr>
              <w:spacing w:after="0"/>
              <w:rPr>
                <w:sz w:val="20"/>
                <w:szCs w:val="20"/>
                <w:color w:val="auto"/>
              </w:rPr>
            </w:pPr>
            <w:r>
              <w:rPr>
                <w:rFonts w:ascii="Arial" w:cs="Arial" w:eastAsia="Arial" w:hAnsi="Arial"/>
                <w:sz w:val="18"/>
                <w:szCs w:val="18"/>
                <w:color w:val="auto"/>
              </w:rPr>
              <w:t>Chair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Steven R. Rowley</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w w:val="84"/>
              </w:rPr>
              <w:t>Member</w:t>
            </w: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Chair</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Number of Meetings in Fiscal 2012</w:t>
            </w:r>
          </w:p>
        </w:tc>
        <w:tc>
          <w:tcPr>
            <w:tcW w:w="340" w:type="dxa"/>
            <w:vAlign w:val="bottom"/>
          </w:tcPr>
          <w:p>
            <w:pPr>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8</w:t>
            </w: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ind w:left="9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Our Board has a standing Audit Committee, composed of three independent directors. Our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seventeen (17) years as CFO and/or Vice Chairman of the Company’s former parent company and through prior experience as a partner with a major accounting firm, Mr. Quinn is an “audit committee financial expert” within the meaning of the rules of the SEC.</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Audit Committee are to:</w:t>
      </w:r>
    </w:p>
    <w:p>
      <w:pPr>
        <w:spacing w:after="0" w:line="90" w:lineRule="exact"/>
        <w:rPr>
          <w:sz w:val="20"/>
          <w:szCs w:val="20"/>
          <w:color w:val="auto"/>
        </w:rPr>
      </w:pPr>
    </w:p>
    <w:p>
      <w:pPr>
        <w:ind w:left="900" w:right="3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50" w:lineRule="exact"/>
        <w:rPr>
          <w:rFonts w:ascii="Arial" w:cs="Arial" w:eastAsia="Arial" w:hAnsi="Arial"/>
          <w:sz w:val="18"/>
          <w:szCs w:val="18"/>
          <w:color w:val="auto"/>
        </w:rPr>
      </w:pPr>
    </w:p>
    <w:p>
      <w:pPr>
        <w:jc w:val="both"/>
        <w:ind w:left="900" w:right="20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50"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prepare the report that is required to be included in our annual proxy statement regarding review of financial statements and auditor independence.</w:t>
      </w:r>
    </w:p>
    <w:p>
      <w:pPr>
        <w:spacing w:after="0" w:line="194"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Audit Committee’s report on our financial statements for the fiscal year ended March 31, 2012 is presented below under the heading “Audit Committee Report.”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Under its amended and restated charter, which you may review on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advisors. For additional information regarding outside advisors engaged by the Compensation Committee, please see “Compensation Discussion and Analysis” beginning on page 18 of this proxy statement.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90" w:lineRule="exact"/>
        <w:rPr>
          <w:sz w:val="20"/>
          <w:szCs w:val="20"/>
          <w:color w:val="auto"/>
        </w:rPr>
      </w:pPr>
    </w:p>
    <w:p>
      <w:pPr>
        <w:jc w:val="both"/>
        <w:ind w:left="900" w:right="4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59"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59"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 and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This authority, which expires on May 31, 2013, is limited to an aggregate of 60,000 option shares, no one individual may receive more than 30,000 option shares, and the CEO may not receive options pursuant to this authority. Stock options granted under this delegation of authority vest 20% per year commencing on the first anniversary of the grant date. During fiscal 2012 no stock options were granted to employees under this authority.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Compensation Committee’s report for the fiscal year ended March 31, 2012 is presented below under the heading “Compensation Committee Report” beginning on page 17 of this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periodically review and recommend a set of corporate governance guidelines for the Company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periodically review corporate governance matters generally and recommend action to the Board where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 the qualifications and performance of incumbent directors and determine whether to recommend them for re-election to the Board;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confidential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16" w:lineRule="exact"/>
        <w:rPr>
          <w:sz w:val="20"/>
          <w:szCs w:val="20"/>
          <w:color w:val="auto"/>
        </w:rPr>
      </w:pPr>
    </w:p>
    <w:p>
      <w:pPr>
        <w:ind w:right="600" w:firstLine="456"/>
        <w:spacing w:after="0" w:line="298"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1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Bylaws provide that, to be considered at the 2013 annual meeting, stockholder nominations for the Board of Directors must be submitted in writing and received by our Secretary at the executive offices of the Company during the period beginning on February 8, 2013 and ending May 9, 2013,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nominees for election to the Board at our 2012 annual meeting of stockholders were submitted by stockholders or groups of stockholders owning more than 5%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2012 that requires disclosure as a Compensation Committee interlock.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2012 and who is not also a member of our Board. Except as noted below, all of these persons have been elected to serve until the next annual meeting of our Board or until their earlier resignation or removal.</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9"/>
              </w:rPr>
              <w:t>Name</w:t>
            </w:r>
          </w:p>
        </w:tc>
        <w:tc>
          <w:tcPr>
            <w:tcW w:w="8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28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09"/>
        </w:trPr>
        <w:tc>
          <w:tcPr>
            <w:tcW w:w="17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91"/>
              </w:rPr>
              <w:t>Executive Vice President – Finance and Administration and Chief Financial Officer (has held current office since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91"/>
              </w:rPr>
              <w:t>August 2009; Vice President – Investor Relations and Corporate Development from March 2005 through August</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2009; Audit Manager of Ernst &amp; Young LLP from April 2002 through September 2005).</w:t>
            </w:r>
          </w:p>
        </w:tc>
      </w:tr>
      <w:tr>
        <w:trPr>
          <w:trHeight w:val="318"/>
        </w:trPr>
        <w:tc>
          <w:tcPr>
            <w:tcW w:w="17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 Cement/Aggregates and Concrete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93"/>
              </w:rPr>
              <w:t>(has held current office since January 2003; President of Texas Lehigh Cement Company from 1985 through</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December 2002).</w:t>
            </w:r>
          </w:p>
        </w:tc>
      </w:tr>
      <w:tr>
        <w:trPr>
          <w:trHeight w:val="331"/>
        </w:trPr>
        <w:tc>
          <w:tcPr>
            <w:tcW w:w="17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91"/>
              </w:rPr>
              <w:t>(Executive Vice President and General Counsel since November 2000; Mr. Graass was named Secretary of the</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Company in July 2001).</w:t>
            </w:r>
          </w:p>
        </w:tc>
      </w:tr>
      <w:tr>
        <w:trPr>
          <w:trHeight w:val="331"/>
        </w:trPr>
        <w:tc>
          <w:tcPr>
            <w:tcW w:w="176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 Gypsum and President of American Gypsum Company</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94"/>
              </w:rPr>
              <w:t>(has held current office since January 2005; Executive Vice President – Marketing, Sales and Distribution of</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89"/>
              </w:rPr>
              <w:t>American Gypsum Company from June 2002 through December 2004; Vice President, Customer Service of USG</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91"/>
              </w:rPr>
              <w:t>Corporation from 2000 through 2002; Vice President, Specialty Products and Architectural Systems Business of</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USG Corporation from 1998 through 2000).</w:t>
            </w:r>
          </w:p>
        </w:tc>
      </w:tr>
      <w:tr>
        <w:trPr>
          <w:trHeight w:val="331"/>
        </w:trPr>
        <w:tc>
          <w:tcPr>
            <w:tcW w:w="176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 Strategy, Corporate Development and Communications</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88"/>
              </w:rPr>
              <w:t>(has held current office since August 2009; Senior Vice President of Centex Corporation from 2000 through August</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31"/>
        </w:trPr>
        <w:tc>
          <w:tcPr>
            <w:tcW w:w="1760" w:type="dxa"/>
            <w:vAlign w:val="bottom"/>
            <w:gridSpan w:val="3"/>
          </w:tcPr>
          <w:p>
            <w:pPr>
              <w:spacing w:after="0"/>
              <w:rPr>
                <w:sz w:val="20"/>
                <w:szCs w:val="20"/>
                <w:color w:val="auto"/>
              </w:rPr>
            </w:pPr>
            <w:r>
              <w:rPr>
                <w:rFonts w:ascii="Arial" w:cs="Arial" w:eastAsia="Arial" w:hAnsi="Arial"/>
                <w:sz w:val="18"/>
                <w:szCs w:val="18"/>
                <w:color w:val="auto"/>
              </w:rPr>
              <w:t>William R. Devlin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w w:val="88"/>
              </w:rPr>
              <w:t>(has held current office since August 2009; Vice President and Controller from October 2005 through August 2009;</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Director of Internal Audit from September 2004 through September 2005; Senior Manager of</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3"/>
          </w:tcPr>
          <w:p>
            <w:pPr>
              <w:ind w:left="320"/>
              <w:spacing w:after="0"/>
              <w:rPr>
                <w:sz w:val="20"/>
                <w:szCs w:val="20"/>
                <w:color w:val="auto"/>
              </w:rPr>
            </w:pPr>
            <w:r>
              <w:rPr>
                <w:rFonts w:ascii="Arial" w:cs="Arial" w:eastAsia="Arial" w:hAnsi="Arial"/>
                <w:sz w:val="18"/>
                <w:szCs w:val="18"/>
                <w:color w:val="auto"/>
              </w:rPr>
              <w:t>PricewaterhouseCoopers LLP from July 1999 through August 2004).</w:t>
            </w:r>
          </w:p>
        </w:tc>
      </w:tr>
      <w:tr>
        <w:trPr>
          <w:trHeight w:val="378"/>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ind w:left="31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Richard R. Stewart, </w:t>
      </w:r>
      <w:r>
        <w:rPr>
          <w:rFonts w:ascii="Arial" w:cs="Arial" w:eastAsia="Arial" w:hAnsi="Arial"/>
          <w:sz w:val="18"/>
          <w:szCs w:val="18"/>
          <w:i w:val="1"/>
          <w:iCs w:val="1"/>
          <w:color w:val="auto"/>
        </w:rPr>
        <w:t>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240" w:top="459" w:right="5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04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804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Strong Performance</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Because Eagle Materials operates in the highly cyclical construction products industry, our performance relative to our industry peers is a critical consideration when evaluating management performance. Peer comparisons help to distinguish the effects of management performance from the more general effects of business cycle trends, thereby providing important information that has bearing on management rewards. We believe that comparisons to the performance of our industry peers can be more meaningful than comparisons to “peer groups” generated by proxy advisory firms, which may use classifications such as GICS codes to generate groups that contain only a very small sample of our actual industry competitors and include companies whose businesses are unrelated to construction products and therefore subject to a significantly different economic and business environment. For purposes of the discussion that follows, our “direct peers” are four domestic public company competitors, our “industry peers” are the direct peers plus international industry participants, and our “compensation peers” are the direct peers plus supplemental peers, in each case as described more fully in the “Benchmarking” section below.</w:t>
      </w:r>
    </w:p>
    <w:p>
      <w:pPr>
        <w:spacing w:after="0" w:line="120" w:lineRule="exact"/>
        <w:rPr>
          <w:sz w:val="20"/>
          <w:szCs w:val="20"/>
          <w:color w:val="auto"/>
        </w:rPr>
      </w:pPr>
    </w:p>
    <w:p>
      <w:pPr>
        <w:ind w:left="200" w:right="40" w:firstLine="443"/>
        <w:spacing w:after="0" w:line="301" w:lineRule="auto"/>
        <w:rPr>
          <w:sz w:val="20"/>
          <w:szCs w:val="20"/>
          <w:color w:val="auto"/>
        </w:rPr>
      </w:pPr>
      <w:r>
        <w:rPr>
          <w:rFonts w:ascii="Arial" w:cs="Arial" w:eastAsia="Arial" w:hAnsi="Arial"/>
          <w:sz w:val="15"/>
          <w:szCs w:val="15"/>
          <w:color w:val="auto"/>
        </w:rPr>
        <w:t xml:space="preserve">The Compensation Committee believes that certain operational/financial metrics, including those that are relevant to a company’s position as a low-cost producer, are important to maintaining a long-term competitive advantage in commodity businesses like those in which Eagle participates and are key factors in assessing the Company’s performance against its industry peers. Proxy advisory firms focus almost entirely on short-term metrics related only to share performance (one-year and three-year total shareholder return) – factors which our Compensation Committee considers as well, along with long-term share performance. In line with our belief, in setting compensation for our fiscal year ended March 31, 2012, our Compensation Committee reviewed the Company’s performance against its direct peers and industry peers using several different metrics, including five-year-average return on equity (against our direct peers and industry peers), five-year average return on assets (against our direct peers and industry peers), one-year and three-year-average operating margin (against our direct peers), and one-year, three-year and ten-year total shareholder return (against our direct peers). </w:t>
      </w:r>
      <w:r>
        <w:rPr>
          <w:rFonts w:ascii="Arial" w:cs="Arial" w:eastAsia="Arial" w:hAnsi="Arial"/>
          <w:sz w:val="15"/>
          <w:szCs w:val="15"/>
          <w:b w:val="1"/>
          <w:bCs w:val="1"/>
          <w:i w:val="1"/>
          <w:iCs w:val="1"/>
          <w:color w:val="auto"/>
        </w:rPr>
        <w:t>The review of these metrics by the</w:t>
      </w:r>
    </w:p>
    <w:p>
      <w:pPr>
        <w:spacing w:after="0" w:line="4" w:lineRule="exact"/>
        <w:rPr>
          <w:sz w:val="20"/>
          <w:szCs w:val="20"/>
          <w:color w:val="auto"/>
        </w:rPr>
      </w:pPr>
    </w:p>
    <w:p>
      <w:pPr>
        <w:ind w:left="200" w:right="620"/>
        <w:spacing w:after="0" w:line="323" w:lineRule="auto"/>
        <w:rPr>
          <w:sz w:val="20"/>
          <w:szCs w:val="20"/>
          <w:color w:val="auto"/>
        </w:rPr>
      </w:pPr>
      <w:r>
        <w:rPr>
          <w:rFonts w:ascii="Arial" w:cs="Arial" w:eastAsia="Arial" w:hAnsi="Arial"/>
          <w:sz w:val="16"/>
          <w:szCs w:val="16"/>
          <w:b w:val="1"/>
          <w:bCs w:val="1"/>
          <w:i w:val="1"/>
          <w:iCs w:val="1"/>
          <w:color w:val="auto"/>
        </w:rPr>
        <w:t>Compensation Committee showed that the Company’s performance was at the 100</w:t>
      </w:r>
      <w:r>
        <w:rPr>
          <w:rFonts w:ascii="Arial" w:cs="Arial" w:eastAsia="Arial" w:hAnsi="Arial"/>
          <w:sz w:val="10"/>
          <w:szCs w:val="10"/>
          <w:b w:val="1"/>
          <w:bCs w:val="1"/>
          <w:i w:val="1"/>
          <w:iCs w:val="1"/>
          <w:color w:val="auto"/>
        </w:rPr>
        <w:t>th</w:t>
      </w:r>
      <w:r>
        <w:rPr>
          <w:rFonts w:ascii="Arial" w:cs="Arial" w:eastAsia="Arial" w:hAnsi="Arial"/>
          <w:sz w:val="16"/>
          <w:szCs w:val="16"/>
          <w:b w:val="1"/>
          <w:bCs w:val="1"/>
          <w:i w:val="1"/>
          <w:iCs w:val="1"/>
          <w:color w:val="auto"/>
        </w:rPr>
        <w:t xml:space="preserve"> percentile in every operational/financial category (i.e., every category other than total shareholder return), and at or above the 75</w:t>
      </w:r>
      <w:r>
        <w:rPr>
          <w:rFonts w:ascii="Arial" w:cs="Arial" w:eastAsia="Arial" w:hAnsi="Arial"/>
          <w:sz w:val="10"/>
          <w:szCs w:val="10"/>
          <w:b w:val="1"/>
          <w:bCs w:val="1"/>
          <w:i w:val="1"/>
          <w:iCs w:val="1"/>
          <w:color w:val="auto"/>
        </w:rPr>
        <w:t>th</w:t>
      </w:r>
      <w:r>
        <w:rPr>
          <w:rFonts w:ascii="Arial" w:cs="Arial" w:eastAsia="Arial" w:hAnsi="Arial"/>
          <w:sz w:val="16"/>
          <w:szCs w:val="16"/>
          <w:b w:val="1"/>
          <w:bCs w:val="1"/>
          <w:i w:val="1"/>
          <w:iCs w:val="1"/>
          <w:color w:val="auto"/>
        </w:rPr>
        <w:t xml:space="preserve"> percentile in all categories.</w:t>
      </w:r>
    </w:p>
    <w:p>
      <w:pPr>
        <w:spacing w:after="0" w:line="93"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During our fiscal year ended March 31, 2012, the Company generally outperformed its direct peers. The Company was able to generate operating earnings of $69.4 million in fiscal 2012, during which time most of our direct peers reported operating losses. In fact, Eagle is one of the few companies in the construction products industry that has remained profitable every year throughout the continued and sustained global economic decline that started in 2007. The following graphs demonstrate Eagle’s superior performance relative to its peers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81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28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Source: Longnecker &amp; Associates. All measures are trailing 12 months as of 6/1/12, except for ROTC which is based on last fiscal year end.</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 Peers: Martin Marietta, Texas Industries Inc., USG Corp., Vulcan Materials</w:t>
      </w:r>
    </w:p>
    <w:p>
      <w:pPr>
        <w:spacing w:after="0" w:line="17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Industry Peers: Martin Marietta, Texas Industries Inc., USG Corp., Vulcan Materials, Titan Cement Co. S.A., CRH, Buzzi Unicem S.p.A., Holcim Ltd., HeidelbergCement AG, Lafarge S.A., Cementos Bio-Bio S.A., Cementos Portland Valderrivas, Cemex S.A.B. de C.V., Italcementi S.p.A., Cementos Argos S.A., Headwaters Incorporated</w:t>
      </w:r>
    </w:p>
    <w:p>
      <w:pPr>
        <w:spacing w:after="0" w:line="140"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Our Compensation Committee believes that these results may be attributed in part to management’s prudent use of debt, its avoidance of risky acquisitions, and its low-cost position in its markets – all factors which presented issues for our industry peers to varying degrees. This disciplined approach has left Eagle well-positioned to capitalize on new opportunities when the conditions in the construction products industry improve.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Compensation Practices</w:t>
      </w:r>
    </w:p>
    <w:p>
      <w:pPr>
        <w:spacing w:after="0" w:line="96"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4" w:lineRule="exact"/>
        <w:rPr>
          <w:sz w:val="20"/>
          <w:szCs w:val="20"/>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employment agreements with our executives.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Over the past eight fiscal years, the majority of the equity utilized in our annual long-term compensation program has been performance-based.</w:t>
      </w:r>
    </w:p>
    <w:p>
      <w:pPr>
        <w:spacing w:after="0" w:line="124" w:lineRule="exact"/>
        <w:rPr>
          <w:rFonts w:ascii="Arial" w:cs="Arial" w:eastAsia="Arial" w:hAnsi="Arial"/>
          <w:sz w:val="15"/>
          <w:szCs w:val="15"/>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90" w:lineRule="exact"/>
        <w:rPr>
          <w:rFonts w:ascii="Arial" w:cs="Arial" w:eastAsia="Arial" w:hAnsi="Arial"/>
          <w:sz w:val="18"/>
          <w:szCs w:val="18"/>
          <w:color w:val="auto"/>
        </w:rPr>
      </w:pPr>
    </w:p>
    <w:p>
      <w:pPr>
        <w:ind w:left="1060" w:right="60" w:hanging="431"/>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Profit Sharing and Retirement Plan are determined on the same basis as the benefits provided all salaried employees.</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stock ownership guidelines require management to align their long-term interests with those of our stockholders.</w:t>
      </w:r>
    </w:p>
    <w:p>
      <w:pPr>
        <w:spacing w:after="0" w:line="90" w:lineRule="exact"/>
        <w:rPr>
          <w:rFonts w:ascii="Arial" w:cs="Arial" w:eastAsia="Arial" w:hAnsi="Arial"/>
          <w:sz w:val="18"/>
          <w:szCs w:val="18"/>
          <w:color w:val="auto"/>
        </w:rPr>
      </w:pPr>
    </w:p>
    <w:p>
      <w:pPr>
        <w:ind w:left="1060" w:right="560" w:hanging="431"/>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our insider trading policy, employees and executives are prohibited from speculating in our securities or engaging in transactions designed to hedge their ownership interests.</w:t>
      </w: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Fiscal 2012 Compensation Highlights</w:t>
      </w:r>
    </w:p>
    <w:p>
      <w:pPr>
        <w:spacing w:after="0" w:line="96"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The following highlights of our executive compensation program in fiscal 2012 exemplify our long-standing commitment to sound compensation practices, including pay-for-performance.</w:t>
      </w:r>
    </w:p>
    <w:p>
      <w:pPr>
        <w:spacing w:after="0" w:line="51" w:lineRule="exact"/>
        <w:rPr>
          <w:sz w:val="20"/>
          <w:szCs w:val="20"/>
          <w:color w:val="auto"/>
        </w:rPr>
      </w:pPr>
    </w:p>
    <w:p>
      <w:pPr>
        <w:ind w:left="1060" w:hanging="4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various components of the compensation payable to our Named Executive Officers, or “NEOs,” during fiscal 2012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60" w:hanging="431"/>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base salaries for fiscal 2012 for our NEOs are on average at or below the median base salary of our compensation peer group.</w:t>
      </w:r>
    </w:p>
    <w:p>
      <w:pPr>
        <w:spacing w:after="0" w:line="113" w:lineRule="exact"/>
        <w:rPr>
          <w:rFonts w:ascii="Arial" w:cs="Arial" w:eastAsia="Arial" w:hAnsi="Arial"/>
          <w:sz w:val="16"/>
          <w:szCs w:val="16"/>
          <w:color w:val="auto"/>
        </w:rPr>
      </w:pPr>
    </w:p>
    <w:p>
      <w:pPr>
        <w:ind w:left="1060" w:hanging="43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61% of the total target compensation of our CEO and our other NEOs for fiscal 2012 was performance-based.</w:t>
      </w:r>
    </w:p>
    <w:p>
      <w:pPr>
        <w:spacing w:after="0" w:line="90" w:lineRule="exact"/>
        <w:rPr>
          <w:rFonts w:ascii="Arial" w:cs="Arial" w:eastAsia="Arial" w:hAnsi="Arial"/>
          <w:sz w:val="18"/>
          <w:szCs w:val="18"/>
          <w:color w:val="auto"/>
        </w:rPr>
      </w:pPr>
    </w:p>
    <w:p>
      <w:pPr>
        <w:ind w:left="1060" w:hanging="431"/>
        <w:spacing w:after="0" w:line="25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of our cash annual incentive bonus for our NEOs for fiscal 2012 was performance-based in that it was tied to operating earnings. For example, the Eagle Annual Incentive Program bonus pool (in which three of our NEOs participate, along with other executives) was $835,324 in fiscal 2012, compared with $737,359 in fiscal 2011 and $3,716,614 in fiscal 2007 (record earnings year). Also, cash annual incentive bonuses were structured in all cases so that they could be adjusted downward by the Compensation Committee at the end of the fiscal year based on an individual NEO’s performance.</w:t>
      </w:r>
    </w:p>
    <w:p>
      <w:pPr>
        <w:spacing w:after="0" w:line="61" w:lineRule="exact"/>
        <w:rPr>
          <w:rFonts w:ascii="Arial" w:cs="Arial" w:eastAsia="Arial" w:hAnsi="Arial"/>
          <w:sz w:val="18"/>
          <w:szCs w:val="18"/>
          <w:color w:val="auto"/>
        </w:rPr>
      </w:pPr>
    </w:p>
    <w:p>
      <w:pPr>
        <w:ind w:left="1060" w:right="100" w:hanging="431"/>
        <w:spacing w:after="0" w:line="323" w:lineRule="auto"/>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75% of the value of our annual long-term equity awards made during fiscal 2012 was in the form of performance-based restricted stock. This grant was to be earned if the Company attained a target level average return on invested capital for the ten years ended March 31, 2012. In May 2012, the Compensation Committee determined that this performance target had been satisfied, at which point one-fifth of the shares became vested. The remaining shares will vest ratably on March 31 of 2013, 2014, 2015 and 2016 (assuming continued service by the relevant officer).</w:t>
      </w:r>
    </w:p>
    <w:p>
      <w:pPr>
        <w:spacing w:after="0" w:line="16" w:lineRule="exact"/>
        <w:rPr>
          <w:rFonts w:ascii="Arial" w:cs="Arial" w:eastAsia="Arial" w:hAnsi="Arial"/>
          <w:sz w:val="15"/>
          <w:szCs w:val="15"/>
          <w:color w:val="auto"/>
        </w:rPr>
      </w:pPr>
    </w:p>
    <w:p>
      <w:pPr>
        <w:ind w:left="1060" w:hanging="431"/>
        <w:spacing w:after="0" w:line="25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the value of our annual long-term equity awards made during fiscal 2012 was in the form of time-vesting stock options. One-third of the stock options will vest in June 2012, one-third will vest in June 2013 and one-third will vest in June 2014 (assuming continued service by the relevant officer). Eagle views time-vesting stock options as pay-for-performance awards because they are of value only if and to the extent that the share price at the time of exercise exceeds the market price on the date of grant – executives receive nothing if the price of our stock does not rise.</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213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2134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43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Some key features of our CEO’s fiscal 2012 compensation:</w:t>
      </w:r>
    </w:p>
    <w:p>
      <w:pPr>
        <w:spacing w:after="0" w:line="90" w:lineRule="exact"/>
        <w:rPr>
          <w:rFonts w:ascii="Arial" w:cs="Arial" w:eastAsia="Arial" w:hAnsi="Arial"/>
          <w:sz w:val="18"/>
          <w:szCs w:val="18"/>
          <w:color w:val="auto"/>
        </w:rPr>
      </w:pPr>
    </w:p>
    <w:p>
      <w:pPr>
        <w:ind w:left="1620" w:hanging="545"/>
        <w:spacing w:after="0" w:line="26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Our CEO’s base salary increased by 4.9% in fiscal 2012, after having a 2.5% increase and no increase, respectively, the two previous fiscal years.</w:t>
      </w:r>
    </w:p>
    <w:p>
      <w:pPr>
        <w:spacing w:after="0" w:line="50" w:lineRule="exact"/>
        <w:rPr>
          <w:rFonts w:ascii="Arial" w:cs="Arial" w:eastAsia="Arial" w:hAnsi="Arial"/>
          <w:sz w:val="18"/>
          <w:szCs w:val="18"/>
          <w:color w:val="auto"/>
        </w:rPr>
      </w:pPr>
    </w:p>
    <w:p>
      <w:pPr>
        <w:ind w:left="1620" w:right="20" w:hanging="545"/>
        <w:spacing w:after="0" w:line="268"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allocation of our CEO’s total compensation among compensation categories is in line with the fiscal 2012 average for our NEOs shown above.</w:t>
      </w:r>
    </w:p>
    <w:p>
      <w:pPr>
        <w:spacing w:after="0" w:line="50" w:lineRule="exact"/>
        <w:rPr>
          <w:rFonts w:ascii="Arial" w:cs="Arial" w:eastAsia="Arial" w:hAnsi="Arial"/>
          <w:sz w:val="18"/>
          <w:szCs w:val="18"/>
          <w:color w:val="auto"/>
        </w:rPr>
      </w:pPr>
    </w:p>
    <w:p>
      <w:pPr>
        <w:ind w:left="1620" w:hanging="545"/>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63% of our CEO’s total compensation for fiscal 2012 was performance-based.</w:t>
      </w:r>
    </w:p>
    <w:p>
      <w:pPr>
        <w:spacing w:after="0" w:line="33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24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This Compensation Discussion and Analysis is intended to provide investors with a more complete understanding of our compensation policies and decisions during fiscal 2012 for the following persons who were “Named Executive Officers” during such fiscal year:</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Steven R. Rowley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40"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140"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Cement/Aggregates and Concrete</w:t>
      </w:r>
    </w:p>
    <w:p>
      <w:pPr>
        <w:spacing w:after="0" w:line="152"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David B.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Gypsum</w:t>
      </w:r>
    </w:p>
    <w:p>
      <w:pPr>
        <w:spacing w:after="0" w:line="151"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James H. Graass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General Counsel and Secretary</w:t>
      </w:r>
    </w:p>
    <w:p>
      <w:pPr>
        <w:spacing w:after="0" w:line="200"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performance by both our executives and the Company relative to our peers’ performance in light of business conditions,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90" w:lineRule="exact"/>
        <w:rPr>
          <w:rFonts w:ascii="Arial" w:cs="Arial" w:eastAsia="Arial" w:hAnsi="Arial"/>
          <w:sz w:val="18"/>
          <w:szCs w:val="18"/>
          <w:color w:val="auto"/>
        </w:rPr>
      </w:pPr>
    </w:p>
    <w:p>
      <w:pPr>
        <w:ind w:left="1580" w:hanging="546"/>
        <w:spacing w:after="0"/>
        <w:tabs>
          <w:tab w:leader="none" w:pos="15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13" w:lineRule="exact"/>
        <w:rPr>
          <w:rFonts w:ascii="Arial" w:cs="Arial" w:eastAsia="Arial" w:hAnsi="Arial"/>
          <w:sz w:val="16"/>
          <w:szCs w:val="16"/>
          <w:color w:val="auto"/>
        </w:rPr>
      </w:pPr>
    </w:p>
    <w:p>
      <w:pPr>
        <w:ind w:left="1580" w:right="40" w:hanging="546"/>
        <w:spacing w:after="0" w:line="268" w:lineRule="auto"/>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Structuring long-term compensation as equity awards, so that executives have an appropriate incentive to contribute to the creation of long-term stockholder value, and</w:t>
      </w:r>
    </w:p>
    <w:p>
      <w:pPr>
        <w:spacing w:after="0" w:line="50" w:lineRule="exact"/>
        <w:rPr>
          <w:rFonts w:ascii="Arial" w:cs="Arial" w:eastAsia="Arial" w:hAnsi="Arial"/>
          <w:sz w:val="18"/>
          <w:szCs w:val="18"/>
          <w:color w:val="auto"/>
        </w:rPr>
      </w:pPr>
    </w:p>
    <w:p>
      <w:pPr>
        <w:ind w:left="1580" w:right="640" w:hanging="546"/>
        <w:spacing w:after="0" w:line="268" w:lineRule="auto"/>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90" w:lineRule="exact"/>
        <w:rPr>
          <w:rFonts w:ascii="Arial" w:cs="Arial" w:eastAsia="Arial" w:hAnsi="Arial"/>
          <w:sz w:val="18"/>
          <w:szCs w:val="18"/>
          <w:color w:val="auto"/>
        </w:rPr>
      </w:pPr>
    </w:p>
    <w:p>
      <w:pPr>
        <w:ind w:left="1580" w:hanging="546"/>
        <w:spacing w:after="0"/>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Basing our annual incentive bonus on both our earnings and individual performance, and</w:t>
      </w:r>
    </w:p>
    <w:p>
      <w:pPr>
        <w:spacing w:after="0" w:line="90" w:lineRule="exact"/>
        <w:rPr>
          <w:rFonts w:ascii="Arial" w:cs="Arial" w:eastAsia="Arial" w:hAnsi="Arial"/>
          <w:sz w:val="18"/>
          <w:szCs w:val="18"/>
          <w:color w:val="auto"/>
        </w:rPr>
      </w:pPr>
    </w:p>
    <w:p>
      <w:pPr>
        <w:ind w:left="1580" w:hanging="546"/>
        <w:spacing w:after="0"/>
        <w:tabs>
          <w:tab w:leader="none" w:pos="15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Tying the vesting of a substantial majority of our equity-based awards to the achievement of financial and/or operating goals.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achieve our compensation objectives for fiscal 2012, our executive compensation program used a combination of short-term and long-term elements:</w:t>
      </w:r>
    </w:p>
    <w:p>
      <w:pPr>
        <w:spacing w:after="0" w:line="38" w:lineRule="exact"/>
        <w:rPr>
          <w:sz w:val="20"/>
          <w:szCs w:val="20"/>
          <w:color w:val="auto"/>
        </w:rPr>
      </w:pPr>
    </w:p>
    <w:p>
      <w:pPr>
        <w:ind w:right="220" w:firstLine="8"/>
        <w:spacing w:after="0" w:line="323"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annual salary, (2) annual incentive bonus, and (3) long-term incentive compensation in the form of stock options and restricted stock. Each element of long-term and short-term compensation is discussed more fully below under the heading “Elements of Executive Compensation.”</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u w:val="single" w:color="auto"/>
          <w:color w:val="auto"/>
        </w:rPr>
        <w:t>No Employment Agreements; No Change-in-Control Agreements</w:t>
      </w:r>
      <w:r>
        <w:rPr>
          <w:rFonts w:ascii="Arial" w:cs="Arial" w:eastAsia="Arial" w:hAnsi="Arial"/>
          <w:sz w:val="18"/>
          <w:szCs w:val="18"/>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the 2011 Annual Meeting of Stockholders, the Company’s stockholders voted to approve a non-binding advisory resolution approving the compensation paid to our Named Executive Officers as disclosed in the proxy statement for the 2011 Annual Meeting of Stockholders. The vote was 97.6% in favor, 2.3% against (with 0.1% abstaining). The Committee took into account the result of the stockholder vote in determining executive compensation policies and decisions since the 2011 Annual Meeting of Stockholders. The Committee views the 2011 vote as an endorsement of the compensation philosophy of the Company, and an expression of the stockholders’ general satisfaction with the Company’s current executive compensation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Although the majority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5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Compensation Committee consists solely of directors who are independent under the NYSE listing standards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8"/>
          <w:szCs w:val="18"/>
          <w:i w:val="1"/>
          <w:iCs w:val="1"/>
          <w:color w:val="auto"/>
        </w:rPr>
        <w:t>www.eaglematerials.com</w:t>
      </w:r>
      <w:r>
        <w:rPr>
          <w:rFonts w:ascii="Arial" w:cs="Arial" w:eastAsia="Arial" w:hAnsi="Arial"/>
          <w:sz w:val="18"/>
          <w:szCs w:val="18"/>
          <w:color w:val="auto"/>
        </w:rPr>
        <w: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51" w:lineRule="exact"/>
        <w:rPr>
          <w:sz w:val="20"/>
          <w:szCs w:val="20"/>
          <w:color w:val="auto"/>
        </w:rPr>
      </w:pPr>
    </w:p>
    <w:p>
      <w:pPr>
        <w:ind w:left="900" w:right="380" w:hanging="446"/>
        <w:spacing w:after="0" w:line="303"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w:t>
      </w:r>
    </w:p>
    <w:p>
      <w:pPr>
        <w:spacing w:after="0" w:line="1" w:lineRule="exact"/>
        <w:rPr>
          <w:rFonts w:ascii="Arial" w:cs="Arial" w:eastAsia="Arial" w:hAnsi="Arial"/>
          <w:sz w:val="15"/>
          <w:szCs w:val="15"/>
          <w:color w:val="auto"/>
        </w:rPr>
      </w:pPr>
    </w:p>
    <w:p>
      <w:pPr>
        <w:ind w:left="900" w:right="140"/>
        <w:spacing w:after="0" w:line="288" w:lineRule="auto"/>
        <w:rPr>
          <w:rFonts w:ascii="Arial" w:cs="Arial" w:eastAsia="Arial" w:hAnsi="Arial"/>
          <w:sz w:val="15"/>
          <w:szCs w:val="15"/>
          <w:color w:val="auto"/>
        </w:rPr>
      </w:pPr>
      <w:r>
        <w:rPr>
          <w:rFonts w:ascii="Arial" w:cs="Arial" w:eastAsia="Arial" w:hAnsi="Arial"/>
          <w:sz w:val="16"/>
          <w:szCs w:val="16"/>
          <w:color w:val="auto"/>
        </w:rPr>
        <w:t>(3) whether the Compensation Committee will make any long-term incentive compensation awards in such fiscal year, (4) if the Compensation Committee decides to make long-term compensation awards for such fiscal year, the nature of and terms applicable to such awards, including the form any such awards will take (e.g., options, restricted stock and/or restricted stock units), the individual long-term compensation potential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2012, the Compensation Committee made these determinations at five separate meetings held in April, May and June 2011.</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After the end of the fiscal year, the Compensation Committee (1) approves the calculation of operating earnings used for purposes of determining annual incentive bonus potential,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2012 at three separate meetings held in April and May 2012.</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CEO, Mr. Rowley, participates to a certain extent in the administration of our compensation program for Named Executive Officers, other than himself. At the end of each fiscal year, Mr. Rowley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Mr. Rowley’s input, along with other information presented by its compensation consultants or otherwise available to it, in making its final compensation decisions with respect to the Named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an effort to ensure that our executive compensation program for fiscal 2012 was competitive, the Compensation Committee engaged Mercer to compare our total compensation (salary, incentive bonus and long-term compensation) to a peer group of companies, including companies in the construction products industry, which we refer to as our “direct peers,” and housing-construction-related companies with similar market values, which we refer to as our “supplemental peers.”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Compensation Committee, with input from Mercer and our management, selected our direct peers from companies within the construction materials sector. Included in the direct peer group were companies from each of our operating segments (wallboard, cement, concrete and aggregates), but none of the companies operates in all of our segments. Because there is a very limited number of publicly-traded direct competitors in the construction materials sector and because most of the companies in our direct peer group have larger revenues than we do, the Compensation Committee, in conjunction with Mercer, supplemented the initial selection of companies with additional companies in other areas of the housing-construction-related industry with market capitalizations ranging from $333 million to $3.8 billion. We collectively refer to our direct peer group and supplemental peer group as our “compensation peer group” or “compensation peers.”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2012 the compensation peer group consisted of the following 16 companies: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Armstrong Holdings Inc.</w:t>
            </w:r>
          </w:p>
        </w:tc>
        <w:tc>
          <w:tcPr>
            <w:tcW w:w="3600" w:type="dxa"/>
            <w:vAlign w:val="bottom"/>
          </w:tcPr>
          <w:p>
            <w:pPr>
              <w:ind w:left="1420"/>
              <w:spacing w:after="0"/>
              <w:rPr>
                <w:sz w:val="20"/>
                <w:szCs w:val="20"/>
                <w:color w:val="auto"/>
              </w:rPr>
            </w:pPr>
            <w:r>
              <w:rPr>
                <w:rFonts w:ascii="Arial" w:cs="Arial" w:eastAsia="Arial" w:hAnsi="Arial"/>
                <w:sz w:val="18"/>
                <w:szCs w:val="18"/>
                <w:color w:val="auto"/>
              </w:rPr>
              <w:t>Quanex Building Products</w:t>
            </w:r>
          </w:p>
        </w:tc>
      </w:t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Astec Industries</w:t>
            </w:r>
          </w:p>
        </w:tc>
        <w:tc>
          <w:tcPr>
            <w:tcW w:w="3600" w:type="dxa"/>
            <w:vAlign w:val="bottom"/>
          </w:tcPr>
          <w:p>
            <w:pPr>
              <w:ind w:left="1420"/>
              <w:spacing w:after="0"/>
              <w:rPr>
                <w:sz w:val="20"/>
                <w:szCs w:val="20"/>
                <w:color w:val="auto"/>
              </w:rPr>
            </w:pPr>
            <w:r>
              <w:rPr>
                <w:rFonts w:ascii="Arial" w:cs="Arial" w:eastAsia="Arial" w:hAnsi="Arial"/>
                <w:sz w:val="18"/>
                <w:szCs w:val="18"/>
                <w:color w:val="auto"/>
              </w:rPr>
              <w:t>Simpson Manufacturing</w:t>
            </w:r>
          </w:p>
        </w:tc>
      </w:t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Gibraltar Industries</w:t>
            </w:r>
          </w:p>
        </w:tc>
        <w:tc>
          <w:tcPr>
            <w:tcW w:w="3600" w:type="dxa"/>
            <w:vAlign w:val="bottom"/>
          </w:tcPr>
          <w:p>
            <w:pPr>
              <w:ind w:left="1420"/>
              <w:spacing w:after="0"/>
              <w:rPr>
                <w:sz w:val="20"/>
                <w:szCs w:val="20"/>
                <w:color w:val="auto"/>
              </w:rPr>
            </w:pPr>
            <w:r>
              <w:rPr>
                <w:rFonts w:ascii="Arial" w:cs="Arial" w:eastAsia="Arial" w:hAnsi="Arial"/>
                <w:sz w:val="18"/>
                <w:szCs w:val="18"/>
                <w:color w:val="auto"/>
              </w:rPr>
              <w:t>Temple Inland Inc.</w:t>
            </w:r>
          </w:p>
        </w:tc>
      </w:t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Granite Construction</w:t>
            </w:r>
          </w:p>
        </w:tc>
        <w:tc>
          <w:tcPr>
            <w:tcW w:w="3600" w:type="dxa"/>
            <w:vAlign w:val="bottom"/>
          </w:tcPr>
          <w:p>
            <w:pPr>
              <w:ind w:left="1420"/>
              <w:spacing w:after="0"/>
              <w:rPr>
                <w:sz w:val="20"/>
                <w:szCs w:val="20"/>
                <w:color w:val="auto"/>
              </w:rPr>
            </w:pPr>
            <w:r>
              <w:rPr>
                <w:rFonts w:ascii="Arial" w:cs="Arial" w:eastAsia="Arial" w:hAnsi="Arial"/>
                <w:sz w:val="18"/>
                <w:szCs w:val="18"/>
                <w:color w:val="auto"/>
              </w:rPr>
              <w:t>Texas Industries Inc.*</w:t>
            </w:r>
          </w:p>
        </w:tc>
      </w:t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Headwaters Incorporated</w:t>
            </w:r>
          </w:p>
        </w:tc>
        <w:tc>
          <w:tcPr>
            <w:tcW w:w="3600" w:type="dxa"/>
            <w:vAlign w:val="bottom"/>
          </w:tcPr>
          <w:p>
            <w:pPr>
              <w:ind w:left="1420"/>
              <w:spacing w:after="0"/>
              <w:rPr>
                <w:sz w:val="20"/>
                <w:szCs w:val="20"/>
                <w:color w:val="auto"/>
              </w:rPr>
            </w:pPr>
            <w:r>
              <w:rPr>
                <w:rFonts w:ascii="Arial" w:cs="Arial" w:eastAsia="Arial" w:hAnsi="Arial"/>
                <w:sz w:val="18"/>
                <w:szCs w:val="18"/>
                <w:color w:val="auto"/>
                <w:w w:val="87"/>
              </w:rPr>
              <w:t>Universal Forest Products, Inc.</w:t>
            </w:r>
          </w:p>
        </w:tc>
      </w:t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Louisiana-Pacific</w:t>
            </w:r>
          </w:p>
        </w:tc>
        <w:tc>
          <w:tcPr>
            <w:tcW w:w="3600" w:type="dxa"/>
            <w:vAlign w:val="bottom"/>
          </w:tcPr>
          <w:p>
            <w:pPr>
              <w:ind w:left="1420"/>
              <w:spacing w:after="0"/>
              <w:rPr>
                <w:sz w:val="20"/>
                <w:szCs w:val="20"/>
                <w:color w:val="auto"/>
              </w:rPr>
            </w:pPr>
            <w:r>
              <w:rPr>
                <w:rFonts w:ascii="Arial" w:cs="Arial" w:eastAsia="Arial" w:hAnsi="Arial"/>
                <w:sz w:val="18"/>
                <w:szCs w:val="18"/>
                <w:color w:val="auto"/>
              </w:rPr>
              <w:t>USG Corp.*</w:t>
            </w:r>
          </w:p>
        </w:tc>
      </w:tr>
      <w:tr>
        <w:trPr>
          <w:trHeight w:val="216"/>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Martin Marietta Materials Inc.*</w:t>
            </w:r>
          </w:p>
        </w:tc>
        <w:tc>
          <w:tcPr>
            <w:tcW w:w="3600" w:type="dxa"/>
            <w:vAlign w:val="bottom"/>
          </w:tcPr>
          <w:p>
            <w:pPr>
              <w:ind w:left="1420"/>
              <w:spacing w:after="0"/>
              <w:rPr>
                <w:sz w:val="20"/>
                <w:szCs w:val="20"/>
                <w:color w:val="auto"/>
              </w:rPr>
            </w:pPr>
            <w:r>
              <w:rPr>
                <w:rFonts w:ascii="Arial" w:cs="Arial" w:eastAsia="Arial" w:hAnsi="Arial"/>
                <w:sz w:val="18"/>
                <w:szCs w:val="18"/>
                <w:color w:val="auto"/>
              </w:rPr>
              <w:t>Valspar Corp.</w:t>
            </w:r>
          </w:p>
        </w:tc>
      </w:tr>
      <w:tr>
        <w:trPr>
          <w:trHeight w:val="222"/>
        </w:trPr>
        <w:tc>
          <w:tcPr>
            <w:tcW w:w="4580" w:type="dxa"/>
            <w:vAlign w:val="bottom"/>
            <w:gridSpan w:val="2"/>
          </w:tcPr>
          <w:p>
            <w:pPr>
              <w:ind w:left="920"/>
              <w:spacing w:after="0"/>
              <w:rPr>
                <w:sz w:val="20"/>
                <w:szCs w:val="20"/>
                <w:color w:val="auto"/>
              </w:rPr>
            </w:pPr>
            <w:r>
              <w:rPr>
                <w:rFonts w:ascii="Arial" w:cs="Arial" w:eastAsia="Arial" w:hAnsi="Arial"/>
                <w:sz w:val="18"/>
                <w:szCs w:val="18"/>
                <w:color w:val="auto"/>
              </w:rPr>
              <w:t>Potlatch Corporation</w:t>
            </w:r>
          </w:p>
        </w:tc>
        <w:tc>
          <w:tcPr>
            <w:tcW w:w="3600" w:type="dxa"/>
            <w:vAlign w:val="bottom"/>
          </w:tcPr>
          <w:p>
            <w:pPr>
              <w:ind w:left="1420"/>
              <w:spacing w:after="0"/>
              <w:rPr>
                <w:sz w:val="20"/>
                <w:szCs w:val="20"/>
                <w:color w:val="auto"/>
              </w:rPr>
            </w:pPr>
            <w:r>
              <w:rPr>
                <w:rFonts w:ascii="Arial" w:cs="Arial" w:eastAsia="Arial" w:hAnsi="Arial"/>
                <w:sz w:val="18"/>
                <w:szCs w:val="18"/>
                <w:color w:val="auto"/>
              </w:rPr>
              <w:t>Vulcan Materials Co.*</w:t>
            </w:r>
          </w:p>
        </w:tc>
      </w:tr>
      <w:tr>
        <w:trPr>
          <w:trHeight w:val="110"/>
        </w:trPr>
        <w:tc>
          <w:tcPr>
            <w:tcW w:w="116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35"/>
        </w:trPr>
        <w:tc>
          <w:tcPr>
            <w:tcW w:w="4580" w:type="dxa"/>
            <w:vAlign w:val="bottom"/>
            <w:gridSpan w:val="2"/>
          </w:tcPr>
          <w:p>
            <w:pPr>
              <w:spacing w:after="0"/>
              <w:rPr>
                <w:sz w:val="20"/>
                <w:szCs w:val="20"/>
                <w:color w:val="auto"/>
              </w:rPr>
            </w:pPr>
            <w:r>
              <w:rPr>
                <w:rFonts w:ascii="Arial" w:cs="Arial" w:eastAsia="Arial" w:hAnsi="Arial"/>
                <w:sz w:val="18"/>
                <w:szCs w:val="18"/>
                <w:color w:val="auto"/>
              </w:rPr>
              <w:t>*  Direct peer.</w:t>
            </w:r>
          </w:p>
        </w:tc>
        <w:tc>
          <w:tcPr>
            <w:tcW w:w="3600" w:type="dxa"/>
            <w:vAlign w:val="bottom"/>
          </w:tcPr>
          <w:p>
            <w:pPr>
              <w:spacing w:after="0"/>
              <w:rPr>
                <w:sz w:val="20"/>
                <w:szCs w:val="20"/>
                <w:color w:val="auto"/>
              </w:rPr>
            </w:pPr>
          </w:p>
        </w:tc>
      </w:tr>
    </w:tbl>
    <w:p>
      <w:pPr>
        <w:spacing w:after="0" w:line="1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Eagle Materials operates in the highly cyclical construction products industry, the Compensation Committee believes that our performance relative to our industry peers is a critical consideration when evaluating management performance. Peer comparisons help to distinguish the effects of management performance from the more general effects of business cycle trends, thereby providing important information bearing on management rewards. This peer group, which we refer to as our “industry peers” is comprised of the direct peers noted above, plus the following international industry participants: Titan Cement Co. S.A., CRH, Buzzi Unicem S.p.A., Holcim Ltd., HeidelbergCement AG, Lafarge S.A., Cementos Bio-Bio S.A., Cementos Portland Valderrivas, Cemex S.A.B. de C.V., Italcementi S.p.A., Cementos Argos S.A., and Headwaters Incorporated.</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are dissimilar to ours. We believe that the compensation peer group and the industry peer group identified by our Compensation Committee for fiscal 2012 provide a more appropriate and meaningful basis for assessing our executive compensation and performance.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used the survey of the compensation peer group prepared by Mercer, which we refer to as our benchmarking study, and the performance comparisons to the industry peers described under “Long-Term Incentive Compensation – Fiscal 2012 Grants” below, to guide it in establishing the main components of Named Executive Officer compensation: salaries, annual incentive bonus opportunity and long-term compensation awards. Because of the limited number of direct peers, the Compensation Committee focused its attention on the entire compensation peer group. The benchmarking study was presented by Mercer to the Compensation Committee in May 2011, and was based on the most recent available data at the time, which in many cases consisted of data for the calendar year ended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As described above, the Compensation Committee engaged Mercer to conduct the benchmarking study at the beginning of fiscal 2012. For fiscal 2012, the Committee set the base salary level for the CEO and the other Named Executive Officers so that on average the base salaries for the Named Executive Officers were at or below the median of the salary levels for equivalent positions at the companies reviewed in the compensation peer group, which is consistent with our philosophy that a significant portion of total compensation should be “at risk.” Other considerations that may influence the salary level for a Named Executive Officer include individual performance, the Named Executive Officer’s skills or experience, our operating performance and the nature and responsibilities of the position.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Compensation Committee is responsible for approving the annual incentive bonus for our CEO and the other Named Executive Officers. Annual incentive bonuses paid to our Named Executive Officers for fiscal 2012 were made under (1) the Eagle Materials Inc. Salaried Incentive Compensation Program for Fiscal Year 2012, which we refer to as the Eagle Annual Incentive Program, (2) annual incentive compensation programs for fiscal 2012 established for particular operating divisions of the Company, which we refer to as Divisional Annual Incentive Bonus Programs, and (3) the Eagle Materials Inc. Special Situation Program for Fiscal Year 2012, which we refer to as the SSP. In general, the Named Executive Officers whose responsibilities extend to the Company as a whole (Messrs. Rowley, Kesler and Graass) participate in the Eagle Annual Incentive Program, and the Named Executive Officers whose responsibilities relate primarily to a particular operating division (Messrs. Essl and Powers) participate in relevant Divisional Annual Incentive Bonus Programs. All of our Named Executive Officers are eligible to participate in the SSP. These programs were structured to create financial incentives and rewards that are directly related to corporate performance and the participating Named Executive Officer’s individual performance during the fiscal year.</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earnings change from year to year. For example, the maximum annual bonus potential (as calculated in the manner described below after the end of the fiscal year) for Mr. Rowley (a participant in the Eagle Annual Incentive Program) decreased 78% from fiscal 2007 (record earnings year) to fiscal 2012, as a result of the decline in Eagle’s earnings and a corresponding reduction in the size of the Eagle Annual Incentive Program pool. Similarly, the maximum bonus potential (as calculated in the manner described below after the end of the fiscal year) for Messrs. Essl and Powers (participants in our Divisional Incentive Programs) decreased 61% and 97%, respectively, from fiscal 2007 to fiscal 2012, as a result of the decline in their respective divisions’ earnings.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fiscal 2012, Messrs. Rowley, Kesler and Graass were participants in the Eagle Annual Incentive Program. Under this program, during the first quarter of each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first quarter of fiscal 2012, the Compensation Committee approved the designation of 1.2% of annual operating earnings for annual incentive bonuses for all executives participating in the Eagle Annual Incentive Program, including the Named Executive Officers. The Committee believes that operating earnings is an appropriate measurement for annual incentive bonuses because this measure is tied more closely to operations and does not take into account certain items of non-operating income and expense. The bonus pool is not subject to a separate cap or maximum, but is merely a function of multiplying the pre-determined percentage by our operating earnings for the applicable fiscal year. Based on this calculation, the aggregate amount available for the Eagle Annual Incentive Program for fiscal 2012 was $835,324, which was not quantifiable until the end of fiscal 2012 and includes amounts available for payment to officers and employees other than the Named Executive Officers. For comparison purposes, the aggregate pool available for payment under such program for fiscal 2011 was $737,359, and in fiscal 2007 (record earnings year) the available pool was $3,716,614. The pool remained at historically low levels in fiscal 2012 due in large part to the adverse market conditions in which the Company operated as described above. In deciding to keep the percentage of earnings which would fund the pool for the Eagle Annual Incentive Program the same as used in prior years (including the record earnings year of fiscal 2007), the Compensation Committee considered several factors, including our compensation philosophy that a significant portion of the executive’s compensation should be “at risk” and subject to the Company’s success (level of earnings).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June 2011, the Compensation Committee set the annual incentive bonus potential for the participants in the Eagle Annual Incentive Program. In allocating the pool, the Compensation Committee did not rely on mathematical formulas or apply any specific quantitative performance measures. Rather, the Compensation Committee’s determination was based on the amount of annual incentive bonus compensation payable to executives in other companies who fulfill similar roles as illustrated in the benchmarking study prepared by Mercer and the share of the pool historically allocated to officers in such roles by the Company, Mr. Rowley’s recommendation for each participant (other than himself),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Named Executive Officers as follows: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Rowley’s annual incentive bonus potential was set at 40%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Kesler’s annual incentive bonus potential was set at 16%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Graass’s annual incentive bonus potential was set at 16% of the bonus pool.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fiscal 2012, each of Messrs. Essl and Powers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of his responsibilities for our Cement and Concrete and Aggregates operations, Mr. Essl participated in both the Eagle Materials Inc. Cement Companies Salaried Incentive Compensation Program for Fiscal Year 2012 and the Eagle Materials Inc. Concrete and Aggregates Companies Incentive Compensation Program for Fiscal Year 2012. Under these plans, the bonus pools equaled 2.25% of our concrete and aggregates subsidiaries’ operating earnings for fiscal 2012 and 2.25% of our cement subsidiaries’ operating earnings for fiscal 2012 (or, in the case of our 50% owned cement joint venture, 2.25% of our portion of that entity’s operating earnings for fiscal 2012), which in each case is also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2012, Mr. Powers participated in the Eagle Materials Inc. American Gypsum Company Salaried Incentive Compensation Program for Fiscal Year</w:t>
      </w:r>
    </w:p>
    <w:p>
      <w:pPr>
        <w:spacing w:after="0" w:line="3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2012. Under this plan, the bonus pool equaled 2.25% of American Gypsum’s operating earnings for fiscal 2012, which is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2012 were as follows: $420,105 (Cement); $1,473 (Concrete and Aggregates); and $136,503 (American Gypsum); which in each case were not quantifiable until the end of fiscal 2012 and include amounts available for payment to officers and employees other than the Named Executive Officers. For comparison purposes, the equivalent amounts in fiscal 2011 were $505,786 (Cement); $28,661 (Concrete and Aggregates); and $28,586 (American Gypsum); and in fiscal 2007 (record earnings year) the available pools were $1,347,374 (Cement); $385,390 (Concrete and Aggregates); and $4,581,079 (American Gypsum).</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June 2011, the Compensation Committee set the annual incentive bonus potential for Messrs. Essl and Powers under these Divisional Annual Incentive Bonus Programs. In determining their respective allocation of the pools, the Compensation Committee did not rely on mathematical formulas or apply any specific quantitative performance measures. Rather, the Compensation Committee’s determination took into consideration Mr. Rowley’s recommendation, the portion of the pools historically allocated to their respective positions and the Compensation Committee’s assessment of their importance and contribution to their respective divisions’ performance, their importance as an officer within their respective divisions in driving the achievement of divisional goals and profitability and their respective levels of responsibility. The Compensation Committee set Mr. Essl’s annual incentive bonus potential at 20% of his divisional bonus pools, plus an amount equal to 20% of 2.25% of our half of Texas Lehigh’s fiscal 2012 earnings, and the Compensation Committee set Mr. Powers’s incentive bonus potential at 20% of his divisional bonus pool.</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2011 Special Situation Program</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first quarter of fiscal 2012 (June 2011), the Compensation Committee approved the SSP, which is a special annual incentive program intended to recognize outstanding individual performance during the fiscal year. The SSP provides flexibility to reward performance when special circumstances arise in which our CEO determines that an individual has not been adequately compensated pursuant to other components of compensation, including instances where an individual’s compensation has been adversely affected by market conditions such as a cyclical downturn. Awards under the SSP are not predetermined for any individuals at the beginning of the fiscal year. All full-time employees of Eagle Materials Inc. or any of our subsidiaries are eligible to receive awards under this program. At the beginning of fiscal 2012, the Compensation Committee determined that 0.35% of our operating earnings for the ensuing fiscal year would fund the SSP. In deciding to keep the percentage of earnings which would fund the SSP the same as the prior year, the Compensation Committee considered several factors, including the anticipated operating earnings for fiscal 2012. Of the Named Executive Officers, only Mr. Powers received an award under the SSP for fiscal 2012, as described under “Approving the Annual Incentive Bonus – Mr. Powers” below.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May 2012, the Compensation Committee approved the fiscal 2012 operating earnings calculation for the Company and the operating earnings calculations for each Divisional Annual Incentive Bonus Program. This allowed the Compensation Committee to quantify the annual incentive bonus potential for each of the Named Executive Officers. In addition, at the end of fiscal 2012,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Rowley himself, the Compensation Committee, with input from the entire Board, performed its own evaluation of his performance and the extent to which the goals and objectives established for him for fiscal 2012 had been achieved.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Rowley</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Mr. Rowley’s goals and objectives for fiscal 2012 (none of which were quantitative) related to: operational execution; financial execution; maintaining effective communication with our Board; maintaining alignment between the Company’s stockholders and employees; maintaining the Company’s ability to execute its operating strategy; executing the Company’s investor relations strategy, including maintaining an appropriate level of communication with investors; and continuing development of the Company’s long-term business strategy. At the end of fiscal 2012, the Compensation Committee conducted its performance evaluation of Mr. Rowley after receiving input from the entire Board. Mr. Rowley also provided input on his achievement of his goals and objectives for fiscal 2012 under the Eagle Annual Incentive Program. Based on this evaluation, the Compensation Committee believes Mr. Rowley performed at a high level during fiscal 2012 and met or exceeded his goals and objectives. That evaluation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resulted in Mr. Rowley receiving 100% of his bonus potential for fiscal 2012. The Compensation Committee approved an annual incentive bonus for Mr. Rowley under the Eagle Annual Incentive Program of $334,130, which is reflected in the “Non-Equity Incentive Plan Compensation” column of the Summary Compensation Table located on page 34 of this proxy statement. In making this determination, the Compensation Committee did not apply specific quantitative performance measures or assign a specific weight to any of the above goals. Rather, the Compensation Committee used its judgment to determine the appropriate award level after consideration of Mr. Rowley’s performance in the following areas (among others) over the past fiscal year:</w:t>
      </w:r>
    </w:p>
    <w:p>
      <w:pPr>
        <w:spacing w:after="0" w:line="35" w:lineRule="exact"/>
        <w:rPr>
          <w:sz w:val="20"/>
          <w:szCs w:val="20"/>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Rowley’s navigation of the Company through the worst economic downturn in many years – maintaining positive cash flow and earnings while improving both the capital structure of the company and positioning it for future growth;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Rowley’s success in driving management’s continuing focus on maintaining a healthy balance sheet and the continued reduction of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Rowley’s leadership in continual operating improvements which drove additional operating profitability;</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Rowley’s success in leading the management team in determining what opportunities for strategic growth best fit the company’s core expertise; and</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Rowley’s leadership based on a detailed knowledge of all aspects of the business, and demonstration of a hands-on leadership style on the most important matters requiring his attention, balanced with appropriate delegation of responsibilities in Eagle’s decentralized organization.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Kesler</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Early in fiscal 2012, the Compensation Committee established goals and objectives for Mr. Kesler for fiscal 2012 (none of which were quantitative). At the end of fiscal 2012, Mr. Rowley reviewed Mr. Kesler’s performance, finding that Mr. Kesler had achieved his goals during the fiscal year. Based in part on this review, the Compensation Committee determined that Mr. Kesler had met his goals and awarded Mr. Kesler 100% of his incentive bonus potential, approving an annual incentive bonus for Mr. Kesler under the Eagle Annual Incentive Program of $133,652, which is reflected in the “Non-Equity Incentive Plan Compensation” column of the Summary Compensation Table located on page 34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Kesler’s performance and his achievement of the following factors related to his goals and objectives: Mr. Kesler’s timely and effective completion and communication of required financial planning and analysis; his participation in strategic planning regarding the growth of the Company; his assistance in continuing to develop the Company’s investor relations strategy and participation in industry-related investor conferences; his role in managing the Company’s SEC filings and communications; and his leadership in continuing to analyze the Company’s capital structure, including successfully establishing a private shelf with John Hancock and repurchasing a portion of our outstanding senior notes.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Essl</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Early in fiscal 2012, the Compensation Committee established goals and objectives for Mr. Essl for fiscal 2012, 50% of which were non-quantitative goals and 50% were discretionary. At the end of fiscal 2012, Mr. Rowley reviewed Mr. Essl’s performance. Based in part on this review, the Compensation Committee awarded Mr. Essl 100% of his incentive bonus potential and approved an annual incentive bonus for Mr. Essl under the Eagle Materials Inc. Cement Companies Salaried Incentive Compensation Program for Fiscal Year 2012 and the Eagle Materials Inc. Concrete and Aggregate Companies Incentive Compensation Program for Fiscal Year 2012 of $212,693, which is reflected in the “Non-Equity Incentive Plan Compensation” column of the Summary Compensation Table located on page 34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w:t>
      </w:r>
    </w:p>
    <w:p>
      <w:pPr>
        <w:ind w:right="160"/>
        <w:spacing w:after="0" w:line="302" w:lineRule="auto"/>
        <w:rPr>
          <w:sz w:val="20"/>
          <w:szCs w:val="20"/>
          <w:color w:val="auto"/>
        </w:rPr>
      </w:pPr>
      <w:r>
        <w:rPr>
          <w:rFonts w:ascii="Arial" w:cs="Arial" w:eastAsia="Arial" w:hAnsi="Arial"/>
          <w:sz w:val="16"/>
          <w:szCs w:val="16"/>
          <w:color w:val="auto"/>
        </w:rPr>
        <w:t>Mr. Rowley’s input regarding Mr. Essl’s performance and his achievement of the following factors related to his goals and objectives: Mr. Essl’s success in maintaining the emphasis on low-cost production at all cement, concrete and aggregates companies; his effective involvement with various marketing and sales efforts; his maintenance of a stringent capital project review process; his successful efforts related to business expansion opportunities.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Powers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Early in fiscal 2012, the Compensation Committee established goals and objectives for Mr. Powers for fiscal 2012, 40% of which were based on quantitative goals, 10% on other non-quantitative goals and 50% were discretionary. At the end of fiscal 2012, Mr. Rowley reviewed Mr. Powers’s performance. Based in part on this review, the Compensation Committee awarded Mr. Powers 96% of his incentive bonus potential and approved an annual incentive bonus for Mr. Powers under the American Gypsum Salaried Incentive Compensation Program for Fiscal Year 2012 of $26,208, which is reflected in the “Non-Equity Incentive Plan Compensation” column of the Summary Compensation Table located on page 34 of this proxy statement. In making this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determination with regard to the non-quantitative portion of the goals, the Compensation Committee did not rely on mathematical formulas or assign any specific weights to his goals and objectives. The Committee used its judgment to determine the appropriate award level after taking into consideration Mr. Rowley’s input regarding Mr. Powers’s performance and his achievement of the following factors related to his goals and objectives: his achievement of targets related to sales, safety, plant efficiency and cost reduction; his execution of American Gypsum’s long-term strategy; his successful sales and marketing efforts with customers; his participation in various industry and energy efficiency groups. In addition, in light of American Gypsum’s exceptional performance during a difficult operating environment, the Compensation Committee approved the payment of some SSP funds into the American Gypsum pool. The amount received by Mr. Powers attributable to this SSP contribution is reflected in the “Bonus” column of the Summary Compensation Table located on page 34 of this proxy statement.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Graass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Early in fiscal 2012, the Compensation Committee established goals and objectives for Mr. Graass for fiscal 2012 (none of which were quantitative). At the end of fiscal 2012, Mr. Rowley reviewed Mr. Graass’s performance, finding that Mr. Graass achieved his goals during the fiscal year. Based in part on this review, the Compensation Committee determined that Mr. Graass had met his goals and awarded Mr. Graass 100% of his incentive bonus potential, approving an annual incentive bonus for Mr. Graass under the Eagle Annual Incentive Program of $133,652, which is reflected in the “Non-Equity Incentive Plan Compensation” column of the Summary Compensation Table located on page 34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Graass’s performance and his achievement of the following factors related to his goals and objectives: his assistance in advancing certain strategic matters; the completion of our proxy statement for our Annual Meeting of Shareholders; the completion of all SEC filings and assistance to the Board in monitoring corporate governance issues; his assistance to management in preparing and completing Board materials in a timely manner; his management of our material contract policy, the continued conducting of Disclosure Committee meetings at appropriate times and the development of legal group senior counsel; the development of training materials by the legal group and the conducting of training seminars; assistance of subsidiaries with environmental issues; the continued progress in obtaining our legal entitlement to mine at one of our aggregates subsidiaries; and his assistance in contract negotiations and litigation management for our subsidiaries.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Consistent with the Compensation Committee’s philosophy of linking compensation to our performance, our long-term incentive compensation program has been structured to link the vesting of equity awards to the achievement by the Company of specific performance levels.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Burn Rate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three-year average burn rate (a measure of historical dilution) is well below our industry norms. The Company’s three-year average burn rate (which is based on the number of awards granted – or, in the case of performance awards, awards earned – in each fiscal year, divided by the weighted-average common shares outstanding for such fiscal year) is 1.82%. The 2012 cap for our industry published by ISS is 3.08%. The burn rate data for our last three fiscal years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Time-Vested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Time-Vested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or</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Immediately</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00" w:type="dxa"/>
            <w:vAlign w:val="bottom"/>
            <w:gridSpan w:val="3"/>
            <w:vMerge w:val="continue"/>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Immediately</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Vested Full-</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Performance</w:t>
            </w:r>
          </w:p>
        </w:tc>
        <w:tc>
          <w:tcPr>
            <w:tcW w:w="10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Performance</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Full-Value</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Full-Value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Common Shares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22"/>
                <w:szCs w:val="22"/>
                <w:b w:val="1"/>
                <w:bCs w:val="1"/>
                <w:color w:val="auto"/>
                <w:vertAlign w:val="superscript"/>
              </w:rPr>
              <w:t>(1)</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Full-Value</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Outstanding for</w:t>
            </w: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Burn</w:t>
            </w:r>
          </w:p>
        </w:tc>
        <w:tc>
          <w:tcPr>
            <w:tcW w:w="0" w:type="dxa"/>
            <w:vAlign w:val="bottom"/>
          </w:tcPr>
          <w:p>
            <w:pPr>
              <w:spacing w:after="0"/>
              <w:rPr>
                <w:sz w:val="1"/>
                <w:szCs w:val="1"/>
                <w:color w:val="auto"/>
              </w:rPr>
            </w:pPr>
          </w:p>
        </w:tc>
      </w:tr>
      <w:tr>
        <w:trPr>
          <w:trHeight w:val="149"/>
        </w:trPr>
        <w:tc>
          <w:tcPr>
            <w:tcW w:w="1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Granted</w:t>
            </w: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Granted</w:t>
            </w: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Earned</w:t>
            </w: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Granted</w:t>
            </w: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Granted</w:t>
            </w:r>
          </w:p>
        </w:tc>
        <w:tc>
          <w:tcPr>
            <w:tcW w:w="10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Earned</w:t>
            </w:r>
          </w:p>
        </w:tc>
        <w:tc>
          <w:tcPr>
            <w:tcW w:w="900" w:type="dxa"/>
            <w:vAlign w:val="bottom"/>
            <w:gridSpan w:val="2"/>
          </w:tcPr>
          <w:p>
            <w:pPr>
              <w:jc w:val="right"/>
              <w:ind w:right="320"/>
              <w:spacing w:after="0" w:line="129" w:lineRule="exact"/>
              <w:rPr>
                <w:sz w:val="20"/>
                <w:szCs w:val="20"/>
                <w:color w:val="auto"/>
              </w:rPr>
            </w:pPr>
            <w:r>
              <w:rPr>
                <w:rFonts w:ascii="Arial" w:cs="Arial" w:eastAsia="Arial" w:hAnsi="Arial"/>
                <w:sz w:val="10"/>
                <w:szCs w:val="10"/>
                <w:b w:val="1"/>
                <w:bCs w:val="1"/>
                <w:color w:val="auto"/>
              </w:rPr>
              <w:t>Shares</w:t>
            </w:r>
            <w:r>
              <w:rPr>
                <w:rFonts w:ascii="Arial" w:cs="Arial" w:eastAsia="Arial" w:hAnsi="Arial"/>
                <w:sz w:val="14"/>
                <w:szCs w:val="14"/>
                <w:b w:val="1"/>
                <w:bCs w:val="1"/>
                <w:color w:val="auto"/>
                <w:vertAlign w:val="superscript"/>
              </w:rPr>
              <w:t>(1)</w:t>
            </w:r>
          </w:p>
        </w:tc>
        <w:tc>
          <w:tcPr>
            <w:tcW w:w="12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Year</w:t>
            </w: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474,124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474,124</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412,164</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82"/>
              </w:rPr>
              <w:t>412,164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412,164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44,515,981</w:t>
            </w: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322"/>
        </w:trPr>
        <w:tc>
          <w:tcPr>
            <w:tcW w:w="500" w:type="dxa"/>
            <w:vAlign w:val="bottom"/>
            <w:gridSpan w:val="2"/>
          </w:tcPr>
          <w:p>
            <w:pPr>
              <w:spacing w:after="0"/>
              <w:rPr>
                <w:sz w:val="20"/>
                <w:szCs w:val="20"/>
                <w:color w:val="auto"/>
              </w:rPr>
            </w:pPr>
            <w:r>
              <w:rPr>
                <w:rFonts w:ascii="Arial" w:cs="Arial" w:eastAsia="Arial" w:hAnsi="Arial"/>
                <w:sz w:val="18"/>
                <w:szCs w:val="18"/>
                <w:color w:val="auto"/>
              </w:rPr>
              <w:t>2011</w:t>
            </w:r>
          </w:p>
        </w:tc>
        <w:tc>
          <w:tcPr>
            <w:tcW w:w="13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106,502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163,000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127,213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233,715</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481,666</w:t>
            </w:r>
          </w:p>
        </w:tc>
        <w:tc>
          <w:tcPr>
            <w:tcW w:w="740" w:type="dxa"/>
            <w:vAlign w:val="bottom"/>
          </w:tcPr>
          <w:p>
            <w:pPr>
              <w:ind w:left="180"/>
              <w:spacing w:after="0"/>
              <w:rPr>
                <w:sz w:val="20"/>
                <w:szCs w:val="20"/>
                <w:color w:val="auto"/>
              </w:rPr>
            </w:pPr>
            <w:r>
              <w:rPr>
                <w:rFonts w:ascii="Arial" w:cs="Arial" w:eastAsia="Arial" w:hAnsi="Arial"/>
                <w:sz w:val="18"/>
                <w:szCs w:val="18"/>
                <w:color w:val="auto"/>
                <w:w w:val="82"/>
              </w:rPr>
              <w:t>422,506</w:t>
            </w:r>
          </w:p>
        </w:tc>
        <w:tc>
          <w:tcPr>
            <w:tcW w:w="2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422,506</w:t>
            </w:r>
          </w:p>
        </w:tc>
        <w:tc>
          <w:tcPr>
            <w:tcW w:w="960" w:type="dxa"/>
            <w:vAlign w:val="bottom"/>
          </w:tcPr>
          <w:p>
            <w:pPr>
              <w:jc w:val="right"/>
              <w:spacing w:after="0"/>
              <w:rPr>
                <w:sz w:val="20"/>
                <w:szCs w:val="20"/>
                <w:color w:val="auto"/>
              </w:rPr>
            </w:pPr>
            <w:r>
              <w:rPr>
                <w:rFonts w:ascii="Arial" w:cs="Arial" w:eastAsia="Arial" w:hAnsi="Arial"/>
                <w:sz w:val="18"/>
                <w:szCs w:val="18"/>
                <w:color w:val="auto"/>
              </w:rPr>
              <w:t>44,251,276</w:t>
            </w:r>
          </w:p>
        </w:tc>
        <w:tc>
          <w:tcPr>
            <w:tcW w:w="2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138,651</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138,651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44,038,401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3"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purpose of the burn rate calculation, performance awards (awards that vest subject to the achievement of performance criteria) are deemed granted in the year in which they are earned. Therefore, the numbers in these columns represent time-vested or immediately vested awards from such fiscal year, plus performance awards earned during such fiscal year.</w:t>
      </w:r>
    </w:p>
    <w:p>
      <w:pPr>
        <w:ind w:left="460" w:right="22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as the quotient of (a) the sum of Options, plus the product of Full-Value Shares times a Multiplier, divided by (b) the Weighted-Average Common Shares Outstanding. The Multiplier converts full-value shares into option equivalents and is based on the Company’s stock price volatility. The Multiplier was 2.0 in fiscal 2010, 2.5 in fiscal 2011 and 2.0 in fiscal 2012.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All of the Named Executive Officers participate in our long-term equity-based incentive compensation program. In fiscal 2012,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1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addition, the Compensation Committee, as provided in our Incentive Plan, has delegated to the Special Situation Stock Option Committee (whose sole member is our CEO) the authority to grant stock options to newly-hired employees and newly-promoted employees, with terms approved by the Compensation Committee. This authority, which expires on May 31, 2013, is limited to an aggregate of 60,000 option shares; no one individual may receive more than 30,000 option shares in a given year; and Section 16 reporting persons may not receive awards pursuant to this authority. Stock options granted under this delegation of authority vest 20% per year commencing on the first anniversary of the grant date. During fiscal 2012 no stock options were granted to employees under this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2012 Grants</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In June 2011, the Compensation Committee made annual long-term incentive equity grants under our long-term Incentive Plan. As noted in “Benchmarking” above, the Compensation Committee utilized the industry peer group in evaluating management’s performance. The industry peer group is comprised of the direct peers, plus international industry participants. The Compensation Committee reviewed the Company’s strong performance in the following contexts:</w:t>
      </w:r>
    </w:p>
    <w:p>
      <w:pPr>
        <w:spacing w:after="0" w:line="6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five-year-average return on equity (against the direct peers and the industry peers).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five-year-average return on assets (against the direct peers and the industry peers).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 three- and ten-year total shareholder return (against the direct peers).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 and three-year-average operating margin (against the direct peers).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Company’s performance was at the 100</w:t>
      </w:r>
      <w:r>
        <w:rPr>
          <w:rFonts w:ascii="Arial" w:cs="Arial" w:eastAsia="Arial" w:hAnsi="Arial"/>
          <w:sz w:val="11"/>
          <w:szCs w:val="11"/>
          <w:color w:val="auto"/>
        </w:rPr>
        <w:t>th</w:t>
      </w:r>
      <w:r>
        <w:rPr>
          <w:rFonts w:ascii="Arial" w:cs="Arial" w:eastAsia="Arial" w:hAnsi="Arial"/>
          <w:sz w:val="18"/>
          <w:szCs w:val="18"/>
          <w:color w:val="auto"/>
        </w:rPr>
        <w:t xml:space="preserve"> percentile in every operational/financial category (i.e., every category other than total shareholder return), and at or above the 75</w:t>
      </w:r>
      <w:r>
        <w:rPr>
          <w:rFonts w:ascii="Arial" w:cs="Arial" w:eastAsia="Arial" w:hAnsi="Arial"/>
          <w:sz w:val="11"/>
          <w:szCs w:val="11"/>
          <w:color w:val="auto"/>
        </w:rPr>
        <w:t>th</w:t>
      </w:r>
      <w:r>
        <w:rPr>
          <w:rFonts w:ascii="Arial" w:cs="Arial" w:eastAsia="Arial" w:hAnsi="Arial"/>
          <w:sz w:val="18"/>
          <w:szCs w:val="18"/>
          <w:color w:val="auto"/>
        </w:rPr>
        <w:t xml:space="preserve"> percentile in all categories.</w:t>
      </w:r>
    </w:p>
    <w:p>
      <w:pPr>
        <w:spacing w:after="0" w:line="132"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The Committee also reviewed data showing total value accumulation associated with equity awards made during the last five years to the Company’s executive officers, including whether applicable performance criteria had ever been met or could likely ever be met during the life of the awards, the level of retention incentives for such executives and the degree of shareholder alignment. Finally, the Committee reviewed data from the Mercer compensation survey showing the Company’s total direct compensation relative to the companies in the entire compensation peer group.</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aggregate value of the equity granted to the Named Executive Officers (that is, the maximum value assuming 100% vesting of the awards) was arrived at by targeting a total direct compensation value consistent with the 75</w:t>
      </w:r>
      <w:r>
        <w:rPr>
          <w:rFonts w:ascii="Arial" w:cs="Arial" w:eastAsia="Arial" w:hAnsi="Arial"/>
          <w:sz w:val="10"/>
          <w:szCs w:val="10"/>
          <w:color w:val="auto"/>
        </w:rPr>
        <w:t>th</w:t>
      </w:r>
      <w:r>
        <w:rPr>
          <w:rFonts w:ascii="Arial" w:cs="Arial" w:eastAsia="Arial" w:hAnsi="Arial"/>
          <w:sz w:val="16"/>
          <w:szCs w:val="16"/>
          <w:color w:val="auto"/>
        </w:rPr>
        <w:t xml:space="preserve"> percentile of the average total direct compensation paid to the top executives at similar positions in our compensation peer group. In determining the value of the equity to be granted, the Compensation Committee took into consideration the factors described above, as well as the fact that a substantial majority of the long-term incentive equity grants was performance-based. The value granted was allocated approximately 25% to time-vesting stock options and 75% to performance-vesting restricted stock. The Committee views stock options as pay-for-performance because they are of value only if and to the extent that the share price at the time of exercise exceeds the price on the date of grant. The values were determined by the Compensation Committee (with input from Mr. Rowley on all individuals other than himself) based on the Mercer benchmarking study, the Company’s strong performance relative to its industry peers as evidenced by the measures described above, the Compensation Committee’s assessment of the executive’s importance and contribution to the organization, and the executive’s level of responsibility.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Grant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completion of the process outlined above, on June 27, 2011, the Compensation Committee approved restricted stock awards under the long-term Incentive Plan to a group of its key employees, including its Named Executive Officers. The awards are comprised of shares of restricted stock which vest based upon the achievement by the Company of an average return on invested capital for the ten years ended March 31, 2012 in excess of 12.00%, and, if earned, become fully vested one-fifth upon the initial vesting determination date and one-fifth on March 31 for each of the following four years (in each case assuming continued service through such dates).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and conditions of the restricted stock are substantially the same as the restricted stock grants made in fiscal 2011, except that the performance criterion is as described above and vesting of earned shares will occur ratably as described above. Any shares of restricted stock that were not earned at the end of fiscal 2012 were to be forfeited. As in the case of prior equity awards, the restricted stock will also vest upon a change in control of the Company. See “Change in Control Benefits”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number of shares of restricted stock granted was determined by reference to the market price of our Common Stock on the date of grant. The following table shows the restricted stock granted to each of the Company’s Named Executive Officers on June 27, 2011:</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3780" w:type="dxa"/>
            <w:vAlign w:val="bottom"/>
            <w:gridSpan w:val="3"/>
          </w:tcPr>
          <w:p>
            <w:pPr>
              <w:jc w:val="center"/>
              <w:ind w:left="2536"/>
              <w:spacing w:after="0" w:line="148" w:lineRule="exact"/>
              <w:rPr>
                <w:sz w:val="20"/>
                <w:szCs w:val="20"/>
                <w:color w:val="auto"/>
              </w:rPr>
            </w:pPr>
            <w:r>
              <w:rPr>
                <w:rFonts w:ascii="Arial" w:cs="Arial" w:eastAsia="Arial" w:hAnsi="Arial"/>
                <w:sz w:val="14"/>
                <w:szCs w:val="14"/>
                <w:b w:val="1"/>
                <w:bCs w:val="1"/>
                <w:color w:val="auto"/>
                <w:w w:val="86"/>
              </w:rPr>
              <w:t>Restricted Stock</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2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103,524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33,373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May 2012, the Compensation Committee certified that 100% of the restricted stock was earned, based on the Company’s 12.53% average return on invested capital for the ten years ended March 31, 2012. One-fifth of the shares were vested on the certification date, and the remaining four-fifths will vest ratably on March 31 of 2013, 2014, 2015 and 2016.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Grant</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part of the long-term equity grant, the Compensation Committee also approved stock option awards under the long-term Incentive Plan to a group of its key employees, including its Named Executive Officers. The awards are comprised of stock options which vest ratably over three years on June 27,</w:t>
      </w:r>
    </w:p>
    <w:p>
      <w:pPr>
        <w:ind w:right="40"/>
        <w:spacing w:after="0" w:line="254" w:lineRule="auto"/>
        <w:rPr>
          <w:sz w:val="20"/>
          <w:szCs w:val="20"/>
          <w:color w:val="auto"/>
        </w:rPr>
      </w:pPr>
      <w:r>
        <w:rPr>
          <w:rFonts w:ascii="Arial" w:cs="Arial" w:eastAsia="Arial" w:hAnsi="Arial"/>
          <w:sz w:val="18"/>
          <w:szCs w:val="18"/>
          <w:color w:val="auto"/>
        </w:rPr>
        <w:t>2012; June 27, 2013; and June 27, 2014 (in each case assuming continued service through such dates). The Compensation Committee believes that the percentage of total long-term compensation represented by these options (25%) is consistent with competitive pay practices, preserves the Company’s compensation philosophy that a significant portion of an executive’s pay should be at risk, while at the same time creating a strong incentive for management to grow the Company.</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terms and conditions of the stock options are substantially the same as the stock option grants in fiscal 2011, except that the options are time vesting. As in the case of prior equity awards, the stock options will also vest upon a change in control of the Company. See “Change in Control Benefits” below. In accordance with the terms of the Company’s Incentive Plan in effect on the date of grant, the exercise price of the stock options is the closing price of the Company’s Common Stock on the date of grant, June 27, 2011 ($27.53).</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number of option shares granted to our Named Executive Officers was determined by valuing the options on the date of grant using the Black-Scholes method. The following table shows the stock options granted to each of the Named Executive Officers on June 27, 2011:</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8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2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88,620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25,653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28,569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$17,000), employee after-tax contributions of up to 10% of base salary and, if the participant is at least age 50, “catch-up contributions” up to the statutory limit under Internal Revenue Code Section 414(v) (currently $5,500). In addition, the PSRP provides for a discretionary employer profit sharing contribution that is a percentage of base salary for the year. Participants are fully vested to the extent of their pre-tax and after-tax contributions and become vested in the employer profit sharing contribution over a six-year period (i.e., 20% per year beginning with the second year of service). Prior to fiscal 2008, employer profit sharing contributions vested over a seven-year period, but changes in tax laws led to the shorter current vesting period. All of the Named Executive Officers have been employed by the Company or our affiliates long enough to be fully vested. Participants are entitled to direct the investment of contributions made to the PSRP on their behalf in various investment funds, including up to 15% in a common stock fund. Such amounts are payable upon a participant’s termination of employment,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2012 are reflected in the Summary Compensation Table located on page 34 of this proxy statement. A list of the investment funds provided under the PSRP is provided in the footnotes to the Nonqualified Deferred Compensation Table located on page 40 of this proxy statement.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(currently $250,000)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have been employed by the Company or our affiliates long enough to be fully vested. Employer contributions to the SERP of our Named Executive Officers in fiscal 2012 are reflected in the Summary Compensation Table located on page 34 of this proxy statement. A list of the investment funds provided under the PSRP is provided in the footnotes to the Nonqualified Deferred Compensation Table located on page 40 of this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Amounts potentially payable to the beneficiaries of our Named Executive Officers pursuant to the SCP are described in “Potential Payments Upon Termination or Change in Control” beginning on page 41 of this proxy statement.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2012 are reflected in the Summary Compensation Table located on page 34 of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Equity 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 least a majority of the members of the resulting corporation’s board of directors were members of our Board. If a change in control occurs, any unvested outstanding stock options, restricted stock or restricted stock units would generally become immediately fully vested, and, in the case of stock options, exercisable or, the case of RSUs, payable, in each case without regard to whether any applicable performance criteria have been or will be satisfied. See “Potential Payments Upon Termination or Change in Control” on page 41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guidelines for the Named Executive Officers are expressed as a multiple of base salary as set forth below (with actual ownership reflected as of the record date for the annual meeting):</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Multiple of Salary</w:t>
            </w: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Actual Ownership</w:t>
            </w:r>
            <w:r>
              <w:rPr>
                <w:rFonts w:ascii="Arial" w:cs="Arial" w:eastAsia="Arial" w:hAnsi="Arial"/>
                <w:sz w:val="22"/>
                <w:szCs w:val="22"/>
                <w:b w:val="1"/>
                <w:bCs w:val="1"/>
                <w:color w:val="auto"/>
                <w:w w:val="94"/>
                <w:vertAlign w:val="superscript"/>
              </w:rPr>
              <w:t>(2)</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tcPr>
          <w:p>
            <w:pPr>
              <w:spacing w:after="0"/>
              <w:rPr>
                <w:sz w:val="15"/>
                <w:szCs w:val="15"/>
                <w:color w:val="auto"/>
              </w:rPr>
            </w:pPr>
          </w:p>
        </w:tc>
        <w:tc>
          <w:tcPr>
            <w:tcW w:w="22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6"/>
              </w:rPr>
              <w:t>Ownership Guidelines</w:t>
            </w:r>
          </w:p>
        </w:tc>
        <w:tc>
          <w:tcPr>
            <w:tcW w:w="2100" w:type="dxa"/>
            <w:vAlign w:val="bottom"/>
            <w:gridSpan w:val="2"/>
          </w:tcPr>
          <w:p>
            <w:pPr>
              <w:jc w:val="right"/>
              <w:ind w:right="920"/>
              <w:spacing w:after="0" w:line="162" w:lineRule="exact"/>
              <w:rPr>
                <w:sz w:val="20"/>
                <w:szCs w:val="20"/>
                <w:color w:val="auto"/>
              </w:rPr>
            </w:pPr>
            <w:r>
              <w:rPr>
                <w:rFonts w:ascii="Arial" w:cs="Arial" w:eastAsia="Arial" w:hAnsi="Arial"/>
                <w:sz w:val="12"/>
                <w:szCs w:val="12"/>
                <w:b w:val="1"/>
                <w:bCs w:val="1"/>
                <w:color w:val="auto"/>
                <w:w w:val="98"/>
              </w:rPr>
              <w:t>of Common Stock</w:t>
            </w:r>
            <w:r>
              <w:rPr>
                <w:rFonts w:ascii="Arial" w:cs="Arial" w:eastAsia="Arial" w:hAnsi="Arial"/>
                <w:sz w:val="18"/>
                <w:szCs w:val="18"/>
                <w:b w:val="1"/>
                <w:bCs w:val="1"/>
                <w:color w:val="auto"/>
                <w:w w:val="98"/>
                <w:vertAlign w:val="superscript"/>
              </w:rPr>
              <w:t>(1)</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5X</w:t>
            </w:r>
          </w:p>
        </w:tc>
        <w:tc>
          <w:tcPr>
            <w:tcW w:w="9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83,400</w:t>
            </w:r>
          </w:p>
        </w:tc>
        <w:tc>
          <w:tcPr>
            <w:tcW w:w="9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3X</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26,900</w:t>
            </w:r>
          </w:p>
        </w:tc>
        <w:tc>
          <w:tcPr>
            <w:tcW w:w="1220" w:type="dxa"/>
            <w:vAlign w:val="bottom"/>
          </w:tcPr>
          <w:p>
            <w:pPr>
              <w:jc w:val="right"/>
              <w:spacing w:after="0"/>
              <w:rPr>
                <w:sz w:val="20"/>
                <w:szCs w:val="20"/>
                <w:color w:val="auto"/>
              </w:rPr>
            </w:pPr>
            <w:r>
              <w:rPr>
                <w:rFonts w:ascii="Arial" w:cs="Arial" w:eastAsia="Arial" w:hAnsi="Arial"/>
                <w:sz w:val="18"/>
                <w:szCs w:val="18"/>
                <w:color w:val="auto"/>
              </w:rPr>
              <w:t>81,797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3X</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22,200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3X</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22,200</w:t>
            </w:r>
          </w:p>
        </w:tc>
        <w:tc>
          <w:tcPr>
            <w:tcW w:w="1220" w:type="dxa"/>
            <w:vAlign w:val="bottom"/>
          </w:tcPr>
          <w:p>
            <w:pPr>
              <w:jc w:val="right"/>
              <w:spacing w:after="0"/>
              <w:rPr>
                <w:sz w:val="20"/>
                <w:szCs w:val="20"/>
                <w:color w:val="auto"/>
              </w:rPr>
            </w:pPr>
            <w:r>
              <w:rPr>
                <w:rFonts w:ascii="Arial" w:cs="Arial" w:eastAsia="Arial" w:hAnsi="Arial"/>
                <w:sz w:val="18"/>
                <w:szCs w:val="18"/>
                <w:color w:val="auto"/>
              </w:rPr>
              <w:t>77,484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3X</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22,200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00" w:hanging="452"/>
        <w:spacing w:after="0" w:line="239"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ind w:left="460" w:hanging="452"/>
        <w:spacing w:after="0" w:line="20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Types of ownership counted toward the guidelines include the following:</w:t>
      </w:r>
    </w:p>
    <w:p>
      <w:pPr>
        <w:spacing w:after="0" w:line="74" w:lineRule="exact"/>
        <w:rPr>
          <w:rFonts w:ascii="Arial" w:cs="Arial" w:eastAsia="Arial" w:hAnsi="Arial"/>
          <w:sz w:val="22"/>
          <w:szCs w:val="22"/>
          <w:color w:val="auto"/>
          <w:vertAlign w:val="superscript"/>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Stock holdings in our PSRP;</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represented by restricted stock or earned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-1454785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and restricted stock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 All other compensation paid to the CEO and the other Named Executive Officers was below the limit described above.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all fiscal 2010, 2011 and 2012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Fiscal</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All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Year</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jc w:val="center"/>
              <w:ind w:right="400"/>
              <w:spacing w:after="0" w:line="135" w:lineRule="exact"/>
              <w:rPr>
                <w:sz w:val="20"/>
                <w:szCs w:val="20"/>
                <w:color w:val="auto"/>
              </w:rPr>
            </w:pPr>
            <w:r>
              <w:rPr>
                <w:rFonts w:ascii="Arial" w:cs="Arial" w:eastAsia="Arial" w:hAnsi="Arial"/>
                <w:sz w:val="14"/>
                <w:szCs w:val="14"/>
                <w:b w:val="1"/>
                <w:bCs w:val="1"/>
                <w:color w:val="auto"/>
                <w:w w:val="87"/>
              </w:rPr>
              <w:t>Plan</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0" w:type="dxa"/>
            <w:vAlign w:val="bottom"/>
            <w:gridSpan w:val="2"/>
            <w:vMerge w:val="restart"/>
          </w:tcPr>
          <w:p>
            <w:pPr>
              <w:spacing w:after="0" w:line="204"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500" w:type="dxa"/>
            <w:vAlign w:val="bottom"/>
            <w:vMerge w:val="restart"/>
          </w:tcPr>
          <w:p>
            <w:pPr>
              <w:jc w:val="right"/>
              <w:spacing w:after="0" w:line="204" w:lineRule="exact"/>
              <w:rPr>
                <w:sz w:val="20"/>
                <w:szCs w:val="20"/>
                <w:color w:val="auto"/>
              </w:rPr>
            </w:pPr>
            <w:r>
              <w:rPr>
                <w:rFonts w:ascii="Arial" w:cs="Arial" w:eastAsia="Arial" w:hAnsi="Arial"/>
                <w:sz w:val="14"/>
                <w:szCs w:val="14"/>
                <w:b w:val="1"/>
                <w:bCs w:val="1"/>
                <w:color w:val="auto"/>
                <w:w w:val="77"/>
              </w:rPr>
              <w:t>Bonus</w:t>
            </w:r>
            <w:r>
              <w:rPr>
                <w:rFonts w:ascii="Arial" w:cs="Arial" w:eastAsia="Arial" w:hAnsi="Arial"/>
                <w:sz w:val="22"/>
                <w:szCs w:val="22"/>
                <w:b w:val="1"/>
                <w:bCs w:val="1"/>
                <w:color w:val="auto"/>
                <w:w w:val="77"/>
                <w:vertAlign w:val="superscript"/>
              </w:rPr>
              <w:t>(2)</w:t>
            </w:r>
          </w:p>
        </w:tc>
        <w:tc>
          <w:tcPr>
            <w:tcW w:w="280" w:type="dxa"/>
            <w:vAlign w:val="bottom"/>
          </w:tcPr>
          <w:p>
            <w:pPr>
              <w:spacing w:after="0"/>
              <w:rPr>
                <w:sz w:val="4"/>
                <w:szCs w:val="4"/>
                <w:color w:val="auto"/>
              </w:rPr>
            </w:pPr>
          </w:p>
        </w:tc>
        <w:tc>
          <w:tcPr>
            <w:tcW w:w="900" w:type="dxa"/>
            <w:vAlign w:val="bottom"/>
            <w:gridSpan w:val="2"/>
            <w:vMerge w:val="restart"/>
          </w:tcPr>
          <w:p>
            <w:pPr>
              <w:ind w:left="20"/>
              <w:spacing w:after="0" w:line="204"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2"/>
                <w:szCs w:val="22"/>
                <w:b w:val="1"/>
                <w:bCs w:val="1"/>
                <w:color w:val="auto"/>
                <w:vertAlign w:val="superscript"/>
              </w:rPr>
              <w:t>(3)</w:t>
            </w: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8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1300" w:type="dxa"/>
            <w:vAlign w:val="bottom"/>
            <w:gridSpan w:val="3"/>
          </w:tcPr>
          <w:p>
            <w:pPr>
              <w:jc w:val="center"/>
              <w:ind w:right="300"/>
              <w:spacing w:after="0" w:line="150" w:lineRule="exact"/>
              <w:rPr>
                <w:sz w:val="20"/>
                <w:szCs w:val="20"/>
                <w:color w:val="auto"/>
              </w:rPr>
            </w:pPr>
            <w:r>
              <w:rPr>
                <w:rFonts w:ascii="Arial" w:cs="Arial" w:eastAsia="Arial" w:hAnsi="Arial"/>
                <w:sz w:val="11"/>
                <w:szCs w:val="11"/>
                <w:b w:val="1"/>
                <w:bCs w:val="1"/>
                <w:color w:val="auto"/>
              </w:rPr>
              <w:t xml:space="preserve">Compensation </w:t>
            </w:r>
            <w:r>
              <w:rPr>
                <w:rFonts w:ascii="Arial" w:cs="Arial" w:eastAsia="Arial" w:hAnsi="Arial"/>
                <w:sz w:val="17"/>
                <w:szCs w:val="17"/>
                <w:b w:val="1"/>
                <w:bCs w:val="1"/>
                <w:color w:val="auto"/>
                <w:vertAlign w:val="superscript"/>
              </w:rPr>
              <w:t>(5)</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2"/>
                <w:szCs w:val="12"/>
                <w:color w:val="auto"/>
              </w:rPr>
            </w:pPr>
          </w:p>
        </w:tc>
        <w:tc>
          <w:tcPr>
            <w:tcW w:w="1120" w:type="dxa"/>
            <w:vAlign w:val="bottom"/>
            <w:gridSpan w:val="3"/>
          </w:tcPr>
          <w:p>
            <w:pPr>
              <w:jc w:val="center"/>
              <w:ind w:right="160"/>
              <w:spacing w:after="0" w:line="150"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(6)</w:t>
            </w:r>
          </w:p>
        </w:tc>
        <w:tc>
          <w:tcPr>
            <w:tcW w:w="140" w:type="dxa"/>
            <w:vAlign w:val="bottom"/>
          </w:tcPr>
          <w:p>
            <w:pPr>
              <w:spacing w:after="0"/>
              <w:rPr>
                <w:sz w:val="12"/>
                <w:szCs w:val="12"/>
                <w:color w:val="auto"/>
              </w:rPr>
            </w:pPr>
          </w:p>
        </w:tc>
        <w:tc>
          <w:tcPr>
            <w:tcW w:w="6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Steven R. Rowley,</w:t>
            </w:r>
          </w:p>
        </w:tc>
        <w:tc>
          <w:tcPr>
            <w:tcW w:w="1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2012</w:t>
            </w: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5"/>
              </w:rPr>
              <w:t>$860,000</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$ 2,850,000</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$ 950,000</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334,130</w:t>
            </w:r>
          </w:p>
        </w:tc>
        <w:tc>
          <w:tcPr>
            <w:tcW w:w="3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ind w:left="640"/>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420"/>
              <w:spacing w:after="0" w:line="136" w:lineRule="exact"/>
              <w:rPr>
                <w:sz w:val="20"/>
                <w:szCs w:val="20"/>
                <w:color w:val="auto"/>
              </w:rPr>
            </w:pPr>
            <w:r>
              <w:rPr>
                <w:rFonts w:ascii="Arial" w:cs="Arial" w:eastAsia="Arial" w:hAnsi="Arial"/>
                <w:sz w:val="14"/>
                <w:szCs w:val="14"/>
                <w:color w:val="auto"/>
                <w:w w:val="79"/>
              </w:rPr>
              <w:t>88,546</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5"/>
              </w:rPr>
              <w:t>$5,082,676</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4"/>
                <w:szCs w:val="14"/>
                <w:i w:val="1"/>
                <w:iCs w:val="1"/>
                <w:color w:val="auto"/>
                <w:w w:val="91"/>
              </w:rPr>
              <w:t>President and Chief Executive Officer</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w w:val="98"/>
              </w:rPr>
              <w:t>820,000</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1,439,638</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131,125</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294,944</w:t>
            </w: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ind w:left="64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4"/>
                <w:szCs w:val="14"/>
                <w:color w:val="auto"/>
              </w:rPr>
              <w:t>66,399</w:t>
            </w:r>
          </w:p>
        </w:tc>
        <w:tc>
          <w:tcPr>
            <w:tcW w:w="7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2,752,106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800,000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$ 68,366</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291,634</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82,463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1,242,463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380" w:type="dxa"/>
            <w:vAlign w:val="bottom"/>
            <w:gridSpan w:val="3"/>
          </w:tcPr>
          <w:p>
            <w:pPr>
              <w:spacing w:after="0" w:line="246" w:lineRule="exact"/>
              <w:rPr>
                <w:sz w:val="20"/>
                <w:szCs w:val="20"/>
                <w:color w:val="auto"/>
              </w:rPr>
            </w:pPr>
            <w:r>
              <w:rPr>
                <w:rFonts w:ascii="Arial" w:cs="Arial" w:eastAsia="Arial" w:hAnsi="Arial"/>
                <w:sz w:val="14"/>
                <w:szCs w:val="14"/>
                <w:color w:val="auto"/>
              </w:rPr>
              <w:t xml:space="preserve">D. Craig Kesler, </w:t>
            </w:r>
            <w:r>
              <w:rPr>
                <w:rFonts w:ascii="Arial" w:cs="Arial" w:eastAsia="Arial" w:hAnsi="Arial"/>
                <w:sz w:val="22"/>
                <w:szCs w:val="22"/>
                <w:color w:val="auto"/>
                <w:vertAlign w:val="superscript"/>
              </w:rPr>
              <w:t>(8)</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2012</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275,000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825,000</w:t>
            </w:r>
          </w:p>
        </w:tc>
        <w:tc>
          <w:tcPr>
            <w:tcW w:w="2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275,000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133,652</w:t>
            </w:r>
          </w:p>
        </w:tc>
        <w:tc>
          <w:tcPr>
            <w:tcW w:w="30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4"/>
                <w:szCs w:val="14"/>
                <w:color w:val="auto"/>
              </w:rPr>
              <w:t>30,627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1,539,279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w w:val="97"/>
              </w:rPr>
              <w:t>Executive Vice President – Finance</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8"/>
              </w:rPr>
              <w:t>256,250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468,291</w:t>
            </w:r>
          </w:p>
        </w:tc>
        <w:tc>
          <w:tcPr>
            <w:tcW w:w="2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34,818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110,604</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24,138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894,101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2"/>
          </w:tcPr>
          <w:p>
            <w:pPr>
              <w:ind w:left="420"/>
              <w:spacing w:after="0"/>
              <w:rPr>
                <w:sz w:val="20"/>
                <w:szCs w:val="20"/>
                <w:color w:val="auto"/>
              </w:rPr>
            </w:pPr>
            <w:r>
              <w:rPr>
                <w:rFonts w:ascii="Arial" w:cs="Arial" w:eastAsia="Arial" w:hAnsi="Arial"/>
                <w:sz w:val="14"/>
                <w:szCs w:val="14"/>
                <w:i w:val="1"/>
                <w:iCs w:val="1"/>
                <w:color w:val="auto"/>
              </w:rPr>
              <w:t>and Administration &amp; CFO</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220,433</w:t>
            </w:r>
          </w:p>
        </w:tc>
        <w:tc>
          <w:tcPr>
            <w:tcW w:w="500" w:type="dxa"/>
            <w:vAlign w:val="bottom"/>
          </w:tcPr>
          <w:p>
            <w:pPr>
              <w:jc w:val="right"/>
              <w:spacing w:after="0"/>
              <w:rPr>
                <w:sz w:val="20"/>
                <w:szCs w:val="20"/>
                <w:color w:val="auto"/>
              </w:rPr>
            </w:pPr>
            <w:r>
              <w:rPr>
                <w:rFonts w:ascii="Arial" w:cs="Arial" w:eastAsia="Arial" w:hAnsi="Arial"/>
                <w:sz w:val="14"/>
                <w:szCs w:val="14"/>
                <w:color w:val="auto"/>
              </w:rPr>
              <w:t>40,000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277,100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79,106</w:t>
            </w:r>
          </w:p>
        </w:tc>
        <w:tc>
          <w:tcPr>
            <w:tcW w:w="30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420"/>
              <w:spacing w:after="0"/>
              <w:rPr>
                <w:sz w:val="20"/>
                <w:szCs w:val="20"/>
                <w:color w:val="auto"/>
              </w:rPr>
            </w:pPr>
            <w:r>
              <w:rPr>
                <w:rFonts w:ascii="Arial" w:cs="Arial" w:eastAsia="Arial" w:hAnsi="Arial"/>
                <w:sz w:val="14"/>
                <w:szCs w:val="14"/>
                <w:color w:val="auto"/>
              </w:rPr>
              <w:t>14,371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631,010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Gerald J. Essl,</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350,000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918,750</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306,250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212,693</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35,296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1,822,989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4"/>
                <w:szCs w:val="14"/>
                <w:i w:val="1"/>
                <w:iCs w:val="1"/>
                <w:color w:val="auto"/>
              </w:rPr>
              <w:t>Executive Vice President –</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w w:val="98"/>
              </w:rPr>
              <w:t>333,125</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496,768</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43,708</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209,460</w:t>
            </w: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ind w:left="64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4"/>
                <w:szCs w:val="14"/>
                <w:color w:val="auto"/>
              </w:rPr>
              <w:t>27,590</w:t>
            </w:r>
          </w:p>
        </w:tc>
        <w:tc>
          <w:tcPr>
            <w:tcW w:w="7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1,110,652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shd w:val="clear" w:color="auto" w:fill="CCEEFF"/>
          </w:tcPr>
          <w:p>
            <w:pPr>
              <w:ind w:left="420"/>
              <w:spacing w:after="0"/>
              <w:rPr>
                <w:sz w:val="20"/>
                <w:szCs w:val="20"/>
                <w:color w:val="auto"/>
              </w:rPr>
            </w:pPr>
            <w:r>
              <w:rPr>
                <w:rFonts w:ascii="Arial" w:cs="Arial" w:eastAsia="Arial" w:hAnsi="Arial"/>
                <w:sz w:val="14"/>
                <w:szCs w:val="14"/>
                <w:i w:val="1"/>
                <w:iCs w:val="1"/>
                <w:color w:val="auto"/>
                <w:w w:val="90"/>
              </w:rPr>
              <w:t>Cement/Aggregates and Concrete</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264,120</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20,401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609,521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380" w:type="dxa"/>
            <w:vAlign w:val="bottom"/>
            <w:gridSpan w:val="3"/>
          </w:tcPr>
          <w:p>
            <w:pPr>
              <w:spacing w:after="0"/>
              <w:rPr>
                <w:sz w:val="20"/>
                <w:szCs w:val="20"/>
                <w:color w:val="auto"/>
              </w:rPr>
            </w:pPr>
            <w:r>
              <w:rPr>
                <w:rFonts w:ascii="Arial" w:cs="Arial" w:eastAsia="Arial" w:hAnsi="Arial"/>
                <w:sz w:val="14"/>
                <w:szCs w:val="14"/>
                <w:color w:val="auto"/>
              </w:rPr>
              <w:t>David B. Powers,</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2012</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350,000</w:t>
            </w:r>
          </w:p>
        </w:tc>
        <w:tc>
          <w:tcPr>
            <w:tcW w:w="500" w:type="dxa"/>
            <w:vAlign w:val="bottom"/>
          </w:tcPr>
          <w:p>
            <w:pPr>
              <w:jc w:val="right"/>
              <w:spacing w:after="0"/>
              <w:rPr>
                <w:sz w:val="20"/>
                <w:szCs w:val="20"/>
                <w:color w:val="auto"/>
              </w:rPr>
            </w:pPr>
            <w:r>
              <w:rPr>
                <w:rFonts w:ascii="Arial" w:cs="Arial" w:eastAsia="Arial" w:hAnsi="Arial"/>
                <w:sz w:val="14"/>
                <w:szCs w:val="14"/>
                <w:color w:val="auto"/>
              </w:rPr>
              <w:t>48,000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918,750</w:t>
            </w:r>
          </w:p>
        </w:tc>
        <w:tc>
          <w:tcPr>
            <w:tcW w:w="2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306,250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26,208</w:t>
            </w:r>
          </w:p>
        </w:tc>
        <w:tc>
          <w:tcPr>
            <w:tcW w:w="30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420"/>
              <w:spacing w:after="0"/>
              <w:rPr>
                <w:sz w:val="20"/>
                <w:szCs w:val="20"/>
                <w:color w:val="auto"/>
              </w:rPr>
            </w:pPr>
            <w:r>
              <w:rPr>
                <w:rFonts w:ascii="Arial" w:cs="Arial" w:eastAsia="Arial" w:hAnsi="Arial"/>
                <w:sz w:val="14"/>
                <w:szCs w:val="14"/>
                <w:color w:val="auto"/>
              </w:rPr>
              <w:t>33,563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1,682,771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gridSpan w:val="2"/>
          </w:tcPr>
          <w:p>
            <w:pPr>
              <w:ind w:left="200"/>
              <w:spacing w:after="0" w:line="133" w:lineRule="exact"/>
              <w:rPr>
                <w:sz w:val="20"/>
                <w:szCs w:val="20"/>
                <w:color w:val="auto"/>
              </w:rPr>
            </w:pPr>
            <w:r>
              <w:rPr>
                <w:rFonts w:ascii="Arial" w:cs="Arial" w:eastAsia="Arial" w:hAnsi="Arial"/>
                <w:sz w:val="14"/>
                <w:szCs w:val="14"/>
                <w:i w:val="1"/>
                <w:iCs w:val="1"/>
                <w:color w:val="auto"/>
                <w:w w:val="96"/>
              </w:rPr>
              <w:t>Executive Vice President – Gypsum</w:t>
            </w:r>
          </w:p>
        </w:tc>
        <w:tc>
          <w:tcPr>
            <w:tcW w:w="1080" w:type="dxa"/>
            <w:vAlign w:val="bottom"/>
            <w:gridSpan w:val="3"/>
          </w:tcPr>
          <w:p>
            <w:pPr>
              <w:jc w:val="right"/>
              <w:ind w:right="280"/>
              <w:spacing w:after="0" w:line="133" w:lineRule="exact"/>
              <w:rPr>
                <w:sz w:val="20"/>
                <w:szCs w:val="20"/>
                <w:color w:val="auto"/>
              </w:rPr>
            </w:pPr>
            <w:r>
              <w:rPr>
                <w:rFonts w:ascii="Arial" w:cs="Arial" w:eastAsia="Arial" w:hAnsi="Arial"/>
                <w:sz w:val="14"/>
                <w:szCs w:val="14"/>
                <w:color w:val="auto"/>
              </w:rPr>
              <w:t>2011</w:t>
            </w:r>
          </w:p>
        </w:tc>
        <w:tc>
          <w:tcPr>
            <w:tcW w:w="80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w w:val="98"/>
              </w:rPr>
              <w:t>333,125</w:t>
            </w: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rPr>
              <w:t>78,349</w:t>
            </w:r>
          </w:p>
        </w:tc>
        <w:tc>
          <w:tcPr>
            <w:tcW w:w="9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496,768</w:t>
            </w:r>
          </w:p>
        </w:tc>
        <w:tc>
          <w:tcPr>
            <w:tcW w:w="260" w:type="dxa"/>
            <w:vAlign w:val="bottom"/>
          </w:tcPr>
          <w:p>
            <w:pPr>
              <w:spacing w:after="0"/>
              <w:rPr>
                <w:sz w:val="11"/>
                <w:szCs w:val="11"/>
                <w:color w:val="auto"/>
              </w:rPr>
            </w:pP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43,708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color w:val="auto"/>
              </w:rPr>
              <w:t>5,545</w:t>
            </w:r>
          </w:p>
        </w:tc>
        <w:tc>
          <w:tcPr>
            <w:tcW w:w="300" w:type="dxa"/>
            <w:vAlign w:val="bottom"/>
          </w:tcPr>
          <w:p>
            <w:pPr>
              <w:spacing w:after="0"/>
              <w:rPr>
                <w:sz w:val="11"/>
                <w:szCs w:val="11"/>
                <w:color w:val="auto"/>
              </w:rPr>
            </w:pPr>
          </w:p>
        </w:tc>
        <w:tc>
          <w:tcPr>
            <w:tcW w:w="840" w:type="dxa"/>
            <w:vAlign w:val="bottom"/>
          </w:tcPr>
          <w:p>
            <w:pPr>
              <w:ind w:left="640"/>
              <w:spacing w:after="0" w:line="13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420"/>
              <w:spacing w:after="0" w:line="133" w:lineRule="exact"/>
              <w:rPr>
                <w:sz w:val="20"/>
                <w:szCs w:val="20"/>
                <w:color w:val="auto"/>
              </w:rPr>
            </w:pPr>
            <w:r>
              <w:rPr>
                <w:rFonts w:ascii="Arial" w:cs="Arial" w:eastAsia="Arial" w:hAnsi="Arial"/>
                <w:sz w:val="14"/>
                <w:szCs w:val="14"/>
                <w:color w:val="auto"/>
              </w:rPr>
              <w:t>27,257</w:t>
            </w:r>
          </w:p>
        </w:tc>
        <w:tc>
          <w:tcPr>
            <w:tcW w:w="76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984,752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325,000</w:t>
            </w:r>
          </w:p>
        </w:tc>
        <w:tc>
          <w:tcPr>
            <w:tcW w:w="500" w:type="dxa"/>
            <w:vAlign w:val="bottom"/>
          </w:tcPr>
          <w:p>
            <w:pPr>
              <w:jc w:val="right"/>
              <w:spacing w:after="0"/>
              <w:rPr>
                <w:sz w:val="20"/>
                <w:szCs w:val="20"/>
                <w:color w:val="auto"/>
              </w:rPr>
            </w:pPr>
            <w:r>
              <w:rPr>
                <w:rFonts w:ascii="Arial" w:cs="Arial" w:eastAsia="Arial" w:hAnsi="Arial"/>
                <w:sz w:val="14"/>
                <w:szCs w:val="14"/>
                <w:color w:val="auto"/>
              </w:rPr>
              <w:t>25,000</w:t>
            </w:r>
          </w:p>
        </w:tc>
        <w:tc>
          <w:tcPr>
            <w:tcW w:w="280" w:type="dxa"/>
            <w:vAlign w:val="bottom"/>
          </w:tcPr>
          <w:p>
            <w:pPr>
              <w:spacing w:after="0"/>
              <w:rPr>
                <w:sz w:val="24"/>
                <w:szCs w:val="24"/>
                <w:color w:val="auto"/>
              </w:rPr>
            </w:pPr>
          </w:p>
        </w:tc>
        <w:tc>
          <w:tcPr>
            <w:tcW w:w="900" w:type="dxa"/>
            <w:vAlign w:val="bottom"/>
            <w:gridSpan w:val="2"/>
          </w:tcPr>
          <w:p>
            <w:pPr>
              <w:ind w:left="440"/>
              <w:spacing w:after="0" w:line="284"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140" w:type="dxa"/>
            <w:vAlign w:val="bottom"/>
          </w:tcPr>
          <w:p>
            <w:pPr>
              <w:spacing w:after="0"/>
              <w:rPr>
                <w:sz w:val="24"/>
                <w:szCs w:val="24"/>
                <w:color w:val="auto"/>
              </w:rPr>
            </w:pPr>
          </w:p>
        </w:tc>
        <w:tc>
          <w:tcPr>
            <w:tcW w:w="840" w:type="dxa"/>
            <w:vAlign w:val="bottom"/>
            <w:gridSpan w:val="2"/>
          </w:tcPr>
          <w:p>
            <w:pPr>
              <w:ind w:left="380"/>
              <w:spacing w:after="0" w:line="284"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55,636</w:t>
            </w:r>
          </w:p>
        </w:tc>
        <w:tc>
          <w:tcPr>
            <w:tcW w:w="300" w:type="dxa"/>
            <w:vAlign w:val="bottom"/>
          </w:tcPr>
          <w:p>
            <w:pPr>
              <w:spacing w:after="0"/>
              <w:rPr>
                <w:sz w:val="24"/>
                <w:szCs w:val="2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420"/>
              <w:spacing w:after="0"/>
              <w:rPr>
                <w:sz w:val="20"/>
                <w:szCs w:val="20"/>
                <w:color w:val="auto"/>
              </w:rPr>
            </w:pPr>
            <w:r>
              <w:rPr>
                <w:rFonts w:ascii="Arial" w:cs="Arial" w:eastAsia="Arial" w:hAnsi="Arial"/>
                <w:sz w:val="14"/>
                <w:szCs w:val="14"/>
                <w:color w:val="auto"/>
              </w:rPr>
              <w:t>20,390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426,026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H. Graass,</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2012</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350,000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862,500</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287,500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133,652</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35,688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1,669,340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4"/>
                <w:szCs w:val="14"/>
                <w:i w:val="1"/>
                <w:iCs w:val="1"/>
                <w:color w:val="auto"/>
              </w:rPr>
              <w:t>Executive Vice President, General</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w w:val="98"/>
              </w:rPr>
              <w:t>333,125</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477,784</w:t>
            </w:r>
          </w:p>
        </w:tc>
        <w:tc>
          <w:tcPr>
            <w:tcW w:w="2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37,782</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4"/>
                <w:szCs w:val="14"/>
                <w:color w:val="auto"/>
              </w:rPr>
              <w:t>110,604</w:t>
            </w:r>
          </w:p>
        </w:tc>
        <w:tc>
          <w:tcPr>
            <w:tcW w:w="840" w:type="dxa"/>
            <w:vAlign w:val="bottom"/>
            <w:shd w:val="clear" w:color="auto" w:fill="CCEEFF"/>
          </w:tcPr>
          <w:p>
            <w:pPr>
              <w:ind w:left="64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4"/>
                <w:szCs w:val="14"/>
                <w:color w:val="auto"/>
              </w:rPr>
              <w:t>29,001</w:t>
            </w:r>
          </w:p>
        </w:tc>
        <w:tc>
          <w:tcPr>
            <w:tcW w:w="7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988,296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shd w:val="clear" w:color="auto" w:fill="CCEEFF"/>
          </w:tcPr>
          <w:p>
            <w:pPr>
              <w:ind w:left="420"/>
              <w:spacing w:after="0"/>
              <w:rPr>
                <w:sz w:val="20"/>
                <w:szCs w:val="20"/>
                <w:color w:val="auto"/>
              </w:rPr>
            </w:pPr>
            <w:r>
              <w:rPr>
                <w:rFonts w:ascii="Arial" w:cs="Arial" w:eastAsia="Arial" w:hAnsi="Arial"/>
                <w:sz w:val="14"/>
                <w:szCs w:val="14"/>
                <w:i w:val="1"/>
                <w:iCs w:val="1"/>
                <w:color w:val="auto"/>
              </w:rPr>
              <w:t>Counsel and Secretary</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109,363</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21,929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496,292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100" w:hanging="332"/>
        <w:spacing w:after="0" w:line="23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amounts deferred on a pre-tax or after-tax basis at the election of the executive under our PSRP, which is described in greater detail under “Profit Sharing and Retirement Plan” on page 31 of this proxy statement.</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in this column represent payments to the Named Executive Officer under the Company’s Special Situation Program for the applicable fiscal year.</w:t>
      </w:r>
    </w:p>
    <w:p>
      <w:pPr>
        <w:ind w:left="340" w:right="20" w:hanging="332"/>
        <w:spacing w:after="0" w:line="266"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this column reflect the value of RSU awards and restricted stock awards made to the Named Executive Officer in each of the fiscal years presented and are consistent with the grant date fair value of the award computed in accordance with FASB ASC Topic 718. For assumptions used in determining these values, refer to (a) footnote (I) to the Company’s audited financial statements for the fiscal year ended March 31, 2012 included in the Fiscal 2012 Form 10-K; (b) footnote (I) to the Company’s audited financial statements for the fiscal year ended March 31, 2011 included in the Company’s Annual Report on Form 10-K filed with the SEC on May 26, 2011, or “Fiscal 2011 Form 10-K”; and (c) footnote (I) to the Company’s audited financial statements for the fiscal year ended March 31, 2010 included in the Company’s Annual Report on Form 10-K filed with the SEC on May 28, 2010, or “Fiscal 2010 Form 10-K.” A portion of the amounts in this column for fiscal 2011 assumes the achievement of less than the highest level of performance conditions. The following table reflects the amounts assuming the highest level of performance conditions (i.e., the maximum amounts payable):</w:t>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120" w:type="dxa"/>
            <w:vAlign w:val="bottom"/>
            <w:gridSpan w:val="4"/>
          </w:tcPr>
          <w:p>
            <w:pPr>
              <w:ind w:left="1160"/>
              <w:spacing w:after="0"/>
              <w:rPr>
                <w:sz w:val="20"/>
                <w:szCs w:val="20"/>
                <w:color w:val="auto"/>
              </w:rPr>
            </w:pPr>
            <w:r>
              <w:rPr>
                <w:rFonts w:ascii="Arial" w:cs="Arial" w:eastAsia="Arial" w:hAnsi="Arial"/>
                <w:sz w:val="14"/>
                <w:szCs w:val="14"/>
                <w:b w:val="1"/>
                <w:bCs w:val="1"/>
                <w:color w:val="auto"/>
              </w:rPr>
              <w:t>Value at Highest Level of Performance (Fiscal 2011)</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1"/>
        </w:trPr>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Hold To Retirement</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Restricted Stock</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0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Restricted Stock</w:t>
            </w:r>
            <w:r>
              <w:rPr>
                <w:rFonts w:ascii="Arial" w:cs="Arial" w:eastAsia="Arial" w:hAnsi="Arial"/>
                <w:sz w:val="18"/>
                <w:szCs w:val="18"/>
                <w:b w:val="1"/>
                <w:bCs w:val="1"/>
                <w:color w:val="auto"/>
                <w:vertAlign w:val="superscript"/>
              </w:rPr>
              <w:t>(1)</w:t>
            </w:r>
          </w:p>
        </w:tc>
        <w:tc>
          <w:tcPr>
            <w:tcW w:w="160" w:type="dxa"/>
            <w:vAlign w:val="bottom"/>
          </w:tcPr>
          <w:p>
            <w:pPr>
              <w:spacing w:after="0"/>
              <w:rPr>
                <w:sz w:val="15"/>
                <w:szCs w:val="15"/>
                <w:color w:val="auto"/>
              </w:rPr>
            </w:pPr>
          </w:p>
        </w:tc>
        <w:tc>
          <w:tcPr>
            <w:tcW w:w="1480" w:type="dxa"/>
            <w:vAlign w:val="bottom"/>
            <w:gridSpan w:val="2"/>
          </w:tcPr>
          <w:p>
            <w:pPr>
              <w:jc w:val="right"/>
              <w:ind w:right="920"/>
              <w:spacing w:after="0" w:line="162" w:lineRule="exact"/>
              <w:rPr>
                <w:sz w:val="20"/>
                <w:szCs w:val="20"/>
                <w:color w:val="auto"/>
              </w:rPr>
            </w:pPr>
            <w:r>
              <w:rPr>
                <w:rFonts w:ascii="Arial" w:cs="Arial" w:eastAsia="Arial" w:hAnsi="Arial"/>
                <w:sz w:val="12"/>
                <w:szCs w:val="12"/>
                <w:b w:val="1"/>
                <w:bCs w:val="1"/>
                <w:color w:val="auto"/>
              </w:rPr>
              <w:t>Units</w:t>
            </w:r>
            <w:r>
              <w:rPr>
                <w:rFonts w:ascii="Arial" w:cs="Arial" w:eastAsia="Arial" w:hAnsi="Arial"/>
                <w:sz w:val="18"/>
                <w:szCs w:val="18"/>
                <w:b w:val="1"/>
                <w:bCs w:val="1"/>
                <w:color w:val="auto"/>
                <w:vertAlign w:val="superscript"/>
              </w:rPr>
              <w:t>(2)</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36"/>
        </w:trPr>
        <w:tc>
          <w:tcPr>
            <w:tcW w:w="21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Steven R. Rowley</w:t>
            </w:r>
          </w:p>
        </w:tc>
        <w:tc>
          <w:tcPr>
            <w:tcW w:w="3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1,012,490</w:t>
            </w:r>
          </w:p>
        </w:tc>
        <w:tc>
          <w:tcPr>
            <w:tcW w:w="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1,708,594</w:t>
            </w:r>
          </w:p>
        </w:tc>
        <w:tc>
          <w:tcPr>
            <w:tcW w:w="6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5"/>
              </w:rPr>
              <w:t>$2,721,084</w:t>
            </w: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D. Craig Kesler</w:t>
            </w: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354,386</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455,625</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810,011</w:t>
            </w: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Gerald J. Essl</w:t>
            </w:r>
          </w:p>
        </w:tc>
        <w:tc>
          <w:tcPr>
            <w:tcW w:w="3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354,386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569,532</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923,917</w:t>
            </w:r>
          </w:p>
        </w:tc>
        <w:tc>
          <w:tcPr>
            <w:tcW w:w="60" w:type="dxa"/>
            <w:vAlign w:val="bottom"/>
            <w:shd w:val="clear" w:color="auto" w:fill="CCEEFF"/>
          </w:tcPr>
          <w:p>
            <w:pPr>
              <w:spacing w:after="0"/>
              <w:rPr>
                <w:sz w:val="12"/>
                <w:szCs w:val="12"/>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David B. Powers</w:t>
            </w: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354,386</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569,532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923,917</w:t>
            </w:r>
          </w:p>
        </w:tc>
        <w:tc>
          <w:tcPr>
            <w:tcW w:w="60" w:type="dxa"/>
            <w:vAlign w:val="bottom"/>
          </w:tcPr>
          <w:p>
            <w:pPr>
              <w:spacing w:after="0"/>
              <w:rPr>
                <w:sz w:val="12"/>
                <w:szCs w:val="12"/>
                <w:color w:val="auto"/>
              </w:rPr>
            </w:pP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H. Graass</w:t>
            </w:r>
          </w:p>
        </w:tc>
        <w:tc>
          <w:tcPr>
            <w:tcW w:w="3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354,386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493,594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847,979</w:t>
            </w:r>
          </w:p>
        </w:tc>
        <w:tc>
          <w:tcPr>
            <w:tcW w:w="6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The amount in the Summary Compensation Table column assumes the achievement of the highest level of performance conditions.</w:t>
      </w:r>
    </w:p>
    <w:p>
      <w:pPr>
        <w:ind w:left="340" w:right="140" w:hanging="332"/>
        <w:spacing w:after="0" w:line="189" w:lineRule="auto"/>
        <w:tabs>
          <w:tab w:leader="none" w:pos="34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The amount in the Summary Compensation Table column assumes the achievement of less than the highest level of performance conditions with respect to this award. The fiscal 2011 awards to Messrs. Rowley, Kesler and Graass vested at 75.1%, the award to Mr. Powers vested at 62.5%, and the award to Mr. Essl vested at 85.96%. The unvested portion was forfeited.</w:t>
      </w:r>
    </w:p>
    <w:p>
      <w:pPr>
        <w:spacing w:after="0" w:line="58" w:lineRule="exact"/>
        <w:rPr>
          <w:sz w:val="20"/>
          <w:szCs w:val="20"/>
          <w:color w:val="auto"/>
        </w:rPr>
      </w:pPr>
    </w:p>
    <w:p>
      <w:pPr>
        <w:ind w:left="340" w:hanging="332"/>
        <w:spacing w:after="0" w:line="265"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 (I) to the Company’s audited financial statements for the fiscal year ended March 31, 2012 included in the Fiscal 2012 Form 10-K; (b) footnote (I) to the Company’s audited financial statements for the fiscal year ended March 31, 2011 included in the Fiscal 2011 Form 10-K; and</w:t>
      </w:r>
    </w:p>
    <w:p>
      <w:pPr>
        <w:ind w:left="340" w:right="300"/>
        <w:spacing w:after="0" w:line="221" w:lineRule="auto"/>
        <w:rPr>
          <w:rFonts w:ascii="Arial" w:cs="Arial" w:eastAsia="Arial" w:hAnsi="Arial"/>
          <w:sz w:val="12"/>
          <w:szCs w:val="12"/>
          <w:color w:val="auto"/>
        </w:rPr>
      </w:pPr>
      <w:r>
        <w:rPr>
          <w:rFonts w:ascii="Arial" w:cs="Arial" w:eastAsia="Arial" w:hAnsi="Arial"/>
          <w:sz w:val="14"/>
          <w:szCs w:val="14"/>
          <w:color w:val="auto"/>
        </w:rPr>
        <w:t>(c) footnote (I) to the Company’s audited financial statements for the fiscal year ended March 31, 2010 included in the Fiscal 2010 Form 10-K. The amounts in this column for fiscal 2011 assume the achievement of less than the highest level of performance conditions; the amounts assuming the highest level of performance conditions would be as follows: Mr. Rowley – $524,500; Mr. Kesler – $139,274; Mr. Essl – $174,833; Mr. Powers – $174,833; and Mr. Graass – $151,127. The fiscal 2011 awards to Messrs. Rowley, Kesler and Graass vested at 75.1%, the award to Mr. Powers vested at 62.5%, and the award to Mr. Essl vested at 85.96%. The unvested portion was forfeited.</w:t>
      </w:r>
    </w:p>
    <w:p>
      <w:pPr>
        <w:spacing w:after="0" w:line="1" w:lineRule="exact"/>
        <w:rPr>
          <w:rFonts w:ascii="Arial" w:cs="Arial" w:eastAsia="Arial" w:hAnsi="Arial"/>
          <w:sz w:val="12"/>
          <w:szCs w:val="12"/>
          <w:color w:val="auto"/>
        </w:rPr>
      </w:pPr>
    </w:p>
    <w:p>
      <w:pPr>
        <w:ind w:left="340" w:right="6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in this column represent payments to the Named Executive Officer under the applicable annual incentive compensation program for the applicable fiscal year. The amounts do not reflect any dividend equivalent units which are accrued by or paid to holders of our RSUs at any time we pay a cash dividend on our Common Stock (see footnote 6 below).</w:t>
      </w:r>
    </w:p>
    <w:p>
      <w:pPr>
        <w:ind w:left="34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amounts shown in this column represent: (1) Company profit sharing contributions to the account of the Named Executive Officer under our PSRP; (2) Company contributions to the account of the Named Executive Officer under our SERP; (3) premium costs to the Company of life insurance policies obtained by the Company in connection with our SCP; (4) wellness awards; and (5) dividend equivalent RSUs. The PSRP is described in greater detail under “Profit Sharing and Retirement Plan” on page 31 of this proxy statement. During fiscal 2012, the Named Executive Officers each received $18,375 in employer profit sharing contributions with respect to the PSRP. The SERP is described in greater detail under “SERP” on page 32 of this proxy statement. During fiscal 2012, the Named Executive Officers received the following employer contributions with respect to the SERP: Mr. Rowley – $45,675; Mr. Kesler – $1,898; Mr. Essl – $7,559; Mr. Powers – $7,559; and Mr. Graass – $7559. The SCP is described in greater detail under “Salary Continuation Plan” on page 32 of this proxy statement. During fiscal 2012, the Company paid premium costs in the following amounts for life insurance policies obtained under the SCP with respect to the Named Executive Officers: Mr. Rowley – $5,274; Mr. Kesler – $5,200; Mr. Essl – $2,019; Mr. Powers – $2,254; and Mr. Graass – $4,185. For fiscal 2012, the amounts in this column also include the value of Common Stock paid during such fiscal year for dividend equivalent units. Dividend equivalent units are credited as additional RSUs to holders of our earned RSUs at any time we pay a cash dividend on our Common Stock. The value of the dividend equivalent units is not reflected in the “Stock Awards” column. In fiscal 2012, the Named Executive Officers were paid Common Stock for dividend equivalent units valued as follows: Mr. Rowley – $19,222; Mr. Kesler – $5,154; Mr. Essl – $7,343; Mr. Powers – $5,375; and Mr. Graass – $5,569. See footnote (1) to the “Option Exercises and Stock Vested” table on page 39 of this proxy statement.</w:t>
      </w:r>
    </w:p>
    <w:p>
      <w:pPr>
        <w:spacing w:after="0" w:line="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than awards made in connection with new hires and promotions, no equity awards were made by the Company to management in fiscal 2010.</w:t>
      </w:r>
    </w:p>
    <w:p>
      <w:pPr>
        <w:ind w:left="340" w:right="480" w:hanging="332"/>
        <w:spacing w:after="0" w:line="230"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Kesler was promoted to Executive Vice President – Finance &amp; Administration and Chief Financial Officer effective August 21, 2009. Mr. Kesler had previously served as the Company’s Vice President – Investor Relations and Corporate Development since 2005.</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2012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252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Non-Equity Incentive Plan Awards</w:t>
            </w:r>
          </w:p>
        </w:tc>
        <w:tc>
          <w:tcPr>
            <w:tcW w:w="25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Equity Incentive Plan Awards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2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120"/>
              <w:spacing w:after="0" w:line="115" w:lineRule="exact"/>
              <w:rPr>
                <w:sz w:val="20"/>
                <w:szCs w:val="20"/>
                <w:color w:val="auto"/>
              </w:rPr>
            </w:pPr>
            <w:r>
              <w:rPr>
                <w:rFonts w:ascii="Arial" w:cs="Arial" w:eastAsia="Arial" w:hAnsi="Arial"/>
                <w:sz w:val="12"/>
                <w:szCs w:val="12"/>
                <w:b w:val="1"/>
                <w:bCs w:val="1"/>
                <w:color w:val="auto"/>
              </w:rPr>
              <w:t>Grant</w:t>
            </w:r>
          </w:p>
        </w:tc>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w w:val="96"/>
              </w:rPr>
              <w:t>Threshold</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rPr>
              <w:t>Target</w:t>
            </w:r>
          </w:p>
        </w:tc>
        <w:tc>
          <w:tcPr>
            <w:tcW w:w="62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2"/>
                <w:szCs w:val="12"/>
                <w:b w:val="1"/>
                <w:bCs w:val="1"/>
                <w:color w:val="auto"/>
              </w:rPr>
              <w:t>Maximum</w:t>
            </w:r>
          </w:p>
        </w:tc>
        <w:tc>
          <w:tcPr>
            <w:tcW w:w="28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Threshold</w:t>
            </w:r>
          </w:p>
        </w:tc>
        <w:tc>
          <w:tcPr>
            <w:tcW w:w="660" w:type="dxa"/>
            <w:vAlign w:val="bottom"/>
            <w:tcBorders>
              <w:top w:val="single" w:sz="8" w:color="auto"/>
            </w:tcBorders>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rPr>
              <w:t>Target</w:t>
            </w:r>
          </w:p>
        </w:tc>
        <w:tc>
          <w:tcPr>
            <w:tcW w:w="6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Maximum</w:t>
            </w:r>
          </w:p>
        </w:tc>
        <w:tc>
          <w:tcPr>
            <w:tcW w:w="340" w:type="dxa"/>
            <w:vAlign w:val="bottom"/>
          </w:tcPr>
          <w:p>
            <w:pPr>
              <w:spacing w:after="0"/>
              <w:rPr>
                <w:sz w:val="10"/>
                <w:szCs w:val="10"/>
                <w:color w:val="auto"/>
              </w:rPr>
            </w:pPr>
          </w:p>
        </w:tc>
        <w:tc>
          <w:tcPr>
            <w:tcW w:w="5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Awards</w:t>
            </w:r>
          </w:p>
        </w:tc>
        <w:tc>
          <w:tcPr>
            <w:tcW w:w="280" w:type="dxa"/>
            <w:vAlign w:val="bottom"/>
          </w:tcPr>
          <w:p>
            <w:pPr>
              <w:spacing w:after="0"/>
              <w:rPr>
                <w:sz w:val="10"/>
                <w:szCs w:val="10"/>
                <w:color w:val="auto"/>
              </w:rPr>
            </w:pPr>
          </w:p>
        </w:tc>
        <w:tc>
          <w:tcPr>
            <w:tcW w:w="900" w:type="dxa"/>
            <w:vAlign w:val="bottom"/>
            <w:gridSpan w:val="2"/>
          </w:tcPr>
          <w:p>
            <w:pPr>
              <w:jc w:val="center"/>
              <w:ind w:right="80"/>
              <w:spacing w:after="0" w:line="115"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221"/>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28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280" w:type="dxa"/>
            <w:vAlign w:val="bottom"/>
          </w:tcPr>
          <w:p>
            <w:pPr>
              <w:spacing w:after="0"/>
              <w:rPr>
                <w:sz w:val="14"/>
                <w:szCs w:val="14"/>
                <w:color w:val="auto"/>
              </w:rPr>
            </w:pPr>
          </w:p>
        </w:tc>
        <w:tc>
          <w:tcPr>
            <w:tcW w:w="90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6/17/11</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$334,130</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195"/>
              <w:spacing w:after="0" w:line="203" w:lineRule="exact"/>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88,620</w:t>
            </w:r>
            <w:r>
              <w:rPr>
                <w:rFonts w:ascii="Arial" w:cs="Arial" w:eastAsia="Arial" w:hAnsi="Arial"/>
                <w:sz w:val="11"/>
                <w:szCs w:val="11"/>
                <w:color w:val="auto"/>
                <w:w w:val="87"/>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103,524</w:t>
            </w:r>
            <w:r>
              <w:rPr>
                <w:rFonts w:ascii="Arial" w:cs="Arial" w:eastAsia="Arial" w:hAnsi="Arial"/>
                <w:sz w:val="11"/>
                <w:szCs w:val="11"/>
                <w:color w:val="auto"/>
                <w:w w:val="94"/>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4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6/17/11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133,652</w:t>
            </w:r>
          </w:p>
        </w:tc>
        <w:tc>
          <w:tcPr>
            <w:tcW w:w="28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6/27/11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25,653</w:t>
            </w:r>
            <w:r>
              <w:rPr>
                <w:rFonts w:ascii="Arial" w:cs="Arial" w:eastAsia="Arial" w:hAnsi="Arial"/>
                <w:sz w:val="11"/>
                <w:szCs w:val="11"/>
                <w:color w:val="auto"/>
                <w:w w:val="87"/>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27.53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6/27/11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29,968</w:t>
            </w:r>
            <w:r>
              <w:rPr>
                <w:rFonts w:ascii="Arial" w:cs="Arial" w:eastAsia="Arial" w:hAnsi="Arial"/>
                <w:sz w:val="11"/>
                <w:szCs w:val="11"/>
                <w:color w:val="auto"/>
                <w:w w:val="87"/>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0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6/17/11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212,693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28,569</w:t>
            </w:r>
            <w:r>
              <w:rPr>
                <w:rFonts w:ascii="Arial" w:cs="Arial" w:eastAsia="Arial" w:hAnsi="Arial"/>
                <w:sz w:val="11"/>
                <w:szCs w:val="11"/>
                <w:color w:val="auto"/>
                <w:w w:val="87"/>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33,373</w:t>
            </w:r>
            <w:r>
              <w:rPr>
                <w:rFonts w:ascii="Arial" w:cs="Arial" w:eastAsia="Arial" w:hAnsi="Arial"/>
                <w:sz w:val="11"/>
                <w:szCs w:val="11"/>
                <w:color w:val="auto"/>
                <w:w w:val="87"/>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4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6/17/11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27,301</w:t>
            </w:r>
          </w:p>
        </w:tc>
        <w:tc>
          <w:tcPr>
            <w:tcW w:w="28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6/27/11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28,569</w:t>
            </w:r>
            <w:r>
              <w:rPr>
                <w:rFonts w:ascii="Arial" w:cs="Arial" w:eastAsia="Arial" w:hAnsi="Arial"/>
                <w:sz w:val="11"/>
                <w:szCs w:val="11"/>
                <w:color w:val="auto"/>
                <w:w w:val="87"/>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27.53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6/27/11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33,373</w:t>
            </w:r>
            <w:r>
              <w:rPr>
                <w:rFonts w:ascii="Arial" w:cs="Arial" w:eastAsia="Arial" w:hAnsi="Arial"/>
                <w:sz w:val="11"/>
                <w:szCs w:val="11"/>
                <w:color w:val="auto"/>
                <w:w w:val="87"/>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918,750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0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6/17/11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133,652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26,820</w:t>
            </w:r>
            <w:r>
              <w:rPr>
                <w:rFonts w:ascii="Arial" w:cs="Arial" w:eastAsia="Arial" w:hAnsi="Arial"/>
                <w:sz w:val="11"/>
                <w:szCs w:val="11"/>
                <w:color w:val="auto"/>
                <w:w w:val="87"/>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6/27/11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31,330</w:t>
            </w:r>
            <w:r>
              <w:rPr>
                <w:rFonts w:ascii="Arial" w:cs="Arial" w:eastAsia="Arial" w:hAnsi="Arial"/>
                <w:sz w:val="11"/>
                <w:szCs w:val="11"/>
                <w:color w:val="auto"/>
                <w:w w:val="87"/>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3"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in this column represent the maximum annual incentive payments potentially payable to the Named Executive Officers pursuant to the Eagle Annual Incentive Program or the Divisional Annual Incentive Bonus Programs, as applicable, for fiscal year 2012. There are no thresholds or maximums for these awards – they are merely a function of multiplying the pre-determined percentage of earnings for the fiscal year. The actual pay-outs to the Named Executive Officers were as follows: Mr. Rowley – $334,130; Mr. Kesler – $133,652; Mr. Essl – $212,693; Mr. Powers – $26,208; and Mr. Graass – $133,652. These incentive programs are described in greater detail under “Annual Incentive Bonus” beginning on page 25 of this proxy statement.</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(I) to the Company’s audited financial statements for the fiscal year ended March 31, 2012 included in the Fiscal 2012 Form 10-K.</w:t>
      </w:r>
    </w:p>
    <w:p>
      <w:pPr>
        <w:spacing w:after="0" w:line="1"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amounts represent grants of stock options to purchase shares of Common Stock made on June 27, 2011 under our Incentive Plan. One-third of the earned stock options will vest on June 27, 2012; one-third will vest on June 27, 2013; and one-third will vest on June 27, 2014. These stock options are described in greater detail under “Long-Term Incentive Compensation – Fiscal 2012 Grants” beginning on page 30 of this proxy statement.</w:t>
      </w:r>
    </w:p>
    <w:p>
      <w:pPr>
        <w:spacing w:after="0" w:line="2" w:lineRule="exact"/>
        <w:rPr>
          <w:rFonts w:ascii="Arial" w:cs="Arial" w:eastAsia="Arial" w:hAnsi="Arial"/>
          <w:sz w:val="16"/>
          <w:szCs w:val="16"/>
          <w:color w:val="auto"/>
        </w:rPr>
      </w:pPr>
    </w:p>
    <w:p>
      <w:pPr>
        <w:ind w:left="460" w:right="320" w:hanging="452"/>
        <w:spacing w:after="0" w:line="295"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amounts represent grants of restricted stock made on June 27, 2011 under our Incentive Plan. The vesting of the restricted stock was subject to performance vesting criteria. One-fifth of the earned restricted stock vested immediately, one-fifth will vest on March 31, 2013; one-fifth will vest on March 31, 2014; one-fifth will vest on March 31, 2015; and one-fifth will vest on March 31, 2016. These restricted stock grants are described in greater detail under “Long-Term Incentive Compensation – Fiscal 2012 Grants” beginning on page 30 of this proxy statement.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2012 for each of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0"/>
              </w:rPr>
              <w:t>Option Awards</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Equity</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284"/>
              <w:spacing w:after="0" w:line="129" w:lineRule="exact"/>
              <w:rPr>
                <w:sz w:val="20"/>
                <w:szCs w:val="20"/>
                <w:color w:val="auto"/>
              </w:rPr>
            </w:pPr>
            <w:r>
              <w:rPr>
                <w:rFonts w:ascii="Arial" w:cs="Arial" w:eastAsia="Arial" w:hAnsi="Arial"/>
                <w:sz w:val="14"/>
                <w:szCs w:val="14"/>
                <w:b w:val="1"/>
                <w:bCs w:val="1"/>
                <w:color w:val="auto"/>
                <w:w w:val="88"/>
              </w:rPr>
              <w:t>Equity</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Value of</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89"/>
              </w:rPr>
              <w:t>Unearned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88"/>
              </w:rPr>
              <w:t>Units of</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That Have</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90"/>
              </w:rPr>
              <w:t>or Other</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That Have</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Exercisable</w:t>
            </w:r>
          </w:p>
        </w:tc>
        <w:tc>
          <w:tcPr>
            <w:tcW w:w="26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Options</w:t>
            </w: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Expiration</w:t>
            </w:r>
          </w:p>
        </w:tc>
        <w:tc>
          <w:tcPr>
            <w:tcW w:w="860" w:type="dxa"/>
            <w:vAlign w:val="bottom"/>
            <w:gridSpan w:val="2"/>
          </w:tcPr>
          <w:p>
            <w:pPr>
              <w:jc w:val="center"/>
              <w:ind w:right="184"/>
              <w:spacing w:after="0" w:line="135"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Vested</w:t>
            </w:r>
          </w:p>
        </w:tc>
        <w:tc>
          <w:tcPr>
            <w:tcW w:w="1160" w:type="dxa"/>
            <w:vAlign w:val="bottom"/>
            <w:gridSpan w:val="2"/>
          </w:tcPr>
          <w:p>
            <w:pPr>
              <w:jc w:val="center"/>
              <w:ind w:right="284"/>
              <w:spacing w:after="0" w:line="135" w:lineRule="exact"/>
              <w:rPr>
                <w:sz w:val="20"/>
                <w:szCs w:val="20"/>
                <w:color w:val="auto"/>
              </w:rPr>
            </w:pPr>
            <w:r>
              <w:rPr>
                <w:rFonts w:ascii="Arial" w:cs="Arial" w:eastAsia="Arial" w:hAnsi="Arial"/>
                <w:sz w:val="14"/>
                <w:szCs w:val="14"/>
                <w:b w:val="1"/>
                <w:bCs w:val="1"/>
                <w:color w:val="auto"/>
                <w:w w:val="88"/>
              </w:rPr>
              <w:t>Have Not</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2"/>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94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860" w:type="dxa"/>
            <w:vAlign w:val="bottom"/>
            <w:gridSpan w:val="2"/>
          </w:tcPr>
          <w:p>
            <w:pPr>
              <w:jc w:val="center"/>
              <w:ind w:right="184"/>
              <w:spacing w:after="0"/>
              <w:rPr>
                <w:sz w:val="20"/>
                <w:szCs w:val="20"/>
                <w:color w:val="auto"/>
              </w:rPr>
            </w:pPr>
            <w:r>
              <w:rPr>
                <w:rFonts w:ascii="Arial" w:cs="Arial" w:eastAsia="Arial" w:hAnsi="Arial"/>
                <w:sz w:val="14"/>
                <w:szCs w:val="14"/>
                <w:b w:val="1"/>
                <w:bCs w:val="1"/>
                <w:color w:val="auto"/>
                <w:w w:val="86"/>
              </w:rPr>
              <w:t>Vested (#)</w:t>
            </w:r>
          </w:p>
        </w:tc>
        <w:tc>
          <w:tcPr>
            <w:tcW w:w="900" w:type="dxa"/>
            <w:vAlign w:val="bottom"/>
            <w:gridSpan w:val="2"/>
          </w:tcPr>
          <w:p>
            <w:pPr>
              <w:jc w:val="center"/>
              <w:ind w:left="15"/>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280" w:type="dxa"/>
            <w:vAlign w:val="bottom"/>
          </w:tcPr>
          <w:p>
            <w:pPr>
              <w:spacing w:after="0"/>
              <w:rPr>
                <w:sz w:val="14"/>
                <w:szCs w:val="14"/>
                <w:color w:val="auto"/>
              </w:rPr>
            </w:pPr>
          </w:p>
        </w:tc>
        <w:tc>
          <w:tcPr>
            <w:tcW w:w="1160" w:type="dxa"/>
            <w:vAlign w:val="bottom"/>
            <w:gridSpan w:val="2"/>
          </w:tcPr>
          <w:p>
            <w:pPr>
              <w:jc w:val="center"/>
              <w:ind w:right="284"/>
              <w:spacing w:after="0"/>
              <w:rPr>
                <w:sz w:val="20"/>
                <w:szCs w:val="20"/>
                <w:color w:val="auto"/>
              </w:rPr>
            </w:pPr>
            <w:r>
              <w:rPr>
                <w:rFonts w:ascii="Arial" w:cs="Arial" w:eastAsia="Arial" w:hAnsi="Arial"/>
                <w:sz w:val="14"/>
                <w:szCs w:val="14"/>
                <w:b w:val="1"/>
                <w:bCs w:val="1"/>
                <w:color w:val="auto"/>
                <w:w w:val="86"/>
              </w:rPr>
              <w:t>Vested (#)</w:t>
            </w: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14,755</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left="377"/>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$62.830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05/09/2016</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14,468</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502,763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103,524</w:t>
            </w:r>
          </w:p>
        </w:tc>
        <w:tc>
          <w:tcPr>
            <w:tcW w:w="3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88"/>
              </w:rPr>
              <w:t>(3)</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3,597,459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06/20/2014</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33,333</w:t>
            </w:r>
            <w:r>
              <w:rPr>
                <w:rFonts w:ascii="Arial" w:cs="Arial" w:eastAsia="Arial" w:hAnsi="Arial"/>
                <w:sz w:val="11"/>
                <w:szCs w:val="11"/>
                <w:color w:val="auto"/>
                <w:w w:val="90"/>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1,158,322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08/21/2015</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w:t>
            </w:r>
          </w:p>
        </w:tc>
        <w:tc>
          <w:tcPr>
            <w:tcW w:w="1240" w:type="dxa"/>
            <w:vAlign w:val="bottom"/>
            <w:gridSpan w:val="3"/>
            <w:shd w:val="clear" w:color="auto" w:fill="CCEEFF"/>
          </w:tcPr>
          <w:p>
            <w:pPr>
              <w:jc w:val="center"/>
              <w:ind w:left="454"/>
              <w:spacing w:after="0"/>
              <w:rPr>
                <w:sz w:val="20"/>
                <w:szCs w:val="20"/>
                <w:color w:val="auto"/>
              </w:rPr>
            </w:pPr>
            <w:r>
              <w:rPr>
                <w:rFonts w:ascii="Arial" w:cs="Arial" w:eastAsia="Arial" w:hAnsi="Arial"/>
                <w:sz w:val="18"/>
                <w:szCs w:val="18"/>
                <w:color w:val="auto"/>
                <w:w w:val="90"/>
              </w:rPr>
              <w:t>11,077</w:t>
            </w:r>
            <w:r>
              <w:rPr>
                <w:rFonts w:ascii="Arial" w:cs="Arial" w:eastAsia="Arial" w:hAnsi="Arial"/>
                <w:sz w:val="11"/>
                <w:szCs w:val="11"/>
                <w:color w:val="auto"/>
                <w:w w:val="90"/>
              </w:rPr>
              <w:t>(5)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05/18/2020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center"/>
              <w:ind w:left="454"/>
              <w:spacing w:after="0"/>
              <w:rPr>
                <w:sz w:val="20"/>
                <w:szCs w:val="20"/>
                <w:color w:val="auto"/>
              </w:rPr>
            </w:pPr>
            <w:r>
              <w:rPr>
                <w:rFonts w:ascii="Arial" w:cs="Arial" w:eastAsia="Arial" w:hAnsi="Arial"/>
                <w:sz w:val="18"/>
                <w:szCs w:val="18"/>
                <w:color w:val="auto"/>
                <w:w w:val="90"/>
              </w:rPr>
              <w:t>88,620</w:t>
            </w:r>
            <w:r>
              <w:rPr>
                <w:rFonts w:ascii="Arial" w:cs="Arial" w:eastAsia="Arial" w:hAnsi="Arial"/>
                <w:sz w:val="11"/>
                <w:szCs w:val="11"/>
                <w:color w:val="auto"/>
                <w:w w:val="90"/>
              </w:rPr>
              <w:t>(6)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06/27/2021</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18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260" w:type="dxa"/>
            <w:vAlign w:val="bottom"/>
          </w:tcPr>
          <w:p>
            <w:pPr>
              <w:spacing w:after="0"/>
              <w:rPr>
                <w:sz w:val="24"/>
                <w:szCs w:val="24"/>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23.583</w:t>
            </w:r>
          </w:p>
        </w:tc>
        <w:tc>
          <w:tcPr>
            <w:tcW w:w="2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10/07/2014</w:t>
            </w:r>
          </w:p>
        </w:tc>
        <w:tc>
          <w:tcPr>
            <w:tcW w:w="860" w:type="dxa"/>
            <w:vAlign w:val="bottom"/>
            <w:gridSpan w:val="2"/>
          </w:tcPr>
          <w:p>
            <w:pPr>
              <w:jc w:val="right"/>
              <w:ind w:right="44"/>
              <w:spacing w:after="0"/>
              <w:rPr>
                <w:sz w:val="20"/>
                <w:szCs w:val="20"/>
                <w:color w:val="auto"/>
              </w:rPr>
            </w:pPr>
            <w:r>
              <w:rPr>
                <w:rFonts w:ascii="Arial" w:cs="Arial" w:eastAsia="Arial" w:hAnsi="Arial"/>
                <w:sz w:val="18"/>
                <w:szCs w:val="18"/>
                <w:color w:val="auto"/>
              </w:rPr>
              <w:t>6,000</w:t>
            </w:r>
            <w:r>
              <w:rPr>
                <w:rFonts w:ascii="Arial" w:cs="Arial" w:eastAsia="Arial" w:hAnsi="Arial"/>
                <w:sz w:val="11"/>
                <w:szCs w:val="11"/>
                <w:color w:val="auto"/>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208,500</w:t>
            </w:r>
          </w:p>
        </w:tc>
        <w:tc>
          <w:tcPr>
            <w:tcW w:w="280" w:type="dxa"/>
            <w:vAlign w:val="bottom"/>
          </w:tcPr>
          <w:p>
            <w:pPr>
              <w:spacing w:after="0"/>
              <w:rPr>
                <w:sz w:val="24"/>
                <w:szCs w:val="24"/>
                <w:color w:val="auto"/>
              </w:rPr>
            </w:pP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0"/>
              </w:rPr>
              <w:t>29,968</w:t>
            </w:r>
            <w:r>
              <w:rPr>
                <w:rFonts w:ascii="Arial" w:cs="Arial" w:eastAsia="Arial" w:hAnsi="Arial"/>
                <w:sz w:val="11"/>
                <w:szCs w:val="11"/>
                <w:color w:val="auto"/>
                <w:w w:val="90"/>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1,041,388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260" w:type="dxa"/>
            <w:vAlign w:val="bottom"/>
          </w:tcPr>
          <w:p>
            <w:pPr>
              <w:spacing w:after="0"/>
              <w:rPr>
                <w:sz w:val="18"/>
                <w:szCs w:val="18"/>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62.830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05/09/2016</w:t>
            </w:r>
          </w:p>
        </w:tc>
        <w:tc>
          <w:tcPr>
            <w:tcW w:w="860" w:type="dxa"/>
            <w:vAlign w:val="bottom"/>
            <w:gridSpan w:val="2"/>
          </w:tcPr>
          <w:p>
            <w:pPr>
              <w:jc w:val="right"/>
              <w:ind w:right="44"/>
              <w:spacing w:after="0"/>
              <w:rPr>
                <w:sz w:val="20"/>
                <w:szCs w:val="20"/>
                <w:color w:val="auto"/>
              </w:rPr>
            </w:pPr>
            <w:r>
              <w:rPr>
                <w:rFonts w:ascii="Arial" w:cs="Arial" w:eastAsia="Arial" w:hAnsi="Arial"/>
                <w:sz w:val="18"/>
                <w:szCs w:val="18"/>
                <w:color w:val="auto"/>
              </w:rPr>
              <w:t>3,858</w:t>
            </w:r>
            <w:r>
              <w:rPr>
                <w:rFonts w:ascii="Arial" w:cs="Arial" w:eastAsia="Arial" w:hAnsi="Arial"/>
                <w:sz w:val="11"/>
                <w:szCs w:val="11"/>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134,066</w:t>
            </w:r>
          </w:p>
        </w:tc>
        <w:tc>
          <w:tcPr>
            <w:tcW w:w="280" w:type="dxa"/>
            <w:vAlign w:val="bottom"/>
          </w:tcPr>
          <w:p>
            <w:pPr>
              <w:spacing w:after="0"/>
              <w:rPr>
                <w:sz w:val="18"/>
                <w:szCs w:val="18"/>
                <w:color w:val="auto"/>
              </w:rPr>
            </w:pP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35,000</w:t>
            </w:r>
          </w:p>
        </w:tc>
        <w:tc>
          <w:tcPr>
            <w:tcW w:w="580" w:type="dxa"/>
            <w:vAlign w:val="bottom"/>
          </w:tcPr>
          <w:p>
            <w:pPr>
              <w:jc w:val="right"/>
              <w:spacing w:after="0"/>
              <w:rPr>
                <w:sz w:val="20"/>
                <w:szCs w:val="20"/>
                <w:color w:val="auto"/>
              </w:rPr>
            </w:pPr>
            <w:r>
              <w:rPr>
                <w:rFonts w:ascii="Arial" w:cs="Arial" w:eastAsia="Arial" w:hAnsi="Arial"/>
                <w:sz w:val="18"/>
                <w:szCs w:val="18"/>
                <w:color w:val="auto"/>
              </w:rPr>
              <w:t>47.530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06/20/2014</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405,429</w:t>
            </w:r>
          </w:p>
        </w:tc>
        <w:tc>
          <w:tcPr>
            <w:tcW w:w="280" w:type="dxa"/>
            <w:vAlign w:val="bottom"/>
          </w:tcPr>
          <w:p>
            <w:pPr>
              <w:spacing w:after="0"/>
              <w:rPr>
                <w:sz w:val="18"/>
                <w:szCs w:val="18"/>
                <w:color w:val="auto"/>
              </w:rPr>
            </w:pP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tcPr>
          <w:p>
            <w:pPr>
              <w:spacing w:after="0"/>
              <w:rPr>
                <w:sz w:val="18"/>
                <w:szCs w:val="18"/>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26.695</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08/21/2015</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5,884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2,941</w:t>
            </w:r>
            <w:r>
              <w:rPr>
                <w:rFonts w:ascii="Arial" w:cs="Arial" w:eastAsia="Arial" w:hAnsi="Arial"/>
                <w:sz w:val="11"/>
                <w:szCs w:val="11"/>
                <w:color w:val="auto"/>
              </w:rPr>
              <w:t>(5)</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30.735</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05/18/2020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center"/>
              <w:ind w:left="454"/>
              <w:spacing w:after="0"/>
              <w:rPr>
                <w:sz w:val="20"/>
                <w:szCs w:val="20"/>
                <w:color w:val="auto"/>
              </w:rPr>
            </w:pPr>
            <w:r>
              <w:rPr>
                <w:rFonts w:ascii="Arial" w:cs="Arial" w:eastAsia="Arial" w:hAnsi="Arial"/>
                <w:sz w:val="18"/>
                <w:szCs w:val="18"/>
                <w:color w:val="auto"/>
                <w:w w:val="90"/>
              </w:rPr>
              <w:t>25,653</w:t>
            </w:r>
            <w:r>
              <w:rPr>
                <w:rFonts w:ascii="Arial" w:cs="Arial" w:eastAsia="Arial" w:hAnsi="Arial"/>
                <w:sz w:val="11"/>
                <w:szCs w:val="11"/>
                <w:color w:val="auto"/>
                <w:w w:val="90"/>
              </w:rPr>
              <w:t>(6)</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27.530</w:t>
            </w: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06/27/2021</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05/08/2013</w:t>
            </w:r>
          </w:p>
        </w:tc>
        <w:tc>
          <w:tcPr>
            <w:tcW w:w="8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5,521</w:t>
            </w:r>
            <w:r>
              <w:rPr>
                <w:rFonts w:ascii="Arial" w:cs="Arial" w:eastAsia="Arial" w:hAnsi="Arial"/>
                <w:sz w:val="11"/>
                <w:szCs w:val="11"/>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191,855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0"/>
              </w:rPr>
              <w:t>33,373</w:t>
            </w:r>
            <w:r>
              <w:rPr>
                <w:rFonts w:ascii="Arial" w:cs="Arial" w:eastAsia="Arial" w:hAnsi="Arial"/>
                <w:sz w:val="11"/>
                <w:szCs w:val="11"/>
                <w:color w:val="auto"/>
                <w:w w:val="90"/>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05/09/2016</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405,429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r>
              <w:rPr>
                <w:rFonts w:ascii="Arial" w:cs="Arial" w:eastAsia="Arial" w:hAnsi="Arial"/>
                <w:sz w:val="11"/>
                <w:szCs w:val="11"/>
                <w:color w:val="auto"/>
              </w:rPr>
              <w:t>(8)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05/04/2014</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06/20/2014</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08/21/2015</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4,226</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05/18/2020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0"/>
              </w:rPr>
              <w:t>28,569</w:t>
            </w:r>
            <w:r>
              <w:rPr>
                <w:rFonts w:ascii="Arial" w:cs="Arial" w:eastAsia="Arial" w:hAnsi="Arial"/>
                <w:sz w:val="11"/>
                <w:szCs w:val="11"/>
                <w:color w:val="auto"/>
                <w:w w:val="90"/>
              </w:rPr>
              <w:t>(6)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06/27/2021</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186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4,695</w:t>
            </w:r>
          </w:p>
        </w:tc>
        <w:tc>
          <w:tcPr>
            <w:tcW w:w="260" w:type="dxa"/>
            <w:vAlign w:val="bottom"/>
          </w:tcPr>
          <w:p>
            <w:pPr>
              <w:spacing w:after="0"/>
              <w:rPr>
                <w:sz w:val="24"/>
                <w:szCs w:val="24"/>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62.830</w:t>
            </w:r>
          </w:p>
        </w:tc>
        <w:tc>
          <w:tcPr>
            <w:tcW w:w="2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05/09/2016</w:t>
            </w:r>
          </w:p>
        </w:tc>
        <w:tc>
          <w:tcPr>
            <w:tcW w:w="860" w:type="dxa"/>
            <w:vAlign w:val="bottom"/>
            <w:gridSpan w:val="2"/>
          </w:tcPr>
          <w:p>
            <w:pPr>
              <w:jc w:val="right"/>
              <w:ind w:right="44"/>
              <w:spacing w:after="0"/>
              <w:rPr>
                <w:sz w:val="20"/>
                <w:szCs w:val="20"/>
                <w:color w:val="auto"/>
              </w:rPr>
            </w:pPr>
            <w:r>
              <w:rPr>
                <w:rFonts w:ascii="Arial" w:cs="Arial" w:eastAsia="Arial" w:hAnsi="Arial"/>
                <w:sz w:val="18"/>
                <w:szCs w:val="18"/>
                <w:color w:val="auto"/>
              </w:rPr>
              <w:t>4,013</w:t>
            </w:r>
            <w:r>
              <w:rPr>
                <w:rFonts w:ascii="Arial" w:cs="Arial" w:eastAsia="Arial" w:hAnsi="Arial"/>
                <w:sz w:val="11"/>
                <w:szCs w:val="11"/>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139,452</w:t>
            </w:r>
          </w:p>
        </w:tc>
        <w:tc>
          <w:tcPr>
            <w:tcW w:w="280" w:type="dxa"/>
            <w:vAlign w:val="bottom"/>
          </w:tcPr>
          <w:p>
            <w:pPr>
              <w:spacing w:after="0"/>
              <w:rPr>
                <w:sz w:val="24"/>
                <w:szCs w:val="24"/>
                <w:color w:val="auto"/>
              </w:rPr>
            </w:pP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0"/>
              </w:rPr>
              <w:t>33,373</w:t>
            </w:r>
            <w:r>
              <w:rPr>
                <w:rFonts w:ascii="Arial" w:cs="Arial" w:eastAsia="Arial" w:hAnsi="Arial"/>
                <w:sz w:val="11"/>
                <w:szCs w:val="11"/>
                <w:color w:val="auto"/>
                <w:w w:val="90"/>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1,159,712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122,000</w:t>
            </w:r>
          </w:p>
        </w:tc>
        <w:tc>
          <w:tcPr>
            <w:tcW w:w="580" w:type="dxa"/>
            <w:vAlign w:val="bottom"/>
          </w:tcPr>
          <w:p>
            <w:pPr>
              <w:jc w:val="right"/>
              <w:spacing w:after="0"/>
              <w:rPr>
                <w:sz w:val="20"/>
                <w:szCs w:val="20"/>
                <w:color w:val="auto"/>
              </w:rPr>
            </w:pPr>
            <w:r>
              <w:rPr>
                <w:rFonts w:ascii="Arial" w:cs="Arial" w:eastAsia="Arial" w:hAnsi="Arial"/>
                <w:sz w:val="18"/>
                <w:szCs w:val="18"/>
                <w:color w:val="auto"/>
              </w:rPr>
              <w:t>47.530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06/20/2014</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405,429</w:t>
            </w:r>
          </w:p>
        </w:tc>
        <w:tc>
          <w:tcPr>
            <w:tcW w:w="280" w:type="dxa"/>
            <w:vAlign w:val="bottom"/>
          </w:tcPr>
          <w:p>
            <w:pPr>
              <w:spacing w:after="0"/>
              <w:rPr>
                <w:sz w:val="18"/>
                <w:szCs w:val="18"/>
                <w:color w:val="auto"/>
              </w:rPr>
            </w:pP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60" w:type="dxa"/>
            <w:vAlign w:val="bottom"/>
          </w:tcPr>
          <w:p>
            <w:pPr>
              <w:spacing w:after="0"/>
              <w:rPr>
                <w:sz w:val="18"/>
                <w:szCs w:val="18"/>
                <w:color w:val="auto"/>
              </w:rPr>
            </w:pPr>
          </w:p>
        </w:tc>
        <w:tc>
          <w:tcPr>
            <w:tcW w:w="98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26.695</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08/21/2015</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6,146</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3,073</w:t>
            </w:r>
            <w:r>
              <w:rPr>
                <w:rFonts w:ascii="Arial" w:cs="Arial" w:eastAsia="Arial" w:hAnsi="Arial"/>
                <w:sz w:val="11"/>
                <w:szCs w:val="11"/>
                <w:color w:val="auto"/>
              </w:rPr>
              <w:t>(5)</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30.735</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05/18/2020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center"/>
              <w:ind w:left="454"/>
              <w:spacing w:after="0"/>
              <w:rPr>
                <w:sz w:val="20"/>
                <w:szCs w:val="20"/>
                <w:color w:val="auto"/>
              </w:rPr>
            </w:pPr>
            <w:r>
              <w:rPr>
                <w:rFonts w:ascii="Arial" w:cs="Arial" w:eastAsia="Arial" w:hAnsi="Arial"/>
                <w:sz w:val="18"/>
                <w:szCs w:val="18"/>
                <w:color w:val="auto"/>
                <w:w w:val="90"/>
              </w:rPr>
              <w:t>28,569</w:t>
            </w:r>
            <w:r>
              <w:rPr>
                <w:rFonts w:ascii="Arial" w:cs="Arial" w:eastAsia="Arial" w:hAnsi="Arial"/>
                <w:sz w:val="11"/>
                <w:szCs w:val="11"/>
                <w:color w:val="auto"/>
                <w:w w:val="90"/>
              </w:rPr>
              <w:t>(6)</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27.530</w:t>
            </w: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06/27/2021</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49,665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05/08/2013</w:t>
            </w:r>
          </w:p>
        </w:tc>
        <w:tc>
          <w:tcPr>
            <w:tcW w:w="8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4,180</w:t>
            </w:r>
            <w:r>
              <w:rPr>
                <w:rFonts w:ascii="Arial" w:cs="Arial" w:eastAsia="Arial" w:hAnsi="Arial"/>
                <w:sz w:val="11"/>
                <w:szCs w:val="11"/>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145,255</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0"/>
              </w:rPr>
              <w:t>31,330</w:t>
            </w:r>
            <w:r>
              <w:rPr>
                <w:rFonts w:ascii="Arial" w:cs="Arial" w:eastAsia="Arial" w:hAnsi="Arial"/>
                <w:sz w:val="11"/>
                <w:szCs w:val="11"/>
                <w:color w:val="auto"/>
                <w:w w:val="90"/>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05/09/2016</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405,429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06/20/2014</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08/21/2015</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3,192</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05/18/2020</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center"/>
              <w:ind w:left="454"/>
              <w:spacing w:after="0"/>
              <w:rPr>
                <w:sz w:val="20"/>
                <w:szCs w:val="20"/>
                <w:color w:val="auto"/>
              </w:rPr>
            </w:pPr>
            <w:r>
              <w:rPr>
                <w:rFonts w:ascii="Arial" w:cs="Arial" w:eastAsia="Arial" w:hAnsi="Arial"/>
                <w:sz w:val="18"/>
                <w:szCs w:val="18"/>
                <w:color w:val="auto"/>
                <w:w w:val="90"/>
              </w:rPr>
              <w:t>26,820</w:t>
            </w:r>
            <w:r>
              <w:rPr>
                <w:rFonts w:ascii="Arial" w:cs="Arial" w:eastAsia="Arial" w:hAnsi="Arial"/>
                <w:sz w:val="11"/>
                <w:szCs w:val="11"/>
                <w:color w:val="auto"/>
                <w:w w:val="90"/>
              </w:rPr>
              <w:t>(6)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06/27/2021</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30, 2012 ($34.75).</w:t>
      </w:r>
    </w:p>
    <w:p>
      <w:pPr>
        <w:spacing w:after="0" w:line="15"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unvested portion of RSU grant made on May 18, 2010 under our Incentive Plan. Includes the following dividend-equivalent RSUs that have accrued on the unvested RSUs as of March 31, 2012: Mr. Rowley – 387; Mr. Kesler – 103, Mr. Essl – 148, Mr. Powers – 107, and Mr. Graass – 112. The remaining RSUs will become payable to the Named Executive Officer in shares of Common Stock on March 31, 2013.</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restricted stock granted on June 27, 2011 under our Incentive Plan. The Compensation Committee determined in May 2012 (i.e., after the end of fiscal 2012) that 100% of such stock was earned, at which time one-fifth of the earned restricted shares were paid to the Named Executive Officer. Restrictions will lapse on the remaining four-fifths of the restricted shares on March 31, 2013; March 31, 2014; March 31, 2015; and March 31, 2016.</w:t>
      </w:r>
    </w:p>
    <w:p>
      <w:pPr>
        <w:spacing w:after="0" w:line="2" w:lineRule="exact"/>
        <w:rPr>
          <w:rFonts w:ascii="Arial" w:cs="Arial" w:eastAsia="Arial" w:hAnsi="Arial"/>
          <w:sz w:val="16"/>
          <w:szCs w:val="16"/>
          <w:color w:val="auto"/>
        </w:rPr>
      </w:pPr>
    </w:p>
    <w:p>
      <w:pPr>
        <w:ind w:left="460" w:right="48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 requirements of retirement, as defined in the award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unvested portion of stock options granted on May 18, 2010. The remaining options will vest on March 31, 2013.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stock options granted on June 27, 2011 under our Incentive Plan. The options vest ratably over 3 years.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remaining unvested shares under a restricted stock grant of 10,000 shares made to Mr. Kesler in connection with his promotion to Chief Financial Officer on August 21, 2009 under our Incentive Plan. The remaining shares will vest as follows: 2,000 on August 21, 2012; 2,000 on August 21, 2013; and 2,000 on August 21, 2014.</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unvested portion of options to purchase 5,000 shares of Common Stock granted to Mr. Essl on May 4, 2007 under our Incentive Plan. The options vest ratably over 5 years.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Option Exercises and Stock Vested</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or restricted stock units during fiscal 2012 for each of our Named Executive Officers.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8"/>
              </w:rPr>
              <w:t>Option Awards</w:t>
            </w:r>
          </w:p>
        </w:tc>
        <w:tc>
          <w:tcPr>
            <w:tcW w:w="9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2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8"/>
              </w:rPr>
              <w:t>Acquired</w:t>
            </w:r>
          </w:p>
        </w:tc>
        <w:tc>
          <w:tcPr>
            <w:tcW w:w="166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1"/>
              </w:rPr>
              <w:t>on</w:t>
            </w:r>
          </w:p>
        </w:tc>
        <w:tc>
          <w:tcPr>
            <w:tcW w:w="206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9"/>
              </w:rPr>
              <w:t>Number of Shares</w:t>
            </w:r>
          </w:p>
        </w:tc>
        <w:tc>
          <w:tcPr>
            <w:tcW w:w="14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63"/>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vMerge w:val="restart"/>
          </w:tcPr>
          <w:p>
            <w:pPr>
              <w:spacing w:after="0"/>
              <w:rPr>
                <w:sz w:val="14"/>
                <w:szCs w:val="14"/>
                <w:color w:val="auto"/>
              </w:rPr>
            </w:pPr>
          </w:p>
        </w:tc>
        <w:tc>
          <w:tcPr>
            <w:tcW w:w="18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on Exercise</w:t>
            </w:r>
          </w:p>
        </w:tc>
        <w:tc>
          <w:tcPr>
            <w:tcW w:w="16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Exercise</w:t>
            </w:r>
          </w:p>
        </w:tc>
        <w:tc>
          <w:tcPr>
            <w:tcW w:w="2060" w:type="dxa"/>
            <w:vAlign w:val="bottom"/>
            <w:gridSpan w:val="2"/>
          </w:tcPr>
          <w:p>
            <w:pPr>
              <w:jc w:val="center"/>
              <w:ind w:right="720"/>
              <w:spacing w:after="0" w:line="163" w:lineRule="exact"/>
              <w:rPr>
                <w:sz w:val="20"/>
                <w:szCs w:val="20"/>
                <w:color w:val="auto"/>
              </w:rPr>
            </w:pPr>
            <w:r>
              <w:rPr>
                <w:rFonts w:ascii="Arial" w:cs="Arial" w:eastAsia="Arial" w:hAnsi="Arial"/>
                <w:sz w:val="12"/>
                <w:szCs w:val="12"/>
                <w:b w:val="1"/>
                <w:bCs w:val="1"/>
                <w:color w:val="auto"/>
              </w:rPr>
              <w:t>Acquired on Vesting</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980" w:type="dxa"/>
            <w:vAlign w:val="bottom"/>
            <w:gridSpan w:val="2"/>
          </w:tcPr>
          <w:p>
            <w:pPr>
              <w:jc w:val="center"/>
              <w:ind w:right="100"/>
              <w:spacing w:after="0" w:line="163" w:lineRule="exact"/>
              <w:rPr>
                <w:sz w:val="20"/>
                <w:szCs w:val="20"/>
                <w:color w:val="auto"/>
              </w:rPr>
            </w:pPr>
            <w:r>
              <w:rPr>
                <w:rFonts w:ascii="Arial" w:cs="Arial" w:eastAsia="Arial" w:hAnsi="Arial"/>
                <w:sz w:val="12"/>
                <w:szCs w:val="12"/>
                <w:b w:val="1"/>
                <w:bCs w:val="1"/>
                <w:color w:val="auto"/>
                <w:w w:val="96"/>
              </w:rPr>
              <w:t>Vesting</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76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1020" w:type="dxa"/>
            <w:vAlign w:val="bottom"/>
            <w:gridSpan w:val="2"/>
          </w:tcPr>
          <w:p>
            <w:pPr>
              <w:jc w:val="center"/>
              <w:ind w:left="56"/>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134,021</w:t>
            </w:r>
          </w:p>
        </w:tc>
        <w:tc>
          <w:tcPr>
            <w:tcW w:w="7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$ 2,320,979</w:t>
            </w:r>
          </w:p>
        </w:tc>
        <w:tc>
          <w:tcPr>
            <w:tcW w:w="7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28,760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895,651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2,329</w:t>
            </w:r>
          </w:p>
        </w:tc>
        <w:tc>
          <w:tcPr>
            <w:tcW w:w="900" w:type="dxa"/>
            <w:vAlign w:val="bottom"/>
          </w:tcPr>
          <w:p>
            <w:pPr>
              <w:jc w:val="right"/>
              <w:spacing w:after="0"/>
              <w:rPr>
                <w:sz w:val="20"/>
                <w:szCs w:val="20"/>
                <w:color w:val="auto"/>
              </w:rPr>
            </w:pPr>
            <w:r>
              <w:rPr>
                <w:rFonts w:ascii="Arial" w:cs="Arial" w:eastAsia="Arial" w:hAnsi="Arial"/>
                <w:sz w:val="18"/>
                <w:szCs w:val="18"/>
                <w:color w:val="auto"/>
              </w:rPr>
              <w:t>16,501</w:t>
            </w:r>
          </w:p>
        </w:tc>
        <w:tc>
          <w:tcPr>
            <w:tcW w:w="760" w:type="dxa"/>
            <w:vAlign w:val="bottom"/>
          </w:tcPr>
          <w:p>
            <w:pPr>
              <w:spacing w:after="0"/>
              <w:rPr>
                <w:sz w:val="18"/>
                <w:szCs w:val="18"/>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8"/>
                <w:szCs w:val="18"/>
                <w:color w:val="auto"/>
              </w:rPr>
              <w:t>9,670</w:t>
            </w:r>
            <w:r>
              <w:rPr>
                <w:rFonts w:ascii="Arial" w:cs="Arial" w:eastAsia="Arial" w:hAnsi="Arial"/>
                <w:sz w:val="11"/>
                <w:szCs w:val="11"/>
                <w:color w:val="auto"/>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273,565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50,970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881,650</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16,305</w:t>
            </w:r>
          </w:p>
        </w:tc>
        <w:tc>
          <w:tcPr>
            <w:tcW w:w="900" w:type="dxa"/>
            <w:vAlign w:val="bottom"/>
          </w:tcPr>
          <w:p>
            <w:pPr>
              <w:jc w:val="right"/>
              <w:spacing w:after="0"/>
              <w:rPr>
                <w:sz w:val="20"/>
                <w:szCs w:val="20"/>
                <w:color w:val="auto"/>
              </w:rPr>
            </w:pPr>
            <w:r>
              <w:rPr>
                <w:rFonts w:ascii="Arial" w:cs="Arial" w:eastAsia="Arial" w:hAnsi="Arial"/>
                <w:sz w:val="18"/>
                <w:szCs w:val="18"/>
                <w:color w:val="auto"/>
              </w:rPr>
              <w:t>98,228</w:t>
            </w: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7,980</w:t>
            </w:r>
          </w:p>
        </w:tc>
        <w:tc>
          <w:tcPr>
            <w:tcW w:w="7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248,512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104,356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1,403,924</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03"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Except for Mr. Kesler, all of the amounts in this column represent shares of Common Stock received by the Named Executive Officer in connection with the payment of shares in accordance with the terms of previously granted RSUs. A portion of the RSUs were dividend equivalent units which are credited to holders of our RSUs at any time we pay a cash dividend on our Common Stock. Dividend equivalent units reflected in this column are as follows: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Rowley – 597, Mr. Kesler – 160, Mr. Essl – 228, Mr. Powers – 167, and Mr. Graass – 173.</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 in this column represents the dollar amount realized by the Named Executive Officer valued at the time of the vesting of such shares.</w:t>
      </w:r>
    </w:p>
    <w:p>
      <w:pPr>
        <w:spacing w:after="0" w:line="32"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amount includes 2,000 shares of Common Stock for which restrictions lapsed during fiscal 2011 under the terms of a restricted stock grant of 10,000 shares made to Mr. Kesler on August 21, 2009 under our Incentive Plan.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459" w:right="3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Executive</w:t>
            </w:r>
          </w:p>
        </w:tc>
        <w:tc>
          <w:tcPr>
            <w:tcW w:w="140" w:type="dxa"/>
            <w:vAlign w:val="bottom"/>
          </w:tcPr>
          <w:p>
            <w:pPr>
              <w:spacing w:after="0"/>
              <w:rPr>
                <w:sz w:val="14"/>
                <w:szCs w:val="14"/>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b w:val="1"/>
                <w:bCs w:val="1"/>
                <w:color w:val="auto"/>
                <w:w w:val="86"/>
              </w:rPr>
              <w:t>Registrant</w:t>
            </w:r>
          </w:p>
        </w:tc>
        <w:tc>
          <w:tcPr>
            <w:tcW w:w="580" w:type="dxa"/>
            <w:vAlign w:val="bottom"/>
          </w:tcPr>
          <w:p>
            <w:pPr>
              <w:spacing w:after="0"/>
              <w:rPr>
                <w:sz w:val="14"/>
                <w:szCs w:val="14"/>
                <w:color w:val="auto"/>
              </w:rPr>
            </w:pP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Aggregate Earnings</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Aggregate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5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Contributions in</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Contributions in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79"/>
              </w:rPr>
              <w:t>in</w:t>
            </w:r>
          </w:p>
        </w:tc>
        <w:tc>
          <w:tcPr>
            <w:tcW w:w="13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Withdrawals/</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63"/>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00" w:type="dxa"/>
            <w:vAlign w:val="bottom"/>
            <w:vMerge w:val="restart"/>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Last FY</w:t>
            </w:r>
          </w:p>
        </w:tc>
        <w:tc>
          <w:tcPr>
            <w:tcW w:w="140" w:type="dxa"/>
            <w:vAlign w:val="bottom"/>
          </w:tcPr>
          <w:p>
            <w:pPr>
              <w:spacing w:after="0"/>
              <w:rPr>
                <w:sz w:val="14"/>
                <w:szCs w:val="14"/>
                <w:color w:val="auto"/>
              </w:rPr>
            </w:pPr>
          </w:p>
        </w:tc>
        <w:tc>
          <w:tcPr>
            <w:tcW w:w="820" w:type="dxa"/>
            <w:vAlign w:val="bottom"/>
          </w:tcPr>
          <w:p>
            <w:pPr>
              <w:jc w:val="center"/>
              <w:ind w:right="61"/>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740"/>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(2)</w:t>
            </w: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Distributions</w:t>
            </w:r>
          </w:p>
        </w:tc>
        <w:tc>
          <w:tcPr>
            <w:tcW w:w="800" w:type="dxa"/>
            <w:vAlign w:val="bottom"/>
            <w:gridSpan w:val="2"/>
          </w:tcPr>
          <w:p>
            <w:pPr>
              <w:jc w:val="center"/>
              <w:ind w:right="100"/>
              <w:spacing w:after="0" w:line="163"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100" w:type="dxa"/>
            <w:vAlign w:val="bottom"/>
            <w:vMerge w:val="continue"/>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1"/>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Rowley</w:t>
            </w: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45,375</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90,306</w:t>
            </w: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$ 786,122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3,419</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9,508</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5,522</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3"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2012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32 of this proxy statement. The amounts in this column are reflected in the “All Other Compensation” column of the Summary Compensation Table located on page 34.</w:t>
      </w:r>
    </w:p>
    <w:p>
      <w:pPr>
        <w:spacing w:after="0" w:line="2" w:lineRule="exact"/>
        <w:rPr>
          <w:rFonts w:ascii="Arial" w:cs="Arial" w:eastAsia="Arial" w:hAnsi="Arial"/>
          <w:sz w:val="16"/>
          <w:szCs w:val="16"/>
          <w:color w:val="auto"/>
        </w:rPr>
      </w:pPr>
    </w:p>
    <w:p>
      <w:pPr>
        <w:ind w:left="460" w:right="40" w:hanging="452"/>
        <w:spacing w:after="0" w:line="28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34 of this proxy statement. The table below shows the investment options available under our PSRP (other than the Common Stock fund) and the annual rate of return for the 12 month period ended March 31, 2011, as reported to us by the administrator of the plan.</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Fund</w:t>
            </w:r>
          </w:p>
        </w:tc>
        <w:tc>
          <w:tcPr>
            <w:tcW w:w="4580" w:type="dxa"/>
            <w:vAlign w:val="bottom"/>
          </w:tcPr>
          <w:p>
            <w:pPr>
              <w:spacing w:after="0"/>
              <w:rPr>
                <w:sz w:val="14"/>
                <w:szCs w:val="14"/>
                <w:color w:val="auto"/>
              </w:rPr>
            </w:pPr>
          </w:p>
        </w:tc>
        <w:tc>
          <w:tcPr>
            <w:tcW w:w="2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Rate of Return</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ABF Large Cap Value</w:t>
            </w:r>
          </w:p>
        </w:tc>
        <w:tc>
          <w:tcPr>
            <w:tcW w:w="17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Legg Mason Partners Aggressive Growth A</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Mainstay Large Cap Growth</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Spartan 500 Index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Low Price Stock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JP Morgan Midcap Growth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Extended Market Index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ABF Small Cap Value PA</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Small Cap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Harbor International Adm</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International Index Adv</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Spartan International Index Inv</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2000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Spartan US Bond Index</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Inflation Protected Securities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Fidelity Retirement Money Market</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40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2012,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SERP. These balances are shown in the Nonqualified Deferred Compensation in FY 2012 Table on page 40 of this proxy statement.</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32 of this proxy statement.</w:t>
      </w:r>
    </w:p>
    <w:p>
      <w:pPr>
        <w:spacing w:after="0" w:line="143"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i w:val="1"/>
          <w:iCs w:val="1"/>
          <w:u w:val="single" w:color="auto"/>
          <w:color w:val="auto"/>
        </w:rPr>
        <w:t>Accrued Pay and Profit Sharing Plan Benefits</w:t>
      </w:r>
      <w:r>
        <w:rPr>
          <w:rFonts w:ascii="Arial" w:cs="Arial" w:eastAsia="Arial" w:hAnsi="Arial"/>
          <w:sz w:val="15"/>
          <w:szCs w:val="15"/>
          <w:color w:val="auto"/>
        </w:rPr>
        <w:t>. The amounts shown in the table below do not include payments and benefits to the extent they are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on a non-discriminatory basis to salaried employees generally upon termination of employment or relate to equity grants that have already vested. These include:</w:t>
      </w: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accrued salary through the date of 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Termination or</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 (non</w:t>
            </w:r>
          </w:p>
        </w:tc>
        <w:tc>
          <w:tcPr>
            <w:tcW w:w="660" w:type="dxa"/>
            <w:vAlign w:val="bottom"/>
          </w:tcPr>
          <w:p>
            <w:pPr>
              <w:spacing w:after="0"/>
              <w:rPr>
                <w:sz w:val="11"/>
                <w:szCs w:val="11"/>
                <w:color w:val="auto"/>
              </w:rPr>
            </w:pP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7"/>
              </w:rPr>
              <w:t>Death 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7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3340" w:type="dxa"/>
            <w:vAlign w:val="bottom"/>
            <w:vMerge w:val="restart"/>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Change in Control)</w:t>
            </w:r>
          </w:p>
        </w:tc>
        <w:tc>
          <w:tcPr>
            <w:tcW w:w="66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Disability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2"/>
              </w:rPr>
              <w:t>Control</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Steven R. Rowley</w:t>
            </w:r>
          </w:p>
        </w:tc>
        <w:tc>
          <w:tcPr>
            <w:tcW w:w="9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7"/>
              </w:rPr>
              <w:t>Unexercisable and Accelerated Awards</w:t>
            </w:r>
          </w:p>
        </w:tc>
        <w:tc>
          <w:tcPr>
            <w:tcW w:w="90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684,311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Units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90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502,763</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90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4,755,781</w:t>
            </w:r>
            <w:r>
              <w:rPr>
                <w:rFonts w:ascii="Arial" w:cs="Arial" w:eastAsia="Arial" w:hAnsi="Arial"/>
                <w:sz w:val="11"/>
                <w:szCs w:val="11"/>
                <w:color w:val="auto"/>
                <w:w w:val="87"/>
              </w:rPr>
              <w:t>(4)</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90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3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ROWLEY TOTAL</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$1,500,000</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5,942,855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Termination or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 (non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Change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1"/>
              </w:rPr>
              <w:t>Death 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7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4300" w:type="dxa"/>
            <w:vAlign w:val="bottom"/>
            <w:vMerge w:val="restart"/>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in Control)</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Disability</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89"/>
              </w:rPr>
              <w:t>Control</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auto"/>
            </w:tcBorders>
            <w:vMerge w:val="continue"/>
          </w:tcPr>
          <w:p>
            <w:pPr>
              <w:spacing w:after="0"/>
              <w:rPr>
                <w:sz w:val="12"/>
                <w:szCs w:val="12"/>
                <w:color w:val="auto"/>
              </w:rPr>
            </w:pPr>
          </w:p>
        </w:tc>
        <w:tc>
          <w:tcPr>
            <w:tcW w:w="4300" w:type="dxa"/>
            <w:vAlign w:val="bottom"/>
            <w:vMerge w:val="continue"/>
          </w:tcPr>
          <w:p>
            <w:pPr>
              <w:spacing w:after="0"/>
              <w:rPr>
                <w:sz w:val="12"/>
                <w:szCs w:val="12"/>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 Craig Kesler</w:t>
            </w:r>
          </w:p>
        </w:tc>
        <w:tc>
          <w:tcPr>
            <w:tcW w:w="10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0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197,023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0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134,066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0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1,655,317</w:t>
            </w:r>
            <w:r>
              <w:rPr>
                <w:rFonts w:ascii="Arial" w:cs="Arial" w:eastAsia="Arial" w:hAnsi="Arial"/>
                <w:sz w:val="11"/>
                <w:szCs w:val="11"/>
                <w:color w:val="auto"/>
                <w:w w:val="98"/>
              </w:rPr>
              <w:t>(4)</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KESLER TOTAL</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1,500,000</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1,986,406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223,236</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191,855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1,565,141</w:t>
            </w:r>
            <w:r>
              <w:rPr>
                <w:rFonts w:ascii="Arial" w:cs="Arial" w:eastAsia="Arial" w:hAnsi="Arial"/>
                <w:sz w:val="11"/>
                <w:szCs w:val="11"/>
                <w:color w:val="auto"/>
                <w:w w:val="98"/>
              </w:rPr>
              <w:t>(4)</w:t>
            </w:r>
          </w:p>
        </w:tc>
        <w:tc>
          <w:tcPr>
            <w:tcW w:w="0" w:type="dxa"/>
            <w:vAlign w:val="bottom"/>
          </w:tcPr>
          <w:p>
            <w:pPr>
              <w:spacing w:after="0"/>
              <w:rPr>
                <w:sz w:val="1"/>
                <w:szCs w:val="1"/>
                <w:color w:val="auto"/>
              </w:rPr>
            </w:pPr>
          </w:p>
        </w:tc>
      </w:tr>
      <w:tr>
        <w:trPr>
          <w:trHeight w:val="323"/>
        </w:trPr>
        <w:tc>
          <w:tcPr>
            <w:tcW w:w="5340" w:type="dxa"/>
            <w:vAlign w:val="bottom"/>
            <w:gridSpan w:val="2"/>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875,000</w:t>
            </w:r>
            <w:r>
              <w:rPr>
                <w:rFonts w:ascii="Arial" w:cs="Arial" w:eastAsia="Arial" w:hAnsi="Arial"/>
                <w:sz w:val="11"/>
                <w:szCs w:val="11"/>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00" w:type="dxa"/>
            <w:vAlign w:val="bottom"/>
          </w:tcPr>
          <w:p>
            <w:pPr>
              <w:ind w:left="700"/>
              <w:spacing w:after="0"/>
              <w:rPr>
                <w:sz w:val="20"/>
                <w:szCs w:val="20"/>
                <w:color w:val="auto"/>
              </w:rPr>
            </w:pPr>
            <w:r>
              <w:rPr>
                <w:rFonts w:ascii="Arial" w:cs="Arial" w:eastAsia="Arial" w:hAnsi="Arial"/>
                <w:sz w:val="18"/>
                <w:szCs w:val="18"/>
                <w:b w:val="1"/>
                <w:bCs w:val="1"/>
                <w:color w:val="auto"/>
              </w:rPr>
              <w:t>ESSL TOTAL</w:t>
            </w:r>
          </w:p>
        </w:tc>
        <w:tc>
          <w:tcPr>
            <w:tcW w:w="1020" w:type="dxa"/>
            <w:vAlign w:val="bottom"/>
            <w:tcBorders>
              <w:top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875,000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1,980,232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B. Powers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0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218,607</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0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139,452</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0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1,565,141</w:t>
            </w:r>
            <w:r>
              <w:rPr>
                <w:rFonts w:ascii="Arial" w:cs="Arial" w:eastAsia="Arial" w:hAnsi="Arial"/>
                <w:sz w:val="11"/>
                <w:szCs w:val="11"/>
                <w:color w:val="auto"/>
                <w:w w:val="98"/>
              </w:rPr>
              <w:t>(4)</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875,000</w:t>
            </w:r>
            <w:r>
              <w:rPr>
                <w:rFonts w:ascii="Arial" w:cs="Arial" w:eastAsia="Arial" w:hAnsi="Arial"/>
                <w:sz w:val="11"/>
                <w:szCs w:val="11"/>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POWERS TOTAL</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875,000</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1,923,200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James H. Graass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206,457</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145,255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340" w:type="dxa"/>
            <w:vAlign w:val="bottom"/>
            <w:gridSpan w:val="2"/>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1,494,147</w:t>
            </w:r>
            <w:r>
              <w:rPr>
                <w:rFonts w:ascii="Arial" w:cs="Arial" w:eastAsia="Arial" w:hAnsi="Arial"/>
                <w:sz w:val="11"/>
                <w:szCs w:val="11"/>
                <w:color w:val="auto"/>
                <w:w w:val="98"/>
              </w:rPr>
              <w:t>(4)</w:t>
            </w:r>
          </w:p>
        </w:tc>
        <w:tc>
          <w:tcPr>
            <w:tcW w:w="0" w:type="dxa"/>
            <w:vAlign w:val="bottom"/>
          </w:tcPr>
          <w:p>
            <w:pPr>
              <w:spacing w:after="0"/>
              <w:rPr>
                <w:sz w:val="1"/>
                <w:szCs w:val="1"/>
                <w:color w:val="auto"/>
              </w:rPr>
            </w:pPr>
          </w:p>
        </w:tc>
      </w:tr>
      <w:tr>
        <w:trPr>
          <w:trHeight w:val="216"/>
        </w:trPr>
        <w:tc>
          <w:tcPr>
            <w:tcW w:w="5340" w:type="dxa"/>
            <w:vAlign w:val="bottom"/>
            <w:gridSpan w:val="2"/>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00" w:type="dxa"/>
            <w:vAlign w:val="bottom"/>
          </w:tcPr>
          <w:p>
            <w:pPr>
              <w:ind w:left="700"/>
              <w:spacing w:after="0"/>
              <w:rPr>
                <w:sz w:val="20"/>
                <w:szCs w:val="20"/>
                <w:color w:val="auto"/>
              </w:rPr>
            </w:pPr>
            <w:r>
              <w:rPr>
                <w:rFonts w:ascii="Arial" w:cs="Arial" w:eastAsia="Arial" w:hAnsi="Arial"/>
                <w:sz w:val="18"/>
                <w:szCs w:val="18"/>
                <w:b w:val="1"/>
                <w:bCs w:val="1"/>
                <w:color w:val="auto"/>
              </w:rPr>
              <w:t>GRAASS TOTAL</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1,500,000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1,845,859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b w:val="1"/>
                <w:bCs w:val="1"/>
                <w:color w:val="auto"/>
              </w:rPr>
              <w:t>AGGREGATE TOTAL FOR NAMED</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EXECUTIVE OFFICERS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4"/>
              </w:rPr>
              <w:t>6,250,000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13,678,552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definition of “Change in Control” is described under “Change in Control Benefits” on page 32 of this proxy statement.</w:t>
      </w:r>
    </w:p>
    <w:p>
      <w:pPr>
        <w:spacing w:after="0" w:line="15"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dollar value of the unexercisable stock options that are accelerated because of a change in control based on the amount, if any, that the closing price of our Common Stock on March 30, 2012 ($34.75) exceeds the exercise price of the stock option.</w:t>
      </w:r>
    </w:p>
    <w:p>
      <w:pPr>
        <w:spacing w:after="0" w:line="1"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dollar value of the RSUs, if any, which are accelerated or paid to the Named Executive Officer in the form of Common Stock because of a change in control, based on the closing price of our Common Stock on March 30, 2012 ($34.75).</w:t>
      </w:r>
    </w:p>
    <w:p>
      <w:pPr>
        <w:sectPr>
          <w:pgSz w:w="11900" w:h="16838" w:orient="portrait"/>
          <w:cols w:equalWidth="0" w:num="1">
            <w:col w:w="11240"/>
          </w:cols>
          <w:pgMar w:left="240" w:top="459" w:right="419" w:bottom="1440" w:gutter="0" w:footer="0" w:header="0"/>
        </w:sectPr>
      </w:pP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240" w:top="459" w:right="4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a change in control based on the closing price of our Common Stock on March 30, 2012 ($34.75).</w:t>
      </w:r>
    </w:p>
    <w:p>
      <w:pPr>
        <w:ind w:left="460" w:hanging="452"/>
        <w:spacing w:after="0" w:line="25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2012 salaries):</w:t>
      </w:r>
    </w:p>
    <w:p>
      <w:pPr>
        <w:spacing w:after="0" w:line="63"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Rowley – $860,000 in a lump sum payment plus $430,000 per year until the beneficiaries have received a total of $1,500,000 in payments.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Kesler – $275,000 in a lump sum payment plus $137,500 per year until the beneficiaries have received a total of $1,500,000 in payments.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Essl – $350,000 in a lump sum payment plus $175,000 per year until the date Mr. Essl would have reached 66.</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Powers – $350,000 in a lump sum payment plus $175,000 per year until the date Mr. Powers would have reached 66.</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Graass – $350,000 in a lump sum payment plus $175,000 per year until the beneficiaries have received a total of $1,500,000 in payments.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(14 persons). Except as otherwise indicated, all shares are owned directly, and the owner of such shares has the sole voting and investment power with respect thereto.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Amount and Nature of Beneficial Ownership </w:t>
      </w:r>
      <w:r>
        <w:rPr>
          <w:rFonts w:ascii="Arial" w:cs="Arial" w:eastAsia="Arial" w:hAnsi="Arial"/>
          <w:sz w:val="11"/>
          <w:szCs w:val="11"/>
          <w:b w:val="1"/>
          <w:bCs w:val="1"/>
          <w:color w:val="auto"/>
        </w:rPr>
        <w:t>(1)</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w w:val="87"/>
              </w:rPr>
              <w:t>Number of Shares</w:t>
            </w:r>
          </w:p>
        </w:tc>
        <w:tc>
          <w:tcPr>
            <w:tcW w:w="8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5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720" w:type="dxa"/>
            <w:vAlign w:val="bottom"/>
            <w:gridSpan w:val="3"/>
          </w:tcPr>
          <w:p>
            <w:pPr>
              <w:jc w:val="center"/>
              <w:ind w:left="514"/>
              <w:spacing w:after="0" w:line="135" w:lineRule="exact"/>
              <w:rPr>
                <w:sz w:val="20"/>
                <w:szCs w:val="20"/>
                <w:color w:val="auto"/>
              </w:rPr>
            </w:pPr>
            <w:r>
              <w:rPr>
                <w:rFonts w:ascii="Arial" w:cs="Arial" w:eastAsia="Arial" w:hAnsi="Arial"/>
                <w:sz w:val="14"/>
                <w:szCs w:val="14"/>
                <w:b w:val="1"/>
                <w:bCs w:val="1"/>
                <w:color w:val="auto"/>
                <w:w w:val="87"/>
              </w:rPr>
              <w:t>of Common</w:t>
            </w:r>
          </w:p>
        </w:tc>
      </w:tr>
      <w:tr>
        <w:trPr>
          <w:trHeight w:val="176"/>
        </w:trPr>
        <w:tc>
          <w:tcPr>
            <w:tcW w:w="5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8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r>
      <w:tr>
        <w:trPr>
          <w:trHeight w:val="210"/>
        </w:trPr>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 William Barnett</w:t>
            </w:r>
          </w:p>
        </w:tc>
        <w:tc>
          <w:tcPr>
            <w:tcW w:w="5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119,299</w:t>
            </w:r>
          </w:p>
        </w:tc>
        <w:tc>
          <w:tcPr>
            <w:tcW w:w="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Ed H. Bowman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18,831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157,971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1"/>
                <w:szCs w:val="11"/>
                <w:color w:val="auto"/>
              </w:rPr>
              <w:t>(4)(5)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50,048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James H. Graass</w:t>
            </w:r>
            <w:r>
              <w:rPr>
                <w:rFonts w:ascii="Arial" w:cs="Arial" w:eastAsia="Arial" w:hAnsi="Arial"/>
                <w:sz w:val="11"/>
                <w:szCs w:val="11"/>
                <w:color w:val="auto"/>
              </w:rPr>
              <w:t>(6)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194,577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1,661,027</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1"/>
                <w:szCs w:val="11"/>
                <w:color w:val="auto"/>
              </w:rPr>
              <w:t>(5) (8)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64,013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David B. Powers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93,936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David W. Quinn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Steven R. Rowley</w:t>
            </w:r>
            <w:r>
              <w:rPr>
                <w:rFonts w:ascii="Arial" w:cs="Arial" w:eastAsia="Arial" w:hAnsi="Arial"/>
                <w:sz w:val="11"/>
                <w:szCs w:val="11"/>
                <w:color w:val="auto"/>
              </w:rPr>
              <w:t>(10)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624,750</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46,322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Robert S. Stewart</w:t>
            </w:r>
            <w:r>
              <w:rPr>
                <w:rFonts w:ascii="Arial" w:cs="Arial" w:eastAsia="Arial" w:hAnsi="Arial"/>
                <w:sz w:val="11"/>
                <w:szCs w:val="11"/>
                <w:color w:val="auto"/>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48,525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8"/>
              </w:rPr>
              <w:t>All current directors, nominees and executive officers as a group (14</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3,396,750</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right="100" w:hanging="572"/>
        <w:spacing w:after="0" w:line="250"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2"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 Mr. Barnett – 119,299 shares; Mr. Bowman – 18,831 shares; Mr. Clarke – 103,679 shares; Mr. Devlin – 23,784 shares; Mr. Essl – 66,149 shares; Mr. Graass – 107,403 shares; Mr. Hirsch – 138,457 shares; Mr. Kesler – 27,726 shares; Mr. Nicolais – 54,555 shares; Mr. Powers – 58,841 shares; Mr. Quinn – 109,491 shares; Mr. Rowley – 233,910 shares; Mr. Richard Stewart – 39,322 shares; Mr. Robert Stewart – 17,884 shares; and all directors and executive officers of the Company as a group (14 persons) – 1,119,331 shares. In addition, this table includes shares of Common Stock that are held for the account of participants as of May 3, 2012, pursuant to the Common Stock fund of the PSRP, as follows: Mr. Devlin – 1,347 shares; Mr. Graass – 582 shares; Mr. Kesler – 1,170 shares; Mr. Powers – 1,388 shares; Mr. Rowley – 2,114 shares; and all directors and executive officers of the Company as a group (14 persons) – 6,601 shares. These amounts do not include the RSUs previously granted to the non-employee directors (including dividend equivalent units accrued since the date of grant) disclosed in the table on page 10 of this proxy statement.</w:t>
      </w:r>
    </w:p>
    <w:p>
      <w:pPr>
        <w:spacing w:after="0" w:line="6" w:lineRule="exact"/>
        <w:rPr>
          <w:rFonts w:ascii="Arial" w:cs="Arial" w:eastAsia="Arial" w:hAnsi="Arial"/>
          <w:sz w:val="16"/>
          <w:szCs w:val="16"/>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54,292 shares pledged as collateral for a loan.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w:t>
      </w:r>
    </w:p>
    <w:p>
      <w:pPr>
        <w:spacing w:after="0" w:line="9" w:lineRule="exact"/>
        <w:rPr>
          <w:rFonts w:ascii="Arial" w:cs="Arial" w:eastAsia="Arial" w:hAnsi="Arial"/>
          <w:sz w:val="18"/>
          <w:szCs w:val="18"/>
          <w:color w:val="auto"/>
        </w:rPr>
      </w:pPr>
    </w:p>
    <w:p>
      <w:pPr>
        <w:ind w:left="580" w:right="220" w:hanging="572"/>
        <w:spacing w:after="0" w:line="250"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6,000 shares of Common Stock representing the remaining unvested shares under a restricted stock award originally made to the executive on August 21, 2009.</w:t>
      </w: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64,568 shares pledged as collateral for a loan. Also includes 543 shares of Common Stock held in Mr. Graass’s IRA.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hanging="572"/>
        <w:spacing w:after="0" w:line="253"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845,546 shares of Common Stock owned by Highlander Partners. Also includes 5,173 shares of Common Stock owned by Hirsch Family Partnership No. 1, Ltd.; and 5,173 shares of Common Stock owned by Hirsch Family Partnership No. 2, Ltd., with respect to which Mr. Hirsch disclaims beneficial ownership.</w:t>
      </w: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(a) 1,386 shares of Common Stock owned by Mr. Nicolais’ wife; (b) 1,550 shares of Common Stock owned by the profit sharing plan of</w:t>
      </w:r>
    </w:p>
    <w:p>
      <w:pPr>
        <w:spacing w:after="0" w:line="32" w:lineRule="exact"/>
        <w:rPr>
          <w:rFonts w:ascii="Arial" w:cs="Arial" w:eastAsia="Arial" w:hAnsi="Arial"/>
          <w:sz w:val="16"/>
          <w:szCs w:val="16"/>
          <w:color w:val="auto"/>
        </w:rPr>
      </w:pPr>
    </w:p>
    <w:p>
      <w:pPr>
        <w:ind w:left="580" w:right="100"/>
        <w:spacing w:after="0" w:line="250" w:lineRule="auto"/>
        <w:rPr>
          <w:rFonts w:ascii="Arial" w:cs="Arial" w:eastAsia="Arial" w:hAnsi="Arial"/>
          <w:sz w:val="16"/>
          <w:szCs w:val="16"/>
          <w:color w:val="auto"/>
        </w:rPr>
      </w:pPr>
      <w:r>
        <w:rPr>
          <w:rFonts w:ascii="Arial" w:cs="Arial" w:eastAsia="Arial" w:hAnsi="Arial"/>
          <w:sz w:val="18"/>
          <w:szCs w:val="18"/>
          <w:color w:val="auto"/>
        </w:rPr>
        <w:t>Mr. Nicolais’ employer; (c) 3,500 shares of Common Stock held in Mr. Nicolais’ IRA; (d) 555 shares of Common Stock held in trust (Mr. Nicolais’ wife is trustee) for their daughter; and (e) 555 shares of Common Stock held in trust (Mr. Nicolais’ wife is trustee) for their son. Mr. Nicolais has disclaimed beneficial ownership of the shares of Common Stock held in trust.</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280,833 shares pledged as collateral for a loan. Also includes 1,929 shares held in Mr. Rowley’s IRA.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7,000 shares owned by Stewart Family Trust.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11, 2012, the record date for our annual meeting of stockholders.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8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68"/>
        </w:trPr>
        <w:tc>
          <w:tcPr>
            <w:tcW w:w="4440" w:type="dxa"/>
            <w:vAlign w:val="bottom"/>
            <w:gridSpan w:val="3"/>
            <w:vMerge w:val="continue"/>
          </w:tcPr>
          <w:p>
            <w:pPr>
              <w:spacing w:after="0"/>
              <w:rPr>
                <w:sz w:val="14"/>
                <w:szCs w:val="14"/>
                <w:color w:val="auto"/>
              </w:rPr>
            </w:pPr>
          </w:p>
        </w:tc>
        <w:tc>
          <w:tcPr>
            <w:tcW w:w="22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Beneficially Owned</w:t>
            </w:r>
          </w:p>
        </w:tc>
        <w:tc>
          <w:tcPr>
            <w:tcW w:w="198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20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3,756,601</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 xml:space="preserve">Fiduciary Management, Inc. </w:t>
            </w:r>
            <w:r>
              <w:rPr>
                <w:rFonts w:ascii="Arial" w:cs="Arial" w:eastAsia="Arial" w:hAnsi="Arial"/>
                <w:sz w:val="11"/>
                <w:szCs w:val="11"/>
                <w:color w:val="auto"/>
              </w:rPr>
              <w:t>(2)</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100 East Wisconsin</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Avenue Suite 2200</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Milwaukee, WI 53202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3,039,846</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Morton Holdings, Inc. and Philip B. Korsant </w:t>
            </w:r>
            <w:r>
              <w:rPr>
                <w:rFonts w:ascii="Arial" w:cs="Arial" w:eastAsia="Arial" w:hAnsi="Arial"/>
                <w:sz w:val="11"/>
                <w:szCs w:val="11"/>
                <w:color w:val="auto"/>
              </w:rPr>
              <w:t>(3)</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 Ocean Reef Drive</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Suite 142</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Key Largo, FL 33037</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2,351,456</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 xml:space="preserve">Vanguard Group, Inc. </w:t>
            </w:r>
            <w:r>
              <w:rPr>
                <w:rFonts w:ascii="Arial" w:cs="Arial" w:eastAsia="Arial" w:hAnsi="Arial"/>
                <w:sz w:val="11"/>
                <w:szCs w:val="11"/>
                <w:color w:val="auto"/>
              </w:rPr>
              <w:t>(4)</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100 Vanguard Blvd.</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Malvern, PA 19355</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2,251,664</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 Grove Cement Company</w:t>
            </w:r>
            <w:r>
              <w:rPr>
                <w:rFonts w:ascii="Arial" w:cs="Arial" w:eastAsia="Arial" w:hAnsi="Arial"/>
                <w:sz w:val="11"/>
                <w:szCs w:val="11"/>
                <w:color w:val="auto"/>
              </w:rPr>
              <w:t>(5)</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11011 Cody</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Overland Park, KS 66210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2,194,298</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10, 2012. Of the shares reported in the Schedule 13G/A, BlackRock, Inc. has sole voting power and sole dispositive power with respect to 3,756,601 shares.</w:t>
      </w:r>
    </w:p>
    <w:p>
      <w:pPr>
        <w:jc w:val="both"/>
        <w:ind w:left="460" w:right="58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 filed with the SEC on February 10, 2012. Of the shares reported in the Schedule 13G, Fiduciary Management, Inc. has (i) sole voting power with respect to 3,034,721 shares; (ii) sole dispositive power with respect to 3,034,721 shares; (iii) shared voting power with respect to 5,125 shares; and (iv) shared dispositive power with respect to 5,125 shares.</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 filed with the SEC on February 14, 2012. Of the shares reported in the Schedule 13G, Morton Holdings, Inc. and Philip B. Korsant have shared voting power and shared dispositive power with respect to 2,351,456 shares.</w:t>
      </w:r>
    </w:p>
    <w:p>
      <w:pPr>
        <w:spacing w:after="0" w:line="1"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 filed with the SEC on February 9, 2012. Of the shares reported in the Schedule 13G, Vanguard Group, Inc. has (i) sole voting power with respect to 63,031 shares; (ii) sole dispositive power with respect to 2,188,633 shares; and (iii) shared dispositive power with respect to 63,031 shares.</w:t>
      </w:r>
    </w:p>
    <w:p>
      <w:pPr>
        <w:spacing w:after="0" w:line="1"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13D filed with the SEC on August 19, 2008. Of the shares reported in the Schedule 13D, (i) Ash Grove Cement Company (“Ash Grove”) has sole voting power with respect to 2,194,298 shares; (ii)</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55" w:lineRule="auto"/>
        <w:rPr>
          <w:sz w:val="20"/>
          <w:szCs w:val="20"/>
          <w:color w:val="auto"/>
        </w:rPr>
      </w:pPr>
      <w:r>
        <w:rPr>
          <w:rFonts w:ascii="Arial" w:cs="Arial" w:eastAsia="Arial" w:hAnsi="Arial"/>
          <w:sz w:val="18"/>
          <w:szCs w:val="18"/>
          <w:color w:val="auto"/>
        </w:rPr>
        <w:t>Ash Grove has sole dispositive power with respect to 2,194,298 shares; and (iii) Robert Sunderland, James P. Sunderland, Charles T. Sunderland, and Kenton W. Sunderland have shared voting and dispositive power with respect to 2,194,298 shares. Ash Grove is a private company controlled by various family trusts and partnerships for the benefit of Paul Sunderland and his descendants (collectively, the “Sunderland Family Trusts”). Each of Robert Sunderland, James P. Sunderland, Charles T. Sunderland, and Kenton W. Sunderland is a beneficiary of certain Sunderland Family Trusts and a trustee of certain Sunderland Family Trusts.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Based solely on our review of the copies of such forms we received with respect to fiscal 2012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2012 applicable to such persons, except for one late Form 4 for Mr. Richard Stewart relating to an acquisition by a family trust, and a late Form 4 for Mr. Kesler relating to a disposition out of his 401(k) account.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5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ADVISORY VOTE ON COMPENSATION OF OUR NAMED EXECUTIVE OFFICERS</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urge stockholders to read our “Compensation Discussion and Analysis” beginning on page 18 of this proxy statement, which describes in more detail how our executive compensation policies and programs operate.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seeking stockholder approval of the following advisory resolution:</w:t>
      </w:r>
    </w:p>
    <w:p>
      <w:pPr>
        <w:spacing w:after="0" w:line="84" w:lineRule="exact"/>
        <w:rPr>
          <w:sz w:val="20"/>
          <w:szCs w:val="20"/>
          <w:color w:val="auto"/>
        </w:rPr>
      </w:pPr>
    </w:p>
    <w:p>
      <w:pPr>
        <w:jc w:val="both"/>
        <w:ind w:left="920" w:right="260" w:firstLine="420"/>
        <w:spacing w:after="0" w:line="31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the compensation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rules of the 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non-binding advisory resolution approving the compensation paid to our named executive officers.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 APPROVAL OF EXPECTED APPOINTMENT OF INDEPENDENT AUDITORS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2012, and the Audit Committee expects to appoint Ernst &amp; Young as our independent auditors for fiscal year 2013 if its proposal for audit services is satisfactory.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LLP, which we refer to as Ernst &amp; Young, audited the Company’s financial statements for the fiscal years ended March 31, 2010,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2012 and 2011, all of which services have been approved by the Audit Committee: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38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Audit Fees</w:t>
            </w:r>
          </w:p>
        </w:tc>
        <w:tc>
          <w:tcPr>
            <w:tcW w:w="46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Audit Related Fees</w:t>
            </w:r>
          </w:p>
        </w:tc>
        <w:tc>
          <w:tcPr>
            <w:tcW w:w="460" w:type="dxa"/>
            <w:vAlign w:val="bottom"/>
          </w:tcPr>
          <w:p>
            <w:pPr>
              <w:spacing w:after="0"/>
              <w:rPr>
                <w:sz w:val="14"/>
                <w:szCs w:val="14"/>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6"/>
              </w:rPr>
              <w:t>Tax Fees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 Other Fees</w:t>
            </w: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1800" w:type="dxa"/>
            <w:vAlign w:val="bottom"/>
            <w:tcBorders>
              <w:bottom w:val="single" w:sz="8" w:color="auto"/>
            </w:tcBorders>
            <w:vMerge w:val="continue"/>
          </w:tcPr>
          <w:p>
            <w:pPr>
              <w:spacing w:after="0"/>
              <w:rPr>
                <w:sz w:val="13"/>
                <w:szCs w:val="13"/>
                <w:color w:val="auto"/>
              </w:rPr>
            </w:pPr>
          </w:p>
        </w:tc>
        <w:tc>
          <w:tcPr>
            <w:tcW w:w="448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rPr>
              <w:t>(1)</w:t>
            </w:r>
          </w:p>
        </w:tc>
        <w:tc>
          <w:tcPr>
            <w:tcW w:w="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38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$672,000</w:t>
            </w: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$56,979</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$743,979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800" w:type="dxa"/>
            <w:vAlign w:val="bottom"/>
          </w:tcPr>
          <w:p>
            <w:pPr>
              <w:spacing w:after="0"/>
              <w:rPr>
                <w:sz w:val="20"/>
                <w:szCs w:val="20"/>
                <w:color w:val="auto"/>
              </w:rPr>
            </w:pPr>
            <w:r>
              <w:rPr>
                <w:rFonts w:ascii="Arial" w:cs="Arial" w:eastAsia="Arial" w:hAnsi="Arial"/>
                <w:sz w:val="18"/>
                <w:szCs w:val="18"/>
                <w:color w:val="auto"/>
              </w:rPr>
              <w:t>2011</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609,100</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80,000</w:t>
            </w: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704,100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We have reviewed and discussed with management and the independent registered public accounting firm, Ernst &amp; Young, as appropriate, (1) the audited financial statements of Eagle Materials Inc. as of and for the fiscal year ended March 31, 2012 and (2) management’s report on internal control over financial reporting and the independent registered accounting firm’s related opinions.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We have discussed with the independent registered public accounting firm the required communications specified by auditing standards together with guidelines established by the SEC and the Sarbanes-Oxley Act.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registered public accounting firm required by the applicable requirements of the Public Company Accounting Oversight Board concerning independence and have discussed with Ernst &amp; Young the auditors’ independence. We have also considered whether the auditors’ provision of non-audit services to Eagle Materials Inc. and its affiliates is compatible with the auditors’ independence.</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David W. Quinn,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Next year’s annual meeting of stockholders is scheduled to be held on August 7, 2013. In order to be considered for inclusion in the Company’s proxy material for that meeting, stockholder proposals must be received at our executive offices, addressed to the attention of the Secretary, not later than February 22, 2013.</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 any proposal that is not submitted for inclusion in our proxy material for the 2013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9, 2013, and the stockholder satisfies the other requirements of Rule 14a-4(c). Our Bylaws provide that, to be considered at the 2013 annual meeting, a stockholder proposal must be submitted in writing and received by our Secretary at the executive offices of the Company during the period beginning on February 8, 2013 and ending May 9, 2013, and must contain the information specified by and otherwise comply with our Bylaws. Any stockholder wishing to receive a copy of our Bylaws should direct a written request to our Secretary at the Company’s principal executive office.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2012,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4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22,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EAGLE MATERIALS INC.</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3811 TURTLE CREEK BLVD.</w:t>
      </w:r>
    </w:p>
    <w:p>
      <w:pPr>
        <w:ind w:left="220"/>
        <w:spacing w:after="0" w:line="237" w:lineRule="auto"/>
        <w:rPr>
          <w:sz w:val="20"/>
          <w:szCs w:val="20"/>
          <w:color w:val="auto"/>
        </w:rPr>
      </w:pPr>
      <w:r>
        <w:rPr>
          <w:rFonts w:ascii="Arial" w:cs="Arial" w:eastAsia="Arial" w:hAnsi="Arial"/>
          <w:sz w:val="14"/>
          <w:szCs w:val="14"/>
          <w:i w:val="1"/>
          <w:iCs w:val="1"/>
          <w:color w:val="auto"/>
        </w:rPr>
        <w:t>SUITE 1100</w:t>
      </w:r>
    </w:p>
    <w:p>
      <w:pPr>
        <w:ind w:left="220"/>
        <w:spacing w:after="0"/>
        <w:rPr>
          <w:sz w:val="20"/>
          <w:szCs w:val="20"/>
          <w:color w:val="auto"/>
        </w:rPr>
      </w:pPr>
      <w:r>
        <w:rPr>
          <w:rFonts w:ascii="Arial" w:cs="Arial" w:eastAsia="Arial" w:hAnsi="Arial"/>
          <w:sz w:val="14"/>
          <w:szCs w:val="14"/>
          <w:i w:val="1"/>
          <w:iCs w:val="1"/>
          <w:color w:val="auto"/>
        </w:rPr>
        <w:t>DALLAS, TX 75219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-631190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80"/>
        <w:spacing w:after="0" w:line="226"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420"/>
        <w:spacing w:after="0" w:line="225"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38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520"/>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760" w:space="720"/>
            <w:col w:w="594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824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000" w:type="dxa"/>
            <w:vAlign w:val="bottom"/>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vMerge w:val="restart"/>
          </w:tcPr>
          <w:p>
            <w:pPr>
              <w:ind w:left="3980"/>
              <w:spacing w:after="0"/>
              <w:rPr>
                <w:sz w:val="20"/>
                <w:szCs w:val="20"/>
                <w:color w:val="auto"/>
              </w:rPr>
            </w:pPr>
            <w:r>
              <w:rPr>
                <w:rFonts w:ascii="Arial" w:cs="Arial" w:eastAsia="Arial" w:hAnsi="Arial"/>
                <w:sz w:val="14"/>
                <w:szCs w:val="14"/>
                <w:b w:val="1"/>
                <w:bCs w:val="1"/>
                <w:color w:val="auto"/>
                <w:w w:val="98"/>
              </w:rPr>
              <w:t>THIS PROXY CARD IS VALID ONLY WHEN SIGNED AND DATED.</w:t>
            </w:r>
          </w:p>
        </w:tc>
        <w:tc>
          <w:tcPr>
            <w:tcW w:w="3000" w:type="dxa"/>
            <w:vAlign w:val="bottom"/>
          </w:tcPr>
          <w:p>
            <w:pPr>
              <w:jc w:val="right"/>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68"/>
        </w:trPr>
        <w:tc>
          <w:tcPr>
            <w:tcW w:w="8240" w:type="dxa"/>
            <w:vAlign w:val="bottom"/>
            <w:vMerge w:val="continue"/>
          </w:tcPr>
          <w:p>
            <w:pPr>
              <w:spacing w:after="0"/>
              <w:rPr>
                <w:sz w:val="5"/>
                <w:szCs w:val="5"/>
                <w:color w:val="auto"/>
              </w:rPr>
            </w:pPr>
          </w:p>
        </w:tc>
        <w:tc>
          <w:tcPr>
            <w:tcW w:w="3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-166370</wp:posOffset>
            </wp:positionV>
            <wp:extent cx="7207885" cy="4986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7885" cy="4986655"/>
                    </a:xfrm>
                    <a:prstGeom prst="rect">
                      <a:avLst/>
                    </a:prstGeom>
                    <a:noFill/>
                  </pic:spPr>
                </pic:pic>
              </a:graphicData>
            </a:graphic>
          </wp:anchor>
        </w:drawing>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the following Nominees:</w:t>
      </w:r>
    </w:p>
    <w:p>
      <w:pPr>
        <w:spacing w:after="0" w:line="228" w:lineRule="exact"/>
        <w:rPr>
          <w:sz w:val="20"/>
          <w:szCs w:val="20"/>
          <w:color w:val="auto"/>
        </w:rPr>
      </w:pPr>
    </w:p>
    <w:tbl>
      <w:tblPr>
        <w:tblLayout w:type="fixed"/>
        <w:tblInd w:w="360" w:type="dxa"/>
        <w:tblCellMar>
          <w:top w:w="0" w:type="dxa"/>
          <w:left w:w="0" w:type="dxa"/>
          <w:bottom w:w="0" w:type="dxa"/>
          <w:right w:w="0" w:type="dxa"/>
        </w:tblCellMar>
      </w:tblPr>
      <w:tr>
        <w:trPr>
          <w:trHeight w:val="178"/>
        </w:trPr>
        <w:tc>
          <w:tcPr>
            <w:tcW w:w="200" w:type="dxa"/>
            <w:vAlign w:val="bottom"/>
          </w:tcPr>
          <w:p>
            <w:pPr>
              <w:spacing w:after="0"/>
              <w:rPr>
                <w:sz w:val="20"/>
                <w:szCs w:val="20"/>
                <w:color w:val="auto"/>
              </w:rPr>
            </w:pPr>
            <w:r>
              <w:rPr>
                <w:rFonts w:ascii="Arial" w:cs="Arial" w:eastAsia="Arial" w:hAnsi="Arial"/>
                <w:sz w:val="14"/>
                <w:szCs w:val="14"/>
                <w:color w:val="auto"/>
              </w:rPr>
              <w:t>1.</w:t>
            </w:r>
          </w:p>
        </w:tc>
        <w:tc>
          <w:tcPr>
            <w:tcW w:w="374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1000" w:type="dxa"/>
            <w:vAlign w:val="bottom"/>
          </w:tcPr>
          <w:p>
            <w:pPr>
              <w:jc w:val="center"/>
              <w:ind w:left="540"/>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r>
        <w:trPr>
          <w:trHeight w:val="464"/>
        </w:trPr>
        <w:tc>
          <w:tcPr>
            <w:tcW w:w="200" w:type="dxa"/>
            <w:vAlign w:val="bottom"/>
          </w:tcPr>
          <w:p>
            <w:pPr>
              <w:spacing w:after="0"/>
              <w:rPr>
                <w:sz w:val="20"/>
                <w:szCs w:val="20"/>
                <w:color w:val="auto"/>
              </w:rPr>
            </w:pPr>
            <w:r>
              <w:rPr>
                <w:rFonts w:ascii="Arial" w:cs="Arial" w:eastAsia="Arial" w:hAnsi="Arial"/>
                <w:sz w:val="14"/>
                <w:szCs w:val="14"/>
                <w:color w:val="auto"/>
              </w:rPr>
              <w:t>1A</w:t>
            </w:r>
          </w:p>
        </w:tc>
        <w:tc>
          <w:tcPr>
            <w:tcW w:w="3740" w:type="dxa"/>
            <w:vAlign w:val="bottom"/>
          </w:tcPr>
          <w:p>
            <w:pPr>
              <w:ind w:left="40"/>
              <w:spacing w:after="0"/>
              <w:rPr>
                <w:sz w:val="20"/>
                <w:szCs w:val="20"/>
                <w:color w:val="auto"/>
              </w:rPr>
            </w:pPr>
            <w:r>
              <w:rPr>
                <w:rFonts w:ascii="Arial" w:cs="Arial" w:eastAsia="Arial" w:hAnsi="Arial"/>
                <w:sz w:val="14"/>
                <w:szCs w:val="14"/>
                <w:color w:val="auto"/>
              </w:rPr>
              <w:t>F. William Barnett</w:t>
            </w:r>
          </w:p>
        </w:tc>
        <w:tc>
          <w:tcPr>
            <w:tcW w:w="1000" w:type="dxa"/>
            <w:vAlign w:val="bottom"/>
          </w:tcPr>
          <w:p>
            <w:pPr>
              <w:jc w:val="center"/>
              <w:ind w:left="520"/>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59"/>
        </w:trPr>
        <w:tc>
          <w:tcPr>
            <w:tcW w:w="200" w:type="dxa"/>
            <w:vAlign w:val="bottom"/>
          </w:tcPr>
          <w:p>
            <w:pPr>
              <w:spacing w:after="0"/>
              <w:rPr>
                <w:sz w:val="20"/>
                <w:szCs w:val="20"/>
                <w:color w:val="auto"/>
              </w:rPr>
            </w:pPr>
            <w:r>
              <w:rPr>
                <w:rFonts w:ascii="Arial" w:cs="Arial" w:eastAsia="Arial" w:hAnsi="Arial"/>
                <w:sz w:val="14"/>
                <w:szCs w:val="14"/>
                <w:color w:val="auto"/>
              </w:rPr>
              <w:t>1B</w:t>
            </w:r>
          </w:p>
        </w:tc>
        <w:tc>
          <w:tcPr>
            <w:tcW w:w="3740" w:type="dxa"/>
            <w:vAlign w:val="bottom"/>
          </w:tcPr>
          <w:p>
            <w:pPr>
              <w:ind w:left="40"/>
              <w:spacing w:after="0"/>
              <w:rPr>
                <w:sz w:val="20"/>
                <w:szCs w:val="20"/>
                <w:color w:val="auto"/>
              </w:rPr>
            </w:pPr>
            <w:r>
              <w:rPr>
                <w:rFonts w:ascii="Arial" w:cs="Arial" w:eastAsia="Arial" w:hAnsi="Arial"/>
                <w:sz w:val="14"/>
                <w:szCs w:val="14"/>
                <w:color w:val="auto"/>
              </w:rPr>
              <w:t>Ed H. Bowman</w:t>
            </w:r>
          </w:p>
        </w:tc>
        <w:tc>
          <w:tcPr>
            <w:tcW w:w="1000" w:type="dxa"/>
            <w:vAlign w:val="bottom"/>
          </w:tcPr>
          <w:p>
            <w:pPr>
              <w:jc w:val="center"/>
              <w:ind w:left="520"/>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59"/>
        </w:trPr>
        <w:tc>
          <w:tcPr>
            <w:tcW w:w="3940" w:type="dxa"/>
            <w:vAlign w:val="bottom"/>
            <w:gridSpan w:val="2"/>
          </w:tcPr>
          <w:p>
            <w:pPr>
              <w:spacing w:after="0"/>
              <w:rPr>
                <w:sz w:val="20"/>
                <w:szCs w:val="20"/>
                <w:color w:val="auto"/>
              </w:rPr>
            </w:pPr>
            <w:r>
              <w:rPr>
                <w:rFonts w:ascii="Arial" w:cs="Arial" w:eastAsia="Arial" w:hAnsi="Arial"/>
                <w:sz w:val="14"/>
                <w:szCs w:val="14"/>
                <w:color w:val="auto"/>
              </w:rPr>
              <w:t>1C David W. Quinn</w:t>
            </w:r>
          </w:p>
        </w:tc>
        <w:tc>
          <w:tcPr>
            <w:tcW w:w="1000" w:type="dxa"/>
            <w:vAlign w:val="bottom"/>
          </w:tcPr>
          <w:p>
            <w:pPr>
              <w:jc w:val="center"/>
              <w:ind w:left="520"/>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7"/>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8"/>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proposals 2 and 3.</w:t>
            </w:r>
          </w:p>
        </w:tc>
        <w:tc>
          <w:tcPr>
            <w:tcW w:w="1000" w:type="dxa"/>
            <w:vAlign w:val="bottom"/>
          </w:tcPr>
          <w:p>
            <w:pPr>
              <w:jc w:val="center"/>
              <w:ind w:left="540"/>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9" w:lineRule="exact"/>
        <w:rPr>
          <w:sz w:val="20"/>
          <w:szCs w:val="20"/>
          <w:color w:val="auto"/>
        </w:rPr>
      </w:pPr>
    </w:p>
    <w:p>
      <w:pPr>
        <w:ind w:left="580" w:hanging="221"/>
        <w:spacing w:after="0" w:line="231" w:lineRule="auto"/>
        <w:tabs>
          <w:tab w:leader="none" w:pos="54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Advisory resolution regarding the compensation of our named executive officers.</w:t>
      </w:r>
    </w:p>
    <w:p>
      <w:pPr>
        <w:spacing w:after="0" w:line="230" w:lineRule="exact"/>
        <w:rPr>
          <w:sz w:val="20"/>
          <w:szCs w:val="20"/>
          <w:color w:val="auto"/>
        </w:rPr>
      </w:pPr>
    </w:p>
    <w:p>
      <w:pPr>
        <w:ind w:left="580" w:right="540" w:hanging="221"/>
        <w:spacing w:after="0" w:line="231" w:lineRule="auto"/>
        <w:tabs>
          <w:tab w:leader="none" w:pos="549"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 approve the expected appointment of Ernst &amp; Young LLP as independent auditors for fiscal year 2013.</w:t>
      </w:r>
    </w:p>
    <w:p>
      <w:pPr>
        <w:spacing w:after="0" w:line="214" w:lineRule="exact"/>
        <w:rPr>
          <w:sz w:val="20"/>
          <w:szCs w:val="20"/>
          <w:color w:val="auto"/>
        </w:rPr>
      </w:pPr>
    </w:p>
    <w:p>
      <w:pPr>
        <w:ind w:left="360" w:right="80"/>
        <w:spacing w:after="0" w:line="226"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SHARES REPRESENTED BY THIS PROXY WHEN</w:t>
      </w:r>
      <w:r>
        <w:rPr>
          <w:rFonts w:ascii="Arial" w:cs="Arial" w:eastAsia="Arial" w:hAnsi="Arial"/>
          <w:sz w:val="14"/>
          <w:szCs w:val="14"/>
          <w:b w:val="1"/>
          <w:bCs w:val="1"/>
          <w:color w:val="auto"/>
        </w:rPr>
        <w:t xml:space="preserve"> </w:t>
      </w:r>
      <w:r>
        <w:rPr>
          <w:rFonts w:ascii="Arial" w:cs="Arial" w:eastAsia="Arial" w:hAnsi="Arial"/>
          <w:sz w:val="14"/>
          <w:szCs w:val="14"/>
          <w:color w:val="auto"/>
        </w:rPr>
        <w:t>PROPERLY EXECUTED WILL BE VOTED IN THE MANNER DIRECTED HEREIN BY THE UNDERSIGNED STOCKHOLDER(S). IF NO DIRECTION IS MADE, THIS PROXY WILL BE VOTED FOR ITEMS 1, 2 AND 3. IF ANY OTHER MATTERS PROPERLY COME BEFORE THE MEETING, THE PROXIES NAMED IN THIS PROXY WILL VOTE IN THEIR DISCRETION. BY EXECUTING THIS PROXY, THE UNDERSIGNED HEREBY REVOKES PRIOR PROXIES RELATING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68580" cy="11233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000000"/>
                        </a:clrFrom>
                        <a:clrTo>
                          <a:srgbClr val="000000">
                            <a:alpha val="0"/>
                          </a:srgbClr>
                        </a:clrTo>
                      </a:clrChange>
                      <a:extLst>
                        <a:ext uri="{28A0092B-C50C-407E-A947-70E740481C1C}"/>
                      </a:extLst>
                    </a:blip>
                    <a:srcRect/>
                    <a:stretch>
                      <a:fillRect/>
                    </a:stretch>
                  </pic:blipFill>
                  <pic:spPr bwMode="auto">
                    <a:xfrm>
                      <a:off x="0" y="0"/>
                      <a:ext cx="68580" cy="1123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68580" cy="11233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8580" cy="1123315"/>
                    </a:xfrm>
                    <a:prstGeom prst="rect">
                      <a:avLst/>
                    </a:prstGeom>
                    <a:noFill/>
                  </pic:spPr>
                </pic:pic>
              </a:graphicData>
            </a:graphic>
          </wp:anchor>
        </w:drawing>
      </w:r>
    </w:p>
    <w:p>
      <w:pPr>
        <w:spacing w:after="0" w:line="252" w:lineRule="exact"/>
        <w:rPr>
          <w:sz w:val="20"/>
          <w:szCs w:val="20"/>
          <w:color w:val="auto"/>
        </w:rPr>
      </w:pPr>
    </w:p>
    <w:p>
      <w:pPr>
        <w:ind w:left="360" w:right="80"/>
        <w:spacing w:after="0" w:line="225"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81" w:lineRule="exact"/>
        <w:tabs>
          <w:tab w:leader="none" w:pos="500" w:val="left"/>
          <w:tab w:leader="none" w:pos="11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60" w:lineRule="exact"/>
        <w:rPr>
          <w:sz w:val="20"/>
          <w:szCs w:val="20"/>
          <w:color w:val="auto"/>
        </w:rPr>
      </w:pPr>
    </w:p>
    <w:p>
      <w:pPr>
        <w:spacing w:after="0" w:line="181" w:lineRule="exact"/>
        <w:tabs>
          <w:tab w:leader="none" w:pos="500" w:val="left"/>
          <w:tab w:leader="none" w:pos="11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935" w:lineRule="exact"/>
        <w:rPr>
          <w:sz w:val="20"/>
          <w:szCs w:val="20"/>
          <w:color w:val="auto"/>
        </w:rPr>
      </w:pPr>
    </w:p>
    <w:p>
      <w:pPr>
        <w:sectPr>
          <w:pgSz w:w="11900" w:h="16838" w:orient="portrait"/>
          <w:cols w:equalWidth="0" w:num="2">
            <w:col w:w="4840" w:space="180"/>
            <w:col w:w="6400"/>
          </w:cols>
          <w:pgMar w:left="240" w:top="459" w:right="239" w:bottom="1440" w:gutter="0" w:footer="0" w:header="0"/>
          <w:type w:val="continuous"/>
        </w:sectPr>
      </w:pPr>
    </w:p>
    <w:p>
      <w:pPr>
        <w:spacing w:after="0" w:line="369" w:lineRule="exact"/>
        <w:rPr>
          <w:sz w:val="20"/>
          <w:szCs w:val="20"/>
          <w:color w:val="auto"/>
        </w:rPr>
      </w:pPr>
    </w:p>
    <w:p>
      <w:pPr>
        <w:ind w:left="360"/>
        <w:spacing w:after="0"/>
        <w:tabs>
          <w:tab w:leader="none" w:pos="4300" w:val="left"/>
          <w:tab w:leader="none" w:pos="6660" w:val="left"/>
          <w:tab w:leader="none" w:pos="100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61595</wp:posOffset>
            </wp:positionV>
            <wp:extent cx="7194550" cy="4558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455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THIS PROXY IS SOLICITED ON BEHALF OF</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THE BOARD OF DIRECTORS</w:t>
      </w:r>
    </w:p>
    <w:p>
      <w:pPr>
        <w:spacing w:after="0" w:line="200" w:lineRule="exact"/>
        <w:rPr>
          <w:sz w:val="20"/>
          <w:szCs w:val="20"/>
          <w:color w:val="auto"/>
        </w:rPr>
      </w:pPr>
    </w:p>
    <w:p>
      <w:pPr>
        <w:spacing w:after="0" w:line="350"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August 7, 2012</w:t>
      </w:r>
    </w:p>
    <w:p>
      <w:pPr>
        <w:spacing w:after="0" w:line="16" w:lineRule="exact"/>
        <w:rPr>
          <w:sz w:val="20"/>
          <w:szCs w:val="20"/>
          <w:color w:val="auto"/>
        </w:rPr>
      </w:pPr>
    </w:p>
    <w:p>
      <w:pPr>
        <w:ind w:left="900" w:right="280"/>
        <w:spacing w:after="0" w:line="252" w:lineRule="auto"/>
        <w:rPr>
          <w:sz w:val="20"/>
          <w:szCs w:val="20"/>
          <w:color w:val="auto"/>
        </w:rPr>
      </w:pPr>
      <w:r>
        <w:rPr>
          <w:rFonts w:ascii="Arial" w:cs="Arial" w:eastAsia="Arial" w:hAnsi="Arial"/>
          <w:sz w:val="18"/>
          <w:szCs w:val="18"/>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Tuesday, August 7, 2012 at the Sheraton Suites Market Center, 2101 N. Stemmons Freeway, Dallas, Texas 75207, and any adjournment or postponement thereof.</w:t>
      </w:r>
    </w:p>
    <w:p>
      <w:pPr>
        <w:ind w:left="900" w:right="200"/>
        <w:spacing w:after="0" w:line="250"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3. THE PROXIES WILL USE THEIR DISCRETION WITH RESPECT TO ANY OTHER MATTERS THAT PROPERLY COME BEFORE THE MEETING. By execution of this proxy, the undersigned hereby acknowledges receipt of the Notice of Annual Meeting and Proxy Statement for the August 7, 2012 Annual Meeting.</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*For address changes, please contact our transfer agent, Computershare Shareowner Services LLC, at 1-800-279-1248.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68580" cy="1123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000000"/>
                        </a:clrFrom>
                        <a:clrTo>
                          <a:srgbClr val="000000">
                            <a:alpha val="0"/>
                          </a:srgbClr>
                        </a:clrTo>
                      </a:clrChange>
                      <a:extLst>
                        <a:ext uri="{28A0092B-C50C-407E-A947-70E740481C1C}"/>
                      </a:extLst>
                    </a:blip>
                    <a:srcRect/>
                    <a:stretch>
                      <a:fillRect/>
                    </a:stretch>
                  </pic:blipFill>
                  <pic:spPr bwMode="auto">
                    <a:xfrm>
                      <a:off x="0" y="0"/>
                      <a:ext cx="68580" cy="1123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wp:posOffset>
            </wp:positionV>
            <wp:extent cx="68580" cy="11233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858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20"/>
      </w:cols>
      <w:pgMar w:left="24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2)"/>
      <w:numFmt w:val="decimal"/>
      <w:start w:val="1"/>
    </w:lvl>
  </w:abstractNum>
  <w:abstractNum w:abstractNumId="5">
    <w:nsid w:val="737B8DDC"/>
    <w:multiLevelType w:val="hybridMultilevel"/>
    <w:lvl w:ilvl="0">
      <w:lvlJc w:val="left"/>
      <w:lvlText w:val="%1)"/>
      <w:numFmt w:val="decimal"/>
      <w:start w:val="4"/>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2"/>
    </w:lvl>
  </w:abstractNum>
  <w:abstractNum w:abstractNumId="9">
    <w:nsid w:val="3006C83E"/>
    <w:multiLevelType w:val="hybridMultilevel"/>
    <w:lvl w:ilvl="0">
      <w:lvlJc w:val="left"/>
      <w:lvlText w:val="(%1)"/>
      <w:numFmt w:val="decimal"/>
      <w:start w:val="3"/>
    </w:lvl>
  </w:abstractNum>
  <w:abstractNum w:abstractNumId="10">
    <w:nsid w:val="614FD4A1"/>
    <w:multiLevelType w:val="hybridMultilevel"/>
    <w:lvl w:ilvl="0">
      <w:lvlJc w:val="left"/>
      <w:lvlText w:val="(%1)"/>
      <w:numFmt w:val="decimal"/>
      <w:start w:val="4"/>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2"/>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lvl w:ilvl="1">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lvl w:ilvl="1">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lvl w:ilvl="1">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4"/>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5"/>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3"/>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4"/>
    </w:lvl>
    <w:lvl w:ilvl="1">
      <w:lvlJc w:val="left"/>
      <w:lvlText w:val="%2."/>
      <w:numFmt w:val="lowerLetter"/>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7"/>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2"/>
      <w:numFmt w:val="bullet"/>
      <w:start w:val="1"/>
    </w:lvl>
  </w:abstractNum>
  <w:abstractNum w:abstractNumId="56">
    <w:nsid w:val="1CF10FD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2019-12-09T17:28:12Z</dcterms:created>
  <dcterms:modified xsi:type="dcterms:W3CDTF">2019-12-09T17:28:12Z</dcterms:modified>
</cp:coreProperties>
</file>