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43180</wp:posOffset>
            </wp:positionV>
            <wp:extent cx="1028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53975</wp:posOffset>
            </wp:positionV>
            <wp:extent cx="1028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QUARTERLY REPORT</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June 30, 2020</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47625</wp:posOffset>
            </wp:positionV>
            <wp:extent cx="1028700" cy="35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354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EAGLE MATERIALS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38735</wp:posOffset>
            </wp:positionV>
            <wp:extent cx="1028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Delaware </w:t>
      </w:r>
      <w:r>
        <w:rPr>
          <w:rFonts w:ascii="Arial" w:cs="Arial" w:eastAsia="Arial" w:hAnsi="Arial"/>
          <w:sz w:val="10"/>
          <w:szCs w:val="10"/>
          <w:color w:val="auto"/>
        </w:rPr>
        <w:t>(State of Incorporation)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75-2520779 </w:t>
      </w:r>
      <w:r>
        <w:rPr>
          <w:rFonts w:ascii="Arial" w:cs="Arial" w:eastAsia="Arial" w:hAnsi="Arial"/>
          <w:sz w:val="10"/>
          <w:szCs w:val="10"/>
          <w:color w:val="auto"/>
        </w:rPr>
        <w:t>(I.R.S. Employer Identification No.)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5960 Berkshire Lane, Suite 900, Dallas, Texas 75225 </w:t>
      </w:r>
      <w:r>
        <w:rPr>
          <w:rFonts w:ascii="Arial" w:cs="Arial" w:eastAsia="Arial" w:hAnsi="Arial"/>
          <w:sz w:val="10"/>
          <w:szCs w:val="10"/>
          <w:color w:val="auto"/>
        </w:rPr>
        <w:t>(Address of principal executive offices)</w:t>
      </w:r>
    </w:p>
    <w:p>
      <w:pPr>
        <w:spacing w:after="0" w:line="33" w:lineRule="exact"/>
        <w:rPr>
          <w:sz w:val="24"/>
          <w:szCs w:val="24"/>
          <w:color w:val="auto"/>
        </w:rPr>
      </w:pPr>
    </w:p>
    <w:p>
      <w:pPr>
        <w:ind w:left="4260" w:hanging="309"/>
        <w:spacing w:after="0"/>
        <w:tabs>
          <w:tab w:leader="none" w:pos="426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432-2000 </w:t>
      </w:r>
      <w:r>
        <w:rPr>
          <w:rFonts w:ascii="Arial" w:cs="Arial" w:eastAsia="Arial" w:hAnsi="Arial"/>
          <w:sz w:val="10"/>
          <w:szCs w:val="1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70485</wp:posOffset>
            </wp:positionV>
            <wp:extent cx="1028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Trading</w:t>
            </w:r>
          </w:p>
        </w:tc>
        <w:tc>
          <w:tcPr>
            <w:tcW w:w="4520" w:type="dxa"/>
            <w:vAlign w:val="bottom"/>
          </w:tcPr>
          <w:p>
            <w:pPr>
              <w:spacing w:after="0"/>
              <w:rPr>
                <w:sz w:val="10"/>
                <w:szCs w:val="10"/>
                <w:color w:val="auto"/>
              </w:rPr>
            </w:pPr>
          </w:p>
        </w:tc>
      </w:tr>
      <w:tr>
        <w:trPr>
          <w:trHeight w:val="117"/>
        </w:trPr>
        <w:tc>
          <w:tcPr>
            <w:tcW w:w="46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Symbol(s)</w:t>
            </w:r>
          </w:p>
        </w:tc>
        <w:tc>
          <w:tcPr>
            <w:tcW w:w="4520" w:type="dxa"/>
            <w:vAlign w:val="bottom"/>
          </w:tcPr>
          <w:p>
            <w:pPr>
              <w:jc w:val="center"/>
              <w:spacing w:after="0"/>
              <w:rPr>
                <w:sz w:val="20"/>
                <w:szCs w:val="20"/>
                <w:color w:val="auto"/>
              </w:rPr>
            </w:pPr>
            <w:r>
              <w:rPr>
                <w:rFonts w:ascii="Arial" w:cs="Arial" w:eastAsia="Arial" w:hAnsi="Arial"/>
                <w:sz w:val="10"/>
                <w:szCs w:val="10"/>
                <w:b w:val="1"/>
                <w:bCs w:val="1"/>
                <w:color w:val="auto"/>
                <w:w w:val="95"/>
              </w:rPr>
              <w:t>Name of each exchange on which registered</w:t>
            </w:r>
          </w:p>
        </w:tc>
      </w:tr>
      <w:tr>
        <w:trPr>
          <w:trHeight w:val="111"/>
        </w:trPr>
        <w:tc>
          <w:tcPr>
            <w:tcW w:w="452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0"/>
                <w:szCs w:val="10"/>
                <w:color w:val="auto"/>
              </w:rPr>
              <w:t>Common Stock (par value $.01 per share)</w:t>
            </w:r>
          </w:p>
        </w:tc>
        <w:tc>
          <w:tcPr>
            <w:tcW w:w="120" w:type="dxa"/>
            <w:vAlign w:val="bottom"/>
          </w:tcPr>
          <w:p>
            <w:pPr>
              <w:spacing w:after="0"/>
              <w:rPr>
                <w:sz w:val="9"/>
                <w:szCs w:val="9"/>
                <w:color w:val="auto"/>
              </w:rPr>
            </w:pPr>
          </w:p>
        </w:tc>
        <w:tc>
          <w:tcPr>
            <w:tcW w:w="202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0"/>
                <w:szCs w:val="10"/>
                <w:color w:val="auto"/>
                <w:w w:val="99"/>
              </w:rPr>
              <w:t>EXP</w:t>
            </w:r>
          </w:p>
        </w:tc>
        <w:tc>
          <w:tcPr>
            <w:tcW w:w="120" w:type="dxa"/>
            <w:vAlign w:val="bottom"/>
          </w:tcPr>
          <w:p>
            <w:pPr>
              <w:spacing w:after="0"/>
              <w:rPr>
                <w:sz w:val="9"/>
                <w:szCs w:val="9"/>
                <w:color w:val="auto"/>
              </w:rPr>
            </w:pPr>
          </w:p>
        </w:tc>
        <w:tc>
          <w:tcPr>
            <w:tcW w:w="452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0"/>
                <w:szCs w:val="10"/>
                <w:color w:val="auto"/>
              </w:rPr>
              <w:t>New York Stock Exchange</w:t>
            </w:r>
          </w:p>
        </w:tc>
      </w:tr>
    </w:tbl>
    <w:p>
      <w:pPr>
        <w:spacing w:after="0" w:line="63" w:lineRule="exact"/>
        <w:rPr>
          <w:sz w:val="24"/>
          <w:szCs w:val="24"/>
          <w:color w:val="auto"/>
        </w:rPr>
      </w:pPr>
    </w:p>
    <w:p>
      <w:pPr>
        <w:jc w:val="both"/>
        <w:spacing w:after="0" w:line="14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jc w:val="both"/>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ind w:right="40"/>
        <w:spacing w:after="0" w:line="259"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292" w:right="299" w:bottom="1440" w:gutter="0" w:footer="0" w:header="0"/>
        </w:sectPr>
      </w:pPr>
    </w:p>
    <w:p>
      <w:pPr>
        <w:spacing w:after="0" w:line="24" w:lineRule="exact"/>
        <w:rPr>
          <w:sz w:val="24"/>
          <w:szCs w:val="24"/>
          <w:color w:val="auto"/>
        </w:rPr>
      </w:pPr>
    </w:p>
    <w:p>
      <w:pPr>
        <w:spacing w:after="0"/>
        <w:rPr>
          <w:sz w:val="20"/>
          <w:szCs w:val="20"/>
          <w:color w:val="auto"/>
        </w:rPr>
      </w:pPr>
      <w:r>
        <w:rPr>
          <w:rFonts w:ascii="Arial" w:cs="Arial" w:eastAsia="Arial" w:hAnsi="Arial"/>
          <w:sz w:val="11"/>
          <w:szCs w:val="11"/>
          <w:color w:val="auto"/>
        </w:rPr>
        <w:t>Large accelerated filer</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11" w:lineRule="exact"/>
        <w:tabs>
          <w:tab w:leader="none" w:pos="3840" w:val="left"/>
          <w:tab w:leader="none" w:pos="73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0"/>
          <w:szCs w:val="10"/>
          <w:color w:val="auto"/>
        </w:rPr>
        <w:t>☐</w:t>
      </w:r>
    </w:p>
    <w:p>
      <w:pPr>
        <w:spacing w:after="0" w:line="37" w:lineRule="exact"/>
        <w:rPr>
          <w:sz w:val="24"/>
          <w:szCs w:val="24"/>
          <w:color w:val="auto"/>
        </w:rPr>
      </w:pPr>
    </w:p>
    <w:p>
      <w:pPr>
        <w:spacing w:after="0" w:line="127" w:lineRule="exact"/>
        <w:tabs>
          <w:tab w:leader="none" w:pos="3840" w:val="left"/>
          <w:tab w:leader="none" w:pos="73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Smaller reporting company</w:t>
      </w:r>
      <w:r>
        <w:rPr>
          <w:sz w:val="20"/>
          <w:szCs w:val="20"/>
          <w:color w:val="auto"/>
        </w:rPr>
        <w:tab/>
      </w:r>
      <w:r>
        <w:rPr>
          <w:rFonts w:ascii="MS PGothic" w:cs="MS PGothic" w:eastAsia="MS PGothic" w:hAnsi="MS PGothic"/>
          <w:sz w:val="10"/>
          <w:szCs w:val="10"/>
          <w:color w:val="auto"/>
        </w:rPr>
        <w:t>☐</w:t>
      </w:r>
    </w:p>
    <w:p>
      <w:pPr>
        <w:spacing w:after="0" w:line="24"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73" w:lineRule="exact"/>
        <w:rPr>
          <w:sz w:val="24"/>
          <w:szCs w:val="24"/>
          <w:color w:val="auto"/>
        </w:rPr>
      </w:pPr>
    </w:p>
    <w:p>
      <w:pPr>
        <w:sectPr>
          <w:pgSz w:w="11900" w:h="16838" w:orient="portrait"/>
          <w:cols w:equalWidth="0" w:num="2">
            <w:col w:w="2780" w:space="720"/>
            <w:col w:w="7800"/>
          </w:cols>
          <w:pgMar w:left="300" w:top="292" w:right="299" w:bottom="1440" w:gutter="0" w:footer="0" w:header="0"/>
          <w:type w:val="continuous"/>
        </w:sectPr>
      </w:pPr>
    </w:p>
    <w:p>
      <w:pPr>
        <w:spacing w:after="0" w:line="14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5700" w:type="dxa"/>
            <w:vAlign w:val="bottom"/>
            <w:gridSpan w:val="2"/>
          </w:tcPr>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tc>
        <w:tc>
          <w:tcPr>
            <w:tcW w:w="5600" w:type="dxa"/>
            <w:vAlign w:val="bottom"/>
            <w:gridSpan w:val="2"/>
            <w:vMerge w:val="restart"/>
          </w:tcPr>
          <w:p>
            <w:pPr>
              <w:ind w:left="2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r>
        <w:trPr>
          <w:trHeight w:val="178"/>
        </w:trPr>
        <w:tc>
          <w:tcPr>
            <w:tcW w:w="5700" w:type="dxa"/>
            <w:vAlign w:val="bottom"/>
            <w:gridSpan w:val="2"/>
          </w:tcPr>
          <w:p>
            <w:pPr>
              <w:ind w:left="524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tc>
        <w:tc>
          <w:tcPr>
            <w:tcW w:w="5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700" w:type="dxa"/>
            <w:vAlign w:val="bottom"/>
            <w:gridSpan w:val="2"/>
          </w:tcPr>
          <w:p>
            <w:pPr>
              <w:spacing w:after="0"/>
              <w:rPr>
                <w:sz w:val="20"/>
                <w:szCs w:val="20"/>
                <w:color w:val="auto"/>
              </w:rPr>
            </w:pPr>
            <w:r>
              <w:rPr>
                <w:rFonts w:ascii="Arial" w:cs="Arial" w:eastAsia="Arial" w:hAnsi="Arial"/>
                <w:sz w:val="11"/>
                <w:szCs w:val="11"/>
                <w:color w:val="auto"/>
              </w:rPr>
              <w:t>As of July 27, 2020, the number of outstanding shares of common stock was:</w:t>
            </w:r>
          </w:p>
        </w:tc>
        <w:tc>
          <w:tcPr>
            <w:tcW w:w="6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7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Class</w:t>
            </w:r>
          </w:p>
        </w:tc>
        <w:tc>
          <w:tcPr>
            <w:tcW w:w="6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Arial" w:cs="Arial" w:eastAsia="Arial" w:hAnsi="Arial"/>
                <w:sz w:val="11"/>
                <w:szCs w:val="11"/>
                <w:b w:val="1"/>
                <w:bCs w:val="1"/>
                <w:color w:val="auto"/>
              </w:rPr>
              <w:t>Outstanding Shares</w:t>
            </w:r>
          </w:p>
        </w:tc>
        <w:tc>
          <w:tcPr>
            <w:tcW w:w="0" w:type="dxa"/>
            <w:vAlign w:val="bottom"/>
          </w:tcPr>
          <w:p>
            <w:pPr>
              <w:spacing w:after="0"/>
              <w:rPr>
                <w:sz w:val="1"/>
                <w:szCs w:val="1"/>
                <w:color w:val="auto"/>
              </w:rPr>
            </w:pPr>
          </w:p>
        </w:tc>
      </w:tr>
      <w:tr>
        <w:trPr>
          <w:trHeight w:val="126"/>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Common Stock, $.01 Par Value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40" w:type="dxa"/>
            <w:vAlign w:val="bottom"/>
            <w:tcBorders>
              <w:top w:val="single" w:sz="8" w:color="auto"/>
            </w:tcBorders>
          </w:tcPr>
          <w:p>
            <w:pPr>
              <w:jc w:val="right"/>
              <w:ind w:right="2423"/>
              <w:spacing w:after="0"/>
              <w:rPr>
                <w:sz w:val="20"/>
                <w:szCs w:val="20"/>
                <w:color w:val="auto"/>
              </w:rPr>
            </w:pPr>
            <w:r>
              <w:rPr>
                <w:rFonts w:ascii="Arial" w:cs="Arial" w:eastAsia="Arial" w:hAnsi="Arial"/>
                <w:sz w:val="11"/>
                <w:szCs w:val="11"/>
                <w:color w:val="auto"/>
              </w:rPr>
              <w:t>41,756,684</w:t>
            </w:r>
          </w:p>
        </w:tc>
        <w:tc>
          <w:tcPr>
            <w:tcW w:w="0" w:type="dxa"/>
            <w:vAlign w:val="bottom"/>
          </w:tcPr>
          <w:p>
            <w:pPr>
              <w:spacing w:after="0"/>
              <w:rPr>
                <w:sz w:val="1"/>
                <w:szCs w:val="1"/>
                <w:color w:val="auto"/>
              </w:rPr>
            </w:pPr>
          </w:p>
        </w:tc>
      </w:tr>
      <w:tr>
        <w:trPr>
          <w:trHeight w:val="50"/>
        </w:trPr>
        <w:tc>
          <w:tcPr>
            <w:tcW w:w="5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7"/>
        </w:trPr>
        <w:tc>
          <w:tcPr>
            <w:tcW w:w="5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292"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auto"/>
        </w:rPr>
        <w:t>TABLE OF CONTENTS</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PART I. FINANCIAL INFORMATION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00" w:type="dxa"/>
            <w:vAlign w:val="bottom"/>
            <w:vMerge w:val="restart"/>
          </w:tcPr>
          <w:p>
            <w:pPr>
              <w:spacing w:after="0"/>
              <w:rPr>
                <w:sz w:val="20"/>
                <w:szCs w:val="20"/>
                <w:color w:val="auto"/>
              </w:rPr>
            </w:pPr>
            <w:r>
              <w:rPr>
                <w:rFonts w:ascii="Arial" w:cs="Arial" w:eastAsia="Arial" w:hAnsi="Arial"/>
                <w:sz w:val="12"/>
                <w:szCs w:val="12"/>
                <w:b w:val="1"/>
                <w:bCs w:val="1"/>
                <w:color w:val="auto"/>
              </w:rPr>
              <w:t>Item 1.</w:t>
            </w:r>
          </w:p>
        </w:tc>
        <w:tc>
          <w:tcPr>
            <w:tcW w:w="7900" w:type="dxa"/>
            <w:vAlign w:val="bottom"/>
            <w:vMerge w:val="restart"/>
          </w:tcPr>
          <w:p>
            <w:pPr>
              <w:ind w:left="120"/>
              <w:spacing w:after="0"/>
              <w:rPr>
                <w:sz w:val="20"/>
                <w:szCs w:val="20"/>
                <w:color w:val="auto"/>
              </w:rPr>
            </w:pPr>
            <w:r>
              <w:rPr>
                <w:rFonts w:ascii="Arial" w:cs="Arial" w:eastAsia="Arial" w:hAnsi="Arial"/>
                <w:sz w:val="12"/>
                <w:szCs w:val="12"/>
                <w:color w:val="auto"/>
              </w:rPr>
              <w:t>Consolidated Financial Statements</w:t>
            </w:r>
          </w:p>
        </w:tc>
        <w:tc>
          <w:tcPr>
            <w:tcW w:w="2500" w:type="dxa"/>
            <w:vAlign w:val="bottom"/>
          </w:tcPr>
          <w:p>
            <w:pPr>
              <w:jc w:val="right"/>
              <w:ind w:right="80"/>
              <w:spacing w:after="0"/>
              <w:rPr>
                <w:sz w:val="20"/>
                <w:szCs w:val="20"/>
                <w:color w:val="auto"/>
              </w:rPr>
            </w:pPr>
            <w:r>
              <w:rPr>
                <w:rFonts w:ascii="Arial" w:cs="Arial" w:eastAsia="Arial" w:hAnsi="Arial"/>
                <w:sz w:val="12"/>
                <w:szCs w:val="12"/>
                <w:color w:val="auto"/>
              </w:rPr>
              <w:t>Page</w:t>
            </w:r>
          </w:p>
        </w:tc>
        <w:tc>
          <w:tcPr>
            <w:tcW w:w="0" w:type="dxa"/>
            <w:vAlign w:val="bottom"/>
          </w:tcPr>
          <w:p>
            <w:pPr>
              <w:spacing w:after="0"/>
              <w:rPr>
                <w:sz w:val="1"/>
                <w:szCs w:val="1"/>
                <w:color w:val="auto"/>
              </w:rPr>
            </w:pPr>
          </w:p>
        </w:tc>
      </w:tr>
      <w:tr>
        <w:trPr>
          <w:trHeight w:val="144"/>
        </w:trPr>
        <w:tc>
          <w:tcPr>
            <w:tcW w:w="900" w:type="dxa"/>
            <w:vAlign w:val="bottom"/>
            <w:vMerge w:val="continue"/>
          </w:tcPr>
          <w:p>
            <w:pPr>
              <w:spacing w:after="0"/>
              <w:rPr>
                <w:sz w:val="12"/>
                <w:szCs w:val="12"/>
                <w:color w:val="auto"/>
              </w:rPr>
            </w:pPr>
          </w:p>
        </w:tc>
        <w:tc>
          <w:tcPr>
            <w:tcW w:w="790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900" w:type="dxa"/>
            <w:vAlign w:val="bottom"/>
          </w:tcPr>
          <w:p>
            <w:pPr>
              <w:spacing w:after="0"/>
              <w:rPr>
                <w:sz w:val="24"/>
                <w:szCs w:val="24"/>
                <w:color w:val="auto"/>
              </w:rPr>
            </w:pPr>
          </w:p>
        </w:tc>
        <w:tc>
          <w:tcPr>
            <w:tcW w:w="7900" w:type="dxa"/>
            <w:vAlign w:val="bottom"/>
          </w:tcPr>
          <w:p>
            <w:pPr>
              <w:ind w:left="12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Consolidated Statements of Earnings for the Three Months Ended June 30, 2020 and 2019</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4"/>
                <w:szCs w:val="24"/>
                <w:color w:val="auto"/>
              </w:rPr>
            </w:pPr>
          </w:p>
        </w:tc>
        <w:tc>
          <w:tcPr>
            <w:tcW w:w="7900" w:type="dxa"/>
            <w:vAlign w:val="bottom"/>
          </w:tcPr>
          <w:p>
            <w:pPr>
              <w:ind w:left="12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Consolidated Statements of Comprehensive Earnings for the Three Months Ended June 30, 2020 and 2019</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4"/>
                <w:szCs w:val="24"/>
                <w:color w:val="auto"/>
              </w:rPr>
            </w:pPr>
          </w:p>
        </w:tc>
        <w:tc>
          <w:tcPr>
            <w:tcW w:w="7900" w:type="dxa"/>
            <w:vAlign w:val="bottom"/>
          </w:tcPr>
          <w:p>
            <w:pPr>
              <w:ind w:left="120"/>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Consolidated Balance Sheets as of June 30, 2020, and March 31, 2020</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4"/>
                <w:szCs w:val="24"/>
                <w:color w:val="auto"/>
              </w:rPr>
            </w:pPr>
          </w:p>
        </w:tc>
        <w:tc>
          <w:tcPr>
            <w:tcW w:w="7900" w:type="dxa"/>
            <w:vAlign w:val="bottom"/>
          </w:tcPr>
          <w:p>
            <w:pPr>
              <w:ind w:left="12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Consolidated Statements of Cash Flows for the Three Months Ended June 30, 2020 and 2019</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4"/>
                <w:szCs w:val="24"/>
                <w:color w:val="auto"/>
              </w:rPr>
            </w:pPr>
          </w:p>
        </w:tc>
        <w:tc>
          <w:tcPr>
            <w:tcW w:w="7900" w:type="dxa"/>
            <w:vAlign w:val="bottom"/>
          </w:tcPr>
          <w:p>
            <w:pPr>
              <w:ind w:left="12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Consolidated Statements of Stockholders' Equity for the Three Months Ended June 30, 2020 and 2019</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4"/>
                <w:szCs w:val="24"/>
                <w:color w:val="auto"/>
              </w:rPr>
            </w:pPr>
          </w:p>
        </w:tc>
        <w:tc>
          <w:tcPr>
            <w:tcW w:w="7900" w:type="dxa"/>
            <w:vAlign w:val="bottom"/>
          </w:tcPr>
          <w:p>
            <w:pPr>
              <w:ind w:left="120"/>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Notes to Unaudited Consolidated Financial Statements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7900" w:type="dxa"/>
            <w:vAlign w:val="bottom"/>
          </w:tcPr>
          <w:p>
            <w:pPr>
              <w:ind w:left="120"/>
              <w:spacing w:after="0"/>
              <w:rPr>
                <w:rFonts w:ascii="Arial" w:cs="Arial" w:eastAsia="Arial" w:hAnsi="Arial"/>
                <w:sz w:val="12"/>
                <w:szCs w:val="12"/>
                <w:u w:val="single" w:color="auto"/>
                <w:color w:val="0000EE"/>
              </w:rPr>
            </w:pPr>
            <w:hyperlink w:anchor="page28">
              <w:r>
                <w:rPr>
                  <w:rFonts w:ascii="Arial" w:cs="Arial" w:eastAsia="Arial" w:hAnsi="Arial"/>
                  <w:sz w:val="12"/>
                  <w:szCs w:val="12"/>
                  <w:u w:val="single" w:color="auto"/>
                  <w:color w:val="0000EE"/>
                </w:rPr>
                <w:t>Management’s Discussion and Analysis of Financial Condition and Results of Operations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0"/>
                <w:szCs w:val="20"/>
                <w:color w:val="auto"/>
              </w:rPr>
            </w:pPr>
            <w:r>
              <w:rPr>
                <w:rFonts w:ascii="Arial" w:cs="Arial" w:eastAsia="Arial" w:hAnsi="Arial"/>
                <w:sz w:val="12"/>
                <w:szCs w:val="12"/>
                <w:b w:val="1"/>
                <w:bCs w:val="1"/>
                <w:color w:val="auto"/>
              </w:rPr>
              <w:t>Item 3.</w:t>
            </w:r>
          </w:p>
        </w:tc>
        <w:tc>
          <w:tcPr>
            <w:tcW w:w="7900" w:type="dxa"/>
            <w:vAlign w:val="bottom"/>
          </w:tcPr>
          <w:p>
            <w:pPr>
              <w:ind w:left="120"/>
              <w:spacing w:after="0"/>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Quantitative and Qualitative Disclosures About Market Risk</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7900" w:type="dxa"/>
            <w:vAlign w:val="bottom"/>
          </w:tcPr>
          <w:p>
            <w:pPr>
              <w:ind w:left="120"/>
              <w:spacing w:after="0"/>
              <w:rPr>
                <w:rFonts w:ascii="Arial" w:cs="Arial" w:eastAsia="Arial" w:hAnsi="Arial"/>
                <w:sz w:val="12"/>
                <w:szCs w:val="12"/>
                <w:u w:val="single" w:color="auto"/>
                <w:color w:val="0000EE"/>
              </w:rPr>
            </w:pPr>
            <w:hyperlink w:anchor="page41">
              <w:r>
                <w:rPr>
                  <w:rFonts w:ascii="Arial" w:cs="Arial" w:eastAsia="Arial" w:hAnsi="Arial"/>
                  <w:sz w:val="12"/>
                  <w:szCs w:val="12"/>
                  <w:u w:val="single" w:color="auto"/>
                  <w:color w:val="0000EE"/>
                </w:rPr>
                <w:t>Controls and Procedures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362"/>
        </w:trPr>
        <w:tc>
          <w:tcPr>
            <w:tcW w:w="8800" w:type="dxa"/>
            <w:vAlign w:val="bottom"/>
            <w:gridSpan w:val="2"/>
          </w:tcPr>
          <w:p>
            <w:pPr>
              <w:spacing w:after="0"/>
              <w:rPr>
                <w:rFonts w:ascii="Arial" w:cs="Arial" w:eastAsia="Arial" w:hAnsi="Arial"/>
                <w:sz w:val="13"/>
                <w:szCs w:val="13"/>
                <w:b w:val="1"/>
                <w:bCs w:val="1"/>
                <w:u w:val="single" w:color="auto"/>
                <w:color w:val="0000EE"/>
              </w:rPr>
            </w:pPr>
            <w:hyperlink w:anchor="page42">
              <w:r>
                <w:rPr>
                  <w:rFonts w:ascii="Arial" w:cs="Arial" w:eastAsia="Arial" w:hAnsi="Arial"/>
                  <w:sz w:val="13"/>
                  <w:szCs w:val="13"/>
                  <w:b w:val="1"/>
                  <w:bCs w:val="1"/>
                  <w:u w:val="single" w:color="auto"/>
                  <w:color w:val="0000EE"/>
                </w:rPr>
                <w:t>PART II. OTHER INFORMATION</w:t>
              </w:r>
            </w:hyperlink>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90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7900" w:type="dxa"/>
            <w:vAlign w:val="bottom"/>
          </w:tcPr>
          <w:p>
            <w:pPr>
              <w:ind w:left="120"/>
              <w:spacing w:after="0"/>
              <w:rPr>
                <w:rFonts w:ascii="Arial" w:cs="Arial" w:eastAsia="Arial" w:hAnsi="Arial"/>
                <w:sz w:val="12"/>
                <w:szCs w:val="12"/>
                <w:u w:val="single" w:color="auto"/>
                <w:color w:val="0000EE"/>
              </w:rPr>
            </w:pPr>
            <w:hyperlink w:anchor="page42">
              <w:r>
                <w:rPr>
                  <w:rFonts w:ascii="Arial" w:cs="Arial" w:eastAsia="Arial" w:hAnsi="Arial"/>
                  <w:sz w:val="12"/>
                  <w:szCs w:val="12"/>
                  <w:u w:val="single" w:color="auto"/>
                  <w:color w:val="0000EE"/>
                </w:rPr>
                <w:t>Legal Proceedings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0"/>
                <w:szCs w:val="20"/>
                <w:color w:val="auto"/>
              </w:rPr>
            </w:pPr>
            <w:r>
              <w:rPr>
                <w:rFonts w:ascii="Arial" w:cs="Arial" w:eastAsia="Arial" w:hAnsi="Arial"/>
                <w:sz w:val="12"/>
                <w:szCs w:val="12"/>
                <w:b w:val="1"/>
                <w:bCs w:val="1"/>
                <w:color w:val="auto"/>
              </w:rPr>
              <w:t>Item 1a.</w:t>
            </w:r>
          </w:p>
        </w:tc>
        <w:tc>
          <w:tcPr>
            <w:tcW w:w="7900" w:type="dxa"/>
            <w:vAlign w:val="bottom"/>
          </w:tcPr>
          <w:p>
            <w:pPr>
              <w:ind w:left="120"/>
              <w:spacing w:after="0"/>
              <w:rPr>
                <w:rFonts w:ascii="Arial" w:cs="Arial" w:eastAsia="Arial" w:hAnsi="Arial"/>
                <w:sz w:val="12"/>
                <w:szCs w:val="12"/>
                <w:u w:val="single" w:color="auto"/>
                <w:color w:val="0000EE"/>
              </w:rPr>
            </w:pPr>
            <w:hyperlink w:anchor="page42">
              <w:r>
                <w:rPr>
                  <w:rFonts w:ascii="Arial" w:cs="Arial" w:eastAsia="Arial" w:hAnsi="Arial"/>
                  <w:sz w:val="12"/>
                  <w:szCs w:val="12"/>
                  <w:u w:val="single" w:color="auto"/>
                  <w:color w:val="0000EE"/>
                </w:rPr>
                <w:t>Risk Factors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7900" w:type="dxa"/>
            <w:vAlign w:val="bottom"/>
          </w:tcPr>
          <w:p>
            <w:pPr>
              <w:ind w:left="120"/>
              <w:spacing w:after="0"/>
              <w:rPr>
                <w:rFonts w:ascii="Arial" w:cs="Arial" w:eastAsia="Arial" w:hAnsi="Arial"/>
                <w:sz w:val="12"/>
                <w:szCs w:val="12"/>
                <w:u w:val="single" w:color="auto"/>
                <w:color w:val="0000EE"/>
              </w:rPr>
            </w:pPr>
            <w:hyperlink w:anchor="page43">
              <w:r>
                <w:rPr>
                  <w:rFonts w:ascii="Arial" w:cs="Arial" w:eastAsia="Arial" w:hAnsi="Arial"/>
                  <w:sz w:val="12"/>
                  <w:szCs w:val="12"/>
                  <w:u w:val="single" w:color="auto"/>
                  <w:color w:val="0000EE"/>
                </w:rPr>
                <w:t>Unregistered Sales of Equity Securities and Use of Proceeds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7900" w:type="dxa"/>
            <w:vAlign w:val="bottom"/>
          </w:tcPr>
          <w:p>
            <w:pPr>
              <w:ind w:left="120"/>
              <w:spacing w:after="0"/>
              <w:rPr>
                <w:rFonts w:ascii="Arial" w:cs="Arial" w:eastAsia="Arial" w:hAnsi="Arial"/>
                <w:sz w:val="12"/>
                <w:szCs w:val="12"/>
                <w:u w:val="single" w:color="auto"/>
                <w:color w:val="0000EE"/>
              </w:rPr>
            </w:pPr>
            <w:hyperlink w:anchor="page43">
              <w:r>
                <w:rPr>
                  <w:rFonts w:ascii="Arial" w:cs="Arial" w:eastAsia="Arial" w:hAnsi="Arial"/>
                  <w:sz w:val="12"/>
                  <w:szCs w:val="12"/>
                  <w:u w:val="single" w:color="auto"/>
                  <w:color w:val="0000EE"/>
                </w:rPr>
                <w:t>Mine Safety Information</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306"/>
        </w:trPr>
        <w:tc>
          <w:tcPr>
            <w:tcW w:w="90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7900" w:type="dxa"/>
            <w:vAlign w:val="bottom"/>
          </w:tcPr>
          <w:p>
            <w:pPr>
              <w:ind w:left="120"/>
              <w:spacing w:after="0"/>
              <w:rPr>
                <w:rFonts w:ascii="Arial" w:cs="Arial" w:eastAsia="Arial" w:hAnsi="Arial"/>
                <w:sz w:val="12"/>
                <w:szCs w:val="12"/>
                <w:u w:val="single" w:color="auto"/>
                <w:color w:val="0000EE"/>
              </w:rPr>
            </w:pPr>
            <w:hyperlink w:anchor="page44">
              <w:r>
                <w:rPr>
                  <w:rFonts w:ascii="Arial" w:cs="Arial" w:eastAsia="Arial" w:hAnsi="Arial"/>
                  <w:sz w:val="12"/>
                  <w:szCs w:val="12"/>
                  <w:u w:val="single" w:color="auto"/>
                  <w:color w:val="0000EE"/>
                </w:rPr>
                <w:t>Exhibits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88"/>
        </w:trPr>
        <w:tc>
          <w:tcPr>
            <w:tcW w:w="900" w:type="dxa"/>
            <w:vAlign w:val="bottom"/>
          </w:tcPr>
          <w:p>
            <w:pPr>
              <w:spacing w:after="0"/>
              <w:rPr>
                <w:rFonts w:ascii="Arial" w:cs="Arial" w:eastAsia="Arial" w:hAnsi="Arial"/>
                <w:sz w:val="12"/>
                <w:szCs w:val="12"/>
                <w:b w:val="1"/>
                <w:bCs w:val="1"/>
                <w:u w:val="single" w:color="auto"/>
                <w:color w:val="0000EE"/>
              </w:rPr>
            </w:pPr>
            <w:hyperlink w:anchor="page45">
              <w:r>
                <w:rPr>
                  <w:rFonts w:ascii="Arial" w:cs="Arial" w:eastAsia="Arial" w:hAnsi="Arial"/>
                  <w:sz w:val="12"/>
                  <w:szCs w:val="12"/>
                  <w:b w:val="1"/>
                  <w:bCs w:val="1"/>
                  <w:u w:val="single" w:color="auto"/>
                  <w:color w:val="0000EE"/>
                </w:rPr>
                <w:t>SIGNATURES</w:t>
              </w:r>
            </w:hyperlink>
          </w:p>
        </w:tc>
        <w:tc>
          <w:tcPr>
            <w:tcW w:w="79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945"/>
        </w:trPr>
        <w:tc>
          <w:tcPr>
            <w:tcW w:w="90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EAGLE MATERIALS INC. AND SUBSIDIARIES CONSOLIDATED STATEMENTS OF EARNINGS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2360" w:type="dxa"/>
            <w:vAlign w:val="bottom"/>
            <w:gridSpan w:val="4"/>
            <w:shd w:val="clear" w:color="auto" w:fill="004483"/>
          </w:tcPr>
          <w:p>
            <w:pPr>
              <w:jc w:val="right"/>
              <w:ind w:right="373"/>
              <w:spacing w:after="0"/>
              <w:rPr>
                <w:sz w:val="20"/>
                <w:szCs w:val="20"/>
                <w:color w:val="auto"/>
              </w:rPr>
            </w:pPr>
            <w:r>
              <w:rPr>
                <w:rFonts w:ascii="Arial" w:cs="Arial" w:eastAsia="Arial" w:hAnsi="Arial"/>
                <w:sz w:val="8"/>
                <w:szCs w:val="8"/>
                <w:b w:val="1"/>
                <w:bCs w:val="1"/>
                <w:color w:val="FFFFFF"/>
              </w:rPr>
              <w:t>For the Three Months Ended June 30,</w:t>
            </w:r>
          </w:p>
        </w:tc>
        <w:tc>
          <w:tcPr>
            <w:tcW w:w="6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440" w:type="dxa"/>
            <w:vAlign w:val="bottom"/>
            <w:tcBorders>
              <w:bottom w:val="single" w:sz="8" w:color="004483"/>
            </w:tcBorders>
          </w:tcPr>
          <w:p>
            <w:pPr>
              <w:spacing w:after="0"/>
              <w:rPr>
                <w:sz w:val="8"/>
                <w:szCs w:val="8"/>
                <w:color w:val="auto"/>
              </w:rPr>
            </w:pPr>
          </w:p>
        </w:tc>
        <w:tc>
          <w:tcPr>
            <w:tcW w:w="2360" w:type="dxa"/>
            <w:vAlign w:val="bottom"/>
            <w:tcBorders>
              <w:bottom w:val="single" w:sz="8" w:color="004483"/>
            </w:tcBorders>
            <w:gridSpan w:val="4"/>
          </w:tcPr>
          <w:p>
            <w:pPr>
              <w:jc w:val="right"/>
              <w:ind w:right="133"/>
              <w:spacing w:after="0"/>
              <w:rPr>
                <w:sz w:val="20"/>
                <w:szCs w:val="20"/>
                <w:color w:val="auto"/>
              </w:rPr>
            </w:pPr>
            <w:r>
              <w:rPr>
                <w:rFonts w:ascii="Arial" w:cs="Arial" w:eastAsia="Arial" w:hAnsi="Arial"/>
                <w:sz w:val="8"/>
                <w:szCs w:val="8"/>
                <w:color w:val="auto"/>
              </w:rPr>
              <w:t>(dollars in thousands, except share and per share data)</w:t>
            </w:r>
          </w:p>
        </w:tc>
        <w:tc>
          <w:tcPr>
            <w:tcW w:w="6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Revenue</w:t>
            </w: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428,020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ind w:right="853"/>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370,597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Cost of Goods Sold</w:t>
            </w:r>
          </w:p>
        </w:tc>
        <w:tc>
          <w:tcPr>
            <w:tcW w:w="440" w:type="dxa"/>
            <w:vAlign w:val="bottom"/>
            <w:tcBorders>
              <w:bottom w:val="single" w:sz="8" w:color="004483"/>
            </w:tcBorders>
          </w:tcPr>
          <w:p>
            <w:pPr>
              <w:spacing w:after="0"/>
              <w:rPr>
                <w:sz w:val="11"/>
                <w:szCs w:val="11"/>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327,041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20" w:type="dxa"/>
            <w:vAlign w:val="bottom"/>
            <w:tcBorders>
              <w:bottom w:val="single" w:sz="8" w:color="004483"/>
            </w:tcBorders>
          </w:tcPr>
          <w:p>
            <w:pPr>
              <w:spacing w:after="0"/>
              <w:rPr>
                <w:sz w:val="11"/>
                <w:szCs w:val="11"/>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295,268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Gross Profit</w:t>
            </w:r>
          </w:p>
        </w:tc>
        <w:tc>
          <w:tcPr>
            <w:tcW w:w="44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100,979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75,329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Equity in Earnings of Unconsolidated Joint Venture</w:t>
            </w:r>
          </w:p>
        </w:tc>
        <w:tc>
          <w:tcPr>
            <w:tcW w:w="44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7,796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9,432</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Corporate General and Administrative Expense</w:t>
            </w:r>
          </w:p>
        </w:tc>
        <w:tc>
          <w:tcPr>
            <w:tcW w:w="440" w:type="dxa"/>
            <w:vAlign w:val="bottom"/>
          </w:tcPr>
          <w:p>
            <w:pPr>
              <w:spacing w:after="0"/>
              <w:rPr>
                <w:sz w:val="11"/>
                <w:szCs w:val="1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1"/>
                <w:szCs w:val="11"/>
                <w:color w:val="auto"/>
              </w:rPr>
              <w:t>(17,789)</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(21,254)</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Gain on Sale of Businesses</w:t>
            </w:r>
          </w:p>
        </w:tc>
        <w:tc>
          <w:tcPr>
            <w:tcW w:w="440" w:type="dxa"/>
            <w:vAlign w:val="bottom"/>
            <w:tcBorders>
              <w:top w:val="single" w:sz="8" w:color="A6A6A6"/>
              <w:bottom w:val="single" w:sz="8" w:color="A6A6A6"/>
            </w:tcBorders>
          </w:tcPr>
          <w:p>
            <w:pPr>
              <w:spacing w:after="0"/>
              <w:rPr>
                <w:sz w:val="11"/>
                <w:szCs w:val="11"/>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51,973</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Other Non-Operating Income (Loss)</w:t>
            </w:r>
          </w:p>
        </w:tc>
        <w:tc>
          <w:tcPr>
            <w:tcW w:w="440" w:type="dxa"/>
            <w:vAlign w:val="bottom"/>
          </w:tcPr>
          <w:p>
            <w:pPr>
              <w:spacing w:after="0"/>
              <w:rPr>
                <w:sz w:val="11"/>
                <w:szCs w:val="1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1"/>
                <w:szCs w:val="11"/>
                <w:color w:val="auto"/>
              </w:rPr>
              <w:t>(127)</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w:t>
            </w:r>
          </w:p>
        </w:tc>
        <w:tc>
          <w:tcPr>
            <w:tcW w:w="120" w:type="dxa"/>
            <w:vAlign w:val="bottom"/>
          </w:tcPr>
          <w:p>
            <w:pPr>
              <w:spacing w:after="0"/>
              <w:rPr>
                <w:sz w:val="11"/>
                <w:szCs w:val="11"/>
                <w:color w:val="auto"/>
              </w:rPr>
            </w:pPr>
          </w:p>
        </w:tc>
      </w:tr>
      <w:tr>
        <w:trPr>
          <w:trHeight w:val="20"/>
        </w:trPr>
        <w:tc>
          <w:tcPr>
            <w:tcW w:w="774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Interest Expense, Net</w:t>
            </w:r>
          </w:p>
        </w:tc>
        <w:tc>
          <w:tcPr>
            <w:tcW w:w="440" w:type="dxa"/>
            <w:vAlign w:val="bottom"/>
          </w:tcPr>
          <w:p>
            <w:pPr>
              <w:spacing w:after="0"/>
              <w:rPr>
                <w:sz w:val="11"/>
                <w:szCs w:val="1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1"/>
                <w:szCs w:val="11"/>
                <w:color w:val="auto"/>
              </w:rPr>
              <w:t>(14,041)</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(8,846)</w:t>
            </w:r>
          </w:p>
        </w:tc>
      </w:tr>
      <w:tr>
        <w:trPr>
          <w:trHeight w:val="133"/>
        </w:trPr>
        <w:tc>
          <w:tcPr>
            <w:tcW w:w="7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auto"/>
              </w:rPr>
              <w:t>Earnings before Income Taxes</w:t>
            </w:r>
          </w:p>
        </w:tc>
        <w:tc>
          <w:tcPr>
            <w:tcW w:w="440" w:type="dxa"/>
            <w:vAlign w:val="bottom"/>
            <w:tcBorders>
              <w:top w:val="single" w:sz="8" w:color="004483"/>
              <w:bottom w:val="single" w:sz="8" w:color="A6A6A6"/>
            </w:tcBorders>
          </w:tcPr>
          <w:p>
            <w:pPr>
              <w:spacing w:after="0"/>
              <w:rPr>
                <w:sz w:val="11"/>
                <w:szCs w:val="11"/>
                <w:color w:val="auto"/>
              </w:rPr>
            </w:pPr>
          </w:p>
        </w:tc>
        <w:tc>
          <w:tcPr>
            <w:tcW w:w="11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128,791</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004483"/>
              <w:bottom w:val="single" w:sz="8" w:color="A6A6A6"/>
            </w:tcBorders>
          </w:tcPr>
          <w:p>
            <w:pPr>
              <w:spacing w:after="0"/>
              <w:rPr>
                <w:sz w:val="11"/>
                <w:szCs w:val="11"/>
                <w:color w:val="auto"/>
              </w:rPr>
            </w:pPr>
          </w:p>
        </w:tc>
        <w:tc>
          <w:tcPr>
            <w:tcW w:w="6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54,861</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Income Taxes</w:t>
            </w:r>
          </w:p>
        </w:tc>
        <w:tc>
          <w:tcPr>
            <w:tcW w:w="440" w:type="dxa"/>
            <w:vAlign w:val="bottom"/>
          </w:tcPr>
          <w:p>
            <w:pPr>
              <w:spacing w:after="0"/>
              <w:rPr>
                <w:sz w:val="11"/>
                <w:szCs w:val="1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1"/>
                <w:szCs w:val="11"/>
                <w:color w:val="auto"/>
              </w:rPr>
              <w:t>(32,585)</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(13,557)</w:t>
            </w:r>
          </w:p>
        </w:tc>
      </w:tr>
      <w:tr>
        <w:trPr>
          <w:trHeight w:val="153"/>
        </w:trPr>
        <w:tc>
          <w:tcPr>
            <w:tcW w:w="7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b w:val="1"/>
                <w:bCs w:val="1"/>
                <w:color w:val="auto"/>
              </w:rPr>
              <w:t>Net Earnings</w:t>
            </w:r>
          </w:p>
        </w:tc>
        <w:tc>
          <w:tcPr>
            <w:tcW w:w="440" w:type="dxa"/>
            <w:vAlign w:val="bottom"/>
            <w:tcBorders>
              <w:top w:val="single" w:sz="8" w:color="004483"/>
              <w:bottom w:val="single" w:sz="8" w:color="004483"/>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96,206</w:t>
            </w:r>
          </w:p>
        </w:tc>
        <w:tc>
          <w:tcPr>
            <w:tcW w:w="100" w:type="dxa"/>
            <w:vAlign w:val="bottom"/>
          </w:tcPr>
          <w:p>
            <w:pPr>
              <w:spacing w:after="0"/>
              <w:rPr>
                <w:sz w:val="13"/>
                <w:szCs w:val="13"/>
                <w:color w:val="auto"/>
              </w:rPr>
            </w:pPr>
          </w:p>
        </w:tc>
        <w:tc>
          <w:tcPr>
            <w:tcW w:w="200" w:type="dxa"/>
            <w:vAlign w:val="bottom"/>
            <w:tcBorders>
              <w:top w:val="single" w:sz="8" w:color="A6A6A6"/>
              <w:bottom w:val="single" w:sz="8" w:color="A6A6A6"/>
            </w:tcBorders>
          </w:tcPr>
          <w:p>
            <w:pPr>
              <w:spacing w:after="0"/>
              <w:rPr>
                <w:sz w:val="13"/>
                <w:szCs w:val="13"/>
                <w:color w:val="auto"/>
              </w:rPr>
            </w:pPr>
          </w:p>
        </w:tc>
        <w:tc>
          <w:tcPr>
            <w:tcW w:w="920" w:type="dxa"/>
            <w:vAlign w:val="bottom"/>
            <w:tcBorders>
              <w:top w:val="single" w:sz="8" w:color="004483"/>
              <w:bottom w:val="single" w:sz="8" w:color="004483"/>
            </w:tcBorders>
          </w:tcPr>
          <w:p>
            <w:pPr>
              <w:jc w:val="right"/>
              <w:ind w:right="85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41,304</w:t>
            </w:r>
          </w:p>
        </w:tc>
        <w:tc>
          <w:tcPr>
            <w:tcW w:w="120" w:type="dxa"/>
            <w:vAlign w:val="bottom"/>
          </w:tcPr>
          <w:p>
            <w:pPr>
              <w:spacing w:after="0"/>
              <w:rPr>
                <w:sz w:val="13"/>
                <w:szCs w:val="13"/>
                <w:color w:val="auto"/>
              </w:rPr>
            </w:pPr>
          </w:p>
        </w:tc>
      </w:tr>
      <w:tr>
        <w:trPr>
          <w:trHeight w:val="275"/>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EARNINGS PER SHARE</w:t>
            </w:r>
          </w:p>
        </w:tc>
        <w:tc>
          <w:tcPr>
            <w:tcW w:w="440" w:type="dxa"/>
            <w:vAlign w:val="bottom"/>
            <w:tcBorders>
              <w:bottom w:val="single" w:sz="8" w:color="A6A6A6"/>
            </w:tcBorders>
          </w:tcPr>
          <w:p>
            <w:pPr>
              <w:spacing w:after="0"/>
              <w:rPr>
                <w:sz w:val="23"/>
                <w:szCs w:val="23"/>
                <w:color w:val="auto"/>
              </w:rPr>
            </w:pPr>
          </w:p>
        </w:tc>
        <w:tc>
          <w:tcPr>
            <w:tcW w:w="1140" w:type="dxa"/>
            <w:vAlign w:val="bottom"/>
            <w:tcBorders>
              <w:bottom w:val="single" w:sz="8" w:color="A6A6A6"/>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6A6A6"/>
            </w:tcBorders>
          </w:tcPr>
          <w:p>
            <w:pPr>
              <w:spacing w:after="0"/>
              <w:rPr>
                <w:sz w:val="23"/>
                <w:szCs w:val="23"/>
                <w:color w:val="auto"/>
              </w:rPr>
            </w:pPr>
          </w:p>
        </w:tc>
        <w:tc>
          <w:tcPr>
            <w:tcW w:w="920" w:type="dxa"/>
            <w:vAlign w:val="bottom"/>
            <w:tcBorders>
              <w:bottom w:val="single" w:sz="8" w:color="A6A6A6"/>
            </w:tcBorders>
          </w:tcPr>
          <w:p>
            <w:pPr>
              <w:spacing w:after="0"/>
              <w:rPr>
                <w:sz w:val="23"/>
                <w:szCs w:val="23"/>
                <w:color w:val="auto"/>
              </w:rPr>
            </w:pPr>
          </w:p>
        </w:tc>
        <w:tc>
          <w:tcPr>
            <w:tcW w:w="640" w:type="dxa"/>
            <w:vAlign w:val="bottom"/>
            <w:tcBorders>
              <w:bottom w:val="single" w:sz="8" w:color="A6A6A6"/>
            </w:tcBorders>
          </w:tcPr>
          <w:p>
            <w:pPr>
              <w:spacing w:after="0"/>
              <w:rPr>
                <w:sz w:val="23"/>
                <w:szCs w:val="23"/>
                <w:color w:val="auto"/>
              </w:rPr>
            </w:pPr>
          </w:p>
        </w:tc>
        <w:tc>
          <w:tcPr>
            <w:tcW w:w="120" w:type="dxa"/>
            <w:vAlign w:val="bottom"/>
          </w:tcPr>
          <w:p>
            <w:pPr>
              <w:spacing w:after="0"/>
              <w:rPr>
                <w:sz w:val="23"/>
                <w:szCs w:val="23"/>
                <w:color w:val="auto"/>
              </w:rPr>
            </w:pPr>
          </w:p>
        </w:tc>
      </w:tr>
      <w:tr>
        <w:trPr>
          <w:trHeight w:val="15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Basic</w:t>
            </w: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2.32</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920" w:type="dxa"/>
            <w:vAlign w:val="bottom"/>
            <w:tcBorders>
              <w:bottom w:val="single" w:sz="8" w:color="004483"/>
            </w:tcBorders>
          </w:tcPr>
          <w:p>
            <w:pPr>
              <w:jc w:val="right"/>
              <w:ind w:right="853"/>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0.94</w:t>
            </w:r>
          </w:p>
        </w:tc>
        <w:tc>
          <w:tcPr>
            <w:tcW w:w="120" w:type="dxa"/>
            <w:vAlign w:val="bottom"/>
          </w:tcPr>
          <w:p>
            <w:pPr>
              <w:spacing w:after="0"/>
              <w:rPr>
                <w:sz w:val="13"/>
                <w:szCs w:val="13"/>
                <w:color w:val="auto"/>
              </w:rPr>
            </w:pPr>
          </w:p>
        </w:tc>
      </w:tr>
      <w:tr>
        <w:trPr>
          <w:trHeight w:val="151"/>
        </w:trPr>
        <w:tc>
          <w:tcPr>
            <w:tcW w:w="7740" w:type="dxa"/>
            <w:vAlign w:val="bottom"/>
            <w:tcBorders>
              <w:bottom w:val="single" w:sz="8" w:color="A6A6A6"/>
            </w:tcBorders>
          </w:tcPr>
          <w:p>
            <w:pPr>
              <w:ind w:left="160"/>
              <w:spacing w:after="0" w:line="120" w:lineRule="exact"/>
              <w:rPr>
                <w:sz w:val="20"/>
                <w:szCs w:val="20"/>
                <w:color w:val="auto"/>
              </w:rPr>
            </w:pPr>
            <w:r>
              <w:rPr>
                <w:rFonts w:ascii="Arial" w:cs="Arial" w:eastAsia="Arial" w:hAnsi="Arial"/>
                <w:sz w:val="11"/>
                <w:szCs w:val="11"/>
                <w:color w:val="auto"/>
              </w:rPr>
              <w:t>Diluted</w:t>
            </w: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920" w:type="dxa"/>
            <w:vAlign w:val="bottom"/>
            <w:tcBorders>
              <w:bottom w:val="single" w:sz="8" w:color="004483"/>
            </w:tcBorders>
          </w:tcPr>
          <w:p>
            <w:pPr>
              <w:jc w:val="right"/>
              <w:ind w:right="853"/>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0.94</w:t>
            </w:r>
          </w:p>
        </w:tc>
        <w:tc>
          <w:tcPr>
            <w:tcW w:w="120" w:type="dxa"/>
            <w:vAlign w:val="bottom"/>
          </w:tcPr>
          <w:p>
            <w:pPr>
              <w:spacing w:after="0"/>
              <w:rPr>
                <w:sz w:val="13"/>
                <w:szCs w:val="13"/>
                <w:color w:val="auto"/>
              </w:rPr>
            </w:pPr>
          </w:p>
        </w:tc>
      </w:tr>
      <w:tr>
        <w:trPr>
          <w:trHeight w:val="127"/>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AVERAGE SHARES OUTSTANDING</w:t>
            </w:r>
          </w:p>
        </w:tc>
        <w:tc>
          <w:tcPr>
            <w:tcW w:w="440" w:type="dxa"/>
            <w:vAlign w:val="bottom"/>
            <w:tcBorders>
              <w:bottom w:val="single" w:sz="8" w:color="A6A6A6"/>
            </w:tcBorders>
          </w:tcPr>
          <w:p>
            <w:pPr>
              <w:spacing w:after="0"/>
              <w:rPr>
                <w:sz w:val="11"/>
                <w:szCs w:val="11"/>
                <w:color w:val="auto"/>
              </w:rPr>
            </w:pPr>
          </w:p>
        </w:tc>
        <w:tc>
          <w:tcPr>
            <w:tcW w:w="114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Basic</w:t>
            </w:r>
          </w:p>
        </w:tc>
        <w:tc>
          <w:tcPr>
            <w:tcW w:w="440" w:type="dxa"/>
            <w:vAlign w:val="bottom"/>
            <w:tcBorders>
              <w:bottom w:val="single" w:sz="8" w:color="004483"/>
            </w:tcBorders>
          </w:tcPr>
          <w:p>
            <w:pPr>
              <w:spacing w:after="0"/>
              <w:rPr>
                <w:sz w:val="13"/>
                <w:szCs w:val="13"/>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41,410,794</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920" w:type="dxa"/>
            <w:vAlign w:val="bottom"/>
            <w:tcBorders>
              <w:bottom w:val="single" w:sz="8" w:color="004483"/>
            </w:tcBorders>
          </w:tcPr>
          <w:p>
            <w:pPr>
              <w:spacing w:after="0"/>
              <w:rPr>
                <w:sz w:val="13"/>
                <w:szCs w:val="13"/>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43,870,222</w:t>
            </w:r>
          </w:p>
        </w:tc>
        <w:tc>
          <w:tcPr>
            <w:tcW w:w="120" w:type="dxa"/>
            <w:vAlign w:val="bottom"/>
          </w:tcPr>
          <w:p>
            <w:pPr>
              <w:spacing w:after="0"/>
              <w:rPr>
                <w:sz w:val="13"/>
                <w:szCs w:val="13"/>
                <w:color w:val="auto"/>
              </w:rPr>
            </w:pPr>
          </w:p>
        </w:tc>
      </w:tr>
      <w:tr>
        <w:trPr>
          <w:trHeight w:val="151"/>
        </w:trPr>
        <w:tc>
          <w:tcPr>
            <w:tcW w:w="7740" w:type="dxa"/>
            <w:vAlign w:val="bottom"/>
            <w:tcBorders>
              <w:bottom w:val="single" w:sz="8" w:color="A6A6A6"/>
            </w:tcBorders>
          </w:tcPr>
          <w:p>
            <w:pPr>
              <w:ind w:left="160"/>
              <w:spacing w:after="0" w:line="120" w:lineRule="exact"/>
              <w:rPr>
                <w:sz w:val="20"/>
                <w:szCs w:val="20"/>
                <w:color w:val="auto"/>
              </w:rPr>
            </w:pPr>
            <w:r>
              <w:rPr>
                <w:rFonts w:ascii="Arial" w:cs="Arial" w:eastAsia="Arial" w:hAnsi="Arial"/>
                <w:sz w:val="11"/>
                <w:szCs w:val="11"/>
                <w:color w:val="auto"/>
              </w:rPr>
              <w:t>Diluted</w:t>
            </w:r>
          </w:p>
        </w:tc>
        <w:tc>
          <w:tcPr>
            <w:tcW w:w="440" w:type="dxa"/>
            <w:vAlign w:val="bottom"/>
            <w:tcBorders>
              <w:bottom w:val="single" w:sz="8" w:color="004483"/>
            </w:tcBorders>
          </w:tcPr>
          <w:p>
            <w:pPr>
              <w:spacing w:after="0"/>
              <w:rPr>
                <w:sz w:val="13"/>
                <w:szCs w:val="13"/>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41,563,268</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920" w:type="dxa"/>
            <w:vAlign w:val="bottom"/>
            <w:tcBorders>
              <w:bottom w:val="single" w:sz="8" w:color="004483"/>
            </w:tcBorders>
          </w:tcPr>
          <w:p>
            <w:pPr>
              <w:spacing w:after="0"/>
              <w:rPr>
                <w:sz w:val="13"/>
                <w:szCs w:val="13"/>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44,150,211</w:t>
            </w:r>
          </w:p>
        </w:tc>
        <w:tc>
          <w:tcPr>
            <w:tcW w:w="120" w:type="dxa"/>
            <w:vAlign w:val="bottom"/>
          </w:tcPr>
          <w:p>
            <w:pPr>
              <w:spacing w:after="0"/>
              <w:rPr>
                <w:sz w:val="13"/>
                <w:szCs w:val="13"/>
                <w:color w:val="auto"/>
              </w:rPr>
            </w:pPr>
          </w:p>
        </w:tc>
      </w:tr>
      <w:tr>
        <w:trPr>
          <w:trHeight w:val="140"/>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CASH DIVIDENDS PER SHARE</w:t>
            </w: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0.10</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920" w:type="dxa"/>
            <w:vAlign w:val="bottom"/>
            <w:tcBorders>
              <w:bottom w:val="single" w:sz="8" w:color="004483"/>
            </w:tcBorders>
          </w:tcPr>
          <w:p>
            <w:pPr>
              <w:jc w:val="right"/>
              <w:ind w:right="85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0.10</w:t>
            </w:r>
          </w:p>
        </w:tc>
        <w:tc>
          <w:tcPr>
            <w:tcW w:w="12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unaudited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EAGLE MATERIALS INC. AND SUBSIDIARIES CONSOLIDATED STATEMENTS OF COMPREHENSIVE EARNINGS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20" w:type="dxa"/>
            <w:vAlign w:val="bottom"/>
            <w:gridSpan w:val="4"/>
            <w:shd w:val="clear" w:color="auto" w:fill="004483"/>
          </w:tcPr>
          <w:p>
            <w:pPr>
              <w:jc w:val="right"/>
              <w:ind w:right="353"/>
              <w:spacing w:after="0"/>
              <w:rPr>
                <w:sz w:val="20"/>
                <w:szCs w:val="20"/>
                <w:color w:val="auto"/>
              </w:rPr>
            </w:pPr>
            <w:r>
              <w:rPr>
                <w:rFonts w:ascii="Arial" w:cs="Arial" w:eastAsia="Arial" w:hAnsi="Arial"/>
                <w:sz w:val="8"/>
                <w:szCs w:val="8"/>
                <w:b w:val="1"/>
                <w:bCs w:val="1"/>
                <w:color w:val="FFFFFF"/>
              </w:rPr>
              <w:t>For the Three Months Ended June 30,</w:t>
            </w:r>
          </w:p>
        </w:tc>
        <w:tc>
          <w:tcPr>
            <w:tcW w:w="6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20" w:type="dxa"/>
            <w:vAlign w:val="bottom"/>
            <w:tcBorders>
              <w:bottom w:val="single" w:sz="8" w:color="004483"/>
            </w:tcBorders>
            <w:gridSpan w:val="4"/>
          </w:tcPr>
          <w:p>
            <w:pPr>
              <w:jc w:val="right"/>
              <w:ind w:right="673"/>
              <w:spacing w:after="0"/>
              <w:rPr>
                <w:sz w:val="20"/>
                <w:szCs w:val="20"/>
                <w:color w:val="auto"/>
              </w:rPr>
            </w:pPr>
            <w:r>
              <w:rPr>
                <w:rFonts w:ascii="Arial" w:cs="Arial" w:eastAsia="Arial" w:hAnsi="Arial"/>
                <w:sz w:val="8"/>
                <w:szCs w:val="8"/>
                <w:color w:val="auto"/>
              </w:rPr>
              <w:t>(dollars in thousands)</w:t>
            </w:r>
          </w:p>
        </w:tc>
        <w:tc>
          <w:tcPr>
            <w:tcW w:w="6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833"/>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41,304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Actuarial Change in Defined Benefit Plans: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Amortization of net actuarial loss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Tax expense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(10)</w:t>
            </w:r>
          </w:p>
        </w:tc>
      </w:tr>
      <w:tr>
        <w:trPr>
          <w:trHeight w:val="142"/>
        </w:trPr>
        <w:tc>
          <w:tcPr>
            <w:tcW w:w="774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Comprehensive Earnings</w:t>
            </w: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96,231</w:t>
            </w:r>
          </w:p>
        </w:tc>
        <w:tc>
          <w:tcPr>
            <w:tcW w:w="100" w:type="dxa"/>
            <w:vAlign w:val="bottom"/>
          </w:tcPr>
          <w:p>
            <w:pPr>
              <w:spacing w:after="0"/>
              <w:rPr>
                <w:sz w:val="12"/>
                <w:szCs w:val="12"/>
                <w:color w:val="auto"/>
              </w:rPr>
            </w:pPr>
          </w:p>
        </w:tc>
        <w:tc>
          <w:tcPr>
            <w:tcW w:w="200" w:type="dxa"/>
            <w:vAlign w:val="bottom"/>
            <w:tcBorders>
              <w:top w:val="single" w:sz="8" w:color="A6A6A6"/>
            </w:tcBorders>
          </w:tcPr>
          <w:p>
            <w:pPr>
              <w:spacing w:after="0"/>
              <w:rPr>
                <w:sz w:val="12"/>
                <w:szCs w:val="12"/>
                <w:color w:val="auto"/>
              </w:rPr>
            </w:pPr>
          </w:p>
        </w:tc>
        <w:tc>
          <w:tcPr>
            <w:tcW w:w="900" w:type="dxa"/>
            <w:vAlign w:val="bottom"/>
            <w:tcBorders>
              <w:top w:val="single" w:sz="8" w:color="004483"/>
              <w:bottom w:val="single" w:sz="8" w:color="004483"/>
            </w:tcBorders>
          </w:tcPr>
          <w:p>
            <w:pPr>
              <w:jc w:val="right"/>
              <w:ind w:right="83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41,337</w:t>
            </w:r>
          </w:p>
        </w:tc>
        <w:tc>
          <w:tcPr>
            <w:tcW w:w="12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unaudited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EAGLE MATERIALS INC. AND SUBSIDIARIES CONSOLIDATED BALANCE SHEETS (unaudited)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580" w:type="dxa"/>
            <w:vAlign w:val="bottom"/>
            <w:shd w:val="clear" w:color="auto" w:fill="004483"/>
          </w:tcPr>
          <w:p>
            <w:pPr>
              <w:jc w:val="right"/>
              <w:ind w:right="978"/>
              <w:spacing w:after="0"/>
              <w:rPr>
                <w:sz w:val="20"/>
                <w:szCs w:val="20"/>
                <w:color w:val="auto"/>
              </w:rPr>
            </w:pPr>
            <w:r>
              <w:rPr>
                <w:rFonts w:ascii="Arial" w:cs="Arial" w:eastAsia="Arial" w:hAnsi="Arial"/>
                <w:sz w:val="8"/>
                <w:szCs w:val="8"/>
                <w:b w:val="1"/>
                <w:bCs w:val="1"/>
                <w:color w:val="FFFFFF"/>
              </w:rPr>
              <w:t>June 30,</w:t>
            </w:r>
          </w:p>
        </w:tc>
        <w:tc>
          <w:tcPr>
            <w:tcW w:w="98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2580" w:type="dxa"/>
            <w:vAlign w:val="bottom"/>
          </w:tcPr>
          <w:p>
            <w:pPr>
              <w:jc w:val="right"/>
              <w:ind w:right="978"/>
              <w:spacing w:after="0"/>
              <w:rPr>
                <w:sz w:val="20"/>
                <w:szCs w:val="20"/>
                <w:color w:val="auto"/>
              </w:rPr>
            </w:pPr>
            <w:r>
              <w:rPr>
                <w:rFonts w:ascii="Arial" w:cs="Arial" w:eastAsia="Arial" w:hAnsi="Arial"/>
                <w:sz w:val="8"/>
                <w:szCs w:val="8"/>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2580" w:type="dxa"/>
            <w:vAlign w:val="bottom"/>
            <w:tcBorders>
              <w:bottom w:val="single" w:sz="8" w:color="004483"/>
            </w:tcBorders>
          </w:tcPr>
          <w:p>
            <w:pPr>
              <w:jc w:val="right"/>
              <w:ind w:right="458"/>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bl>
    <w:p>
      <w:pPr>
        <w:spacing w:after="0" w:line="1" w:lineRule="exact"/>
        <w:rPr>
          <w:sz w:val="20"/>
          <w:szCs w:val="20"/>
          <w:color w:val="auto"/>
        </w:rPr>
      </w:pPr>
    </w:p>
    <w:p>
      <w:pPr>
        <w:sectPr>
          <w:pgSz w:w="11900" w:h="16838" w:orient="portrait"/>
          <w:cols w:equalWidth="0" w:num="1">
            <w:col w:w="11300"/>
          </w:cols>
          <w:pgMar w:left="300" w:top="296" w:right="299" w:bottom="1440" w:gutter="0" w:footer="0" w:header="0"/>
        </w:sectPr>
      </w:pPr>
    </w:p>
    <w:p>
      <w:pPr>
        <w:spacing w:after="0"/>
        <w:rPr>
          <w:sz w:val="20"/>
          <w:szCs w:val="20"/>
          <w:color w:val="auto"/>
        </w:rPr>
      </w:pPr>
      <w:r>
        <w:rPr>
          <w:rFonts w:ascii="Arial" w:cs="Arial" w:eastAsia="Arial" w:hAnsi="Arial"/>
          <w:sz w:val="11"/>
          <w:szCs w:val="11"/>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59207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20740" cy="571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Current Assets -</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Cash and Cash Equivalents</w:t>
            </w:r>
          </w:p>
        </w:tc>
        <w:tc>
          <w:tcPr>
            <w:tcW w:w="600" w:type="dxa"/>
            <w:vAlign w:val="bottom"/>
            <w:tcBorders>
              <w:top w:val="single" w:sz="8" w:color="A6A6A6"/>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199,441</w:t>
            </w:r>
          </w:p>
        </w:tc>
      </w:tr>
      <w:tr>
        <w:trPr>
          <w:trHeight w:val="131"/>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Accounts and Notes Receivable, net</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194,564</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Inventories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243,125</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Income Tax Receivable</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123,709</w:t>
            </w: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Prepaid and Other Assets</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10,754</w:t>
            </w: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Total Current Assets</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771,593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Property, Plant, and Equipment, net</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1,726,363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Notes Receivable</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9,068</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Investment in Joint Venture</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72,254</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Operating Lease Right-of-Use Assets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29,904</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Goodwill and Intangible Assets, net</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395,673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 Assets</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10,309</w:t>
            </w:r>
          </w:p>
        </w:tc>
      </w:tr>
      <w:tr>
        <w:trPr>
          <w:trHeight w:val="153"/>
        </w:trPr>
        <w:tc>
          <w:tcPr>
            <w:tcW w:w="7740" w:type="dxa"/>
            <w:vAlign w:val="bottom"/>
            <w:tcBorders>
              <w:bottom w:val="single" w:sz="8" w:color="A6A6A6"/>
            </w:tcBorders>
          </w:tcPr>
          <w:p>
            <w:pPr>
              <w:spacing w:after="0"/>
              <w:rPr>
                <w:sz w:val="13"/>
                <w:szCs w:val="13"/>
                <w:color w:val="auto"/>
              </w:rPr>
            </w:pPr>
          </w:p>
        </w:tc>
        <w:tc>
          <w:tcPr>
            <w:tcW w:w="600" w:type="dxa"/>
            <w:vAlign w:val="bottom"/>
            <w:tcBorders>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3,015,164</w:t>
            </w:r>
          </w:p>
        </w:tc>
      </w:tr>
      <w:tr>
        <w:trPr>
          <w:trHeight w:val="120"/>
        </w:trPr>
        <w:tc>
          <w:tcPr>
            <w:tcW w:w="7740" w:type="dxa"/>
            <w:vAlign w:val="bottom"/>
          </w:tcPr>
          <w:p>
            <w:pPr>
              <w:spacing w:after="0" w:line="120" w:lineRule="exact"/>
              <w:rPr>
                <w:sz w:val="20"/>
                <w:szCs w:val="20"/>
                <w:color w:val="auto"/>
              </w:rPr>
            </w:pPr>
            <w:r>
              <w:rPr>
                <w:rFonts w:ascii="Arial" w:cs="Arial" w:eastAsia="Arial" w:hAnsi="Arial"/>
                <w:sz w:val="11"/>
                <w:szCs w:val="11"/>
                <w:b w:val="1"/>
                <w:bCs w:val="1"/>
                <w:color w:val="auto"/>
              </w:rPr>
              <w:t>LIABILITIES AND STOCKHOLDERS’ EQUITY</w:t>
            </w: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1227" w:hanging="1227"/>
        <w:spacing w:after="0"/>
        <w:tabs>
          <w:tab w:leader="none" w:pos="1227" w:val="left"/>
        </w:tabs>
        <w:numPr>
          <w:ilvl w:val="0"/>
          <w:numId w:val="2"/>
        </w:numPr>
        <w:rPr>
          <w:rFonts w:ascii="Arial" w:cs="Arial" w:eastAsia="Arial" w:hAnsi="Arial"/>
          <w:sz w:val="9"/>
          <w:szCs w:val="9"/>
          <w:color w:val="auto"/>
        </w:rPr>
      </w:pPr>
      <w:r>
        <w:rPr>
          <w:rFonts w:ascii="Arial" w:cs="Arial" w:eastAsia="Arial" w:hAnsi="Arial"/>
          <w:sz w:val="9"/>
          <w:szCs w:val="9"/>
          <w:color w:val="auto"/>
        </w:rPr>
        <w:t>118,648</w:t>
      </w:r>
    </w:p>
    <w:p>
      <w:pPr>
        <w:spacing w:after="0" w:line="49" w:lineRule="exact"/>
        <w:rPr>
          <w:rFonts w:ascii="Arial" w:cs="Arial" w:eastAsia="Arial" w:hAnsi="Arial"/>
          <w:sz w:val="9"/>
          <w:szCs w:val="9"/>
          <w:color w:val="auto"/>
        </w:rPr>
      </w:pPr>
    </w:p>
    <w:p>
      <w:pPr>
        <w:ind w:left="1207"/>
        <w:spacing w:after="0"/>
        <w:rPr>
          <w:rFonts w:ascii="Arial" w:cs="Arial" w:eastAsia="Arial" w:hAnsi="Arial"/>
          <w:sz w:val="9"/>
          <w:szCs w:val="9"/>
          <w:color w:val="auto"/>
        </w:rPr>
      </w:pPr>
      <w:r>
        <w:rPr>
          <w:rFonts w:ascii="Arial" w:cs="Arial" w:eastAsia="Arial" w:hAnsi="Arial"/>
          <w:sz w:val="9"/>
          <w:szCs w:val="9"/>
          <w:color w:val="auto"/>
        </w:rPr>
        <w:t>151,786</w:t>
      </w:r>
    </w:p>
    <w:p>
      <w:pPr>
        <w:spacing w:after="0" w:line="49" w:lineRule="exact"/>
        <w:rPr>
          <w:rFonts w:ascii="Arial" w:cs="Arial" w:eastAsia="Arial" w:hAnsi="Arial"/>
          <w:sz w:val="9"/>
          <w:szCs w:val="9"/>
          <w:color w:val="auto"/>
        </w:rPr>
      </w:pPr>
    </w:p>
    <w:p>
      <w:pPr>
        <w:ind w:left="1207"/>
        <w:spacing w:after="0"/>
        <w:rPr>
          <w:rFonts w:ascii="Arial" w:cs="Arial" w:eastAsia="Arial" w:hAnsi="Arial"/>
          <w:sz w:val="9"/>
          <w:szCs w:val="9"/>
          <w:color w:val="auto"/>
        </w:rPr>
      </w:pPr>
      <w:r>
        <w:rPr>
          <w:rFonts w:ascii="Arial" w:cs="Arial" w:eastAsia="Arial" w:hAnsi="Arial"/>
          <w:sz w:val="9"/>
          <w:szCs w:val="9"/>
          <w:color w:val="auto"/>
        </w:rPr>
        <w:t>272,508</w:t>
      </w:r>
    </w:p>
    <w:p>
      <w:pPr>
        <w:spacing w:after="0" w:line="49" w:lineRule="exact"/>
        <w:rPr>
          <w:rFonts w:ascii="Arial" w:cs="Arial" w:eastAsia="Arial" w:hAnsi="Arial"/>
          <w:sz w:val="9"/>
          <w:szCs w:val="9"/>
          <w:color w:val="auto"/>
        </w:rPr>
      </w:pPr>
    </w:p>
    <w:p>
      <w:pPr>
        <w:ind w:left="1207"/>
        <w:spacing w:after="0"/>
        <w:rPr>
          <w:rFonts w:ascii="Arial" w:cs="Arial" w:eastAsia="Arial" w:hAnsi="Arial"/>
          <w:sz w:val="9"/>
          <w:szCs w:val="9"/>
          <w:color w:val="auto"/>
        </w:rPr>
      </w:pPr>
      <w:r>
        <w:rPr>
          <w:rFonts w:ascii="Arial" w:cs="Arial" w:eastAsia="Arial" w:hAnsi="Arial"/>
          <w:sz w:val="9"/>
          <w:szCs w:val="9"/>
          <w:color w:val="auto"/>
        </w:rPr>
        <w:t>128,413</w:t>
      </w:r>
    </w:p>
    <w:p>
      <w:pPr>
        <w:spacing w:after="0" w:line="49" w:lineRule="exact"/>
        <w:rPr>
          <w:rFonts w:ascii="Arial" w:cs="Arial" w:eastAsia="Arial" w:hAnsi="Arial"/>
          <w:sz w:val="9"/>
          <w:szCs w:val="9"/>
          <w:color w:val="auto"/>
        </w:rPr>
      </w:pPr>
    </w:p>
    <w:p>
      <w:pPr>
        <w:ind w:left="1327"/>
        <w:spacing w:after="0"/>
        <w:rPr>
          <w:rFonts w:ascii="Arial" w:cs="Arial" w:eastAsia="Arial" w:hAnsi="Arial"/>
          <w:sz w:val="9"/>
          <w:szCs w:val="9"/>
          <w:color w:val="auto"/>
        </w:rPr>
      </w:pPr>
      <w:r>
        <w:rPr>
          <w:rFonts w:ascii="Arial" w:cs="Arial" w:eastAsia="Arial" w:hAnsi="Arial"/>
          <w:sz w:val="9"/>
          <w:szCs w:val="9"/>
          <w:color w:val="auto"/>
        </w:rPr>
        <w:t>6,862</w:t>
      </w:r>
    </w:p>
    <w:p>
      <w:pPr>
        <w:spacing w:after="0" w:line="49" w:lineRule="exact"/>
        <w:rPr>
          <w:rFonts w:ascii="Arial" w:cs="Arial" w:eastAsia="Arial" w:hAnsi="Arial"/>
          <w:sz w:val="9"/>
          <w:szCs w:val="9"/>
          <w:color w:val="auto"/>
        </w:rPr>
      </w:pPr>
    </w:p>
    <w:p>
      <w:pPr>
        <w:ind w:left="1207"/>
        <w:spacing w:after="0"/>
        <w:rPr>
          <w:rFonts w:ascii="Arial" w:cs="Arial" w:eastAsia="Arial" w:hAnsi="Arial"/>
          <w:sz w:val="9"/>
          <w:szCs w:val="9"/>
          <w:color w:val="auto"/>
        </w:rPr>
      </w:pPr>
      <w:r>
        <w:rPr>
          <w:rFonts w:ascii="Arial" w:cs="Arial" w:eastAsia="Arial" w:hAnsi="Arial"/>
          <w:sz w:val="9"/>
          <w:szCs w:val="9"/>
          <w:color w:val="auto"/>
        </w:rPr>
        <w:t>678,217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23495</wp:posOffset>
            </wp:positionV>
            <wp:extent cx="11201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-73025</wp:posOffset>
            </wp:positionV>
            <wp:extent cx="11201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-170180</wp:posOffset>
            </wp:positionV>
            <wp:extent cx="11201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-267335</wp:posOffset>
            </wp:positionV>
            <wp:extent cx="11201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-364490</wp:posOffset>
            </wp:positionV>
            <wp:extent cx="11201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-461645</wp:posOffset>
            </wp:positionV>
            <wp:extent cx="11201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-558800</wp:posOffset>
            </wp:positionV>
            <wp:extent cx="11201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-655955</wp:posOffset>
            </wp:positionV>
            <wp:extent cx="11201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30"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1,762,109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8890</wp:posOffset>
            </wp:positionV>
            <wp:extent cx="11201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9,139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8890</wp:posOffset>
            </wp:positionV>
            <wp:extent cx="11201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73,958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8890</wp:posOffset>
            </wp:positionV>
            <wp:extent cx="11201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30,530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8890</wp:posOffset>
            </wp:positionV>
            <wp:extent cx="11201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396,463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8890</wp:posOffset>
            </wp:positionV>
            <wp:extent cx="11201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10,604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8890</wp:posOffset>
            </wp:positionV>
            <wp:extent cx="11201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3" w:lineRule="exact"/>
        <w:rPr>
          <w:sz w:val="20"/>
          <w:szCs w:val="20"/>
          <w:color w:val="auto"/>
        </w:rPr>
      </w:pPr>
    </w:p>
    <w:p>
      <w:pPr>
        <w:ind w:left="1127" w:hanging="1127"/>
        <w:spacing w:after="0"/>
        <w:tabs>
          <w:tab w:leader="none" w:pos="1127" w:val="left"/>
        </w:tabs>
        <w:numPr>
          <w:ilvl w:val="0"/>
          <w:numId w:val="3"/>
        </w:numPr>
        <w:rPr>
          <w:rFonts w:ascii="Arial" w:cs="Arial" w:eastAsia="Arial" w:hAnsi="Arial"/>
          <w:sz w:val="9"/>
          <w:szCs w:val="9"/>
          <w:b w:val="1"/>
          <w:bCs w:val="1"/>
          <w:color w:val="auto"/>
        </w:rPr>
      </w:pPr>
      <w:r>
        <w:rPr>
          <w:rFonts w:ascii="Arial" w:cs="Arial" w:eastAsia="Arial" w:hAnsi="Arial"/>
          <w:sz w:val="9"/>
          <w:szCs w:val="9"/>
          <w:b w:val="1"/>
          <w:bCs w:val="1"/>
          <w:color w:val="auto"/>
        </w:rPr>
        <w:t>2,961,020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26035</wp:posOffset>
            </wp:positionV>
            <wp:extent cx="1120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0140" cy="1714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9320" w:space="293"/>
            <w:col w:w="1687"/>
          </w:cols>
          <w:pgMar w:left="300" w:top="296"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Current Liabilities -</w:t>
            </w:r>
          </w:p>
        </w:tc>
        <w:tc>
          <w:tcPr>
            <w:tcW w:w="600" w:type="dxa"/>
            <w:vAlign w:val="bottom"/>
            <w:tcBorders>
              <w:top w:val="single" w:sz="8" w:color="A6A6A6"/>
              <w:bottom w:val="single" w:sz="8" w:color="A6A6A6"/>
            </w:tcBorders>
          </w:tcPr>
          <w:p>
            <w:pPr>
              <w:spacing w:after="0"/>
              <w:rPr>
                <w:sz w:val="12"/>
                <w:szCs w:val="12"/>
                <w:color w:val="auto"/>
              </w:rPr>
            </w:pPr>
          </w:p>
        </w:tc>
        <w:tc>
          <w:tcPr>
            <w:tcW w:w="980" w:type="dxa"/>
            <w:vAlign w:val="bottom"/>
            <w:tcBorders>
              <w:top w:val="single" w:sz="8" w:color="A6A6A6"/>
              <w:bottom w:val="single" w:sz="8" w:color="A6A6A6"/>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6A6A6"/>
              <w:bottom w:val="single" w:sz="8" w:color="A6A6A6"/>
            </w:tcBorders>
          </w:tcPr>
          <w:p>
            <w:pPr>
              <w:spacing w:after="0"/>
              <w:rPr>
                <w:sz w:val="12"/>
                <w:szCs w:val="12"/>
                <w:color w:val="auto"/>
              </w:rPr>
            </w:pPr>
          </w:p>
        </w:tc>
        <w:tc>
          <w:tcPr>
            <w:tcW w:w="580" w:type="dxa"/>
            <w:vAlign w:val="bottom"/>
            <w:tcBorders>
              <w:top w:val="single" w:sz="8" w:color="A6A6A6"/>
              <w:bottom w:val="single" w:sz="8" w:color="A6A6A6"/>
            </w:tcBorders>
          </w:tcPr>
          <w:p>
            <w:pPr>
              <w:spacing w:after="0"/>
              <w:rPr>
                <w:sz w:val="12"/>
                <w:szCs w:val="12"/>
                <w:color w:val="auto"/>
              </w:rPr>
            </w:pPr>
          </w:p>
        </w:tc>
        <w:tc>
          <w:tcPr>
            <w:tcW w:w="980" w:type="dxa"/>
            <w:vAlign w:val="bottom"/>
            <w:tcBorders>
              <w:top w:val="single" w:sz="8" w:color="A6A6A6"/>
              <w:bottom w:val="single" w:sz="8" w:color="A6A6A6"/>
            </w:tcBorders>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Accounts Payable</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81,985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jc w:val="right"/>
              <w:ind w:right="513"/>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86,197</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Accrued Liabilities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75,482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73,293</w:t>
            </w:r>
          </w:p>
        </w:tc>
        <w:tc>
          <w:tcPr>
            <w:tcW w:w="4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Income Taxes Payable</w:t>
            </w:r>
          </w:p>
        </w:tc>
        <w:tc>
          <w:tcPr>
            <w:tcW w:w="6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32,130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Operating Lease Liabilities</w:t>
            </w:r>
          </w:p>
        </w:tc>
        <w:tc>
          <w:tcPr>
            <w:tcW w:w="600" w:type="dxa"/>
            <w:vAlign w:val="bottom"/>
            <w:tcBorders>
              <w:top w:val="single" w:sz="8" w:color="A6A6A6"/>
              <w:bottom w:val="single" w:sz="8" w:color="004483"/>
            </w:tcBorders>
          </w:tcPr>
          <w:p>
            <w:pPr>
              <w:spacing w:after="0"/>
              <w:rPr>
                <w:sz w:val="11"/>
                <w:szCs w:val="11"/>
                <w:color w:val="auto"/>
              </w:rPr>
            </w:pP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10,436</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580" w:type="dxa"/>
            <w:vAlign w:val="bottom"/>
            <w:tcBorders>
              <w:top w:val="single" w:sz="8" w:color="A6A6A6"/>
              <w:bottom w:val="single" w:sz="8" w:color="004483"/>
            </w:tcBorders>
          </w:tcPr>
          <w:p>
            <w:pPr>
              <w:spacing w:after="0"/>
              <w:rPr>
                <w:sz w:val="11"/>
                <w:szCs w:val="11"/>
                <w:color w:val="auto"/>
              </w:rPr>
            </w:pP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10,207</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Total Current Liabilities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200,033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169,697</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Long-term Debt</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1,492,088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1,567,315</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Noncurrent Operating Lease Liabilities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47,478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49,809</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 Long-term Liabilities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44,667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39,689</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Deferred Income Taxes</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162,940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166,667</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Total Liabilities</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1,947,206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1,993,177</w:t>
            </w:r>
          </w:p>
        </w:tc>
        <w:tc>
          <w:tcPr>
            <w:tcW w:w="4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Stockholders’ Equity –</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Preferred Stock, Par Value $0.01; Authorized 5,000,000 Shares; None Issued</w:t>
            </w:r>
          </w:p>
        </w:tc>
        <w:tc>
          <w:tcPr>
            <w:tcW w:w="600" w:type="dxa"/>
            <w:vAlign w:val="bottom"/>
          </w:tcPr>
          <w:p>
            <w:pPr>
              <w:spacing w:after="0"/>
              <w:rPr>
                <w:sz w:val="11"/>
                <w:szCs w:val="11"/>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1"/>
                <w:szCs w:val="1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0"/>
        </w:trPr>
        <w:tc>
          <w:tcPr>
            <w:tcW w:w="7740" w:type="dxa"/>
            <w:vAlign w:val="bottom"/>
            <w:tcBorders>
              <w:top w:val="single" w:sz="8" w:color="A6A6A6"/>
            </w:tcBorders>
          </w:tcPr>
          <w:p>
            <w:pPr>
              <w:ind w:left="160"/>
              <w:spacing w:after="0"/>
              <w:rPr>
                <w:sz w:val="20"/>
                <w:szCs w:val="20"/>
                <w:color w:val="auto"/>
              </w:rPr>
            </w:pPr>
            <w:r>
              <w:rPr>
                <w:rFonts w:ascii="Arial" w:cs="Arial" w:eastAsia="Arial" w:hAnsi="Arial"/>
                <w:sz w:val="11"/>
                <w:szCs w:val="11"/>
                <w:color w:val="auto"/>
              </w:rPr>
              <w:t>Common Stock, Par Value $0.01; Authorized 100,000,000 Shares;</w:t>
            </w:r>
          </w:p>
        </w:tc>
        <w:tc>
          <w:tcPr>
            <w:tcW w:w="600" w:type="dxa"/>
            <w:vAlign w:val="bottom"/>
            <w:tcBorders>
              <w:top w:val="single" w:sz="8" w:color="A6A6A6"/>
            </w:tcBorders>
          </w:tcPr>
          <w:p>
            <w:pPr>
              <w:spacing w:after="0"/>
              <w:rPr>
                <w:sz w:val="11"/>
                <w:szCs w:val="11"/>
                <w:color w:val="auto"/>
              </w:rPr>
            </w:pPr>
          </w:p>
        </w:tc>
        <w:tc>
          <w:tcPr>
            <w:tcW w:w="980" w:type="dxa"/>
            <w:vAlign w:val="bottom"/>
            <w:tcBorders>
              <w:top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6A6A6"/>
            </w:tcBorders>
          </w:tcPr>
          <w:p>
            <w:pPr>
              <w:spacing w:after="0"/>
              <w:rPr>
                <w:sz w:val="11"/>
                <w:szCs w:val="11"/>
                <w:color w:val="auto"/>
              </w:rPr>
            </w:pPr>
          </w:p>
        </w:tc>
        <w:tc>
          <w:tcPr>
            <w:tcW w:w="580" w:type="dxa"/>
            <w:vAlign w:val="bottom"/>
            <w:tcBorders>
              <w:top w:val="single" w:sz="8" w:color="A6A6A6"/>
            </w:tcBorders>
          </w:tcPr>
          <w:p>
            <w:pPr>
              <w:spacing w:after="0"/>
              <w:rPr>
                <w:sz w:val="11"/>
                <w:szCs w:val="11"/>
                <w:color w:val="auto"/>
              </w:rPr>
            </w:pPr>
          </w:p>
        </w:tc>
        <w:tc>
          <w:tcPr>
            <w:tcW w:w="980" w:type="dxa"/>
            <w:vAlign w:val="bottom"/>
            <w:tcBorders>
              <w:top w:val="single" w:sz="8" w:color="A6A6A6"/>
            </w:tcBorders>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7740" w:type="dxa"/>
            <w:vAlign w:val="bottom"/>
            <w:tcBorders>
              <w:bottom w:val="single" w:sz="8" w:color="A6A6A6"/>
            </w:tcBorders>
          </w:tcPr>
          <w:p>
            <w:pPr>
              <w:ind w:left="240"/>
              <w:spacing w:after="0"/>
              <w:rPr>
                <w:sz w:val="20"/>
                <w:szCs w:val="20"/>
                <w:color w:val="auto"/>
              </w:rPr>
            </w:pPr>
            <w:r>
              <w:rPr>
                <w:rFonts w:ascii="Arial" w:cs="Arial" w:eastAsia="Arial" w:hAnsi="Arial"/>
                <w:sz w:val="11"/>
                <w:szCs w:val="11"/>
                <w:color w:val="auto"/>
              </w:rPr>
              <w:t>Issued and Outstanding 41,756,684 and 41,649,041 Shares, respectively</w:t>
            </w:r>
          </w:p>
        </w:tc>
        <w:tc>
          <w:tcPr>
            <w:tcW w:w="600" w:type="dxa"/>
            <w:vAlign w:val="bottom"/>
            <w:tcBorders>
              <w:bottom w:val="single" w:sz="8" w:color="A6A6A6"/>
            </w:tcBorders>
          </w:tcPr>
          <w:p>
            <w:pPr>
              <w:spacing w:after="0"/>
              <w:rPr>
                <w:sz w:val="12"/>
                <w:szCs w:val="12"/>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418</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580" w:type="dxa"/>
            <w:vAlign w:val="bottom"/>
            <w:tcBorders>
              <w:bottom w:val="single" w:sz="8" w:color="A6A6A6"/>
            </w:tcBorders>
          </w:tcPr>
          <w:p>
            <w:pPr>
              <w:spacing w:after="0"/>
              <w:rPr>
                <w:sz w:val="12"/>
                <w:szCs w:val="12"/>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416</w:t>
            </w:r>
          </w:p>
        </w:tc>
        <w:tc>
          <w:tcPr>
            <w:tcW w:w="40" w:type="dxa"/>
            <w:vAlign w:val="bottom"/>
          </w:tcPr>
          <w:p>
            <w:pPr>
              <w:spacing w:after="0"/>
              <w:rPr>
                <w:sz w:val="12"/>
                <w:szCs w:val="12"/>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Capital in Excess of Par Value</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14,571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10,943</w:t>
            </w:r>
          </w:p>
        </w:tc>
        <w:tc>
          <w:tcPr>
            <w:tcW w:w="4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Accumulated Other Comprehensive Losses</w:t>
            </w:r>
          </w:p>
        </w:tc>
        <w:tc>
          <w:tcPr>
            <w:tcW w:w="600" w:type="dxa"/>
            <w:vAlign w:val="bottom"/>
          </w:tcPr>
          <w:p>
            <w:pPr>
              <w:spacing w:after="0"/>
              <w:rPr>
                <w:sz w:val="11"/>
                <w:szCs w:val="1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1"/>
                <w:szCs w:val="11"/>
                <w:color w:val="auto"/>
              </w:rPr>
              <w:t>(3,302)</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(3,581)</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Retained Earnings</w:t>
            </w:r>
          </w:p>
        </w:tc>
        <w:tc>
          <w:tcPr>
            <w:tcW w:w="600" w:type="dxa"/>
            <w:vAlign w:val="bottom"/>
            <w:tcBorders>
              <w:top w:val="single" w:sz="8" w:color="A6A6A6"/>
              <w:bottom w:val="single" w:sz="8" w:color="004483"/>
            </w:tcBorders>
          </w:tcPr>
          <w:p>
            <w:pPr>
              <w:spacing w:after="0"/>
              <w:rPr>
                <w:sz w:val="11"/>
                <w:szCs w:val="11"/>
                <w:color w:val="auto"/>
              </w:rPr>
            </w:pP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1,056,271</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580" w:type="dxa"/>
            <w:vAlign w:val="bottom"/>
            <w:tcBorders>
              <w:top w:val="single" w:sz="8" w:color="A6A6A6"/>
              <w:bottom w:val="single" w:sz="8" w:color="004483"/>
            </w:tcBorders>
          </w:tcPr>
          <w:p>
            <w:pPr>
              <w:spacing w:after="0"/>
              <w:rPr>
                <w:sz w:val="11"/>
                <w:szCs w:val="11"/>
                <w:color w:val="auto"/>
              </w:rPr>
            </w:pP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960,065</w:t>
            </w:r>
          </w:p>
        </w:tc>
        <w:tc>
          <w:tcPr>
            <w:tcW w:w="40" w:type="dxa"/>
            <w:vAlign w:val="bottom"/>
          </w:tcPr>
          <w:p>
            <w:pPr>
              <w:spacing w:after="0"/>
              <w:rPr>
                <w:sz w:val="11"/>
                <w:szCs w:val="11"/>
                <w:color w:val="auto"/>
              </w:rPr>
            </w:pPr>
          </w:p>
        </w:tc>
      </w:tr>
      <w:tr>
        <w:trPr>
          <w:trHeight w:val="133"/>
        </w:trPr>
        <w:tc>
          <w:tcPr>
            <w:tcW w:w="7740" w:type="dxa"/>
            <w:vAlign w:val="bottom"/>
          </w:tcPr>
          <w:p>
            <w:pPr>
              <w:ind w:left="320"/>
              <w:spacing w:after="0"/>
              <w:rPr>
                <w:sz w:val="20"/>
                <w:szCs w:val="20"/>
                <w:color w:val="auto"/>
              </w:rPr>
            </w:pPr>
            <w:r>
              <w:rPr>
                <w:rFonts w:ascii="Arial" w:cs="Arial" w:eastAsia="Arial" w:hAnsi="Arial"/>
                <w:sz w:val="11"/>
                <w:szCs w:val="11"/>
                <w:color w:val="auto"/>
              </w:rPr>
              <w:t>Total Stockholders’ Equity</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1,067,958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967,843</w:t>
            </w:r>
          </w:p>
        </w:tc>
        <w:tc>
          <w:tcPr>
            <w:tcW w:w="4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00" w:type="dxa"/>
            <w:vAlign w:val="bottom"/>
            <w:tcBorders>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3,015,164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004483"/>
            </w:tcBorders>
          </w:tcPr>
          <w:p>
            <w:pPr>
              <w:jc w:val="right"/>
              <w:ind w:right="513"/>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2,961,020</w:t>
            </w:r>
          </w:p>
        </w:tc>
        <w:tc>
          <w:tcPr>
            <w:tcW w:w="4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the unaudited consolidated financial statements.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2"/>
          <w:szCs w:val="12"/>
          <w:b w:val="1"/>
          <w:bCs w:val="1"/>
          <w:color w:val="auto"/>
        </w:rPr>
        <w:t>EAGLE MATERIALS INC. AND SUBSIDIARIES CONSOLIDATED STATEMENTS OF CASH FLOWS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2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2140" w:type="dxa"/>
            <w:vAlign w:val="bottom"/>
            <w:gridSpan w:val="4"/>
            <w:shd w:val="clear" w:color="auto" w:fill="004483"/>
          </w:tcPr>
          <w:p>
            <w:pPr>
              <w:jc w:val="right"/>
              <w:ind w:right="251"/>
              <w:spacing w:after="0"/>
              <w:rPr>
                <w:sz w:val="20"/>
                <w:szCs w:val="20"/>
                <w:color w:val="auto"/>
              </w:rPr>
            </w:pPr>
            <w:r>
              <w:rPr>
                <w:rFonts w:ascii="Arial" w:cs="Arial" w:eastAsia="Arial" w:hAnsi="Arial"/>
                <w:sz w:val="8"/>
                <w:szCs w:val="8"/>
                <w:b w:val="1"/>
                <w:bCs w:val="1"/>
                <w:color w:val="FFFFFF"/>
              </w:rPr>
              <w:t>For the Three Months Ended June 30,</w:t>
            </w:r>
          </w:p>
        </w:tc>
        <w:tc>
          <w:tcPr>
            <w:tcW w:w="7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820" w:type="dxa"/>
            <w:vAlign w:val="bottom"/>
            <w:tcBorders>
              <w:bottom w:val="single" w:sz="8" w:color="004483"/>
            </w:tcBorders>
          </w:tcPr>
          <w:p>
            <w:pPr>
              <w:spacing w:after="0"/>
              <w:rPr>
                <w:sz w:val="8"/>
                <w:szCs w:val="8"/>
                <w:color w:val="auto"/>
              </w:rPr>
            </w:pPr>
          </w:p>
        </w:tc>
        <w:tc>
          <w:tcPr>
            <w:tcW w:w="520" w:type="dxa"/>
            <w:vAlign w:val="bottom"/>
            <w:tcBorders>
              <w:bottom w:val="single" w:sz="8" w:color="004483"/>
            </w:tcBorders>
          </w:tcPr>
          <w:p>
            <w:pPr>
              <w:spacing w:after="0"/>
              <w:rPr>
                <w:sz w:val="8"/>
                <w:szCs w:val="8"/>
                <w:color w:val="auto"/>
              </w:rPr>
            </w:pPr>
          </w:p>
        </w:tc>
        <w:tc>
          <w:tcPr>
            <w:tcW w:w="2140" w:type="dxa"/>
            <w:vAlign w:val="bottom"/>
            <w:tcBorders>
              <w:bottom w:val="single" w:sz="8" w:color="004483"/>
            </w:tcBorders>
            <w:gridSpan w:val="4"/>
          </w:tcPr>
          <w:p>
            <w:pPr>
              <w:jc w:val="right"/>
              <w:ind w:right="571"/>
              <w:spacing w:after="0"/>
              <w:rPr>
                <w:sz w:val="20"/>
                <w:szCs w:val="20"/>
                <w:color w:val="auto"/>
              </w:rPr>
            </w:pPr>
            <w:r>
              <w:rPr>
                <w:rFonts w:ascii="Arial" w:cs="Arial" w:eastAsia="Arial" w:hAnsi="Arial"/>
                <w:sz w:val="8"/>
                <w:szCs w:val="8"/>
                <w:color w:val="auto"/>
              </w:rPr>
              <w:t>(dollars in thousands)</w:t>
            </w:r>
          </w:p>
        </w:tc>
        <w:tc>
          <w:tcPr>
            <w:tcW w:w="7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520" w:type="dxa"/>
            <w:vAlign w:val="bottom"/>
            <w:tcBorders>
              <w:bottom w:val="single" w:sz="8" w:color="A6A6A6"/>
            </w:tcBorders>
          </w:tcPr>
          <w:p>
            <w:pPr>
              <w:jc w:val="right"/>
              <w:ind w:right="453"/>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ind w:right="7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41,304</w:t>
            </w:r>
          </w:p>
        </w:tc>
        <w:tc>
          <w:tcPr>
            <w:tcW w:w="120" w:type="dxa"/>
            <w:vAlign w:val="bottom"/>
          </w:tcPr>
          <w:p>
            <w:pPr>
              <w:spacing w:after="0"/>
              <w:rPr>
                <w:sz w:val="11"/>
                <w:szCs w:val="11"/>
                <w:color w:val="auto"/>
              </w:rPr>
            </w:pPr>
          </w:p>
        </w:tc>
      </w:tr>
      <w:tr>
        <w:trPr>
          <w:trHeight w:val="130"/>
        </w:trPr>
        <w:tc>
          <w:tcPr>
            <w:tcW w:w="7820" w:type="dxa"/>
            <w:vAlign w:val="bottom"/>
          </w:tcPr>
          <w:p>
            <w:pPr>
              <w:spacing w:after="0"/>
              <w:rPr>
                <w:sz w:val="20"/>
                <w:szCs w:val="20"/>
                <w:color w:val="auto"/>
              </w:rPr>
            </w:pPr>
            <w:r>
              <w:rPr>
                <w:rFonts w:ascii="Arial" w:cs="Arial" w:eastAsia="Arial" w:hAnsi="Arial"/>
                <w:sz w:val="11"/>
                <w:szCs w:val="11"/>
                <w:color w:val="auto"/>
              </w:rPr>
              <w:t>Adjustments to Reconcile Net Earnings to Net Cash Provided</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by Operating Activities, Net of Effect of Non-Cash Activity -</w:t>
            </w:r>
          </w:p>
        </w:tc>
        <w:tc>
          <w:tcPr>
            <w:tcW w:w="520" w:type="dxa"/>
            <w:vAlign w:val="bottom"/>
            <w:tcBorders>
              <w:bottom w:val="single" w:sz="8" w:color="A6A6A6"/>
            </w:tcBorders>
          </w:tcPr>
          <w:p>
            <w:pPr>
              <w:spacing w:after="0"/>
              <w:rPr>
                <w:sz w:val="12"/>
                <w:szCs w:val="12"/>
                <w:color w:val="auto"/>
              </w:rPr>
            </w:pPr>
          </w:p>
        </w:tc>
        <w:tc>
          <w:tcPr>
            <w:tcW w:w="100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84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78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Depreciation, Depletion and Amortization</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31,937</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27,960</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Deferred Income Tax Provision</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(3,736)</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3,687</w:t>
            </w:r>
          </w:p>
        </w:tc>
        <w:tc>
          <w:tcPr>
            <w:tcW w:w="120" w:type="dxa"/>
            <w:vAlign w:val="bottom"/>
          </w:tcPr>
          <w:p>
            <w:pPr>
              <w:spacing w:after="0"/>
              <w:rPr>
                <w:sz w:val="11"/>
                <w:szCs w:val="11"/>
                <w:color w:val="auto"/>
              </w:rPr>
            </w:pP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Stock Compensation Expense</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4,760</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8,219</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Gain on Sale of Subsidiaries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(51,973)</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Equity in Earnings of Unconsolidated Joint Venture</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(7,796)</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(9,432)</w:t>
            </w:r>
          </w:p>
        </w:tc>
      </w:tr>
      <w:tr>
        <w:trPr>
          <w:trHeight w:val="133"/>
        </w:trPr>
        <w:tc>
          <w:tcPr>
            <w:tcW w:w="78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Distributions from Joint Venture</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9,500</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3,000</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Changes in Operating Assets and Liabilities:</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Accounts and Notes Receivable</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(45,878)</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(45,431)</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Inventories</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23,091</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11,582</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Accounts Payable and Accrued Liabilities</w:t>
            </w: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4,398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(6,071)</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Other Assets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(2,030)</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6,486</w:t>
            </w:r>
          </w:p>
        </w:tc>
        <w:tc>
          <w:tcPr>
            <w:tcW w:w="120" w:type="dxa"/>
            <w:vAlign w:val="bottom"/>
          </w:tcPr>
          <w:p>
            <w:pPr>
              <w:spacing w:after="0"/>
              <w:rPr>
                <w:sz w:val="11"/>
                <w:szCs w:val="11"/>
                <w:color w:val="auto"/>
              </w:rPr>
            </w:pP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Income Taxes Payable (Receivable)</w:t>
            </w:r>
          </w:p>
        </w:tc>
        <w:tc>
          <w:tcPr>
            <w:tcW w:w="520" w:type="dxa"/>
            <w:vAlign w:val="bottom"/>
            <w:tcBorders>
              <w:top w:val="single" w:sz="8" w:color="A6A6A6"/>
              <w:bottom w:val="single" w:sz="8" w:color="004483"/>
            </w:tcBorders>
          </w:tcPr>
          <w:p>
            <w:pPr>
              <w:spacing w:after="0"/>
              <w:rPr>
                <w:sz w:val="11"/>
                <w:szCs w:val="11"/>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36,834</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A6A6A6"/>
              <w:bottom w:val="single" w:sz="8" w:color="004483"/>
            </w:tcBorders>
          </w:tcPr>
          <w:p>
            <w:pPr>
              <w:spacing w:after="0"/>
              <w:rPr>
                <w:sz w:val="11"/>
                <w:szCs w:val="11"/>
                <w:color w:val="auto"/>
              </w:rPr>
            </w:pPr>
          </w:p>
        </w:tc>
        <w:tc>
          <w:tcPr>
            <w:tcW w:w="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9,394</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Net Cash Provided by Operating Activities</w:t>
            </w:r>
          </w:p>
        </w:tc>
        <w:tc>
          <w:tcPr>
            <w:tcW w:w="52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95,313</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50,698</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Additions to Property, Plant, and Equipment</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(25,991)</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(21,813)</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Sale of Businesses</w:t>
            </w:r>
          </w:p>
        </w:tc>
        <w:tc>
          <w:tcPr>
            <w:tcW w:w="520" w:type="dxa"/>
            <w:vAlign w:val="bottom"/>
            <w:tcBorders>
              <w:top w:val="single" w:sz="8" w:color="A6A6A6"/>
              <w:bottom w:val="single" w:sz="8" w:color="004483"/>
            </w:tcBorders>
          </w:tcPr>
          <w:p>
            <w:pPr>
              <w:spacing w:after="0"/>
              <w:rPr>
                <w:sz w:val="11"/>
                <w:szCs w:val="11"/>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93,482</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A6A6A6"/>
              <w:bottom w:val="single" w:sz="8" w:color="004483"/>
            </w:tcBorders>
          </w:tcPr>
          <w:p>
            <w:pPr>
              <w:spacing w:after="0"/>
              <w:rPr>
                <w:sz w:val="11"/>
                <w:szCs w:val="11"/>
                <w:color w:val="auto"/>
              </w:rPr>
            </w:pPr>
          </w:p>
        </w:tc>
        <w:tc>
          <w:tcPr>
            <w:tcW w:w="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7820" w:type="dxa"/>
            <w:vAlign w:val="bottom"/>
          </w:tcPr>
          <w:p>
            <w:pPr>
              <w:ind w:left="320"/>
              <w:spacing w:after="0"/>
              <w:rPr>
                <w:sz w:val="20"/>
                <w:szCs w:val="20"/>
                <w:color w:val="auto"/>
              </w:rPr>
            </w:pPr>
            <w:r>
              <w:rPr>
                <w:rFonts w:ascii="Arial" w:cs="Arial" w:eastAsia="Arial" w:hAnsi="Arial"/>
                <w:sz w:val="11"/>
                <w:szCs w:val="11"/>
                <w:color w:val="auto"/>
              </w:rPr>
              <w:t>Net Cash Provided by (Used in) Investing Activities</w:t>
            </w: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67,491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(21,813)</w:t>
            </w:r>
          </w:p>
        </w:tc>
      </w:tr>
      <w:tr>
        <w:trPr>
          <w:trHeight w:val="133"/>
        </w:trPr>
        <w:tc>
          <w:tcPr>
            <w:tcW w:w="78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520" w:type="dxa"/>
            <w:vAlign w:val="bottom"/>
            <w:tcBorders>
              <w:top w:val="single" w:sz="8" w:color="004483"/>
              <w:bottom w:val="single" w:sz="8" w:color="A6A6A6"/>
            </w:tcBorders>
          </w:tcPr>
          <w:p>
            <w:pPr>
              <w:spacing w:after="0"/>
              <w:rPr>
                <w:sz w:val="11"/>
                <w:szCs w:val="11"/>
                <w:color w:val="auto"/>
              </w:rPr>
            </w:pPr>
          </w:p>
        </w:tc>
        <w:tc>
          <w:tcPr>
            <w:tcW w:w="10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Increase (Decrease) in Credit Facility</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(75,000)</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185,000</w:t>
            </w:r>
          </w:p>
        </w:tc>
        <w:tc>
          <w:tcPr>
            <w:tcW w:w="120" w:type="dxa"/>
            <w:vAlign w:val="bottom"/>
          </w:tcPr>
          <w:p>
            <w:pPr>
              <w:spacing w:after="0"/>
              <w:rPr>
                <w:sz w:val="11"/>
                <w:szCs w:val="11"/>
                <w:color w:val="auto"/>
              </w:rPr>
            </w:pP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Dividends Paid to Stockholders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(4,163)</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(4,499)</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Purchase and Retirement of Common Stock</w:t>
            </w: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(198,355)</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Stock Option Exercises</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396</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Payment of Debt Issuance Costs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(1,718)</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Shares Redeemed to Settle Employee Taxes on Stock Compensation</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(1,130)</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(866)</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004483"/>
          </w:tcPr>
          <w:p>
            <w:pPr>
              <w:spacing w:after="0" w:line="20" w:lineRule="exact"/>
              <w:rPr>
                <w:sz w:val="1"/>
                <w:szCs w:val="1"/>
                <w:color w:val="auto"/>
              </w:rPr>
            </w:pPr>
          </w:p>
        </w:tc>
        <w:tc>
          <w:tcPr>
            <w:tcW w:w="10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4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320"/>
              <w:spacing w:after="0"/>
              <w:rPr>
                <w:sz w:val="20"/>
                <w:szCs w:val="20"/>
                <w:color w:val="auto"/>
              </w:rPr>
            </w:pPr>
            <w:r>
              <w:rPr>
                <w:rFonts w:ascii="Arial" w:cs="Arial" w:eastAsia="Arial" w:hAnsi="Arial"/>
                <w:sz w:val="11"/>
                <w:szCs w:val="11"/>
                <w:color w:val="auto"/>
              </w:rPr>
              <w:t>Net Cash Used in Financing Activities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(82,011)</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(18,324)</w:t>
            </w:r>
          </w:p>
        </w:tc>
      </w:tr>
      <w:tr>
        <w:trPr>
          <w:trHeight w:val="133"/>
        </w:trPr>
        <w:tc>
          <w:tcPr>
            <w:tcW w:w="78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NET INCREASE IN CASH AND CASH EQUIVALENTS</w:t>
            </w:r>
          </w:p>
        </w:tc>
        <w:tc>
          <w:tcPr>
            <w:tcW w:w="520" w:type="dxa"/>
            <w:vAlign w:val="bottom"/>
            <w:tcBorders>
              <w:top w:val="single" w:sz="8" w:color="004483"/>
              <w:bottom w:val="single" w:sz="8" w:color="A6A6A6"/>
            </w:tcBorders>
          </w:tcPr>
          <w:p>
            <w:pPr>
              <w:spacing w:after="0"/>
              <w:rPr>
                <w:sz w:val="11"/>
                <w:szCs w:val="11"/>
                <w:color w:val="auto"/>
              </w:rPr>
            </w:pP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80,793</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4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10,561</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AND CASH EQUIVALENTS AND RESTRICTED CASH AT BEGINNING OF PERIOD</w:t>
            </w:r>
          </w:p>
        </w:tc>
        <w:tc>
          <w:tcPr>
            <w:tcW w:w="52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118,648</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40" w:type="dxa"/>
            <w:vAlign w:val="bottom"/>
            <w:tcBorders>
              <w:bottom w:val="single" w:sz="8" w:color="004483"/>
            </w:tcBorders>
          </w:tcPr>
          <w:p>
            <w:pPr>
              <w:spacing w:after="0"/>
              <w:rPr>
                <w:sz w:val="11"/>
                <w:szCs w:val="11"/>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8,601</w:t>
            </w:r>
          </w:p>
        </w:tc>
        <w:tc>
          <w:tcPr>
            <w:tcW w:w="120" w:type="dxa"/>
            <w:vAlign w:val="bottom"/>
          </w:tcPr>
          <w:p>
            <w:pPr>
              <w:spacing w:after="0"/>
              <w:rPr>
                <w:sz w:val="11"/>
                <w:szCs w:val="11"/>
                <w:color w:val="auto"/>
              </w:rPr>
            </w:pPr>
          </w:p>
        </w:tc>
      </w:tr>
      <w:tr>
        <w:trPr>
          <w:trHeight w:val="142"/>
        </w:trPr>
        <w:tc>
          <w:tcPr>
            <w:tcW w:w="7820" w:type="dxa"/>
            <w:vAlign w:val="bottom"/>
          </w:tcPr>
          <w:p>
            <w:pPr>
              <w:spacing w:after="0"/>
              <w:rPr>
                <w:sz w:val="20"/>
                <w:szCs w:val="20"/>
                <w:color w:val="auto"/>
              </w:rPr>
            </w:pPr>
            <w:r>
              <w:rPr>
                <w:rFonts w:ascii="Arial" w:cs="Arial" w:eastAsia="Arial" w:hAnsi="Arial"/>
                <w:sz w:val="11"/>
                <w:szCs w:val="11"/>
                <w:b w:val="1"/>
                <w:bCs w:val="1"/>
                <w:color w:val="auto"/>
              </w:rPr>
              <w:t>CASH AND CASH EQUIVALENTS AT END OF PERIOD</w:t>
            </w:r>
          </w:p>
        </w:tc>
        <w:tc>
          <w:tcPr>
            <w:tcW w:w="520" w:type="dxa"/>
            <w:vAlign w:val="bottom"/>
            <w:tcBorders>
              <w:bottom w:val="single" w:sz="8" w:color="004483"/>
            </w:tcBorders>
          </w:tcPr>
          <w:p>
            <w:pPr>
              <w:jc w:val="right"/>
              <w:ind w:right="453"/>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199,441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004483"/>
            </w:tcBorders>
          </w:tcPr>
          <w:p>
            <w:pPr>
              <w:jc w:val="right"/>
              <w:ind w:right="7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19,162</w:t>
            </w:r>
          </w:p>
        </w:tc>
        <w:tc>
          <w:tcPr>
            <w:tcW w:w="120" w:type="dxa"/>
            <w:vAlign w:val="bottom"/>
          </w:tcPr>
          <w:p>
            <w:pPr>
              <w:spacing w:after="0"/>
              <w:rPr>
                <w:sz w:val="12"/>
                <w:szCs w:val="12"/>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the unaudited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EAGLE MATERIALS INC. AND SUBSIDIARIES CONSOLIDATED STATEMENTS OF STOCKHOLDERS’ EQUITY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Accumulated</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Capital in</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Other</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Common</w:t>
            </w: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8"/>
                <w:szCs w:val="8"/>
                <w:color w:val="auto"/>
              </w:rPr>
            </w:pPr>
          </w:p>
        </w:tc>
        <w:tc>
          <w:tcPr>
            <w:tcW w:w="1140" w:type="dxa"/>
            <w:vAlign w:val="bottom"/>
            <w:gridSpan w:val="3"/>
          </w:tcPr>
          <w:p>
            <w:pPr>
              <w:ind w:left="520"/>
              <w:spacing w:after="0" w:line="99"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Comprehensive</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5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Stock</w:t>
            </w:r>
          </w:p>
        </w:tc>
        <w:tc>
          <w:tcPr>
            <w:tcW w:w="320" w:type="dxa"/>
            <w:vAlign w:val="bottom"/>
          </w:tcPr>
          <w:p>
            <w:pPr>
              <w:spacing w:after="0"/>
              <w:rPr>
                <w:sz w:val="9"/>
                <w:szCs w:val="9"/>
                <w:color w:val="auto"/>
              </w:rPr>
            </w:pPr>
          </w:p>
        </w:tc>
        <w:tc>
          <w:tcPr>
            <w:tcW w:w="92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Par Value</w:t>
            </w:r>
          </w:p>
        </w:tc>
        <w:tc>
          <w:tcPr>
            <w:tcW w:w="100" w:type="dxa"/>
            <w:vAlign w:val="bottom"/>
          </w:tcPr>
          <w:p>
            <w:pPr>
              <w:spacing w:after="0"/>
              <w:rPr>
                <w:sz w:val="9"/>
                <w:szCs w:val="9"/>
                <w:color w:val="auto"/>
              </w:rPr>
            </w:pPr>
          </w:p>
        </w:tc>
        <w:tc>
          <w:tcPr>
            <w:tcW w:w="1140" w:type="dxa"/>
            <w:vAlign w:val="bottom"/>
            <w:gridSpan w:val="3"/>
          </w:tcPr>
          <w:p>
            <w:pPr>
              <w:ind w:left="520"/>
              <w:spacing w:after="0" w:line="114" w:lineRule="exact"/>
              <w:rPr>
                <w:sz w:val="20"/>
                <w:szCs w:val="20"/>
                <w:color w:val="auto"/>
              </w:rPr>
            </w:pPr>
            <w:r>
              <w:rPr>
                <w:rFonts w:ascii="Arial" w:cs="Arial" w:eastAsia="Arial" w:hAnsi="Arial"/>
                <w:sz w:val="10"/>
                <w:szCs w:val="10"/>
                <w:b w:val="1"/>
                <w:bCs w:val="1"/>
                <w:color w:val="auto"/>
              </w:rPr>
              <w:t>Earnings</w:t>
            </w:r>
          </w:p>
        </w:tc>
        <w:tc>
          <w:tcPr>
            <w:tcW w:w="200" w:type="dxa"/>
            <w:vAlign w:val="bottom"/>
          </w:tcPr>
          <w:p>
            <w:pPr>
              <w:spacing w:after="0"/>
              <w:rPr>
                <w:sz w:val="9"/>
                <w:szCs w:val="9"/>
                <w:color w:val="auto"/>
              </w:rPr>
            </w:pPr>
          </w:p>
        </w:tc>
        <w:tc>
          <w:tcPr>
            <w:tcW w:w="104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Losses</w:t>
            </w:r>
          </w:p>
        </w:tc>
        <w:tc>
          <w:tcPr>
            <w:tcW w:w="320" w:type="dxa"/>
            <w:vAlign w:val="bottom"/>
          </w:tcPr>
          <w:p>
            <w:pPr>
              <w:spacing w:after="0"/>
              <w:rPr>
                <w:sz w:val="9"/>
                <w:szCs w:val="9"/>
                <w:color w:val="auto"/>
              </w:rPr>
            </w:pP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rPr>
              <w:t>Total</w:t>
            </w:r>
          </w:p>
        </w:tc>
      </w:tr>
      <w:tr>
        <w:trPr>
          <w:trHeight w:val="99"/>
        </w:trPr>
        <w:tc>
          <w:tcPr>
            <w:tcW w:w="520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68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3"/>
          </w:tcPr>
          <w:p>
            <w:pPr>
              <w:ind w:left="40"/>
              <w:spacing w:after="0"/>
              <w:rPr>
                <w:sz w:val="20"/>
                <w:szCs w:val="20"/>
                <w:color w:val="auto"/>
              </w:rPr>
            </w:pPr>
            <w:r>
              <w:rPr>
                <w:rFonts w:ascii="Arial" w:cs="Arial" w:eastAsia="Arial" w:hAnsi="Arial"/>
                <w:sz w:val="8"/>
                <w:szCs w:val="8"/>
                <w:color w:val="auto"/>
              </w:rPr>
              <w:t>(dollars in thousands)</w:t>
            </w:r>
          </w:p>
        </w:tc>
        <w:tc>
          <w:tcPr>
            <w:tcW w:w="2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40" w:type="dxa"/>
            <w:vAlign w:val="bottom"/>
          </w:tcPr>
          <w:p>
            <w:pPr>
              <w:spacing w:after="0"/>
              <w:rPr>
                <w:sz w:val="8"/>
                <w:szCs w:val="8"/>
                <w:color w:val="auto"/>
              </w:rPr>
            </w:pPr>
          </w:p>
        </w:tc>
      </w:tr>
      <w:tr>
        <w:trPr>
          <w:trHeight w:val="131"/>
        </w:trPr>
        <w:tc>
          <w:tcPr>
            <w:tcW w:w="5200" w:type="dxa"/>
            <w:vAlign w:val="bottom"/>
          </w:tcPr>
          <w:p>
            <w:pPr>
              <w:spacing w:after="0"/>
              <w:rPr>
                <w:sz w:val="20"/>
                <w:szCs w:val="20"/>
                <w:color w:val="auto"/>
              </w:rPr>
            </w:pPr>
            <w:r>
              <w:rPr>
                <w:rFonts w:ascii="Arial" w:cs="Arial" w:eastAsia="Arial" w:hAnsi="Arial"/>
                <w:sz w:val="11"/>
                <w:szCs w:val="11"/>
                <w:b w:val="1"/>
                <w:bCs w:val="1"/>
                <w:color w:val="auto"/>
              </w:rPr>
              <w:t>Balance at March 31, 2019</w:t>
            </w:r>
          </w:p>
        </w:tc>
        <w:tc>
          <w:tcPr>
            <w:tcW w:w="340" w:type="dxa"/>
            <w:vAlign w:val="bottom"/>
          </w:tcPr>
          <w:p>
            <w:pPr>
              <w:jc w:val="right"/>
              <w:ind w:right="27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1,212,352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(3,316)</w:t>
            </w:r>
          </w:p>
        </w:tc>
        <w:tc>
          <w:tcPr>
            <w:tcW w:w="12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1,209,487</w:t>
            </w:r>
          </w:p>
        </w:tc>
        <w:tc>
          <w:tcPr>
            <w:tcW w:w="40" w:type="dxa"/>
            <w:vAlign w:val="bottom"/>
          </w:tcPr>
          <w:p>
            <w:pPr>
              <w:spacing w:after="0"/>
              <w:rPr>
                <w:sz w:val="11"/>
                <w:szCs w:val="11"/>
                <w:color w:val="auto"/>
              </w:rPr>
            </w:pP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34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41,304</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41,304</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Stock Option Exercises and Restricted Share Vesting</w:t>
            </w:r>
          </w:p>
        </w:tc>
        <w:tc>
          <w:tcPr>
            <w:tcW w:w="34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396</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396</w:t>
            </w:r>
          </w:p>
        </w:tc>
        <w:tc>
          <w:tcPr>
            <w:tcW w:w="4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Purchase and Retirement of Common Stock</w:t>
            </w:r>
          </w:p>
        </w:tc>
        <w:tc>
          <w:tcPr>
            <w:tcW w:w="34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(23)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(7,748)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(190,584)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(198,355)</w:t>
            </w:r>
          </w:p>
        </w:tc>
      </w:tr>
      <w:tr>
        <w:trPr>
          <w:trHeight w:val="20"/>
        </w:trPr>
        <w:tc>
          <w:tcPr>
            <w:tcW w:w="52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Dividends to Stockholders</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(4,316)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(4,316)</w:t>
            </w: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Stock Compensation Expense</w:t>
            </w:r>
          </w:p>
        </w:tc>
        <w:tc>
          <w:tcPr>
            <w:tcW w:w="34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8,218</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8,219</w:t>
            </w:r>
          </w:p>
        </w:tc>
        <w:tc>
          <w:tcPr>
            <w:tcW w:w="4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Shares Redeemed to Settle Employee Taxes</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(866)</w:t>
            </w:r>
          </w:p>
        </w:tc>
      </w:tr>
      <w:tr>
        <w:trPr>
          <w:trHeight w:val="20"/>
        </w:trPr>
        <w:tc>
          <w:tcPr>
            <w:tcW w:w="52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Cumulative Effect of Change in Accounting for Leases</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(636)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(636)</w:t>
            </w: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Unfunded Pension Liability, net of tax</w:t>
            </w:r>
          </w:p>
        </w:tc>
        <w:tc>
          <w:tcPr>
            <w:tcW w:w="340" w:type="dxa"/>
            <w:vAlign w:val="bottom"/>
            <w:tcBorders>
              <w:top w:val="single" w:sz="8" w:color="A6A6A6"/>
              <w:bottom w:val="single" w:sz="8" w:color="004483"/>
            </w:tcBorders>
          </w:tcPr>
          <w:p>
            <w:pPr>
              <w:spacing w:after="0"/>
              <w:rPr>
                <w:sz w:val="11"/>
                <w:szCs w:val="11"/>
                <w:color w:val="auto"/>
              </w:rPr>
            </w:pPr>
          </w:p>
        </w:tc>
        <w:tc>
          <w:tcPr>
            <w:tcW w:w="6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004483"/>
            </w:tcBorders>
          </w:tcPr>
          <w:p>
            <w:pPr>
              <w:spacing w:after="0"/>
              <w:rPr>
                <w:sz w:val="11"/>
                <w:szCs w:val="11"/>
                <w:color w:val="auto"/>
              </w:rPr>
            </w:pPr>
          </w:p>
        </w:tc>
        <w:tc>
          <w:tcPr>
            <w:tcW w:w="6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004483"/>
            </w:tcBorders>
          </w:tcPr>
          <w:p>
            <w:pPr>
              <w:spacing w:after="0"/>
              <w:rPr>
                <w:sz w:val="11"/>
                <w:szCs w:val="11"/>
                <w:color w:val="auto"/>
              </w:rPr>
            </w:pPr>
          </w:p>
        </w:tc>
        <w:tc>
          <w:tcPr>
            <w:tcW w:w="9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004483"/>
            </w:tcBorders>
          </w:tcPr>
          <w:p>
            <w:pPr>
              <w:spacing w:after="0"/>
              <w:rPr>
                <w:sz w:val="11"/>
                <w:szCs w:val="11"/>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004483"/>
            </w:tcBorders>
          </w:tcPr>
          <w:p>
            <w:pPr>
              <w:spacing w:after="0"/>
              <w:rPr>
                <w:sz w:val="11"/>
                <w:szCs w:val="11"/>
                <w:color w:val="auto"/>
              </w:rPr>
            </w:pPr>
          </w:p>
        </w:tc>
        <w:tc>
          <w:tcPr>
            <w:tcW w:w="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33</w:t>
            </w:r>
          </w:p>
        </w:tc>
        <w:tc>
          <w:tcPr>
            <w:tcW w:w="40" w:type="dxa"/>
            <w:vAlign w:val="bottom"/>
          </w:tcPr>
          <w:p>
            <w:pPr>
              <w:spacing w:after="0"/>
              <w:rPr>
                <w:sz w:val="11"/>
                <w:szCs w:val="1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340" w:type="dxa"/>
            <w:vAlign w:val="bottom"/>
            <w:tcBorders>
              <w:bottom w:val="single" w:sz="8" w:color="004483"/>
            </w:tcBorders>
          </w:tcPr>
          <w:p>
            <w:pPr>
              <w:jc w:val="right"/>
              <w:ind w:right="27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1,058,120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004483"/>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(3,283)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1,055,266</w:t>
            </w:r>
          </w:p>
        </w:tc>
        <w:tc>
          <w:tcPr>
            <w:tcW w:w="40" w:type="dxa"/>
            <w:vAlign w:val="bottom"/>
          </w:tcPr>
          <w:p>
            <w:pPr>
              <w:spacing w:after="0"/>
              <w:rPr>
                <w:sz w:val="12"/>
                <w:szCs w:val="12"/>
                <w:color w:val="auto"/>
              </w:rPr>
            </w:pPr>
          </w:p>
        </w:tc>
      </w:tr>
      <w:tr>
        <w:trPr>
          <w:trHeight w:val="238"/>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Accumulated</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Capital in</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Other</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Common</w:t>
            </w: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8"/>
                <w:szCs w:val="8"/>
                <w:color w:val="auto"/>
              </w:rPr>
            </w:pPr>
          </w:p>
        </w:tc>
        <w:tc>
          <w:tcPr>
            <w:tcW w:w="1140" w:type="dxa"/>
            <w:vAlign w:val="bottom"/>
            <w:gridSpan w:val="3"/>
          </w:tcPr>
          <w:p>
            <w:pPr>
              <w:ind w:left="520"/>
              <w:spacing w:after="0" w:line="99"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Comprehensive</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5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Stock</w:t>
            </w:r>
          </w:p>
        </w:tc>
        <w:tc>
          <w:tcPr>
            <w:tcW w:w="320" w:type="dxa"/>
            <w:vAlign w:val="bottom"/>
          </w:tcPr>
          <w:p>
            <w:pPr>
              <w:spacing w:after="0"/>
              <w:rPr>
                <w:sz w:val="9"/>
                <w:szCs w:val="9"/>
                <w:color w:val="auto"/>
              </w:rPr>
            </w:pPr>
          </w:p>
        </w:tc>
        <w:tc>
          <w:tcPr>
            <w:tcW w:w="92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Par Value</w:t>
            </w:r>
          </w:p>
        </w:tc>
        <w:tc>
          <w:tcPr>
            <w:tcW w:w="100" w:type="dxa"/>
            <w:vAlign w:val="bottom"/>
          </w:tcPr>
          <w:p>
            <w:pPr>
              <w:spacing w:after="0"/>
              <w:rPr>
                <w:sz w:val="9"/>
                <w:szCs w:val="9"/>
                <w:color w:val="auto"/>
              </w:rPr>
            </w:pPr>
          </w:p>
        </w:tc>
        <w:tc>
          <w:tcPr>
            <w:tcW w:w="1140" w:type="dxa"/>
            <w:vAlign w:val="bottom"/>
            <w:gridSpan w:val="3"/>
          </w:tcPr>
          <w:p>
            <w:pPr>
              <w:ind w:left="520"/>
              <w:spacing w:after="0" w:line="114" w:lineRule="exact"/>
              <w:rPr>
                <w:sz w:val="20"/>
                <w:szCs w:val="20"/>
                <w:color w:val="auto"/>
              </w:rPr>
            </w:pPr>
            <w:r>
              <w:rPr>
                <w:rFonts w:ascii="Arial" w:cs="Arial" w:eastAsia="Arial" w:hAnsi="Arial"/>
                <w:sz w:val="10"/>
                <w:szCs w:val="10"/>
                <w:b w:val="1"/>
                <w:bCs w:val="1"/>
                <w:color w:val="auto"/>
              </w:rPr>
              <w:t>Earnings</w:t>
            </w:r>
          </w:p>
        </w:tc>
        <w:tc>
          <w:tcPr>
            <w:tcW w:w="200" w:type="dxa"/>
            <w:vAlign w:val="bottom"/>
          </w:tcPr>
          <w:p>
            <w:pPr>
              <w:spacing w:after="0"/>
              <w:rPr>
                <w:sz w:val="9"/>
                <w:szCs w:val="9"/>
                <w:color w:val="auto"/>
              </w:rPr>
            </w:pPr>
          </w:p>
        </w:tc>
        <w:tc>
          <w:tcPr>
            <w:tcW w:w="104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Losses</w:t>
            </w:r>
          </w:p>
        </w:tc>
        <w:tc>
          <w:tcPr>
            <w:tcW w:w="320" w:type="dxa"/>
            <w:vAlign w:val="bottom"/>
          </w:tcPr>
          <w:p>
            <w:pPr>
              <w:spacing w:after="0"/>
              <w:rPr>
                <w:sz w:val="9"/>
                <w:szCs w:val="9"/>
                <w:color w:val="auto"/>
              </w:rPr>
            </w:pP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rPr>
              <w:t>Total</w:t>
            </w:r>
          </w:p>
        </w:tc>
      </w:tr>
      <w:tr>
        <w:trPr>
          <w:trHeight w:val="99"/>
        </w:trPr>
        <w:tc>
          <w:tcPr>
            <w:tcW w:w="520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68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3"/>
          </w:tcPr>
          <w:p>
            <w:pPr>
              <w:ind w:left="40"/>
              <w:spacing w:after="0"/>
              <w:rPr>
                <w:sz w:val="20"/>
                <w:szCs w:val="20"/>
                <w:color w:val="auto"/>
              </w:rPr>
            </w:pPr>
            <w:r>
              <w:rPr>
                <w:rFonts w:ascii="Arial" w:cs="Arial" w:eastAsia="Arial" w:hAnsi="Arial"/>
                <w:sz w:val="8"/>
                <w:szCs w:val="8"/>
                <w:color w:val="auto"/>
              </w:rPr>
              <w:t>(dollars in thousands)</w:t>
            </w:r>
          </w:p>
        </w:tc>
        <w:tc>
          <w:tcPr>
            <w:tcW w:w="2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40" w:type="dxa"/>
            <w:vAlign w:val="bottom"/>
          </w:tcPr>
          <w:p>
            <w:pPr>
              <w:spacing w:after="0"/>
              <w:rPr>
                <w:sz w:val="8"/>
                <w:szCs w:val="8"/>
                <w:color w:val="auto"/>
              </w:rPr>
            </w:pPr>
          </w:p>
        </w:tc>
      </w:tr>
      <w:tr>
        <w:trPr>
          <w:trHeight w:val="131"/>
        </w:trPr>
        <w:tc>
          <w:tcPr>
            <w:tcW w:w="5200" w:type="dxa"/>
            <w:vAlign w:val="bottom"/>
          </w:tcPr>
          <w:p>
            <w:pPr>
              <w:spacing w:after="0"/>
              <w:rPr>
                <w:sz w:val="20"/>
                <w:szCs w:val="20"/>
                <w:color w:val="auto"/>
              </w:rPr>
            </w:pPr>
            <w:r>
              <w:rPr>
                <w:rFonts w:ascii="Arial" w:cs="Arial" w:eastAsia="Arial" w:hAnsi="Arial"/>
                <w:sz w:val="11"/>
                <w:szCs w:val="11"/>
                <w:b w:val="1"/>
                <w:bCs w:val="1"/>
                <w:color w:val="auto"/>
              </w:rPr>
              <w:t>Balance at March 31, 2020</w:t>
            </w:r>
          </w:p>
        </w:tc>
        <w:tc>
          <w:tcPr>
            <w:tcW w:w="340" w:type="dxa"/>
            <w:vAlign w:val="bottom"/>
          </w:tcPr>
          <w:p>
            <w:pPr>
              <w:jc w:val="right"/>
              <w:ind w:right="27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10,943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960,065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(3,581)</w:t>
            </w:r>
          </w:p>
        </w:tc>
        <w:tc>
          <w:tcPr>
            <w:tcW w:w="12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967,843</w:t>
            </w:r>
          </w:p>
        </w:tc>
        <w:tc>
          <w:tcPr>
            <w:tcW w:w="40" w:type="dxa"/>
            <w:vAlign w:val="bottom"/>
          </w:tcPr>
          <w:p>
            <w:pPr>
              <w:spacing w:after="0"/>
              <w:rPr>
                <w:sz w:val="11"/>
                <w:szCs w:val="11"/>
                <w:color w:val="auto"/>
              </w:rPr>
            </w:pP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34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Stock Compensation Expense</w:t>
            </w:r>
          </w:p>
        </w:tc>
        <w:tc>
          <w:tcPr>
            <w:tcW w:w="34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4,758</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4,760</w:t>
            </w:r>
          </w:p>
        </w:tc>
        <w:tc>
          <w:tcPr>
            <w:tcW w:w="4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Shares Redeemed to Settle Employee Taxes</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(1,130)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(1,130)</w:t>
            </w: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Sale of Business with Unfunded Pension Liability</w:t>
            </w:r>
          </w:p>
        </w:tc>
        <w:tc>
          <w:tcPr>
            <w:tcW w:w="34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254</w:t>
            </w:r>
          </w:p>
        </w:tc>
        <w:tc>
          <w:tcPr>
            <w:tcW w:w="4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Unfunded Pension Liability, net of tax</w:t>
            </w:r>
          </w:p>
        </w:tc>
        <w:tc>
          <w:tcPr>
            <w:tcW w:w="340" w:type="dxa"/>
            <w:vAlign w:val="bottom"/>
          </w:tcPr>
          <w:p>
            <w:pPr>
              <w:spacing w:after="0"/>
              <w:rPr>
                <w:sz w:val="11"/>
                <w:szCs w:val="11"/>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w:t>
            </w:r>
          </w:p>
        </w:tc>
        <w:tc>
          <w:tcPr>
            <w:tcW w:w="40" w:type="dxa"/>
            <w:vAlign w:val="bottom"/>
          </w:tcPr>
          <w:p>
            <w:pPr>
              <w:spacing w:after="0"/>
              <w:rPr>
                <w:sz w:val="11"/>
                <w:szCs w:val="11"/>
                <w:color w:val="auto"/>
              </w:rPr>
            </w:pPr>
          </w:p>
        </w:tc>
      </w:tr>
      <w:tr>
        <w:trPr>
          <w:trHeight w:val="142"/>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Balance at June 30, 2020</w:t>
            </w:r>
          </w:p>
        </w:tc>
        <w:tc>
          <w:tcPr>
            <w:tcW w:w="340" w:type="dxa"/>
            <w:vAlign w:val="bottom"/>
            <w:tcBorders>
              <w:top w:val="single" w:sz="8" w:color="004483"/>
              <w:bottom w:val="single" w:sz="8" w:color="004483"/>
            </w:tcBorders>
          </w:tcPr>
          <w:p>
            <w:pPr>
              <w:jc w:val="right"/>
              <w:ind w:right="27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418</w:t>
            </w:r>
          </w:p>
        </w:tc>
        <w:tc>
          <w:tcPr>
            <w:tcW w:w="100" w:type="dxa"/>
            <w:vAlign w:val="bottom"/>
          </w:tcPr>
          <w:p>
            <w:pPr>
              <w:spacing w:after="0"/>
              <w:rPr>
                <w:sz w:val="12"/>
                <w:szCs w:val="12"/>
                <w:color w:val="auto"/>
              </w:rPr>
            </w:pPr>
          </w:p>
        </w:tc>
        <w:tc>
          <w:tcPr>
            <w:tcW w:w="140" w:type="dxa"/>
            <w:vAlign w:val="bottom"/>
            <w:tcBorders>
              <w:top w:val="single" w:sz="8" w:color="A6A6A6"/>
            </w:tcBorders>
          </w:tcPr>
          <w:p>
            <w:pPr>
              <w:spacing w:after="0"/>
              <w:rPr>
                <w:sz w:val="12"/>
                <w:szCs w:val="12"/>
                <w:color w:val="auto"/>
              </w:rPr>
            </w:pPr>
          </w:p>
        </w:tc>
        <w:tc>
          <w:tcPr>
            <w:tcW w:w="320" w:type="dxa"/>
            <w:vAlign w:val="bottom"/>
            <w:tcBorders>
              <w:top w:val="single" w:sz="8" w:color="004483"/>
              <w:bottom w:val="single" w:sz="8" w:color="004483"/>
            </w:tcBorders>
          </w:tcPr>
          <w:p>
            <w:pPr>
              <w:spacing w:after="0"/>
              <w:rPr>
                <w:sz w:val="12"/>
                <w:szCs w:val="12"/>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14,571</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1,056,271</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200" w:type="dxa"/>
            <w:vAlign w:val="bottom"/>
            <w:tcBorders>
              <w:top w:val="single" w:sz="8" w:color="004483"/>
              <w:bottom w:val="single" w:sz="8" w:color="004483"/>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(3,302)</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320" w:type="dxa"/>
            <w:vAlign w:val="bottom"/>
            <w:tcBorders>
              <w:top w:val="single" w:sz="8" w:color="004483"/>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1,067,958</w:t>
            </w:r>
          </w:p>
        </w:tc>
        <w:tc>
          <w:tcPr>
            <w:tcW w:w="4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the unaudited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287"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Eagle Materials Inc. and Subsidiaries</w:t>
      </w: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BASIS OF PRESENTATION</w:t>
      </w:r>
    </w:p>
    <w:p>
      <w:pPr>
        <w:spacing w:after="0" w:line="93" w:lineRule="exact"/>
        <w:rPr>
          <w:sz w:val="20"/>
          <w:szCs w:val="20"/>
          <w:color w:val="auto"/>
        </w:rPr>
      </w:pPr>
    </w:p>
    <w:p>
      <w:pPr>
        <w:ind w:right="240"/>
        <w:spacing w:after="0" w:line="269" w:lineRule="auto"/>
        <w:rPr>
          <w:sz w:val="20"/>
          <w:szCs w:val="20"/>
          <w:color w:val="auto"/>
        </w:rPr>
      </w:pPr>
      <w:r>
        <w:rPr>
          <w:rFonts w:ascii="Arial" w:cs="Arial" w:eastAsia="Arial" w:hAnsi="Arial"/>
          <w:sz w:val="12"/>
          <w:szCs w:val="12"/>
          <w:color w:val="auto"/>
        </w:rPr>
        <w:t>The accompanying unaudited consolidated financial statements as of and for the three-month period ended June 30, 2020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22, 2020.</w:t>
      </w:r>
    </w:p>
    <w:p>
      <w:pPr>
        <w:spacing w:after="0" w:line="65"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65"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64" w:lineRule="exact"/>
        <w:rPr>
          <w:sz w:val="20"/>
          <w:szCs w:val="20"/>
          <w:color w:val="auto"/>
        </w:rPr>
      </w:pPr>
    </w:p>
    <w:p>
      <w:pPr>
        <w:ind w:right="240"/>
        <w:spacing w:after="0" w:line="324" w:lineRule="auto"/>
        <w:rPr>
          <w:sz w:val="20"/>
          <w:szCs w:val="20"/>
          <w:color w:val="auto"/>
        </w:rPr>
      </w:pPr>
      <w:r>
        <w:rPr>
          <w:rFonts w:ascii="Arial" w:cs="Arial" w:eastAsia="Arial" w:hAnsi="Arial"/>
          <w:sz w:val="11"/>
          <w:szCs w:val="11"/>
          <w:color w:val="auto"/>
        </w:rPr>
        <w:t>We have been deemed an essential business with respect to the COVID-19 pandemic. While we have not yet experienced a material impact on our operations or financial position from this pandemic, there may be future effects on our business, both directly and indirectly, including with respect to customers, manufacturing operations, employees, suppliers, and the building materials and construction markets in general.</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 Accounting Pronouncements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June 2016, the FASB issued ASU 2016-13, which is an update on the measurement of credit losses on financial instruments, which requires entities to use a forward-looking approach based on expected losses rather than the current model of incurred losses to estimate credit losses on certain types of financial instruments, including Accounts and Notes Receivable. The application of the forward-looking model may result in earlier recognition of allowances for losses than the current method. The adoption of this standard on April 1, 2020, did not have a material effect on our consolidated financial statements and disclosures.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PENDING ADOPTION</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The updated standard is effective for public companies for fiscal years, and interim periods within those fiscal years, beginning after December 15, 2020, with early adoption permitted. We do not expect the adoption of this standard will have a material impact to our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588" w:right="339" w:bottom="1440" w:gutter="0" w:footer="0" w:header="0"/>
        </w:sectPr>
      </w:pPr>
    </w:p>
    <w:bookmarkStart w:id="8" w:name="page9"/>
    <w:bookmarkEnd w:id="8"/>
    <w:p>
      <w:pPr>
        <w:ind w:left="228" w:hanging="228"/>
        <w:spacing w:after="0"/>
        <w:tabs>
          <w:tab w:leader="none" w:pos="228"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SUPPLEMENTAL CASH FLOW INFORMATION</w:t>
      </w:r>
    </w:p>
    <w:p>
      <w:pPr>
        <w:spacing w:after="0" w:line="93" w:lineRule="exact"/>
        <w:rPr>
          <w:rFonts w:ascii="Arial" w:cs="Arial" w:eastAsia="Arial" w:hAnsi="Arial"/>
          <w:sz w:val="13"/>
          <w:szCs w:val="13"/>
          <w:b w:val="1"/>
          <w:bCs w:val="1"/>
          <w:color w:val="auto"/>
        </w:rPr>
      </w:pPr>
    </w:p>
    <w:p>
      <w:pPr>
        <w:ind w:left="8"/>
        <w:spacing w:after="0"/>
        <w:rPr>
          <w:rFonts w:ascii="Arial" w:cs="Arial" w:eastAsia="Arial" w:hAnsi="Arial"/>
          <w:sz w:val="13"/>
          <w:szCs w:val="13"/>
          <w:b w:val="1"/>
          <w:bCs w:val="1"/>
          <w:color w:val="auto"/>
        </w:rPr>
      </w:pPr>
      <w:r>
        <w:rPr>
          <w:rFonts w:ascii="Arial" w:cs="Arial" w:eastAsia="Arial" w:hAnsi="Arial"/>
          <w:sz w:val="12"/>
          <w:szCs w:val="12"/>
          <w:color w:val="auto"/>
        </w:rPr>
        <w:t>Supplemental cash flow information is as follows:</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40" w:type="dxa"/>
            <w:vAlign w:val="bottom"/>
            <w:gridSpan w:val="3"/>
            <w:shd w:val="clear" w:color="auto" w:fill="004483"/>
          </w:tcPr>
          <w:p>
            <w:pPr>
              <w:jc w:val="right"/>
              <w:ind w:right="346"/>
              <w:spacing w:after="0"/>
              <w:rPr>
                <w:sz w:val="20"/>
                <w:szCs w:val="20"/>
                <w:color w:val="auto"/>
              </w:rPr>
            </w:pPr>
            <w:r>
              <w:rPr>
                <w:rFonts w:ascii="Arial" w:cs="Arial" w:eastAsia="Arial" w:hAnsi="Arial"/>
                <w:sz w:val="8"/>
                <w:szCs w:val="8"/>
                <w:b w:val="1"/>
                <w:bCs w:val="1"/>
                <w:color w:val="FFFFFF"/>
              </w:rPr>
              <w:t>For the Three Months Ended June 30,</w:t>
            </w:r>
          </w:p>
        </w:tc>
        <w:tc>
          <w:tcPr>
            <w:tcW w:w="6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40" w:type="dxa"/>
            <w:vAlign w:val="bottom"/>
            <w:tcBorders>
              <w:bottom w:val="single" w:sz="8" w:color="004483"/>
            </w:tcBorders>
            <w:gridSpan w:val="3"/>
          </w:tcPr>
          <w:p>
            <w:pPr>
              <w:jc w:val="right"/>
              <w:ind w:right="666"/>
              <w:spacing w:after="0"/>
              <w:rPr>
                <w:sz w:val="20"/>
                <w:szCs w:val="20"/>
                <w:color w:val="auto"/>
              </w:rPr>
            </w:pPr>
            <w:r>
              <w:rPr>
                <w:rFonts w:ascii="Arial" w:cs="Arial" w:eastAsia="Arial" w:hAnsi="Arial"/>
                <w:sz w:val="8"/>
                <w:szCs w:val="8"/>
                <w:color w:val="auto"/>
              </w:rPr>
              <w:t>(dollars in thousands)</w:t>
            </w:r>
          </w:p>
        </w:tc>
        <w:tc>
          <w:tcPr>
            <w:tcW w:w="6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6"/>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Payments: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774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auto"/>
              </w:rPr>
              <w:t>Interest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9,562</w:t>
            </w:r>
          </w:p>
        </w:tc>
        <w:tc>
          <w:tcPr>
            <w:tcW w:w="100" w:type="dxa"/>
            <w:vAlign w:val="bottom"/>
          </w:tcPr>
          <w:p>
            <w:pPr>
              <w:spacing w:after="0"/>
              <w:rPr>
                <w:sz w:val="12"/>
                <w:szCs w:val="12"/>
                <w:color w:val="auto"/>
              </w:rPr>
            </w:pPr>
          </w:p>
        </w:tc>
        <w:tc>
          <w:tcPr>
            <w:tcW w:w="1120" w:type="dxa"/>
            <w:vAlign w:val="bottom"/>
            <w:tcBorders>
              <w:bottom w:val="single" w:sz="8" w:color="A6A6A6"/>
            </w:tcBorders>
          </w:tcPr>
          <w:p>
            <w:pPr>
              <w:jc w:val="right"/>
              <w:ind w:right="82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5,241</w:t>
            </w:r>
          </w:p>
        </w:tc>
        <w:tc>
          <w:tcPr>
            <w:tcW w:w="120" w:type="dxa"/>
            <w:vAlign w:val="bottom"/>
          </w:tcPr>
          <w:p>
            <w:pPr>
              <w:spacing w:after="0"/>
              <w:rPr>
                <w:sz w:val="12"/>
                <w:szCs w:val="12"/>
                <w:color w:val="auto"/>
              </w:rPr>
            </w:pPr>
          </w:p>
        </w:tc>
      </w:tr>
      <w:tr>
        <w:trPr>
          <w:trHeight w:val="142"/>
        </w:trPr>
        <w:tc>
          <w:tcPr>
            <w:tcW w:w="7740" w:type="dxa"/>
            <w:vAlign w:val="bottom"/>
          </w:tcPr>
          <w:p>
            <w:pPr>
              <w:ind w:left="80"/>
              <w:spacing w:after="0"/>
              <w:rPr>
                <w:sz w:val="20"/>
                <w:szCs w:val="20"/>
                <w:color w:val="auto"/>
              </w:rPr>
            </w:pPr>
            <w:r>
              <w:rPr>
                <w:rFonts w:ascii="Arial" w:cs="Arial" w:eastAsia="Arial" w:hAnsi="Arial"/>
                <w:sz w:val="11"/>
                <w:szCs w:val="11"/>
                <w:color w:val="auto"/>
              </w:rPr>
              <w:t>Income Taxes</w:t>
            </w:r>
          </w:p>
        </w:tc>
        <w:tc>
          <w:tcPr>
            <w:tcW w:w="56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2"/>
                <w:szCs w:val="12"/>
                <w:color w:val="auto"/>
              </w:rPr>
            </w:pPr>
          </w:p>
        </w:tc>
      </w:tr>
      <w:tr>
        <w:trPr>
          <w:trHeight w:val="142"/>
        </w:trPr>
        <w:tc>
          <w:tcPr>
            <w:tcW w:w="7740" w:type="dxa"/>
            <w:vAlign w:val="bottom"/>
            <w:tcBorders>
              <w:top w:val="single" w:sz="8" w:color="A6A6A6"/>
              <w:bottom w:val="single" w:sz="8" w:color="A6A6A6"/>
            </w:tcBorders>
          </w:tcPr>
          <w:p>
            <w:pPr>
              <w:ind w:left="80"/>
              <w:spacing w:after="0"/>
              <w:rPr>
                <w:sz w:val="20"/>
                <w:szCs w:val="20"/>
                <w:color w:val="auto"/>
              </w:rPr>
            </w:pPr>
            <w:r>
              <w:rPr>
                <w:rFonts w:ascii="Arial" w:cs="Arial" w:eastAsia="Arial" w:hAnsi="Arial"/>
                <w:sz w:val="11"/>
                <w:szCs w:val="11"/>
                <w:color w:val="auto"/>
              </w:rPr>
              <w:t>Operating Cash Flows used for Operating Leases</w:t>
            </w:r>
          </w:p>
        </w:tc>
        <w:tc>
          <w:tcPr>
            <w:tcW w:w="560" w:type="dxa"/>
            <w:vAlign w:val="bottom"/>
            <w:tcBorders>
              <w:top w:val="single" w:sz="8" w:color="A6A6A6"/>
              <w:bottom w:val="single" w:sz="8" w:color="A6A6A6"/>
            </w:tcBorders>
          </w:tcPr>
          <w:p>
            <w:pPr>
              <w:spacing w:after="0"/>
              <w:rPr>
                <w:sz w:val="12"/>
                <w:szCs w:val="12"/>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3,195</w:t>
            </w:r>
          </w:p>
        </w:tc>
        <w:tc>
          <w:tcPr>
            <w:tcW w:w="100" w:type="dxa"/>
            <w:vAlign w:val="bottom"/>
          </w:tcPr>
          <w:p>
            <w:pPr>
              <w:spacing w:after="0"/>
              <w:rPr>
                <w:sz w:val="12"/>
                <w:szCs w:val="12"/>
                <w:color w:val="auto"/>
              </w:rPr>
            </w:pPr>
          </w:p>
        </w:tc>
        <w:tc>
          <w:tcPr>
            <w:tcW w:w="1120" w:type="dxa"/>
            <w:vAlign w:val="bottom"/>
            <w:tcBorders>
              <w:top w:val="single" w:sz="8" w:color="A6A6A6"/>
              <w:bottom w:val="single" w:sz="8" w:color="A6A6A6"/>
            </w:tcBorders>
          </w:tcPr>
          <w:p>
            <w:pPr>
              <w:spacing w:after="0"/>
              <w:rPr>
                <w:sz w:val="12"/>
                <w:szCs w:val="12"/>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3,961</w:t>
            </w:r>
          </w:p>
        </w:tc>
        <w:tc>
          <w:tcPr>
            <w:tcW w:w="120" w:type="dxa"/>
            <w:vAlign w:val="bottom"/>
          </w:tcPr>
          <w:p>
            <w:pPr>
              <w:spacing w:after="0"/>
              <w:rPr>
                <w:sz w:val="12"/>
                <w:szCs w:val="12"/>
                <w:color w:val="auto"/>
              </w:rPr>
            </w:pPr>
          </w:p>
        </w:tc>
      </w:tr>
      <w:tr>
        <w:trPr>
          <w:trHeight w:val="144"/>
        </w:trPr>
        <w:tc>
          <w:tcPr>
            <w:tcW w:w="7740" w:type="dxa"/>
            <w:vAlign w:val="bottom"/>
            <w:tcBorders>
              <w:bottom w:val="single" w:sz="8" w:color="A6A6A6"/>
            </w:tcBorders>
          </w:tcPr>
          <w:p>
            <w:pPr>
              <w:spacing w:after="0"/>
              <w:rPr>
                <w:sz w:val="12"/>
                <w:szCs w:val="12"/>
                <w:color w:val="auto"/>
              </w:rPr>
            </w:pPr>
          </w:p>
        </w:tc>
        <w:tc>
          <w:tcPr>
            <w:tcW w:w="560" w:type="dxa"/>
            <w:vAlign w:val="bottom"/>
            <w:tcBorders>
              <w:bottom w:val="single" w:sz="8" w:color="A6A6A6"/>
            </w:tcBorders>
          </w:tcPr>
          <w:p>
            <w:pPr>
              <w:spacing w:after="0"/>
              <w:rPr>
                <w:sz w:val="12"/>
                <w:szCs w:val="12"/>
                <w:color w:val="auto"/>
              </w:rPr>
            </w:pPr>
          </w:p>
        </w:tc>
        <w:tc>
          <w:tcPr>
            <w:tcW w:w="1020" w:type="dxa"/>
            <w:vAlign w:val="bottom"/>
            <w:tcBorders>
              <w:bottom w:val="single" w:sz="8" w:color="A6A6A6"/>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6A6A6"/>
            </w:tcBorders>
          </w:tcPr>
          <w:p>
            <w:pPr>
              <w:spacing w:after="0"/>
              <w:rPr>
                <w:sz w:val="12"/>
                <w:szCs w:val="12"/>
                <w:color w:val="auto"/>
              </w:rPr>
            </w:pPr>
          </w:p>
        </w:tc>
        <w:tc>
          <w:tcPr>
            <w:tcW w:w="64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6"/>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Non-Cash Financing Activities: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774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auto"/>
              </w:rPr>
              <w:t>Property and Equipment Purchases Included in Accrued Liabilities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20" w:type="dxa"/>
            <w:vAlign w:val="bottom"/>
            <w:tcBorders>
              <w:bottom w:val="single" w:sz="8" w:color="A6A6A6"/>
            </w:tcBorders>
          </w:tcPr>
          <w:p>
            <w:pPr>
              <w:jc w:val="right"/>
              <w:ind w:right="82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3,675</w:t>
            </w:r>
          </w:p>
        </w:tc>
        <w:tc>
          <w:tcPr>
            <w:tcW w:w="120" w:type="dxa"/>
            <w:vAlign w:val="bottom"/>
          </w:tcPr>
          <w:p>
            <w:pPr>
              <w:spacing w:after="0"/>
              <w:rPr>
                <w:sz w:val="11"/>
                <w:szCs w:val="11"/>
                <w:color w:val="auto"/>
              </w:rPr>
            </w:pPr>
          </w:p>
        </w:tc>
      </w:tr>
    </w:tbl>
    <w:p>
      <w:pPr>
        <w:spacing w:after="0" w:line="17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 ACQUISITION</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Kosmos Acquisition</w:t>
      </w:r>
    </w:p>
    <w:p>
      <w:pPr>
        <w:spacing w:after="0" w:line="101" w:lineRule="exact"/>
        <w:rPr>
          <w:sz w:val="20"/>
          <w:szCs w:val="20"/>
          <w:color w:val="auto"/>
        </w:rPr>
      </w:pPr>
    </w:p>
    <w:p>
      <w:pPr>
        <w:ind w:left="8" w:right="100"/>
        <w:spacing w:after="0" w:line="268" w:lineRule="auto"/>
        <w:rPr>
          <w:sz w:val="20"/>
          <w:szCs w:val="20"/>
          <w:color w:val="auto"/>
        </w:rPr>
      </w:pPr>
      <w:r>
        <w:rPr>
          <w:rFonts w:ascii="Arial" w:cs="Arial" w:eastAsia="Arial" w:hAnsi="Arial"/>
          <w:sz w:val="12"/>
          <w:szCs w:val="12"/>
          <w:color w:val="auto"/>
        </w:rPr>
        <w:t>On March 6, 2020, we acquired the assets of Kosmos Cement Company (Kosmos), a joint venture between CEMEX S.A.B. de C.V. and Buzzi Unicem S.p.A. (the Kosmos Acquisition). The Kosmos Acquisition included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We assumed certain liabilities and obligations of Kosmos relating to the Kosmos Business, including contractual obligations, reclamation obligations and various other liabilities arising out of or relating to the Kosmos Business. The Kosmos Business is included in our Heavy Materials Sector, in the Cement segment.</w:t>
      </w:r>
    </w:p>
    <w:p>
      <w:pPr>
        <w:spacing w:after="0" w:line="67" w:lineRule="exact"/>
        <w:rPr>
          <w:sz w:val="20"/>
          <w:szCs w:val="20"/>
          <w:color w:val="auto"/>
        </w:rPr>
      </w:pPr>
    </w:p>
    <w:p>
      <w:pPr>
        <w:ind w:left="8" w:right="60"/>
        <w:spacing w:after="0" w:line="277" w:lineRule="auto"/>
        <w:rPr>
          <w:sz w:val="20"/>
          <w:szCs w:val="20"/>
          <w:color w:val="auto"/>
        </w:rPr>
      </w:pPr>
      <w:r>
        <w:rPr>
          <w:rFonts w:ascii="Arial" w:cs="Arial" w:eastAsia="Arial" w:hAnsi="Arial"/>
          <w:sz w:val="12"/>
          <w:szCs w:val="12"/>
          <w:u w:val="single" w:color="auto"/>
          <w:color w:val="auto"/>
        </w:rPr>
        <w:t>Purchase Price:</w:t>
      </w:r>
      <w:r>
        <w:rPr>
          <w:rFonts w:ascii="Arial" w:cs="Arial" w:eastAsia="Arial" w:hAnsi="Arial"/>
          <w:sz w:val="12"/>
          <w:szCs w:val="12"/>
          <w:color w:val="auto"/>
        </w:rPr>
        <w:t xml:space="preserve"> The purchase price of the Kosmos Acquisition was approximately $669 million. We funded the payment of the Kosmos Acquisition primarily through a Term Loan borrowing with the remainder paid using cash on hand. See Footnote (N) for a description of the loan terms.</w:t>
      </w:r>
    </w:p>
    <w:p>
      <w:pPr>
        <w:spacing w:after="0" w:line="59" w:lineRule="exact"/>
        <w:rPr>
          <w:sz w:val="20"/>
          <w:szCs w:val="20"/>
          <w:color w:val="auto"/>
        </w:rPr>
      </w:pPr>
    </w:p>
    <w:p>
      <w:pPr>
        <w:ind w:left="8" w:right="120"/>
        <w:spacing w:after="0" w:line="271" w:lineRule="auto"/>
        <w:rPr>
          <w:sz w:val="20"/>
          <w:szCs w:val="20"/>
          <w:color w:val="auto"/>
        </w:rPr>
      </w:pPr>
      <w:r>
        <w:rPr>
          <w:rFonts w:ascii="Arial" w:cs="Arial" w:eastAsia="Arial" w:hAnsi="Arial"/>
          <w:sz w:val="12"/>
          <w:szCs w:val="12"/>
          <w:u w:val="single" w:color="auto"/>
          <w:color w:val="auto"/>
        </w:rPr>
        <w:t>Recording of Assets Acquired and Liabilities Assumed:</w:t>
      </w:r>
      <w:r>
        <w:rPr>
          <w:rFonts w:ascii="Arial" w:cs="Arial" w:eastAsia="Arial" w:hAnsi="Arial"/>
          <w:sz w:val="12"/>
          <w:szCs w:val="12"/>
          <w:color w:val="auto"/>
        </w:rPr>
        <w:t xml:space="preserve"> The transaction was accounted for using the acquisition method of accounting which requires, among other things, that assets acquired and liabilities assumed be recognized at their fair values as of the acquisition date. The Company engaged a third party to perform appraisal valuation services to support the Company’s preliminary estimate of the fair value of certain assets acquired in the Kosmos Acquisition.</w:t>
      </w:r>
    </w:p>
    <w:p>
      <w:pPr>
        <w:spacing w:after="0" w:line="64" w:lineRule="exact"/>
        <w:rPr>
          <w:sz w:val="20"/>
          <w:szCs w:val="20"/>
          <w:color w:val="auto"/>
        </w:rPr>
      </w:pPr>
    </w:p>
    <w:p>
      <w:pPr>
        <w:ind w:left="8" w:right="40"/>
        <w:spacing w:after="0" w:line="269" w:lineRule="auto"/>
        <w:rPr>
          <w:sz w:val="20"/>
          <w:szCs w:val="20"/>
          <w:color w:val="auto"/>
        </w:rPr>
      </w:pPr>
      <w:r>
        <w:rPr>
          <w:rFonts w:ascii="Arial" w:cs="Arial" w:eastAsia="Arial" w:hAnsi="Arial"/>
          <w:sz w:val="12"/>
          <w:szCs w:val="12"/>
          <w:color w:val="auto"/>
        </w:rPr>
        <w:t>The preparation of the valuation of the assets acquired and liabilities assumed in the Kosmos Acquisition requires the use of significant assumptions and estimates. Critical estimates with respect to the valuation of property, plant, and equipment include, but are not limited to, replacement cost, condition, and estimated remaining useful lives of property and equipment. Critical estimates related to intangible and other assets include future expected cash flows, including projected revenues and expenses, customer attrition, and applicable discount rates. These estimates are based on assumptions that we believe to be reasonable. However, actual results may differ from these estimates.</w:t>
      </w:r>
    </w:p>
    <w:p>
      <w:pPr>
        <w:spacing w:after="0" w:line="65" w:lineRule="exact"/>
        <w:rPr>
          <w:sz w:val="20"/>
          <w:szCs w:val="20"/>
          <w:color w:val="auto"/>
        </w:rPr>
      </w:pPr>
    </w:p>
    <w:p>
      <w:pPr>
        <w:ind w:left="8" w:right="180"/>
        <w:spacing w:after="0" w:line="277" w:lineRule="auto"/>
        <w:rPr>
          <w:sz w:val="20"/>
          <w:szCs w:val="20"/>
          <w:color w:val="auto"/>
        </w:rPr>
      </w:pPr>
      <w:r>
        <w:rPr>
          <w:rFonts w:ascii="Arial" w:cs="Arial" w:eastAsia="Arial" w:hAnsi="Arial"/>
          <w:sz w:val="12"/>
          <w:szCs w:val="12"/>
          <w:color w:val="auto"/>
        </w:rPr>
        <w:t>The Company has determined preliminary fair values of the assets acquired and liabilities assumed in the Kosmos Acquisition. These values are subject to change during the measurement period as we perform additional reviews of the property and equipment, and the asset retirement obligation.</w:t>
      </w: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28"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The following table summarizes the provisional allocation of the purchase price to assets acquired and liabilities assumed as of June 30,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8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8"/>
                <w:szCs w:val="8"/>
                <w:color w:val="auto"/>
              </w:rPr>
              <w:t>(dollars in thousands)</w:t>
            </w:r>
          </w:p>
        </w:tc>
      </w:tr>
      <w:tr>
        <w:trPr>
          <w:trHeight w:val="131"/>
        </w:trPr>
        <w:tc>
          <w:tcPr>
            <w:tcW w:w="89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Inventories</w:t>
            </w:r>
          </w:p>
        </w:tc>
        <w:tc>
          <w:tcPr>
            <w:tcW w:w="780" w:type="dxa"/>
            <w:vAlign w:val="bottom"/>
            <w:tcBorders>
              <w:top w:val="single" w:sz="8" w:color="004483"/>
              <w:bottom w:val="single" w:sz="8" w:color="A6A6A6"/>
            </w:tcBorders>
          </w:tcPr>
          <w:p>
            <w:pPr>
              <w:jc w:val="right"/>
              <w:ind w:right="671"/>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28,568</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Property, Plant, and Equipment</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476,942</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Intangible Assets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38,300</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Lease Right-of-Use Assets</w:t>
            </w:r>
          </w:p>
        </w:tc>
        <w:tc>
          <w:tcPr>
            <w:tcW w:w="78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4,478</w:t>
            </w:r>
          </w:p>
        </w:tc>
        <w:tc>
          <w:tcPr>
            <w:tcW w:w="40" w:type="dxa"/>
            <w:vAlign w:val="bottom"/>
          </w:tcPr>
          <w:p>
            <w:pPr>
              <w:spacing w:after="0"/>
              <w:rPr>
                <w:sz w:val="11"/>
                <w:szCs w:val="11"/>
                <w:color w:val="auto"/>
              </w:rPr>
            </w:pPr>
          </w:p>
        </w:tc>
      </w:tr>
      <w:tr>
        <w:trPr>
          <w:trHeight w:val="133"/>
        </w:trPr>
        <w:tc>
          <w:tcPr>
            <w:tcW w:w="8940" w:type="dxa"/>
            <w:vAlign w:val="bottom"/>
          </w:tcPr>
          <w:p>
            <w:pPr>
              <w:spacing w:after="0"/>
              <w:rPr>
                <w:sz w:val="20"/>
                <w:szCs w:val="20"/>
                <w:color w:val="auto"/>
              </w:rPr>
            </w:pPr>
            <w:r>
              <w:rPr>
                <w:rFonts w:ascii="Arial" w:cs="Arial" w:eastAsia="Arial" w:hAnsi="Arial"/>
                <w:sz w:val="11"/>
                <w:szCs w:val="11"/>
                <w:color w:val="auto"/>
              </w:rPr>
              <w:t>Lease Obligations</w:t>
            </w:r>
          </w:p>
        </w:tc>
        <w:tc>
          <w:tcPr>
            <w:tcW w:w="7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color w:val="auto"/>
              </w:rPr>
              <w:t>(4,478)</w:t>
            </w:r>
          </w:p>
        </w:tc>
      </w:tr>
      <w:tr>
        <w:trPr>
          <w:trHeight w:val="20"/>
        </w:trPr>
        <w:tc>
          <w:tcPr>
            <w:tcW w:w="894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8940" w:type="dxa"/>
            <w:vAlign w:val="bottom"/>
          </w:tcPr>
          <w:p>
            <w:pPr>
              <w:spacing w:after="0"/>
              <w:rPr>
                <w:sz w:val="20"/>
                <w:szCs w:val="20"/>
                <w:color w:val="auto"/>
              </w:rPr>
            </w:pPr>
            <w:r>
              <w:rPr>
                <w:rFonts w:ascii="Arial" w:cs="Arial" w:eastAsia="Arial" w:hAnsi="Arial"/>
                <w:sz w:val="11"/>
                <w:szCs w:val="11"/>
                <w:color w:val="auto"/>
              </w:rPr>
              <w:t>Long-term Liabilities</w:t>
            </w:r>
          </w:p>
        </w:tc>
        <w:tc>
          <w:tcPr>
            <w:tcW w:w="7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1"/>
                <w:szCs w:val="11"/>
                <w:color w:val="auto"/>
              </w:rPr>
              <w:t>(4,000)</w:t>
            </w:r>
          </w:p>
        </w:tc>
      </w:tr>
      <w:tr>
        <w:trPr>
          <w:trHeight w:val="133"/>
        </w:trPr>
        <w:tc>
          <w:tcPr>
            <w:tcW w:w="89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Total Net Assets</w:t>
            </w:r>
          </w:p>
        </w:tc>
        <w:tc>
          <w:tcPr>
            <w:tcW w:w="780" w:type="dxa"/>
            <w:vAlign w:val="bottom"/>
            <w:tcBorders>
              <w:top w:val="single" w:sz="8" w:color="004483"/>
              <w:bottom w:val="single" w:sz="8" w:color="A6A6A6"/>
            </w:tcBorders>
          </w:tcPr>
          <w:p>
            <w:pPr>
              <w:spacing w:after="0"/>
              <w:rPr>
                <w:sz w:val="11"/>
                <w:szCs w:val="11"/>
                <w:color w:val="auto"/>
              </w:rPr>
            </w:pP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539,810</w:t>
            </w:r>
          </w:p>
        </w:tc>
        <w:tc>
          <w:tcPr>
            <w:tcW w:w="40" w:type="dxa"/>
            <w:vAlign w:val="bottom"/>
          </w:tcPr>
          <w:p>
            <w:pPr>
              <w:spacing w:after="0"/>
              <w:rPr>
                <w:sz w:val="11"/>
                <w:szCs w:val="11"/>
                <w:color w:val="auto"/>
              </w:rPr>
            </w:pPr>
          </w:p>
        </w:tc>
      </w:tr>
      <w:tr>
        <w:trPr>
          <w:trHeight w:val="133"/>
        </w:trPr>
        <w:tc>
          <w:tcPr>
            <w:tcW w:w="89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Goodwill</w:t>
            </w:r>
          </w:p>
        </w:tc>
        <w:tc>
          <w:tcPr>
            <w:tcW w:w="78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129,127</w:t>
            </w:r>
          </w:p>
        </w:tc>
        <w:tc>
          <w:tcPr>
            <w:tcW w:w="40" w:type="dxa"/>
            <w:vAlign w:val="bottom"/>
          </w:tcPr>
          <w:p>
            <w:pPr>
              <w:spacing w:after="0"/>
              <w:rPr>
                <w:sz w:val="11"/>
                <w:szCs w:val="11"/>
                <w:color w:val="auto"/>
              </w:rPr>
            </w:pPr>
          </w:p>
        </w:tc>
      </w:tr>
      <w:tr>
        <w:trPr>
          <w:trHeight w:val="142"/>
        </w:trPr>
        <w:tc>
          <w:tcPr>
            <w:tcW w:w="8940" w:type="dxa"/>
            <w:vAlign w:val="bottom"/>
          </w:tcPr>
          <w:p>
            <w:pPr>
              <w:ind w:left="160"/>
              <w:spacing w:after="0"/>
              <w:rPr>
                <w:sz w:val="20"/>
                <w:szCs w:val="20"/>
                <w:color w:val="auto"/>
              </w:rPr>
            </w:pPr>
            <w:r>
              <w:rPr>
                <w:rFonts w:ascii="Arial" w:cs="Arial" w:eastAsia="Arial" w:hAnsi="Arial"/>
                <w:sz w:val="11"/>
                <w:szCs w:val="11"/>
                <w:b w:val="1"/>
                <w:bCs w:val="1"/>
                <w:color w:val="auto"/>
              </w:rPr>
              <w:t>Total Estimated Purchase Price</w:t>
            </w:r>
          </w:p>
        </w:tc>
        <w:tc>
          <w:tcPr>
            <w:tcW w:w="780" w:type="dxa"/>
            <w:vAlign w:val="bottom"/>
            <w:tcBorders>
              <w:bottom w:val="single" w:sz="8" w:color="004483"/>
            </w:tcBorders>
          </w:tcPr>
          <w:p>
            <w:pPr>
              <w:jc w:val="right"/>
              <w:ind w:right="671"/>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668,937</w:t>
            </w:r>
          </w:p>
        </w:tc>
        <w:tc>
          <w:tcPr>
            <w:tcW w:w="40" w:type="dxa"/>
            <w:vAlign w:val="bottom"/>
          </w:tcPr>
          <w:p>
            <w:pPr>
              <w:spacing w:after="0"/>
              <w:rPr>
                <w:sz w:val="12"/>
                <w:szCs w:val="12"/>
                <w:color w:val="auto"/>
              </w:rPr>
            </w:pPr>
          </w:p>
        </w:tc>
      </w:tr>
    </w:tbl>
    <w:p>
      <w:pPr>
        <w:spacing w:after="0" w:line="161"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color w:val="auto"/>
        </w:rPr>
        <w:t>During the quarter ended June 30, 2020, we completed the valuation of inventories, intangible assets, lease right-of-use assets, and lease obligations. These final values, which are disclosed in the above table, resulted in increases of $0.2 million, $2.8 million, $0.6 million and $0.6 million, respectively, from the amounts disclosed in our fiscal 2020 Form 10-K. We also revised our estimates for property, plant and equipment, which resulted in a reduction of $0.5 million; however, this value is still preliminary.</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Goodwill represents the excess purchase price over the fair values of assets acquired and liabilities assumed. The Goodwill was generated by the availability of co-product sales and the opportunity associated with the expansion of our Cement business to the eastern region of the United States. All of the goodwill generated by the transaction will be deductible for income tax purposes.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is a summary of the fair value estimates of the identifiable intangible assets (dollars in thousands) and their weighted-average useful lives:</w:t>
      </w:r>
    </w:p>
    <w:p>
      <w:pPr>
        <w:spacing w:after="0" w:line="158" w:lineRule="exact"/>
        <w:rPr>
          <w:sz w:val="20"/>
          <w:szCs w:val="20"/>
          <w:color w:val="auto"/>
        </w:rPr>
      </w:pPr>
    </w:p>
    <w:p>
      <w:pPr>
        <w:ind w:left="8440"/>
        <w:spacing w:after="0"/>
        <w:tabs>
          <w:tab w:leader="none" w:pos="10400" w:val="left"/>
        </w:tabs>
        <w:rPr>
          <w:sz w:val="20"/>
          <w:szCs w:val="20"/>
          <w:color w:val="auto"/>
        </w:rPr>
      </w:pPr>
      <w:r>
        <w:rPr>
          <w:rFonts w:ascii="Arial" w:cs="Arial" w:eastAsia="Arial" w:hAnsi="Arial"/>
          <w:sz w:val="8"/>
          <w:szCs w:val="8"/>
          <w:b w:val="1"/>
          <w:bCs w:val="1"/>
          <w:color w:val="auto"/>
        </w:rPr>
        <w:t>Weighted-Average Life</w:t>
      </w:r>
      <w:r>
        <w:rPr>
          <w:sz w:val="20"/>
          <w:szCs w:val="20"/>
          <w:color w:val="auto"/>
        </w:rPr>
        <w:tab/>
      </w:r>
      <w:r>
        <w:rPr>
          <w:rFonts w:ascii="Arial" w:cs="Arial" w:eastAsia="Arial" w:hAnsi="Arial"/>
          <w:sz w:val="7"/>
          <w:szCs w:val="7"/>
          <w:b w:val="1"/>
          <w:bCs w:val="1"/>
          <w:color w:val="auto"/>
        </w:rPr>
        <w:t>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5715</wp:posOffset>
            </wp:positionV>
            <wp:extent cx="1148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Permits</w:t>
            </w:r>
          </w:p>
        </w:tc>
        <w:tc>
          <w:tcPr>
            <w:tcW w:w="40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20</w:t>
            </w:r>
          </w:p>
        </w:tc>
      </w:tr>
      <w:tr>
        <w:trPr>
          <w:trHeight w:val="131"/>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Customer Relationships</w:t>
            </w:r>
          </w:p>
        </w:tc>
        <w:tc>
          <w:tcPr>
            <w:tcW w:w="40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w:t>
            </w:r>
          </w:p>
        </w:tc>
      </w:tr>
      <w:tr>
        <w:trPr>
          <w:trHeight w:val="131"/>
        </w:trPr>
        <w:tc>
          <w:tcPr>
            <w:tcW w:w="5200" w:type="dxa"/>
            <w:vAlign w:val="bottom"/>
          </w:tcPr>
          <w:p>
            <w:pPr>
              <w:spacing w:after="0"/>
              <w:rPr>
                <w:sz w:val="20"/>
                <w:szCs w:val="20"/>
                <w:color w:val="auto"/>
              </w:rPr>
            </w:pPr>
            <w:r>
              <w:rPr>
                <w:rFonts w:ascii="Arial" w:cs="Arial" w:eastAsia="Arial" w:hAnsi="Arial"/>
                <w:sz w:val="11"/>
                <w:szCs w:val="11"/>
                <w:color w:val="auto"/>
              </w:rPr>
              <w:t>Trade Name and Technology</w:t>
            </w:r>
          </w:p>
        </w:tc>
        <w:tc>
          <w:tcPr>
            <w:tcW w:w="4080" w:type="dxa"/>
            <w:vAlign w:val="bottom"/>
          </w:tcPr>
          <w:p>
            <w:pPr>
              <w:jc w:val="right"/>
              <w:spacing w:after="0"/>
              <w:rPr>
                <w:sz w:val="20"/>
                <w:szCs w:val="20"/>
                <w:color w:val="auto"/>
              </w:rPr>
            </w:pPr>
            <w:r>
              <w:rPr>
                <w:rFonts w:ascii="Arial" w:cs="Arial" w:eastAsia="Arial" w:hAnsi="Arial"/>
                <w:sz w:val="11"/>
                <w:szCs w:val="1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607504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504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8890</wp:posOffset>
            </wp:positionV>
            <wp:extent cx="11487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9"/>
          <w:szCs w:val="9"/>
          <w:color w:val="auto"/>
        </w:rPr>
        <w:t>35,300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23495</wp:posOffset>
            </wp:positionV>
            <wp:extent cx="11487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30"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8890</wp:posOffset>
            </wp:positionV>
            <wp:extent cx="10344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34415" cy="571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10160" w:space="720"/>
            <w:col w:w="420"/>
          </w:cols>
          <w:pgMar w:left="300" w:top="382" w:right="299" w:bottom="1440" w:gutter="0" w:footer="0" w:header="0"/>
          <w:type w:val="continuous"/>
        </w:sectPr>
      </w:pPr>
    </w:p>
    <w:p>
      <w:pPr>
        <w:ind w:left="160"/>
        <w:spacing w:after="0"/>
        <w:tabs>
          <w:tab w:leader="none" w:pos="9540" w:val="left"/>
          <w:tab w:leader="none" w:pos="10860" w:val="left"/>
        </w:tabs>
        <w:rPr>
          <w:sz w:val="20"/>
          <w:szCs w:val="20"/>
          <w:color w:val="auto"/>
        </w:rPr>
      </w:pPr>
      <w:r>
        <w:rPr>
          <w:rFonts w:ascii="Arial" w:cs="Arial" w:eastAsia="Arial" w:hAnsi="Arial"/>
          <w:sz w:val="11"/>
          <w:szCs w:val="11"/>
          <w:b w:val="1"/>
          <w:bCs w:val="1"/>
          <w:color w:val="auto"/>
        </w:rPr>
        <w:t>Total Intangible Assets</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9"/>
          <w:szCs w:val="9"/>
          <w:b w:val="1"/>
          <w:bCs w:val="1"/>
          <w:color w:val="auto"/>
        </w:rPr>
        <w:t>38,300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11430</wp:posOffset>
            </wp:positionV>
            <wp:extent cx="103441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34415" cy="571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22860</wp:posOffset>
            </wp:positionV>
            <wp:extent cx="103441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34415" cy="571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Actual and pro forma impact of Kosmos Acquisition:</w:t>
      </w:r>
      <w:r>
        <w:rPr>
          <w:rFonts w:ascii="Arial" w:cs="Arial" w:eastAsia="Arial" w:hAnsi="Arial"/>
          <w:sz w:val="12"/>
          <w:szCs w:val="12"/>
          <w:color w:val="auto"/>
        </w:rPr>
        <w:t xml:space="preserve"> The following table presents the net sales and Operating Earnings related to the Kosmos Acquisition that has been included in our Consolidated Statement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Earnings for the three months ended June 30,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8880" w:type="dxa"/>
            <w:vAlign w:val="bottom"/>
          </w:tcPr>
          <w:p>
            <w:pPr>
              <w:spacing w:after="0"/>
              <w:rPr>
                <w:sz w:val="7"/>
                <w:szCs w:val="7"/>
                <w:color w:val="auto"/>
              </w:rPr>
            </w:pPr>
          </w:p>
        </w:tc>
        <w:tc>
          <w:tcPr>
            <w:tcW w:w="340" w:type="dxa"/>
            <w:vAlign w:val="bottom"/>
            <w:shd w:val="clear" w:color="auto" w:fill="004483"/>
          </w:tcPr>
          <w:p>
            <w:pPr>
              <w:spacing w:after="0"/>
              <w:rPr>
                <w:sz w:val="7"/>
                <w:szCs w:val="7"/>
                <w:color w:val="auto"/>
              </w:rPr>
            </w:pPr>
          </w:p>
        </w:tc>
        <w:tc>
          <w:tcPr>
            <w:tcW w:w="2080" w:type="dxa"/>
            <w:vAlign w:val="bottom"/>
            <w:gridSpan w:val="2"/>
            <w:shd w:val="clear" w:color="auto" w:fill="004483"/>
          </w:tcPr>
          <w:p>
            <w:pPr>
              <w:jc w:val="center"/>
              <w:ind w:right="460"/>
              <w:spacing w:after="0"/>
              <w:rPr>
                <w:sz w:val="20"/>
                <w:szCs w:val="20"/>
                <w:color w:val="auto"/>
              </w:rPr>
            </w:pPr>
            <w:r>
              <w:rPr>
                <w:rFonts w:ascii="Arial" w:cs="Arial" w:eastAsia="Arial" w:hAnsi="Arial"/>
                <w:sz w:val="8"/>
                <w:szCs w:val="8"/>
                <w:b w:val="1"/>
                <w:bCs w:val="1"/>
                <w:color w:val="FFFFFF"/>
                <w:w w:val="97"/>
              </w:rPr>
              <w:t>For the Three Months Ended</w:t>
            </w:r>
          </w:p>
        </w:tc>
      </w:tr>
      <w:tr>
        <w:trPr>
          <w:trHeight w:val="101"/>
        </w:trPr>
        <w:tc>
          <w:tcPr>
            <w:tcW w:w="8880" w:type="dxa"/>
            <w:vAlign w:val="bottom"/>
          </w:tcPr>
          <w:p>
            <w:pPr>
              <w:spacing w:after="0"/>
              <w:rPr>
                <w:sz w:val="8"/>
                <w:szCs w:val="8"/>
                <w:color w:val="auto"/>
              </w:rPr>
            </w:pPr>
          </w:p>
        </w:tc>
        <w:tc>
          <w:tcPr>
            <w:tcW w:w="340" w:type="dxa"/>
            <w:vAlign w:val="bottom"/>
            <w:shd w:val="clear" w:color="auto" w:fill="004483"/>
          </w:tcPr>
          <w:p>
            <w:pPr>
              <w:spacing w:after="0"/>
              <w:rPr>
                <w:sz w:val="8"/>
                <w:szCs w:val="8"/>
                <w:color w:val="auto"/>
              </w:rPr>
            </w:pPr>
          </w:p>
        </w:tc>
        <w:tc>
          <w:tcPr>
            <w:tcW w:w="2080" w:type="dxa"/>
            <w:vAlign w:val="bottom"/>
            <w:gridSpan w:val="2"/>
            <w:shd w:val="clear" w:color="auto" w:fill="004483"/>
          </w:tcPr>
          <w:p>
            <w:pPr>
              <w:jc w:val="center"/>
              <w:ind w:right="460"/>
              <w:spacing w:after="0"/>
              <w:rPr>
                <w:sz w:val="20"/>
                <w:szCs w:val="20"/>
                <w:color w:val="auto"/>
              </w:rPr>
            </w:pPr>
            <w:r>
              <w:rPr>
                <w:rFonts w:ascii="Arial" w:cs="Arial" w:eastAsia="Arial" w:hAnsi="Arial"/>
                <w:sz w:val="8"/>
                <w:szCs w:val="8"/>
                <w:b w:val="1"/>
                <w:bCs w:val="1"/>
                <w:color w:val="FFFFFF"/>
                <w:w w:val="95"/>
              </w:rPr>
              <w:t>June 30, 2020</w:t>
            </w:r>
          </w:p>
        </w:tc>
      </w:tr>
      <w:tr>
        <w:trPr>
          <w:trHeight w:val="99"/>
        </w:trPr>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8"/>
                <w:szCs w:val="8"/>
                <w:color w:val="auto"/>
              </w:rPr>
              <w:t>(dollars in thousands)</w:t>
            </w:r>
          </w:p>
        </w:tc>
      </w:tr>
      <w:tr>
        <w:trPr>
          <w:trHeight w:val="131"/>
        </w:trPr>
        <w:tc>
          <w:tcPr>
            <w:tcW w:w="88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Revenue</w:t>
            </w:r>
          </w:p>
        </w:tc>
        <w:tc>
          <w:tcPr>
            <w:tcW w:w="340" w:type="dxa"/>
            <w:vAlign w:val="bottom"/>
            <w:tcBorders>
              <w:top w:val="single" w:sz="8" w:color="004483"/>
              <w:bottom w:val="single" w:sz="8" w:color="A6A6A6"/>
            </w:tcBorders>
          </w:tcPr>
          <w:p>
            <w:pPr>
              <w:jc w:val="right"/>
              <w:ind w:right="231"/>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47,555</w:t>
            </w:r>
          </w:p>
        </w:tc>
        <w:tc>
          <w:tcPr>
            <w:tcW w:w="120" w:type="dxa"/>
            <w:vAlign w:val="bottom"/>
          </w:tcPr>
          <w:p>
            <w:pPr>
              <w:spacing w:after="0"/>
              <w:rPr>
                <w:sz w:val="11"/>
                <w:szCs w:val="11"/>
                <w:color w:val="auto"/>
              </w:rPr>
            </w:pPr>
          </w:p>
        </w:tc>
      </w:tr>
      <w:tr>
        <w:trPr>
          <w:trHeight w:val="133"/>
        </w:trPr>
        <w:tc>
          <w:tcPr>
            <w:tcW w:w="88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Operating Earnings</w:t>
            </w:r>
          </w:p>
        </w:tc>
        <w:tc>
          <w:tcPr>
            <w:tcW w:w="340" w:type="dxa"/>
            <w:vAlign w:val="bottom"/>
            <w:tcBorders>
              <w:bottom w:val="single" w:sz="8" w:color="A6A6A6"/>
            </w:tcBorders>
          </w:tcPr>
          <w:p>
            <w:pPr>
              <w:jc w:val="right"/>
              <w:ind w:right="231"/>
              <w:spacing w:after="0"/>
              <w:rPr>
                <w:sz w:val="20"/>
                <w:szCs w:val="20"/>
                <w:color w:val="auto"/>
              </w:rPr>
            </w:pPr>
            <w:r>
              <w:rPr>
                <w:rFonts w:ascii="Arial" w:cs="Arial" w:eastAsia="Arial" w:hAnsi="Arial"/>
                <w:sz w:val="10"/>
                <w:szCs w:val="10"/>
                <w:color w:val="auto"/>
                <w:w w:val="71"/>
              </w:rPr>
              <w:t>$</w:t>
            </w:r>
          </w:p>
        </w:tc>
        <w:tc>
          <w:tcPr>
            <w:tcW w:w="19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10,552</w:t>
            </w:r>
          </w:p>
        </w:tc>
        <w:tc>
          <w:tcPr>
            <w:tcW w:w="120" w:type="dxa"/>
            <w:vAlign w:val="bottom"/>
          </w:tcPr>
          <w:p>
            <w:pPr>
              <w:spacing w:after="0"/>
              <w:rPr>
                <w:sz w:val="11"/>
                <w:szCs w:val="11"/>
                <w:color w:val="auto"/>
              </w:rPr>
            </w:pPr>
          </w:p>
        </w:tc>
      </w:tr>
    </w:tbl>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Operating Earnings shown above for the three months ended June 30, 2020 was affected by approximately $5.3 million related to depreciation and amortization and $3.7 million related to the recording of acquired inventory at fair value.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type w:val="continuous"/>
        </w:sectPr>
      </w:pPr>
    </w:p>
    <w:bookmarkStart w:id="10" w:name="page11"/>
    <w:bookmarkEnd w:id="10"/>
    <w:p>
      <w:pPr>
        <w:ind w:right="120"/>
        <w:spacing w:after="0" w:line="307" w:lineRule="auto"/>
        <w:rPr>
          <w:sz w:val="20"/>
          <w:szCs w:val="20"/>
          <w:color w:val="auto"/>
        </w:rPr>
      </w:pPr>
      <w:r>
        <w:rPr>
          <w:rFonts w:ascii="Arial" w:cs="Arial" w:eastAsia="Arial" w:hAnsi="Arial"/>
          <w:sz w:val="11"/>
          <w:szCs w:val="11"/>
          <w:color w:val="auto"/>
        </w:rPr>
        <w:t>The unaudited pro forma results presented below include the effects of the Kosmos Acquisition as if it had been consummated as of April 1, 2019. The pro forma results include estimates for depreciation from the fair value adjustments to acquired Property and Equipment, amortization for acquired Intangible Assets, the Inventory step-up to fair value, and interest expense associated with debt used to fund the Kosmos Acquisition. To better reflect the combined operating results, approximately $5.6 million of material nonrecurring charges directly related to the Kosmos Acquisition have been excluded from pro forma Net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8880" w:type="dxa"/>
            <w:vAlign w:val="bottom"/>
          </w:tcPr>
          <w:p>
            <w:pPr>
              <w:spacing w:after="0"/>
              <w:rPr>
                <w:sz w:val="7"/>
                <w:szCs w:val="7"/>
                <w:color w:val="auto"/>
              </w:rPr>
            </w:pPr>
          </w:p>
        </w:tc>
        <w:tc>
          <w:tcPr>
            <w:tcW w:w="240" w:type="dxa"/>
            <w:vAlign w:val="bottom"/>
            <w:shd w:val="clear" w:color="auto" w:fill="004483"/>
          </w:tcPr>
          <w:p>
            <w:pPr>
              <w:spacing w:after="0"/>
              <w:rPr>
                <w:sz w:val="7"/>
                <w:szCs w:val="7"/>
                <w:color w:val="auto"/>
              </w:rPr>
            </w:pPr>
          </w:p>
        </w:tc>
        <w:tc>
          <w:tcPr>
            <w:tcW w:w="218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7"/>
              </w:rPr>
              <w:t>For the Three Months Ended</w:t>
            </w:r>
          </w:p>
        </w:tc>
      </w:tr>
      <w:tr>
        <w:trPr>
          <w:trHeight w:val="101"/>
        </w:trPr>
        <w:tc>
          <w:tcPr>
            <w:tcW w:w="8880" w:type="dxa"/>
            <w:vAlign w:val="bottom"/>
          </w:tcPr>
          <w:p>
            <w:pPr>
              <w:spacing w:after="0"/>
              <w:rPr>
                <w:sz w:val="8"/>
                <w:szCs w:val="8"/>
                <w:color w:val="auto"/>
              </w:rPr>
            </w:pPr>
          </w:p>
        </w:tc>
        <w:tc>
          <w:tcPr>
            <w:tcW w:w="240" w:type="dxa"/>
            <w:vAlign w:val="bottom"/>
            <w:shd w:val="clear" w:color="auto" w:fill="004483"/>
          </w:tcPr>
          <w:p>
            <w:pPr>
              <w:spacing w:after="0"/>
              <w:rPr>
                <w:sz w:val="8"/>
                <w:szCs w:val="8"/>
                <w:color w:val="auto"/>
              </w:rPr>
            </w:pPr>
          </w:p>
        </w:tc>
        <w:tc>
          <w:tcPr>
            <w:tcW w:w="2180" w:type="dxa"/>
            <w:vAlign w:val="bottom"/>
            <w:gridSpan w:val="2"/>
            <w:shd w:val="clear" w:color="auto" w:fill="004483"/>
          </w:tcPr>
          <w:p>
            <w:pPr>
              <w:jc w:val="center"/>
              <w:ind w:right="360"/>
              <w:spacing w:after="0"/>
              <w:rPr>
                <w:sz w:val="20"/>
                <w:szCs w:val="20"/>
                <w:color w:val="auto"/>
              </w:rPr>
            </w:pPr>
            <w:r>
              <w:rPr>
                <w:rFonts w:ascii="Arial" w:cs="Arial" w:eastAsia="Arial" w:hAnsi="Arial"/>
                <w:sz w:val="8"/>
                <w:szCs w:val="8"/>
                <w:b w:val="1"/>
                <w:bCs w:val="1"/>
                <w:color w:val="FFFFFF"/>
                <w:w w:val="95"/>
              </w:rPr>
              <w:t>June 30, 2019</w:t>
            </w:r>
          </w:p>
        </w:tc>
      </w:tr>
      <w:tr>
        <w:trPr>
          <w:trHeight w:val="99"/>
        </w:trPr>
        <w:tc>
          <w:tcPr>
            <w:tcW w:w="8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8"/>
                <w:szCs w:val="8"/>
                <w:b w:val="1"/>
                <w:bCs w:val="1"/>
                <w:color w:val="auto"/>
                <w:w w:val="97"/>
              </w:rPr>
              <w:t>Unaudited</w:t>
            </w:r>
          </w:p>
        </w:tc>
      </w:tr>
      <w:tr>
        <w:trPr>
          <w:trHeight w:val="99"/>
        </w:trPr>
        <w:tc>
          <w:tcPr>
            <w:tcW w:w="8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8"/>
                <w:szCs w:val="8"/>
                <w:color w:val="auto"/>
                <w:w w:val="92"/>
              </w:rPr>
              <w:t>(dollars in thousands, except per share data)</w:t>
            </w:r>
          </w:p>
        </w:tc>
      </w:tr>
      <w:tr>
        <w:trPr>
          <w:trHeight w:val="131"/>
        </w:trPr>
        <w:tc>
          <w:tcPr>
            <w:tcW w:w="88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Revenue</w:t>
            </w:r>
          </w:p>
        </w:tc>
        <w:tc>
          <w:tcPr>
            <w:tcW w:w="240" w:type="dxa"/>
            <w:vAlign w:val="bottom"/>
            <w:tcBorders>
              <w:top w:val="single" w:sz="8" w:color="004483"/>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2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399,766</w:t>
            </w:r>
          </w:p>
        </w:tc>
        <w:tc>
          <w:tcPr>
            <w:tcW w:w="120" w:type="dxa"/>
            <w:vAlign w:val="bottom"/>
          </w:tcPr>
          <w:p>
            <w:pPr>
              <w:spacing w:after="0"/>
              <w:rPr>
                <w:sz w:val="11"/>
                <w:szCs w:val="11"/>
                <w:color w:val="auto"/>
              </w:rPr>
            </w:pPr>
          </w:p>
        </w:tc>
      </w:tr>
      <w:tr>
        <w:trPr>
          <w:trHeight w:val="133"/>
        </w:trPr>
        <w:tc>
          <w:tcPr>
            <w:tcW w:w="88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Income</w:t>
            </w:r>
          </w:p>
        </w:tc>
        <w:tc>
          <w:tcPr>
            <w:tcW w:w="240" w:type="dxa"/>
            <w:vAlign w:val="bottom"/>
            <w:tcBorders>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20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36,569</w:t>
            </w:r>
          </w:p>
        </w:tc>
        <w:tc>
          <w:tcPr>
            <w:tcW w:w="120" w:type="dxa"/>
            <w:vAlign w:val="bottom"/>
          </w:tcPr>
          <w:p>
            <w:pPr>
              <w:spacing w:after="0"/>
              <w:rPr>
                <w:sz w:val="11"/>
                <w:szCs w:val="11"/>
                <w:color w:val="auto"/>
              </w:rPr>
            </w:pPr>
          </w:p>
        </w:tc>
      </w:tr>
      <w:tr>
        <w:trPr>
          <w:trHeight w:val="133"/>
        </w:trPr>
        <w:tc>
          <w:tcPr>
            <w:tcW w:w="88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Earnings per share – basic</w:t>
            </w:r>
          </w:p>
        </w:tc>
        <w:tc>
          <w:tcPr>
            <w:tcW w:w="240" w:type="dxa"/>
            <w:vAlign w:val="bottom"/>
            <w:tcBorders>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20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0.83</w:t>
            </w:r>
          </w:p>
        </w:tc>
        <w:tc>
          <w:tcPr>
            <w:tcW w:w="120" w:type="dxa"/>
            <w:vAlign w:val="bottom"/>
          </w:tcPr>
          <w:p>
            <w:pPr>
              <w:spacing w:after="0"/>
              <w:rPr>
                <w:sz w:val="11"/>
                <w:szCs w:val="11"/>
                <w:color w:val="auto"/>
              </w:rPr>
            </w:pPr>
          </w:p>
        </w:tc>
      </w:tr>
      <w:tr>
        <w:trPr>
          <w:trHeight w:val="133"/>
        </w:trPr>
        <w:tc>
          <w:tcPr>
            <w:tcW w:w="88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Earnings per share – diluted</w:t>
            </w:r>
          </w:p>
        </w:tc>
        <w:tc>
          <w:tcPr>
            <w:tcW w:w="240" w:type="dxa"/>
            <w:vAlign w:val="bottom"/>
            <w:tcBorders>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20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0.83</w:t>
            </w:r>
          </w:p>
        </w:tc>
        <w:tc>
          <w:tcPr>
            <w:tcW w:w="120" w:type="dxa"/>
            <w:vAlign w:val="bottom"/>
          </w:tcPr>
          <w:p>
            <w:pPr>
              <w:spacing w:after="0"/>
              <w:rPr>
                <w:sz w:val="11"/>
                <w:szCs w:val="11"/>
                <w:color w:val="auto"/>
              </w:rPr>
            </w:pPr>
          </w:p>
        </w:tc>
      </w:tr>
    </w:tbl>
    <w:p>
      <w:pPr>
        <w:spacing w:after="0" w:line="161" w:lineRule="exact"/>
        <w:rPr>
          <w:sz w:val="20"/>
          <w:szCs w:val="20"/>
          <w:color w:val="auto"/>
        </w:rPr>
      </w:pPr>
    </w:p>
    <w:p>
      <w:pPr>
        <w:ind w:right="380"/>
        <w:spacing w:after="0" w:line="277" w:lineRule="auto"/>
        <w:rPr>
          <w:sz w:val="20"/>
          <w:szCs w:val="20"/>
          <w:color w:val="auto"/>
        </w:rPr>
      </w:pPr>
      <w:r>
        <w:rPr>
          <w:rFonts w:ascii="Arial" w:cs="Arial" w:eastAsia="Arial" w:hAnsi="Arial"/>
          <w:sz w:val="12"/>
          <w:szCs w:val="12"/>
          <w:color w:val="auto"/>
        </w:rPr>
        <w:t>The pro forma results do not include any anticipated synergies or other expected benefits of the Kosmos Acquisition. Accordingly, the unaudited pro forma results are not necessarily indicative of either future results of operations or results that might have been achieved had the Kosmos Acquisition been consummated as of April 1, 2019.</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SALE OF BUSINESSES</w:t>
      </w:r>
    </w:p>
    <w:p>
      <w:pPr>
        <w:spacing w:after="0" w:line="102" w:lineRule="exact"/>
        <w:rPr>
          <w:sz w:val="20"/>
          <w:szCs w:val="20"/>
          <w:color w:val="auto"/>
        </w:rPr>
      </w:pPr>
    </w:p>
    <w:p>
      <w:pPr>
        <w:ind w:right="180"/>
        <w:spacing w:after="0" w:line="271" w:lineRule="auto"/>
        <w:rPr>
          <w:sz w:val="20"/>
          <w:szCs w:val="20"/>
          <w:color w:val="auto"/>
        </w:rPr>
      </w:pPr>
      <w:r>
        <w:rPr>
          <w:rFonts w:ascii="Arial" w:cs="Arial" w:eastAsia="Arial" w:hAnsi="Arial"/>
          <w:sz w:val="12"/>
          <w:szCs w:val="12"/>
          <w:color w:val="auto"/>
        </w:rPr>
        <w:t>On April 17, 2020, we sold our Western Aggregates LLC (Western) and Mathews Readymix LLC (Mathews) businesses to Teichert, Inc. for an aggregate purchase price of approximately $93.5 million, subject to certain post-closing adjustments. This sale resulted in a gain of approximately $52.0 million. Western and Mathews were part of our Concrete and Aggregates operating segment, and their results of operations were included in our financial statements for the period from April 1, 2020 through April 17, 2020.</w:t>
      </w:r>
    </w:p>
    <w:p>
      <w:pPr>
        <w:spacing w:after="0" w:line="64" w:lineRule="exact"/>
        <w:rPr>
          <w:sz w:val="20"/>
          <w:szCs w:val="20"/>
          <w:color w:val="auto"/>
        </w:rPr>
      </w:pPr>
    </w:p>
    <w:p>
      <w:pPr>
        <w:ind w:right="260"/>
        <w:spacing w:after="0" w:line="271" w:lineRule="auto"/>
        <w:rPr>
          <w:sz w:val="20"/>
          <w:szCs w:val="20"/>
          <w:color w:val="auto"/>
        </w:rPr>
      </w:pPr>
      <w:r>
        <w:rPr>
          <w:rFonts w:ascii="Arial" w:cs="Arial" w:eastAsia="Arial" w:hAnsi="Arial"/>
          <w:sz w:val="12"/>
          <w:szCs w:val="12"/>
          <w:color w:val="auto"/>
        </w:rPr>
        <w:t>At the date of sale, assets and liabilities included on our balance sheet related to Western and Mathews were approximately $43.8 million and $2.3 million, respectively. Revenue and Operating Earnings from Western and Mathews, collectively, were approximately $1.7 million and $0.1 million, respectively, for the three months ended June 30, 2020, and $7.8 million and $1.0 million, respectively, for the three months ended June 30, 2019.</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REVENUE</w:t>
      </w:r>
    </w:p>
    <w:p>
      <w:pPr>
        <w:spacing w:after="0" w:line="102"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earn Revenue primarily from the sale of products, which include cement, concrete, aggregates, gypsum wallboard, recycled paperboard, and frac sand. The vast majority of Revenue from the sale of cement, concrete, aggregates, and gypsum wallboard are originated by purchase orders from our customers, who are primarily third-party contractors and suppliers. Revenue from our Recycled Paperboard and Oil and Gas Proppants segments is generated primarily through long-term supply agreements that mature between 2020 and 2025. We invoice customers upon shipment, and our collection terms range from 30-65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67"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Historically, the pricing and volume requirements under certain of these contracts have been renegotiated during volatile market conditions. Shortfall amounts, if applicable under these arrangements, are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constrained and not recognized as Revenue until an agreement is reached with the customer and, therefore, are not subject to the risk of reversal.</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2"/>
          <w:szCs w:val="12"/>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64" w:lineRule="exact"/>
        <w:rPr>
          <w:sz w:val="20"/>
          <w:szCs w:val="20"/>
          <w:color w:val="auto"/>
        </w:rPr>
      </w:pPr>
    </w:p>
    <w:p>
      <w:pPr>
        <w:ind w:right="400"/>
        <w:spacing w:after="0" w:line="277" w:lineRule="auto"/>
        <w:rPr>
          <w:sz w:val="20"/>
          <w:szCs w:val="20"/>
          <w:color w:val="auto"/>
        </w:rPr>
      </w:pPr>
      <w:r>
        <w:rPr>
          <w:rFonts w:ascii="Arial" w:cs="Arial" w:eastAsia="Arial" w:hAnsi="Arial"/>
          <w:sz w:val="12"/>
          <w:szCs w:val="12"/>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See Footnote (O) to the Unaudited Consolidated Financial Statements for disaggregation of revenue by segment.</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 ACCOUNTS AND NOTES RECEIVABLE</w:t>
      </w:r>
    </w:p>
    <w:p>
      <w:pPr>
        <w:spacing w:after="0" w:line="102" w:lineRule="exact"/>
        <w:rPr>
          <w:sz w:val="20"/>
          <w:szCs w:val="20"/>
          <w:color w:val="auto"/>
        </w:rPr>
      </w:pPr>
    </w:p>
    <w:p>
      <w:pPr>
        <w:ind w:right="160"/>
        <w:spacing w:after="0" w:line="269" w:lineRule="auto"/>
        <w:rPr>
          <w:sz w:val="20"/>
          <w:szCs w:val="20"/>
          <w:color w:val="auto"/>
        </w:rPr>
      </w:pPr>
      <w:r>
        <w:rPr>
          <w:rFonts w:ascii="Arial" w:cs="Arial" w:eastAsia="Arial" w:hAnsi="Arial"/>
          <w:sz w:val="12"/>
          <w:szCs w:val="12"/>
          <w:color w:val="auto"/>
        </w:rPr>
        <w:t>Accounts and Notes Receivable have been shown net of the allowance for doubtful accounts of $9.9 million and $12.4 million at June 30, 2020 and March 31, 2020,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65"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We had Notes Receivable totaling approximately $9.7 million at June 30, 2020, of which approximately $0.7 million has been classified as current and presented with Accounts Receivable on the balance sheet. We lend funds to certain companies in the ordinary course of business, and the notes bear interest, on average, at 3.6%. Remaining unpaid amounts, plus accrued interest, mature in fiscal 2025 and 2026. The notes are collateralized by certain assets of the borrowers, namely property and equipment, and are generally payable monthly. We monitor the credit risk of each borrower by assessing the timeliness of payments, credit history, credit metrics, and our ongoing interactions with each borrower.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(G) INVENTORIES</w:t>
      </w:r>
    </w:p>
    <w:p>
      <w:pPr>
        <w:spacing w:after="0" w:line="93"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converted to tonnage using standard inventory density factors. Inventories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1240" w:type="dxa"/>
            <w:vAlign w:val="bottom"/>
            <w:gridSpan w:val="3"/>
            <w:shd w:val="clear" w:color="auto" w:fill="004483"/>
          </w:tcPr>
          <w:p>
            <w:pPr>
              <w:ind w:left="620"/>
              <w:spacing w:after="0"/>
              <w:rPr>
                <w:sz w:val="20"/>
                <w:szCs w:val="20"/>
                <w:color w:val="auto"/>
              </w:rPr>
            </w:pPr>
            <w:r>
              <w:rPr>
                <w:rFonts w:ascii="Arial" w:cs="Arial" w:eastAsia="Arial" w:hAnsi="Arial"/>
                <w:sz w:val="8"/>
                <w:szCs w:val="8"/>
                <w:b w:val="1"/>
                <w:bCs w:val="1"/>
                <w:color w:val="FFFFFF"/>
              </w:rPr>
              <w:t>June 30,</w:t>
            </w: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50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4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4"/>
          </w:tcPr>
          <w:p>
            <w:pPr>
              <w:jc w:val="right"/>
              <w:ind w:right="473"/>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Raw Materials and Materials-in-Progress</w:t>
            </w: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96,084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110,558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Finished Cement</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33,590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43,538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Aggregates</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3,562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8,416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Gypsum Wallboard</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4,088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4,211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Paperboard</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5,424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5,715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Frac Sand</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467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386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Repair Parts and Supplies</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87,791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88,095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Fuel and Coal</w:t>
            </w:r>
          </w:p>
        </w:tc>
        <w:tc>
          <w:tcPr>
            <w:tcW w:w="64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12,119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11,589</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40" w:type="dxa"/>
            <w:vAlign w:val="bottom"/>
            <w:tcBorders>
              <w:bottom w:val="single" w:sz="8" w:color="004483"/>
            </w:tcBorders>
          </w:tcPr>
          <w:p>
            <w:pPr>
              <w:jc w:val="right"/>
              <w:ind w:right="5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243,125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272,508</w:t>
            </w:r>
          </w:p>
        </w:tc>
        <w:tc>
          <w:tcPr>
            <w:tcW w:w="120" w:type="dxa"/>
            <w:vAlign w:val="bottom"/>
          </w:tcPr>
          <w:p>
            <w:pPr>
              <w:spacing w:after="0"/>
              <w:rPr>
                <w:sz w:val="12"/>
                <w:szCs w:val="12"/>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ACCRUED EXPENSES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Accrued Expenses consist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1220" w:type="dxa"/>
            <w:vAlign w:val="bottom"/>
            <w:gridSpan w:val="3"/>
            <w:shd w:val="clear" w:color="auto" w:fill="004483"/>
          </w:tcPr>
          <w:p>
            <w:pPr>
              <w:ind w:left="600"/>
              <w:spacing w:after="0"/>
              <w:rPr>
                <w:sz w:val="20"/>
                <w:szCs w:val="20"/>
                <w:color w:val="auto"/>
              </w:rPr>
            </w:pPr>
            <w:r>
              <w:rPr>
                <w:rFonts w:ascii="Arial" w:cs="Arial" w:eastAsia="Arial" w:hAnsi="Arial"/>
                <w:sz w:val="8"/>
                <w:szCs w:val="8"/>
                <w:b w:val="1"/>
                <w:bCs w:val="1"/>
                <w:color w:val="FFFFFF"/>
              </w:rPr>
              <w:t>June 30,</w:t>
            </w: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50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920" w:type="dxa"/>
            <w:vAlign w:val="bottom"/>
            <w:tcBorders>
              <w:bottom w:val="single" w:sz="8" w:color="004483"/>
            </w:tcBorders>
            <w:gridSpan w:val="4"/>
          </w:tcPr>
          <w:p>
            <w:pPr>
              <w:jc w:val="right"/>
              <w:ind w:right="473"/>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Payroll and Incentive Compensation</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16,376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25,584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Benefits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14,281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12,521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Interest</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7,353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4,080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Property Taxes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9,002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6,676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Power and Fuel</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1,365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1,353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Legal and Professional</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16,110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16,096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Sales and use Tax</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1,442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1,085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w:t>
            </w:r>
          </w:p>
        </w:tc>
        <w:tc>
          <w:tcPr>
            <w:tcW w:w="66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9,553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5,898</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60" w:type="dxa"/>
            <w:vAlign w:val="bottom"/>
            <w:tcBorders>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75,482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73,293</w:t>
            </w:r>
          </w:p>
        </w:tc>
        <w:tc>
          <w:tcPr>
            <w:tcW w:w="120" w:type="dxa"/>
            <w:vAlign w:val="bottom"/>
          </w:tcPr>
          <w:p>
            <w:pPr>
              <w:spacing w:after="0"/>
              <w:rPr>
                <w:sz w:val="12"/>
                <w:szCs w:val="1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LEASES</w:t>
      </w:r>
    </w:p>
    <w:p>
      <w:pPr>
        <w:spacing w:after="0" w:line="93" w:lineRule="exact"/>
        <w:rPr>
          <w:sz w:val="20"/>
          <w:szCs w:val="20"/>
          <w:color w:val="auto"/>
        </w:rPr>
      </w:pPr>
    </w:p>
    <w:p>
      <w:pPr>
        <w:ind w:right="100"/>
        <w:spacing w:after="0" w:line="301" w:lineRule="auto"/>
        <w:rPr>
          <w:sz w:val="20"/>
          <w:szCs w:val="20"/>
          <w:color w:val="auto"/>
        </w:rPr>
      </w:pPr>
      <w:r>
        <w:rPr>
          <w:rFonts w:ascii="Arial" w:cs="Arial" w:eastAsia="Arial" w:hAnsi="Arial"/>
          <w:sz w:val="11"/>
          <w:szCs w:val="11"/>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which are not recorded on the balance sheet.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Lease expense for our operating and short-term leases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560" w:type="dxa"/>
            <w:vAlign w:val="bottom"/>
            <w:tcBorders>
              <w:bottom w:val="single" w:sz="8" w:color="004483"/>
            </w:tcBorders>
            <w:shd w:val="clear" w:color="auto" w:fill="004483"/>
          </w:tcPr>
          <w:p>
            <w:pPr>
              <w:spacing w:after="0"/>
              <w:rPr>
                <w:sz w:val="12"/>
                <w:szCs w:val="12"/>
                <w:color w:val="auto"/>
              </w:rPr>
            </w:pPr>
          </w:p>
        </w:tc>
        <w:tc>
          <w:tcPr>
            <w:tcW w:w="2240" w:type="dxa"/>
            <w:vAlign w:val="bottom"/>
            <w:tcBorders>
              <w:bottom w:val="single" w:sz="8" w:color="004483"/>
            </w:tcBorders>
            <w:gridSpan w:val="4"/>
            <w:shd w:val="clear" w:color="auto" w:fill="004483"/>
          </w:tcPr>
          <w:p>
            <w:pPr>
              <w:jc w:val="right"/>
              <w:ind w:right="373"/>
              <w:spacing w:after="0"/>
              <w:rPr>
                <w:sz w:val="20"/>
                <w:szCs w:val="20"/>
                <w:color w:val="auto"/>
              </w:rPr>
            </w:pPr>
            <w:r>
              <w:rPr>
                <w:rFonts w:ascii="Arial" w:cs="Arial" w:eastAsia="Arial" w:hAnsi="Arial"/>
                <w:sz w:val="8"/>
                <w:szCs w:val="8"/>
                <w:b w:val="1"/>
                <w:bCs w:val="1"/>
                <w:color w:val="FFFFFF"/>
              </w:rPr>
              <w:t>For the Three Months Ended June 30,</w:t>
            </w:r>
          </w:p>
        </w:tc>
        <w:tc>
          <w:tcPr>
            <w:tcW w:w="640" w:type="dxa"/>
            <w:vAlign w:val="bottom"/>
            <w:tcBorders>
              <w:bottom w:val="single" w:sz="8" w:color="004483"/>
            </w:tcBorders>
            <w:shd w:val="clear" w:color="auto" w:fill="004483"/>
          </w:tcPr>
          <w:p>
            <w:pPr>
              <w:spacing w:after="0"/>
              <w:rPr>
                <w:sz w:val="12"/>
                <w:szCs w:val="12"/>
                <w:color w:val="auto"/>
              </w:rPr>
            </w:pPr>
          </w:p>
        </w:tc>
        <w:tc>
          <w:tcPr>
            <w:tcW w:w="120" w:type="dxa"/>
            <w:vAlign w:val="bottom"/>
            <w:tcBorders>
              <w:bottom w:val="single" w:sz="8" w:color="004483"/>
            </w:tcBorders>
            <w:shd w:val="clear" w:color="auto" w:fill="004483"/>
          </w:tcPr>
          <w:p>
            <w:pPr>
              <w:spacing w:after="0"/>
              <w:rPr>
                <w:sz w:val="12"/>
                <w:szCs w:val="12"/>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40" w:type="dxa"/>
            <w:vAlign w:val="bottom"/>
            <w:tcBorders>
              <w:bottom w:val="single" w:sz="8" w:color="004483"/>
            </w:tcBorders>
            <w:gridSpan w:val="4"/>
          </w:tcPr>
          <w:p>
            <w:pPr>
              <w:jc w:val="right"/>
              <w:ind w:right="693"/>
              <w:spacing w:after="0"/>
              <w:rPr>
                <w:sz w:val="20"/>
                <w:szCs w:val="20"/>
                <w:color w:val="auto"/>
              </w:rPr>
            </w:pPr>
            <w:r>
              <w:rPr>
                <w:rFonts w:ascii="Arial" w:cs="Arial" w:eastAsia="Arial" w:hAnsi="Arial"/>
                <w:sz w:val="8"/>
                <w:szCs w:val="8"/>
                <w:color w:val="auto"/>
              </w:rPr>
              <w:t>(dollars in thousands)</w:t>
            </w:r>
          </w:p>
        </w:tc>
        <w:tc>
          <w:tcPr>
            <w:tcW w:w="6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40"/>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Operating Lease Cost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2,006</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920" w:type="dxa"/>
            <w:vAlign w:val="bottom"/>
            <w:tcBorders>
              <w:bottom w:val="single" w:sz="8" w:color="A6A6A6"/>
            </w:tcBorders>
          </w:tcPr>
          <w:p>
            <w:pPr>
              <w:jc w:val="right"/>
              <w:ind w:right="853"/>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3,947</w:t>
            </w:r>
          </w:p>
        </w:tc>
        <w:tc>
          <w:tcPr>
            <w:tcW w:w="120" w:type="dxa"/>
            <w:vAlign w:val="bottom"/>
          </w:tcPr>
          <w:p>
            <w:pPr>
              <w:spacing w:after="0"/>
              <w:rPr>
                <w:sz w:val="12"/>
                <w:szCs w:val="12"/>
                <w:color w:val="auto"/>
              </w:rPr>
            </w:pPr>
          </w:p>
        </w:tc>
      </w:tr>
      <w:tr>
        <w:trPr>
          <w:trHeight w:val="142"/>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Short-term Lease Cost</w:t>
            </w:r>
          </w:p>
        </w:tc>
        <w:tc>
          <w:tcPr>
            <w:tcW w:w="560" w:type="dxa"/>
            <w:vAlign w:val="bottom"/>
            <w:tcBorders>
              <w:bottom w:val="single" w:sz="8" w:color="004483"/>
            </w:tcBorders>
          </w:tcPr>
          <w:p>
            <w:pPr>
              <w:spacing w:after="0"/>
              <w:rPr>
                <w:sz w:val="12"/>
                <w:szCs w:val="12"/>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759</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920" w:type="dxa"/>
            <w:vAlign w:val="bottom"/>
            <w:tcBorders>
              <w:bottom w:val="single" w:sz="8" w:color="004483"/>
            </w:tcBorders>
          </w:tcPr>
          <w:p>
            <w:pPr>
              <w:spacing w:after="0"/>
              <w:rPr>
                <w:sz w:val="12"/>
                <w:szCs w:val="12"/>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584</w:t>
            </w:r>
          </w:p>
        </w:tc>
        <w:tc>
          <w:tcPr>
            <w:tcW w:w="120" w:type="dxa"/>
            <w:vAlign w:val="bottom"/>
          </w:tcPr>
          <w:p>
            <w:pPr>
              <w:spacing w:after="0"/>
              <w:rPr>
                <w:sz w:val="12"/>
                <w:szCs w:val="12"/>
                <w:color w:val="auto"/>
              </w:rPr>
            </w:pPr>
          </w:p>
        </w:tc>
      </w:tr>
      <w:tr>
        <w:trPr>
          <w:trHeight w:val="151"/>
        </w:trPr>
        <w:tc>
          <w:tcPr>
            <w:tcW w:w="7740" w:type="dxa"/>
            <w:vAlign w:val="bottom"/>
          </w:tcPr>
          <w:p>
            <w:pPr>
              <w:spacing w:after="0"/>
              <w:rPr>
                <w:sz w:val="20"/>
                <w:szCs w:val="20"/>
                <w:color w:val="auto"/>
              </w:rPr>
            </w:pPr>
            <w:r>
              <w:rPr>
                <w:rFonts w:ascii="Arial" w:cs="Arial" w:eastAsia="Arial" w:hAnsi="Arial"/>
                <w:sz w:val="11"/>
                <w:szCs w:val="11"/>
                <w:b w:val="1"/>
                <w:bCs w:val="1"/>
                <w:color w:val="auto"/>
              </w:rPr>
              <w:t>Total Lease Cost</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2,765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004483"/>
            </w:tcBorders>
          </w:tcPr>
          <w:p>
            <w:pPr>
              <w:jc w:val="right"/>
              <w:ind w:right="85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4,531</w:t>
            </w:r>
          </w:p>
        </w:tc>
        <w:tc>
          <w:tcPr>
            <w:tcW w:w="120" w:type="dxa"/>
            <w:vAlign w:val="bottom"/>
          </w:tcPr>
          <w:p>
            <w:pPr>
              <w:spacing w:after="0"/>
              <w:rPr>
                <w:sz w:val="13"/>
                <w:szCs w:val="13"/>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The Right-of-Use Assets and Lease Liabilities are reflected on our Balance Sheet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580" w:type="dxa"/>
            <w:vAlign w:val="bottom"/>
            <w:shd w:val="clear" w:color="auto" w:fill="004483"/>
          </w:tcPr>
          <w:p>
            <w:pPr>
              <w:jc w:val="right"/>
              <w:ind w:right="978"/>
              <w:spacing w:after="0"/>
              <w:rPr>
                <w:sz w:val="20"/>
                <w:szCs w:val="20"/>
                <w:color w:val="auto"/>
              </w:rPr>
            </w:pPr>
            <w:r>
              <w:rPr>
                <w:rFonts w:ascii="Arial" w:cs="Arial" w:eastAsia="Arial" w:hAnsi="Arial"/>
                <w:sz w:val="8"/>
                <w:szCs w:val="8"/>
                <w:b w:val="1"/>
                <w:bCs w:val="1"/>
                <w:color w:val="F2F2F2"/>
              </w:rPr>
              <w:t>June 30,</w:t>
            </w:r>
          </w:p>
        </w:tc>
        <w:tc>
          <w:tcPr>
            <w:tcW w:w="98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2F2F2"/>
              </w:rPr>
              <w:t>March 31,</w:t>
            </w:r>
          </w:p>
        </w:tc>
      </w:tr>
      <w:tr>
        <w:trPr>
          <w:trHeight w:val="99"/>
        </w:trPr>
        <w:tc>
          <w:tcPr>
            <w:tcW w:w="7740" w:type="dxa"/>
            <w:vAlign w:val="bottom"/>
          </w:tcPr>
          <w:p>
            <w:pPr>
              <w:spacing w:after="0"/>
              <w:rPr>
                <w:sz w:val="8"/>
                <w:szCs w:val="8"/>
                <w:color w:val="auto"/>
              </w:rPr>
            </w:pPr>
          </w:p>
        </w:tc>
        <w:tc>
          <w:tcPr>
            <w:tcW w:w="2580" w:type="dxa"/>
            <w:vAlign w:val="bottom"/>
          </w:tcPr>
          <w:p>
            <w:pPr>
              <w:jc w:val="right"/>
              <w:ind w:right="978"/>
              <w:spacing w:after="0"/>
              <w:rPr>
                <w:sz w:val="20"/>
                <w:szCs w:val="20"/>
                <w:color w:val="auto"/>
              </w:rPr>
            </w:pPr>
            <w:r>
              <w:rPr>
                <w:rFonts w:ascii="Arial" w:cs="Arial" w:eastAsia="Arial" w:hAnsi="Arial"/>
                <w:sz w:val="8"/>
                <w:szCs w:val="8"/>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2580" w:type="dxa"/>
            <w:vAlign w:val="bottom"/>
            <w:tcBorders>
              <w:bottom w:val="single" w:sz="8" w:color="004483"/>
            </w:tcBorders>
          </w:tcPr>
          <w:p>
            <w:pPr>
              <w:jc w:val="right"/>
              <w:ind w:right="458"/>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bl>
    <w:p>
      <w:pPr>
        <w:spacing w:after="0" w:line="1" w:lineRule="exact"/>
        <w:rPr>
          <w:sz w:val="20"/>
          <w:szCs w:val="20"/>
          <w:color w:val="auto"/>
        </w:rPr>
      </w:pPr>
    </w:p>
    <w:p>
      <w:pPr>
        <w:sectPr>
          <w:pgSz w:w="11900" w:h="16838" w:orient="portrait"/>
          <w:cols w:equalWidth="0" w:num="1">
            <w:col w:w="11300"/>
          </w:cols>
          <w:pgMar w:left="300" w:top="382" w:right="299" w:bottom="1440" w:gutter="0" w:footer="0" w:header="0"/>
        </w:sectPr>
      </w:pPr>
    </w:p>
    <w:p>
      <w:pPr>
        <w:spacing w:after="0"/>
        <w:rPr>
          <w:sz w:val="20"/>
          <w:szCs w:val="20"/>
          <w:color w:val="auto"/>
        </w:rPr>
      </w:pPr>
      <w:r>
        <w:rPr>
          <w:rFonts w:ascii="Arial" w:cs="Arial" w:eastAsia="Arial" w:hAnsi="Arial"/>
          <w:sz w:val="11"/>
          <w:szCs w:val="11"/>
          <w:b w:val="1"/>
          <w:bCs w:val="1"/>
          <w:color w:val="auto"/>
        </w:rPr>
        <w:t>Operating Leases: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40" w:type="dxa"/>
            <w:vAlign w:val="bottom"/>
            <w:tcBorders>
              <w:top w:val="single" w:sz="8" w:color="A6A6A6"/>
              <w:bottom w:val="single" w:sz="8" w:color="A6A6A6"/>
            </w:tcBorders>
          </w:tcPr>
          <w:p>
            <w:pPr>
              <w:ind w:left="80"/>
              <w:spacing w:after="0"/>
              <w:rPr>
                <w:sz w:val="20"/>
                <w:szCs w:val="20"/>
                <w:color w:val="auto"/>
              </w:rPr>
            </w:pPr>
            <w:r>
              <w:rPr>
                <w:rFonts w:ascii="Arial" w:cs="Arial" w:eastAsia="Arial" w:hAnsi="Arial"/>
                <w:sz w:val="11"/>
                <w:szCs w:val="11"/>
                <w:color w:val="auto"/>
              </w:rPr>
              <w:t>Operating Lease Right-of-Use Assets</w:t>
            </w:r>
          </w:p>
        </w:tc>
        <w:tc>
          <w:tcPr>
            <w:tcW w:w="660" w:type="dxa"/>
            <w:vAlign w:val="bottom"/>
            <w:tcBorders>
              <w:top w:val="single" w:sz="8" w:color="A6A6A6"/>
              <w:bottom w:val="single" w:sz="8" w:color="004483"/>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29,904</w:t>
            </w:r>
          </w:p>
        </w:tc>
      </w:tr>
      <w:tr>
        <w:trPr>
          <w:trHeight w:val="144"/>
        </w:trPr>
        <w:tc>
          <w:tcPr>
            <w:tcW w:w="7740" w:type="dxa"/>
            <w:vAlign w:val="bottom"/>
            <w:tcBorders>
              <w:bottom w:val="single" w:sz="8" w:color="A6A6A6"/>
            </w:tcBorders>
          </w:tcPr>
          <w:p>
            <w:pPr>
              <w:spacing w:after="0"/>
              <w:rPr>
                <w:sz w:val="12"/>
                <w:szCs w:val="12"/>
                <w:color w:val="auto"/>
              </w:rPr>
            </w:pPr>
          </w:p>
        </w:tc>
        <w:tc>
          <w:tcPr>
            <w:tcW w:w="660" w:type="dxa"/>
            <w:vAlign w:val="bottom"/>
            <w:tcBorders>
              <w:bottom w:val="single" w:sz="8" w:color="A6A6A6"/>
            </w:tcBorders>
          </w:tcPr>
          <w:p>
            <w:pPr>
              <w:spacing w:after="0"/>
              <w:rPr>
                <w:sz w:val="12"/>
                <w:szCs w:val="12"/>
                <w:color w:val="auto"/>
              </w:rPr>
            </w:pPr>
          </w:p>
        </w:tc>
        <w:tc>
          <w:tcPr>
            <w:tcW w:w="920" w:type="dxa"/>
            <w:vAlign w:val="bottom"/>
            <w:tcBorders>
              <w:bottom w:val="single" w:sz="8" w:color="A6A6A6"/>
            </w:tcBorders>
          </w:tcPr>
          <w:p>
            <w:pPr>
              <w:spacing w:after="0"/>
              <w:rPr>
                <w:sz w:val="12"/>
                <w:szCs w:val="12"/>
                <w:color w:val="auto"/>
              </w:rPr>
            </w:pPr>
          </w:p>
        </w:tc>
      </w:tr>
      <w:tr>
        <w:trPr>
          <w:trHeight w:val="131"/>
        </w:trPr>
        <w:tc>
          <w:tcPr>
            <w:tcW w:w="774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auto"/>
              </w:rPr>
              <w:t>Current Operating Lease Liabilities</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10,436</w:t>
            </w:r>
          </w:p>
        </w:tc>
      </w:tr>
      <w:tr>
        <w:trPr>
          <w:trHeight w:val="131"/>
        </w:trPr>
        <w:tc>
          <w:tcPr>
            <w:tcW w:w="7740" w:type="dxa"/>
            <w:vAlign w:val="bottom"/>
          </w:tcPr>
          <w:p>
            <w:pPr>
              <w:ind w:left="80"/>
              <w:spacing w:after="0"/>
              <w:rPr>
                <w:sz w:val="20"/>
                <w:szCs w:val="20"/>
                <w:color w:val="auto"/>
              </w:rPr>
            </w:pPr>
            <w:r>
              <w:rPr>
                <w:rFonts w:ascii="Arial" w:cs="Arial" w:eastAsia="Arial" w:hAnsi="Arial"/>
                <w:sz w:val="11"/>
                <w:szCs w:val="11"/>
                <w:color w:val="auto"/>
              </w:rPr>
              <w:t>Noncurrent Operating Lease Liabilities</w:t>
            </w:r>
          </w:p>
        </w:tc>
        <w:tc>
          <w:tcPr>
            <w:tcW w:w="6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47,478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59207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207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267" w:hanging="1267"/>
        <w:spacing w:after="0"/>
        <w:tabs>
          <w:tab w:leader="none" w:pos="1267" w:val="left"/>
        </w:tabs>
        <w:numPr>
          <w:ilvl w:val="0"/>
          <w:numId w:val="5"/>
        </w:numPr>
        <w:rPr>
          <w:rFonts w:ascii="Arial" w:cs="Arial" w:eastAsia="Arial" w:hAnsi="Arial"/>
          <w:sz w:val="9"/>
          <w:szCs w:val="9"/>
          <w:color w:val="auto"/>
        </w:rPr>
      </w:pPr>
      <w:r>
        <w:rPr>
          <w:rFonts w:ascii="Arial" w:cs="Arial" w:eastAsia="Arial" w:hAnsi="Arial"/>
          <w:sz w:val="9"/>
          <w:szCs w:val="9"/>
          <w:color w:val="auto"/>
        </w:rPr>
        <w:t>30,530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132080</wp:posOffset>
            </wp:positionV>
            <wp:extent cx="11201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23495</wp:posOffset>
            </wp:positionV>
            <wp:extent cx="1120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0140" cy="171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-73025</wp:posOffset>
            </wp:positionV>
            <wp:extent cx="11201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201" w:lineRule="exact"/>
        <w:rPr>
          <w:sz w:val="20"/>
          <w:szCs w:val="20"/>
          <w:color w:val="auto"/>
        </w:rPr>
      </w:pPr>
    </w:p>
    <w:p>
      <w:pPr>
        <w:ind w:left="1267" w:hanging="1267"/>
        <w:spacing w:after="0"/>
        <w:tabs>
          <w:tab w:leader="none" w:pos="1267" w:val="left"/>
        </w:tabs>
        <w:numPr>
          <w:ilvl w:val="0"/>
          <w:numId w:val="6"/>
        </w:numPr>
        <w:rPr>
          <w:rFonts w:ascii="Arial" w:cs="Arial" w:eastAsia="Arial" w:hAnsi="Arial"/>
          <w:sz w:val="9"/>
          <w:szCs w:val="9"/>
          <w:color w:val="auto"/>
        </w:rPr>
      </w:pPr>
      <w:r>
        <w:rPr>
          <w:rFonts w:ascii="Arial" w:cs="Arial" w:eastAsia="Arial" w:hAnsi="Arial"/>
          <w:sz w:val="9"/>
          <w:szCs w:val="9"/>
          <w:color w:val="auto"/>
        </w:rPr>
        <w:t>10,207</w:t>
      </w:r>
    </w:p>
    <w:p>
      <w:pPr>
        <w:spacing w:after="0" w:line="49" w:lineRule="exact"/>
        <w:rPr>
          <w:rFonts w:ascii="Arial" w:cs="Arial" w:eastAsia="Arial" w:hAnsi="Arial"/>
          <w:sz w:val="9"/>
          <w:szCs w:val="9"/>
          <w:color w:val="auto"/>
        </w:rPr>
      </w:pPr>
    </w:p>
    <w:p>
      <w:pPr>
        <w:ind w:left="1267"/>
        <w:spacing w:after="0"/>
        <w:rPr>
          <w:rFonts w:ascii="Arial" w:cs="Arial" w:eastAsia="Arial" w:hAnsi="Arial"/>
          <w:sz w:val="9"/>
          <w:szCs w:val="9"/>
          <w:color w:val="auto"/>
        </w:rPr>
      </w:pPr>
      <w:r>
        <w:rPr>
          <w:rFonts w:ascii="Arial" w:cs="Arial" w:eastAsia="Arial" w:hAnsi="Arial"/>
          <w:sz w:val="9"/>
          <w:szCs w:val="9"/>
          <w:color w:val="auto"/>
        </w:rPr>
        <w:t>49,809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23495</wp:posOffset>
            </wp:positionV>
            <wp:extent cx="11201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-73025</wp:posOffset>
            </wp:positionV>
            <wp:extent cx="11201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9320" w:space="293"/>
            <w:col w:w="1687"/>
          </w:cols>
          <w:pgMar w:left="300" w:top="382" w:right="299" w:bottom="1440" w:gutter="0" w:footer="0" w:header="0"/>
          <w:type w:val="continuous"/>
        </w:sectPr>
      </w:pPr>
    </w:p>
    <w:p>
      <w:pPr>
        <w:spacing w:after="0"/>
        <w:tabs>
          <w:tab w:leader="none" w:pos="7740" w:val="left"/>
          <w:tab w:leader="none" w:pos="9000" w:val="left"/>
          <w:tab w:leader="none" w:pos="9600" w:val="left"/>
          <w:tab w:leader="none" w:pos="10860" w:val="left"/>
        </w:tabs>
        <w:rPr>
          <w:sz w:val="20"/>
          <w:szCs w:val="20"/>
          <w:color w:val="auto"/>
        </w:rPr>
      </w:pPr>
      <w:r>
        <w:rPr>
          <w:rFonts w:ascii="Arial" w:cs="Arial" w:eastAsia="Arial" w:hAnsi="Arial"/>
          <w:sz w:val="11"/>
          <w:szCs w:val="11"/>
          <w:b w:val="1"/>
          <w:bCs w:val="1"/>
          <w:color w:val="auto"/>
        </w:rPr>
        <w:t>Total Operating Lease Liabilities</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57,914</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9"/>
          <w:szCs w:val="9"/>
          <w:b w:val="1"/>
          <w:bCs w:val="1"/>
          <w:color w:val="auto"/>
        </w:rPr>
        <w:t>60,016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11430</wp:posOffset>
            </wp:positionV>
            <wp:extent cx="21831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83130" cy="1714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Future payments for operating leases are as follows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9280" w:type="dxa"/>
            <w:vAlign w:val="bottom"/>
          </w:tcPr>
          <w:p>
            <w:pPr>
              <w:spacing w:after="0"/>
              <w:rPr>
                <w:sz w:val="20"/>
                <w:szCs w:val="20"/>
                <w:color w:val="auto"/>
              </w:rPr>
            </w:pPr>
            <w:r>
              <w:rPr>
                <w:rFonts w:ascii="Arial" w:cs="Arial" w:eastAsia="Arial" w:hAnsi="Arial"/>
                <w:sz w:val="8"/>
                <w:szCs w:val="8"/>
                <w:b w:val="1"/>
                <w:bCs w:val="1"/>
                <w:color w:val="auto"/>
              </w:rPr>
              <w:t>Fiscal Year</w:t>
            </w:r>
          </w:p>
        </w:tc>
        <w:tc>
          <w:tcPr>
            <w:tcW w:w="420" w:type="dxa"/>
            <w:vAlign w:val="bottom"/>
          </w:tcPr>
          <w:p>
            <w:pPr>
              <w:spacing w:after="0"/>
              <w:rPr>
                <w:sz w:val="8"/>
                <w:szCs w:val="8"/>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8"/>
                <w:szCs w:val="8"/>
                <w:b w:val="1"/>
                <w:bCs w:val="1"/>
                <w:color w:val="auto"/>
              </w:rPr>
              <w:t>Amount</w:t>
            </w:r>
          </w:p>
        </w:tc>
      </w:tr>
      <w:tr>
        <w:trPr>
          <w:trHeight w:val="131"/>
        </w:trPr>
        <w:tc>
          <w:tcPr>
            <w:tcW w:w="92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2021 (remaining nine months)</w:t>
            </w:r>
          </w:p>
        </w:tc>
        <w:tc>
          <w:tcPr>
            <w:tcW w:w="420" w:type="dxa"/>
            <w:vAlign w:val="bottom"/>
            <w:tcBorders>
              <w:top w:val="single" w:sz="8" w:color="004483"/>
              <w:bottom w:val="single" w:sz="8" w:color="A6A6A6"/>
            </w:tcBorders>
          </w:tcPr>
          <w:p>
            <w:pPr>
              <w:jc w:val="right"/>
              <w:ind w:right="353"/>
              <w:spacing w:after="0"/>
              <w:rPr>
                <w:sz w:val="20"/>
                <w:szCs w:val="20"/>
                <w:color w:val="auto"/>
              </w:rPr>
            </w:pPr>
            <w:r>
              <w:rPr>
                <w:rFonts w:ascii="Arial" w:cs="Arial" w:eastAsia="Arial" w:hAnsi="Arial"/>
                <w:sz w:val="5"/>
                <w:szCs w:val="5"/>
                <w:color w:val="auto"/>
                <w:w w:val="70"/>
              </w:rPr>
              <w:t>$</w:t>
            </w: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9,301</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2022</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10,887</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2023</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10,062</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8,216</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6,879</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Thereafter</w:t>
            </w:r>
          </w:p>
        </w:tc>
        <w:tc>
          <w:tcPr>
            <w:tcW w:w="42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24,624</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Lease Payments</w:t>
            </w:r>
          </w:p>
        </w:tc>
        <w:tc>
          <w:tcPr>
            <w:tcW w:w="420" w:type="dxa"/>
            <w:vAlign w:val="bottom"/>
            <w:tcBorders>
              <w:bottom w:val="single" w:sz="8" w:color="A6A6A6"/>
            </w:tcBorders>
          </w:tcPr>
          <w:p>
            <w:pPr>
              <w:jc w:val="right"/>
              <w:ind w:right="353"/>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69,969</w:t>
            </w:r>
          </w:p>
        </w:tc>
        <w:tc>
          <w:tcPr>
            <w:tcW w:w="120" w:type="dxa"/>
            <w:vAlign w:val="bottom"/>
          </w:tcPr>
          <w:p>
            <w:pPr>
              <w:spacing w:after="0"/>
              <w:rPr>
                <w:sz w:val="11"/>
                <w:szCs w:val="11"/>
                <w:color w:val="auto"/>
              </w:rPr>
            </w:pPr>
          </w:p>
        </w:tc>
      </w:tr>
      <w:tr>
        <w:trPr>
          <w:trHeight w:val="133"/>
        </w:trPr>
        <w:tc>
          <w:tcPr>
            <w:tcW w:w="9280" w:type="dxa"/>
            <w:vAlign w:val="bottom"/>
          </w:tcPr>
          <w:p>
            <w:pPr>
              <w:spacing w:after="0"/>
              <w:rPr>
                <w:sz w:val="20"/>
                <w:szCs w:val="20"/>
                <w:color w:val="auto"/>
              </w:rPr>
            </w:pPr>
            <w:r>
              <w:rPr>
                <w:rFonts w:ascii="Arial" w:cs="Arial" w:eastAsia="Arial" w:hAnsi="Arial"/>
                <w:sz w:val="11"/>
                <w:szCs w:val="11"/>
                <w:color w:val="auto"/>
              </w:rPr>
              <w:t>Less: Imputed Interest</w:t>
            </w:r>
          </w:p>
        </w:tc>
        <w:tc>
          <w:tcPr>
            <w:tcW w:w="420" w:type="dxa"/>
            <w:vAlign w:val="bottom"/>
          </w:tcPr>
          <w:p>
            <w:pPr>
              <w:spacing w:after="0"/>
              <w:rPr>
                <w:sz w:val="11"/>
                <w:szCs w:val="1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1"/>
                <w:szCs w:val="11"/>
                <w:color w:val="auto"/>
              </w:rPr>
              <w:t>(12,055)</w:t>
            </w:r>
          </w:p>
        </w:tc>
      </w:tr>
      <w:tr>
        <w:trPr>
          <w:trHeight w:val="142"/>
        </w:trPr>
        <w:tc>
          <w:tcPr>
            <w:tcW w:w="928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Present Value of Lease Liabilities</w:t>
            </w:r>
          </w:p>
        </w:tc>
        <w:tc>
          <w:tcPr>
            <w:tcW w:w="420" w:type="dxa"/>
            <w:vAlign w:val="bottom"/>
            <w:tcBorders>
              <w:top w:val="single" w:sz="8" w:color="004483"/>
              <w:bottom w:val="single" w:sz="8" w:color="004483"/>
            </w:tcBorders>
          </w:tcPr>
          <w:p>
            <w:pPr>
              <w:jc w:val="right"/>
              <w:ind w:right="353"/>
              <w:spacing w:after="0"/>
              <w:rPr>
                <w:sz w:val="20"/>
                <w:szCs w:val="20"/>
                <w:color w:val="auto"/>
              </w:rPr>
            </w:pPr>
            <w:r>
              <w:rPr>
                <w:rFonts w:ascii="Arial" w:cs="Arial" w:eastAsia="Arial" w:hAnsi="Arial"/>
                <w:sz w:val="5"/>
                <w:szCs w:val="5"/>
                <w:color w:val="auto"/>
                <w:w w:val="70"/>
              </w:rPr>
              <w:t>$</w:t>
            </w:r>
          </w:p>
        </w:tc>
        <w:tc>
          <w:tcPr>
            <w:tcW w:w="14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57,914</w:t>
            </w:r>
          </w:p>
        </w:tc>
        <w:tc>
          <w:tcPr>
            <w:tcW w:w="120" w:type="dxa"/>
            <w:vAlign w:val="bottom"/>
          </w:tcPr>
          <w:p>
            <w:pPr>
              <w:spacing w:after="0"/>
              <w:rPr>
                <w:sz w:val="12"/>
                <w:szCs w:val="12"/>
                <w:color w:val="auto"/>
              </w:rPr>
            </w:pPr>
          </w:p>
        </w:tc>
      </w:tr>
      <w:tr>
        <w:trPr>
          <w:trHeight w:val="144"/>
        </w:trPr>
        <w:tc>
          <w:tcPr>
            <w:tcW w:w="9280" w:type="dxa"/>
            <w:vAlign w:val="bottom"/>
            <w:tcBorders>
              <w:bottom w:val="single" w:sz="8" w:color="A6A6A6"/>
            </w:tcBorders>
          </w:tcPr>
          <w:p>
            <w:pPr>
              <w:spacing w:after="0"/>
              <w:rPr>
                <w:sz w:val="12"/>
                <w:szCs w:val="12"/>
                <w:color w:val="auto"/>
              </w:rPr>
            </w:pPr>
          </w:p>
        </w:tc>
        <w:tc>
          <w:tcPr>
            <w:tcW w:w="420" w:type="dxa"/>
            <w:vAlign w:val="bottom"/>
            <w:tcBorders>
              <w:bottom w:val="single" w:sz="8" w:color="A6A6A6"/>
            </w:tcBorders>
          </w:tcPr>
          <w:p>
            <w:pPr>
              <w:spacing w:after="0"/>
              <w:rPr>
                <w:sz w:val="12"/>
                <w:szCs w:val="12"/>
                <w:color w:val="auto"/>
              </w:rPr>
            </w:pPr>
          </w:p>
        </w:tc>
        <w:tc>
          <w:tcPr>
            <w:tcW w:w="146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Weighted-Average Remaining Lease Term (in years)</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9.1</w:t>
            </w:r>
          </w:p>
        </w:tc>
        <w:tc>
          <w:tcPr>
            <w:tcW w:w="120" w:type="dxa"/>
            <w:vAlign w:val="bottom"/>
          </w:tcPr>
          <w:p>
            <w:pPr>
              <w:spacing w:after="0"/>
              <w:rPr>
                <w:sz w:val="11"/>
                <w:szCs w:val="11"/>
                <w:color w:val="auto"/>
              </w:rPr>
            </w:pPr>
          </w:p>
        </w:tc>
      </w:tr>
      <w:tr>
        <w:trPr>
          <w:trHeight w:val="133"/>
        </w:trPr>
        <w:tc>
          <w:tcPr>
            <w:tcW w:w="9280" w:type="dxa"/>
            <w:vAlign w:val="bottom"/>
          </w:tcPr>
          <w:p>
            <w:pPr>
              <w:spacing w:after="0"/>
              <w:rPr>
                <w:sz w:val="20"/>
                <w:szCs w:val="20"/>
                <w:color w:val="auto"/>
              </w:rPr>
            </w:pPr>
            <w:r>
              <w:rPr>
                <w:rFonts w:ascii="Arial" w:cs="Arial" w:eastAsia="Arial" w:hAnsi="Arial"/>
                <w:sz w:val="11"/>
                <w:szCs w:val="11"/>
                <w:b w:val="1"/>
                <w:bCs w:val="1"/>
                <w:color w:val="auto"/>
              </w:rPr>
              <w:t>Weighted-Average Discount Rate</w:t>
            </w:r>
          </w:p>
        </w:tc>
        <w:tc>
          <w:tcPr>
            <w:tcW w:w="4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b w:val="1"/>
                <w:bCs w:val="1"/>
                <w:color w:val="auto"/>
              </w:rPr>
              <w:t>3.78%</w:t>
            </w:r>
          </w:p>
        </w:tc>
      </w:tr>
      <w:tr>
        <w:trPr>
          <w:trHeight w:val="20"/>
        </w:trPr>
        <w:tc>
          <w:tcPr>
            <w:tcW w:w="928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 SHARE-BASED EMPLOYEE COMPENSATION</w:t>
      </w:r>
    </w:p>
    <w:p>
      <w:pPr>
        <w:spacing w:after="0" w:line="93"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(RSUs), restricted stock, and stock appreciation rights to employees of the Company and members of the Board of Directors. Awards that were already outstanding prior to the approval of the Plan on August 7, 2013 remain outstanding. The Compensation Committee of our Board of Directors specifies the terms for grants of equity awards under the Plan.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Long-Term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w:t>
      </w:r>
    </w:p>
    <w:p>
      <w:pPr>
        <w:spacing w:after="0" w:line="101" w:lineRule="exact"/>
        <w:rPr>
          <w:sz w:val="20"/>
          <w:szCs w:val="20"/>
          <w:color w:val="auto"/>
        </w:rPr>
      </w:pPr>
    </w:p>
    <w:p>
      <w:pPr>
        <w:jc w:val="both"/>
        <w:ind w:right="60"/>
        <w:spacing w:after="0" w:line="271" w:lineRule="auto"/>
        <w:rPr>
          <w:sz w:val="20"/>
          <w:szCs w:val="20"/>
          <w:color w:val="auto"/>
        </w:rPr>
      </w:pPr>
      <w:r>
        <w:rPr>
          <w:rFonts w:ascii="Arial" w:cs="Arial" w:eastAsia="Arial" w:hAnsi="Arial"/>
          <w:sz w:val="12"/>
          <w:szCs w:val="12"/>
          <w:color w:val="auto"/>
        </w:rPr>
        <w:t>In May 2020, the Compensation Committee of the Board of Directors approved the granting to certain officers and key employees an aggregate of 96,476 performance vesting stock options that will be earned only if certain performance conditions are satisfied (the Fiscal 2021 Employee Performance Stock Option Grant). The performance criteria for the Fiscal 2021 Employee Performance Stock Option Grant is based upon the</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type w:val="continuous"/>
        </w:sectPr>
      </w:pPr>
    </w:p>
    <w:bookmarkStart w:id="14" w:name="page15"/>
    <w:bookmarkEnd w:id="14"/>
    <w:p>
      <w:pPr>
        <w:jc w:val="both"/>
        <w:ind w:right="20"/>
        <w:spacing w:after="0" w:line="290" w:lineRule="auto"/>
        <w:rPr>
          <w:sz w:val="20"/>
          <w:szCs w:val="20"/>
          <w:color w:val="auto"/>
        </w:rPr>
      </w:pPr>
      <w:r>
        <w:rPr>
          <w:rFonts w:ascii="Arial" w:cs="Arial" w:eastAsia="Arial" w:hAnsi="Arial"/>
          <w:sz w:val="11"/>
          <w:szCs w:val="11"/>
          <w:color w:val="auto"/>
        </w:rPr>
        <w:t>achievement of certain levels of return on equity (as defined in the option agreements), ranging from 10.0% to 20.0%, for the fiscal year ending March 31, 2021. All stock options will be earned if the return on equity is 20.0% or greater, and the percentage of shares earned will be reduced proportionately to approximately 66.7% if the return on equity is 10.0%. If the Company does not achieve a return on equity of at least</w:t>
      </w:r>
    </w:p>
    <w:p>
      <w:pPr>
        <w:jc w:val="both"/>
        <w:spacing w:after="0" w:line="307" w:lineRule="auto"/>
        <w:rPr>
          <w:sz w:val="20"/>
          <w:szCs w:val="20"/>
          <w:color w:val="auto"/>
        </w:rPr>
      </w:pPr>
      <w:r>
        <w:rPr>
          <w:rFonts w:ascii="Arial" w:cs="Arial" w:eastAsia="Arial" w:hAnsi="Arial"/>
          <w:sz w:val="11"/>
          <w:szCs w:val="11"/>
          <w:color w:val="auto"/>
        </w:rPr>
        <w:t>10.0%, all granted stock options will be forfeited. Following any such reduction, restrictions on the earned stock options will lapse and the earned options will vest ratably over four years, with the initial fourth vesting promptly following the determination date, and the remaining options vesting on March 31, 2022 through 2024. The stock options have a term of ten years from the date of grant. The Compensation Committee also approved the granting of 80,396 time-vesting stock options to the same officers and key employees, which vest ratably over four years (the Fiscal 2021 Employee Time-Vesting Stock Option Grant).</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weighted-average assumptions used in the Black-Scholes model to value the option awards in fiscal 2021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880" w:type="dxa"/>
            <w:vAlign w:val="bottom"/>
            <w:tcBorders>
              <w:bottom w:val="single" w:sz="8" w:color="004483"/>
            </w:tcBorders>
          </w:tcPr>
          <w:p>
            <w:pPr>
              <w:spacing w:after="0"/>
              <w:rPr>
                <w:sz w:val="8"/>
                <w:szCs w:val="8"/>
                <w:color w:val="auto"/>
              </w:rPr>
            </w:pPr>
          </w:p>
        </w:tc>
        <w:tc>
          <w:tcPr>
            <w:tcW w:w="530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8"/>
                <w:szCs w:val="8"/>
                <w:color w:val="auto"/>
              </w:rPr>
            </w:pPr>
          </w:p>
        </w:tc>
      </w:tr>
      <w:tr>
        <w:trPr>
          <w:trHeight w:val="131"/>
        </w:trPr>
        <w:tc>
          <w:tcPr>
            <w:tcW w:w="58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Dividend Yield</w:t>
            </w:r>
          </w:p>
        </w:tc>
        <w:tc>
          <w:tcPr>
            <w:tcW w:w="53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r>
      <w:tr>
        <w:trPr>
          <w:trHeight w:val="133"/>
        </w:trPr>
        <w:tc>
          <w:tcPr>
            <w:tcW w:w="5880" w:type="dxa"/>
            <w:vAlign w:val="bottom"/>
          </w:tcPr>
          <w:p>
            <w:pPr>
              <w:spacing w:after="0"/>
              <w:rPr>
                <w:sz w:val="20"/>
                <w:szCs w:val="20"/>
                <w:color w:val="auto"/>
              </w:rPr>
            </w:pPr>
            <w:r>
              <w:rPr>
                <w:rFonts w:ascii="Arial" w:cs="Arial" w:eastAsia="Arial" w:hAnsi="Arial"/>
                <w:sz w:val="11"/>
                <w:szCs w:val="11"/>
                <w:color w:val="auto"/>
              </w:rPr>
              <w:t>Expected Volatility</w:t>
            </w:r>
          </w:p>
        </w:tc>
        <w:tc>
          <w:tcPr>
            <w:tcW w:w="5380" w:type="dxa"/>
            <w:vAlign w:val="bottom"/>
            <w:gridSpan w:val="2"/>
          </w:tcPr>
          <w:p>
            <w:pPr>
              <w:jc w:val="right"/>
              <w:spacing w:after="0"/>
              <w:rPr>
                <w:sz w:val="20"/>
                <w:szCs w:val="20"/>
                <w:color w:val="auto"/>
              </w:rPr>
            </w:pPr>
            <w:r>
              <w:rPr>
                <w:rFonts w:ascii="Arial" w:cs="Arial" w:eastAsia="Arial" w:hAnsi="Arial"/>
                <w:sz w:val="11"/>
                <w:szCs w:val="11"/>
                <w:color w:val="auto"/>
              </w:rPr>
              <w:t>37.9%</w:t>
            </w:r>
          </w:p>
        </w:tc>
      </w:tr>
      <w:tr>
        <w:trPr>
          <w:trHeight w:val="20"/>
        </w:trPr>
        <w:tc>
          <w:tcPr>
            <w:tcW w:w="5880" w:type="dxa"/>
            <w:vAlign w:val="bottom"/>
            <w:shd w:val="clear" w:color="auto" w:fill="A6A6A6"/>
          </w:tcPr>
          <w:p>
            <w:pPr>
              <w:spacing w:after="0" w:line="20" w:lineRule="exact"/>
              <w:rPr>
                <w:sz w:val="1"/>
                <w:szCs w:val="1"/>
                <w:color w:val="auto"/>
              </w:rPr>
            </w:pPr>
          </w:p>
        </w:tc>
        <w:tc>
          <w:tcPr>
            <w:tcW w:w="53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5880" w:type="dxa"/>
            <w:vAlign w:val="bottom"/>
          </w:tcPr>
          <w:p>
            <w:pPr>
              <w:spacing w:after="0"/>
              <w:rPr>
                <w:sz w:val="20"/>
                <w:szCs w:val="20"/>
                <w:color w:val="auto"/>
              </w:rPr>
            </w:pPr>
            <w:r>
              <w:rPr>
                <w:rFonts w:ascii="Arial" w:cs="Arial" w:eastAsia="Arial" w:hAnsi="Arial"/>
                <w:sz w:val="11"/>
                <w:szCs w:val="11"/>
                <w:color w:val="auto"/>
              </w:rPr>
              <w:t>Risk Free Interest Rate</w:t>
            </w:r>
          </w:p>
        </w:tc>
        <w:tc>
          <w:tcPr>
            <w:tcW w:w="5380" w:type="dxa"/>
            <w:vAlign w:val="bottom"/>
            <w:gridSpan w:val="2"/>
          </w:tcPr>
          <w:p>
            <w:pPr>
              <w:jc w:val="right"/>
              <w:spacing w:after="0"/>
              <w:rPr>
                <w:sz w:val="20"/>
                <w:szCs w:val="20"/>
                <w:color w:val="auto"/>
              </w:rPr>
            </w:pPr>
            <w:r>
              <w:rPr>
                <w:rFonts w:ascii="Arial" w:cs="Arial" w:eastAsia="Arial" w:hAnsi="Arial"/>
                <w:sz w:val="11"/>
                <w:szCs w:val="11"/>
                <w:color w:val="auto"/>
              </w:rPr>
              <w:t>0.5%</w:t>
            </w:r>
          </w:p>
        </w:tc>
      </w:tr>
      <w:tr>
        <w:trPr>
          <w:trHeight w:val="133"/>
        </w:trPr>
        <w:tc>
          <w:tcPr>
            <w:tcW w:w="58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Expected Life</w:t>
            </w:r>
          </w:p>
        </w:tc>
        <w:tc>
          <w:tcPr>
            <w:tcW w:w="5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6.0 years</w:t>
            </w:r>
          </w:p>
        </w:tc>
        <w:tc>
          <w:tcPr>
            <w:tcW w:w="80" w:type="dxa"/>
            <w:vAlign w:val="bottom"/>
          </w:tcPr>
          <w:p>
            <w:pPr>
              <w:spacing w:after="0"/>
              <w:rPr>
                <w:sz w:val="11"/>
                <w:szCs w:val="11"/>
                <w:color w:val="auto"/>
              </w:rPr>
            </w:pPr>
          </w:p>
        </w:tc>
      </w:tr>
    </w:tbl>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2"/>
          <w:szCs w:val="12"/>
          <w:color w:val="auto"/>
        </w:rPr>
        <w:t>Stock option expense for all outstanding stock option awards totaled approximately $1.7 million and $1.1 million for the three months ended June 30, 2020 and 2019, respectively. At June 30, 2020, there was approximately $10.0 million of unrecognized compensation cost related to outstanding stock options, which is expected to be recognized over a weighted-average period of 2.8 years.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represents stock option activity for the three months ended June 30,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Weighted-</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Average</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Number</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Exercise</w:t>
            </w:r>
          </w:p>
        </w:tc>
        <w:tc>
          <w:tcPr>
            <w:tcW w:w="120" w:type="dxa"/>
            <w:vAlign w:val="bottom"/>
          </w:tcPr>
          <w:p>
            <w:pPr>
              <w:spacing w:after="0"/>
              <w:rPr>
                <w:sz w:val="7"/>
                <w:szCs w:val="7"/>
                <w:color w:val="auto"/>
              </w:rPr>
            </w:pPr>
          </w:p>
        </w:tc>
      </w:tr>
      <w:tr>
        <w:trPr>
          <w:trHeight w:val="101"/>
        </w:trPr>
        <w:tc>
          <w:tcPr>
            <w:tcW w:w="5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w w:val="98"/>
              </w:rPr>
              <w:t>of Shares</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Price</w:t>
            </w:r>
          </w:p>
        </w:tc>
        <w:tc>
          <w:tcPr>
            <w:tcW w:w="120" w:type="dxa"/>
            <w:vAlign w:val="bottom"/>
          </w:tcPr>
          <w:p>
            <w:pPr>
              <w:spacing w:after="0"/>
              <w:rPr>
                <w:sz w:val="8"/>
                <w:szCs w:val="8"/>
                <w:color w:val="auto"/>
              </w:rPr>
            </w:pPr>
          </w:p>
        </w:tc>
      </w:tr>
      <w:tr>
        <w:trPr>
          <w:trHeight w:val="131"/>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Outstanding Options at March 31, 2020</w:t>
            </w:r>
          </w:p>
        </w:tc>
        <w:tc>
          <w:tcPr>
            <w:tcW w:w="1000" w:type="dxa"/>
            <w:vAlign w:val="bottom"/>
            <w:tcBorders>
              <w:top w:val="single" w:sz="8" w:color="004483"/>
              <w:bottom w:val="single" w:sz="8" w:color="A6A6A6"/>
            </w:tcBorders>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1260" w:type="dxa"/>
            <w:vAlign w:val="bottom"/>
            <w:tcBorders>
              <w:top w:val="single" w:sz="8" w:color="004483"/>
              <w:bottom w:val="single" w:sz="8" w:color="A6A6A6"/>
            </w:tcBorders>
          </w:tcPr>
          <w:p>
            <w:pPr>
              <w:spacing w:after="0"/>
              <w:rPr>
                <w:sz w:val="11"/>
                <w:szCs w:val="11"/>
                <w:color w:val="auto"/>
              </w:rPr>
            </w:pPr>
          </w:p>
        </w:tc>
        <w:tc>
          <w:tcPr>
            <w:tcW w:w="180" w:type="dxa"/>
            <w:vAlign w:val="bottom"/>
            <w:tcBorders>
              <w:top w:val="single" w:sz="8" w:color="004483"/>
              <w:bottom w:val="single" w:sz="8" w:color="A6A6A6"/>
            </w:tcBorders>
          </w:tcPr>
          <w:p>
            <w:pPr>
              <w:spacing w:after="0"/>
              <w:rPr>
                <w:sz w:val="11"/>
                <w:szCs w:val="11"/>
                <w:color w:val="auto"/>
              </w:rPr>
            </w:pPr>
          </w:p>
        </w:tc>
        <w:tc>
          <w:tcPr>
            <w:tcW w:w="320" w:type="dxa"/>
            <w:vAlign w:val="bottom"/>
            <w:tcBorders>
              <w:top w:val="single" w:sz="8" w:color="004483"/>
              <w:bottom w:val="single" w:sz="8" w:color="A6A6A6"/>
            </w:tcBorders>
          </w:tcPr>
          <w:p>
            <w:pPr>
              <w:spacing w:after="0"/>
              <w:rPr>
                <w:sz w:val="11"/>
                <w:szCs w:val="11"/>
                <w:color w:val="auto"/>
              </w:rPr>
            </w:pPr>
          </w:p>
        </w:tc>
        <w:tc>
          <w:tcPr>
            <w:tcW w:w="1260" w:type="dxa"/>
            <w:vAlign w:val="bottom"/>
            <w:tcBorders>
              <w:top w:val="single" w:sz="8" w:color="004483"/>
              <w:bottom w:val="single" w:sz="8" w:color="A6A6A6"/>
            </w:tcBorders>
            <w:gridSpan w:val="3"/>
          </w:tcPr>
          <w:p>
            <w:pPr>
              <w:jc w:val="right"/>
              <w:spacing w:after="0"/>
              <w:rPr>
                <w:sz w:val="20"/>
                <w:szCs w:val="20"/>
                <w:color w:val="auto"/>
              </w:rPr>
            </w:pPr>
            <w:r>
              <w:rPr>
                <w:rFonts w:ascii="Arial" w:cs="Arial" w:eastAsia="Arial" w:hAnsi="Arial"/>
                <w:sz w:val="11"/>
                <w:szCs w:val="11"/>
                <w:color w:val="auto"/>
              </w:rPr>
              <w:t>1,160,091</w:t>
            </w:r>
          </w:p>
        </w:tc>
        <w:tc>
          <w:tcPr>
            <w:tcW w:w="100" w:type="dxa"/>
            <w:vAlign w:val="bottom"/>
          </w:tcPr>
          <w:p>
            <w:pPr>
              <w:spacing w:after="0"/>
              <w:rPr>
                <w:sz w:val="11"/>
                <w:szCs w:val="11"/>
                <w:color w:val="auto"/>
              </w:rPr>
            </w:pPr>
          </w:p>
        </w:tc>
        <w:tc>
          <w:tcPr>
            <w:tcW w:w="500" w:type="dxa"/>
            <w:vAlign w:val="bottom"/>
            <w:tcBorders>
              <w:top w:val="single" w:sz="8" w:color="004483"/>
              <w:bottom w:val="single" w:sz="8" w:color="A6A6A6"/>
            </w:tcBorders>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004483"/>
              <w:bottom w:val="single" w:sz="8" w:color="A6A6A6"/>
            </w:tcBorders>
          </w:tcPr>
          <w:p>
            <w:pPr>
              <w:spacing w:after="0"/>
              <w:rPr>
                <w:sz w:val="11"/>
                <w:szCs w:val="11"/>
                <w:color w:val="auto"/>
              </w:rPr>
            </w:pPr>
          </w:p>
        </w:tc>
        <w:tc>
          <w:tcPr>
            <w:tcW w:w="560" w:type="dxa"/>
            <w:vAlign w:val="bottom"/>
            <w:tcBorders>
              <w:top w:val="single" w:sz="8" w:color="004483"/>
              <w:bottom w:val="single" w:sz="8" w:color="A6A6A6"/>
            </w:tcBorders>
          </w:tcPr>
          <w:p>
            <w:pPr>
              <w:spacing w:after="0"/>
              <w:rPr>
                <w:sz w:val="11"/>
                <w:szCs w:val="11"/>
                <w:color w:val="auto"/>
              </w:rPr>
            </w:pPr>
          </w:p>
        </w:tc>
        <w:tc>
          <w:tcPr>
            <w:tcW w:w="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80.36</w:t>
            </w:r>
          </w:p>
        </w:tc>
        <w:tc>
          <w:tcPr>
            <w:tcW w:w="12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Granted</w:t>
            </w:r>
          </w:p>
        </w:tc>
        <w:tc>
          <w:tcPr>
            <w:tcW w:w="10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gridSpan w:val="3"/>
          </w:tcPr>
          <w:p>
            <w:pPr>
              <w:jc w:val="right"/>
              <w:spacing w:after="0"/>
              <w:rPr>
                <w:sz w:val="20"/>
                <w:szCs w:val="20"/>
                <w:color w:val="auto"/>
              </w:rPr>
            </w:pPr>
            <w:r>
              <w:rPr>
                <w:rFonts w:ascii="Arial" w:cs="Arial" w:eastAsia="Arial" w:hAnsi="Arial"/>
                <w:sz w:val="11"/>
                <w:szCs w:val="11"/>
                <w:color w:val="auto"/>
              </w:rPr>
              <w:t>178,946</w:t>
            </w:r>
          </w:p>
        </w:tc>
        <w:tc>
          <w:tcPr>
            <w:tcW w:w="100" w:type="dxa"/>
            <w:vAlign w:val="bottom"/>
          </w:tcPr>
          <w:p>
            <w:pPr>
              <w:spacing w:after="0"/>
              <w:rPr>
                <w:sz w:val="11"/>
                <w:szCs w:val="11"/>
                <w:color w:val="auto"/>
              </w:rPr>
            </w:pPr>
          </w:p>
        </w:tc>
        <w:tc>
          <w:tcPr>
            <w:tcW w:w="500" w:type="dxa"/>
            <w:vAlign w:val="bottom"/>
            <w:tcBorders>
              <w:bottom w:val="single" w:sz="8" w:color="A6A6A6"/>
            </w:tcBorders>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60.20</w:t>
            </w:r>
          </w:p>
        </w:tc>
        <w:tc>
          <w:tcPr>
            <w:tcW w:w="12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Exercised</w:t>
            </w:r>
          </w:p>
        </w:tc>
        <w:tc>
          <w:tcPr>
            <w:tcW w:w="10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4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Borders>
              <w:bottom w:val="single" w:sz="8" w:color="A6A6A6"/>
            </w:tcBorders>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Cancelled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1"/>
                <w:szCs w:val="11"/>
                <w:color w:val="auto"/>
              </w:rPr>
              <w:t>(12,094)</w:t>
            </w:r>
          </w:p>
        </w:tc>
        <w:tc>
          <w:tcPr>
            <w:tcW w:w="500" w:type="dxa"/>
            <w:vAlign w:val="bottom"/>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91.58</w:t>
            </w:r>
          </w:p>
        </w:tc>
        <w:tc>
          <w:tcPr>
            <w:tcW w:w="120" w:type="dxa"/>
            <w:vAlign w:val="bottom"/>
          </w:tcPr>
          <w:p>
            <w:pPr>
              <w:spacing w:after="0"/>
              <w:rPr>
                <w:sz w:val="11"/>
                <w:szCs w:val="11"/>
                <w:color w:val="auto"/>
              </w:rPr>
            </w:pPr>
          </w:p>
        </w:tc>
      </w:tr>
      <w:tr>
        <w:trPr>
          <w:trHeight w:val="15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Outstanding Options at June 30, 2020</w:t>
            </w:r>
          </w:p>
        </w:tc>
        <w:tc>
          <w:tcPr>
            <w:tcW w:w="1000" w:type="dxa"/>
            <w:vAlign w:val="bottom"/>
            <w:tcBorders>
              <w:top w:val="single" w:sz="8" w:color="A6A6A6"/>
              <w:bottom w:val="single" w:sz="8" w:color="A6A6A6"/>
            </w:tcBorders>
          </w:tcPr>
          <w:p>
            <w:pPr>
              <w:spacing w:after="0"/>
              <w:rPr>
                <w:sz w:val="13"/>
                <w:szCs w:val="13"/>
                <w:color w:val="auto"/>
              </w:rPr>
            </w:pPr>
          </w:p>
        </w:tc>
        <w:tc>
          <w:tcPr>
            <w:tcW w:w="100" w:type="dxa"/>
            <w:vAlign w:val="bottom"/>
            <w:tcBorders>
              <w:top w:val="single" w:sz="8" w:color="A6A6A6"/>
              <w:bottom w:val="single" w:sz="8" w:color="A6A6A6"/>
            </w:tcBorders>
          </w:tcPr>
          <w:p>
            <w:pPr>
              <w:spacing w:after="0"/>
              <w:rPr>
                <w:sz w:val="13"/>
                <w:szCs w:val="13"/>
                <w:color w:val="auto"/>
              </w:rPr>
            </w:pPr>
          </w:p>
        </w:tc>
        <w:tc>
          <w:tcPr>
            <w:tcW w:w="1260" w:type="dxa"/>
            <w:vAlign w:val="bottom"/>
            <w:tcBorders>
              <w:top w:val="single" w:sz="8" w:color="A6A6A6"/>
              <w:bottom w:val="single" w:sz="8" w:color="A6A6A6"/>
            </w:tcBorders>
          </w:tcPr>
          <w:p>
            <w:pPr>
              <w:spacing w:after="0"/>
              <w:rPr>
                <w:sz w:val="13"/>
                <w:szCs w:val="13"/>
                <w:color w:val="auto"/>
              </w:rPr>
            </w:pPr>
          </w:p>
        </w:tc>
        <w:tc>
          <w:tcPr>
            <w:tcW w:w="180" w:type="dxa"/>
            <w:vAlign w:val="bottom"/>
            <w:tcBorders>
              <w:top w:val="single" w:sz="8" w:color="A6A6A6"/>
              <w:bottom w:val="single" w:sz="8" w:color="A6A6A6"/>
            </w:tcBorders>
          </w:tcPr>
          <w:p>
            <w:pPr>
              <w:spacing w:after="0"/>
              <w:rPr>
                <w:sz w:val="13"/>
                <w:szCs w:val="13"/>
                <w:color w:val="auto"/>
              </w:rPr>
            </w:pPr>
          </w:p>
        </w:tc>
        <w:tc>
          <w:tcPr>
            <w:tcW w:w="320" w:type="dxa"/>
            <w:vAlign w:val="bottom"/>
            <w:tcBorders>
              <w:top w:val="single" w:sz="8" w:color="004483"/>
              <w:bottom w:val="single" w:sz="8" w:color="004483"/>
            </w:tcBorders>
          </w:tcPr>
          <w:p>
            <w:pPr>
              <w:spacing w:after="0"/>
              <w:rPr>
                <w:sz w:val="13"/>
                <w:szCs w:val="13"/>
                <w:color w:val="auto"/>
              </w:rPr>
            </w:pPr>
          </w:p>
        </w:tc>
        <w:tc>
          <w:tcPr>
            <w:tcW w:w="1260" w:type="dxa"/>
            <w:vAlign w:val="bottom"/>
            <w:tcBorders>
              <w:top w:val="single" w:sz="8" w:color="004483"/>
              <w:bottom w:val="single" w:sz="8" w:color="004483"/>
            </w:tcBorders>
            <w:gridSpan w:val="3"/>
          </w:tcPr>
          <w:p>
            <w:pPr>
              <w:jc w:val="right"/>
              <w:spacing w:after="0"/>
              <w:rPr>
                <w:sz w:val="20"/>
                <w:szCs w:val="20"/>
                <w:color w:val="auto"/>
              </w:rPr>
            </w:pPr>
            <w:r>
              <w:rPr>
                <w:rFonts w:ascii="Arial" w:cs="Arial" w:eastAsia="Arial" w:hAnsi="Arial"/>
                <w:sz w:val="11"/>
                <w:szCs w:val="11"/>
                <w:b w:val="1"/>
                <w:bCs w:val="1"/>
                <w:color w:val="auto"/>
              </w:rPr>
              <w:t>1,326,943</w:t>
            </w:r>
          </w:p>
        </w:tc>
        <w:tc>
          <w:tcPr>
            <w:tcW w:w="100" w:type="dxa"/>
            <w:vAlign w:val="bottom"/>
          </w:tcPr>
          <w:p>
            <w:pPr>
              <w:spacing w:after="0"/>
              <w:rPr>
                <w:sz w:val="13"/>
                <w:szCs w:val="13"/>
                <w:color w:val="auto"/>
              </w:rPr>
            </w:pPr>
          </w:p>
        </w:tc>
        <w:tc>
          <w:tcPr>
            <w:tcW w:w="500" w:type="dxa"/>
            <w:vAlign w:val="bottom"/>
            <w:tcBorders>
              <w:top w:val="single" w:sz="8" w:color="A6A6A6"/>
              <w:bottom w:val="single" w:sz="8" w:color="A6A6A6"/>
            </w:tcBorders>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560" w:type="dxa"/>
            <w:vAlign w:val="bottom"/>
            <w:tcBorders>
              <w:top w:val="single" w:sz="8" w:color="A6A6A6"/>
              <w:bottom w:val="single" w:sz="8" w:color="A6A6A6"/>
            </w:tcBorders>
          </w:tcPr>
          <w:p>
            <w:pPr>
              <w:spacing w:after="0"/>
              <w:rPr>
                <w:sz w:val="13"/>
                <w:szCs w:val="13"/>
                <w:color w:val="auto"/>
              </w:rPr>
            </w:pPr>
          </w:p>
        </w:tc>
        <w:tc>
          <w:tcPr>
            <w:tcW w:w="580" w:type="dxa"/>
            <w:vAlign w:val="bottom"/>
            <w:tcBorders>
              <w:top w:val="single" w:sz="8" w:color="A6A6A6"/>
              <w:bottom w:val="single" w:sz="8" w:color="A6A6A6"/>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20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Options Exercisable at June 30, 2020</w:t>
            </w:r>
          </w:p>
        </w:tc>
        <w:tc>
          <w:tcPr>
            <w:tcW w:w="1000" w:type="dxa"/>
            <w:vAlign w:val="bottom"/>
            <w:tcBorders>
              <w:bottom w:val="single" w:sz="8" w:color="A6A6A6"/>
            </w:tcBorders>
          </w:tcPr>
          <w:p>
            <w:pPr>
              <w:spacing w:after="0"/>
              <w:rPr>
                <w:sz w:val="13"/>
                <w:szCs w:val="13"/>
                <w:color w:val="auto"/>
              </w:rPr>
            </w:pPr>
          </w:p>
        </w:tc>
        <w:tc>
          <w:tcPr>
            <w:tcW w:w="100" w:type="dxa"/>
            <w:vAlign w:val="bottom"/>
            <w:tcBorders>
              <w:bottom w:val="single" w:sz="8" w:color="A6A6A6"/>
            </w:tcBorders>
          </w:tcPr>
          <w:p>
            <w:pPr>
              <w:spacing w:after="0"/>
              <w:rPr>
                <w:sz w:val="13"/>
                <w:szCs w:val="13"/>
                <w:color w:val="auto"/>
              </w:rPr>
            </w:pPr>
          </w:p>
        </w:tc>
        <w:tc>
          <w:tcPr>
            <w:tcW w:w="126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320" w:type="dxa"/>
            <w:vAlign w:val="bottom"/>
            <w:tcBorders>
              <w:bottom w:val="single" w:sz="8" w:color="004483"/>
            </w:tcBorders>
          </w:tcPr>
          <w:p>
            <w:pPr>
              <w:spacing w:after="0"/>
              <w:rPr>
                <w:sz w:val="13"/>
                <w:szCs w:val="13"/>
                <w:color w:val="auto"/>
              </w:rPr>
            </w:pPr>
          </w:p>
        </w:tc>
        <w:tc>
          <w:tcPr>
            <w:tcW w:w="1260" w:type="dxa"/>
            <w:vAlign w:val="bottom"/>
            <w:tcBorders>
              <w:bottom w:val="single" w:sz="8" w:color="004483"/>
            </w:tcBorders>
            <w:gridSpan w:val="3"/>
          </w:tcPr>
          <w:p>
            <w:pPr>
              <w:jc w:val="right"/>
              <w:spacing w:after="0"/>
              <w:rPr>
                <w:sz w:val="20"/>
                <w:szCs w:val="20"/>
                <w:color w:val="auto"/>
              </w:rPr>
            </w:pPr>
            <w:r>
              <w:rPr>
                <w:rFonts w:ascii="Arial" w:cs="Arial" w:eastAsia="Arial" w:hAnsi="Arial"/>
                <w:sz w:val="11"/>
                <w:szCs w:val="11"/>
                <w:b w:val="1"/>
                <w:bCs w:val="1"/>
                <w:color w:val="auto"/>
              </w:rPr>
              <w:t>914,683</w:t>
            </w:r>
          </w:p>
        </w:tc>
        <w:tc>
          <w:tcPr>
            <w:tcW w:w="100" w:type="dxa"/>
            <w:vAlign w:val="bottom"/>
          </w:tcPr>
          <w:p>
            <w:pPr>
              <w:spacing w:after="0"/>
              <w:rPr>
                <w:sz w:val="13"/>
                <w:szCs w:val="13"/>
                <w:color w:val="auto"/>
              </w:rPr>
            </w:pPr>
          </w:p>
        </w:tc>
        <w:tc>
          <w:tcPr>
            <w:tcW w:w="500" w:type="dxa"/>
            <w:vAlign w:val="bottom"/>
            <w:tcBorders>
              <w:bottom w:val="single" w:sz="8" w:color="A6A6A6"/>
            </w:tcBorders>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560" w:type="dxa"/>
            <w:vAlign w:val="bottom"/>
            <w:tcBorders>
              <w:bottom w:val="single" w:sz="8" w:color="A6A6A6"/>
            </w:tcBorders>
          </w:tcPr>
          <w:p>
            <w:pPr>
              <w:spacing w:after="0"/>
              <w:rPr>
                <w:sz w:val="13"/>
                <w:szCs w:val="13"/>
                <w:color w:val="auto"/>
              </w:rPr>
            </w:pPr>
          </w:p>
        </w:tc>
        <w:tc>
          <w:tcPr>
            <w:tcW w:w="580" w:type="dxa"/>
            <w:vAlign w:val="bottom"/>
            <w:tcBorders>
              <w:bottom w:val="single" w:sz="8" w:color="A6A6A6"/>
            </w:tcBorders>
          </w:tcPr>
          <w:p>
            <w:pPr>
              <w:spacing w:after="0"/>
              <w:rPr>
                <w:sz w:val="13"/>
                <w:szCs w:val="13"/>
                <w:color w:val="auto"/>
              </w:rPr>
            </w:pPr>
          </w:p>
        </w:tc>
        <w:tc>
          <w:tcPr>
            <w:tcW w:w="120" w:type="dxa"/>
            <w:vAlign w:val="bottom"/>
          </w:tcPr>
          <w:p>
            <w:pPr>
              <w:spacing w:after="0"/>
              <w:rPr>
                <w:sz w:val="13"/>
                <w:szCs w:val="13"/>
                <w:color w:val="auto"/>
              </w:rPr>
            </w:pPr>
          </w:p>
        </w:tc>
      </w:tr>
      <w:tr>
        <w:trPr>
          <w:trHeight w:val="115"/>
        </w:trPr>
        <w:tc>
          <w:tcPr>
            <w:tcW w:w="5200" w:type="dxa"/>
            <w:vAlign w:val="bottom"/>
          </w:tcPr>
          <w:p>
            <w:pPr>
              <w:spacing w:after="0" w:line="115" w:lineRule="exact"/>
              <w:rPr>
                <w:sz w:val="20"/>
                <w:szCs w:val="20"/>
                <w:color w:val="auto"/>
              </w:rPr>
            </w:pPr>
            <w:r>
              <w:rPr>
                <w:rFonts w:ascii="Arial" w:cs="Arial" w:eastAsia="Arial" w:hAnsi="Arial"/>
                <w:sz w:val="11"/>
                <w:szCs w:val="11"/>
                <w:b w:val="1"/>
                <w:bCs w:val="1"/>
                <w:color w:val="auto"/>
              </w:rPr>
              <w:t>Weighted-Average Fair Value of Options Granted</w:t>
            </w: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During the Year</w:t>
            </w:r>
          </w:p>
        </w:tc>
        <w:tc>
          <w:tcPr>
            <w:tcW w:w="100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spacing w:after="0"/>
              <w:rPr>
                <w:sz w:val="12"/>
                <w:szCs w:val="12"/>
                <w:color w:val="auto"/>
              </w:rPr>
            </w:pPr>
          </w:p>
        </w:tc>
        <w:tc>
          <w:tcPr>
            <w:tcW w:w="126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320" w:type="dxa"/>
            <w:vAlign w:val="bottom"/>
            <w:tcBorders>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6A6A6"/>
            </w:tcBorders>
            <w:gridSpan w:val="3"/>
          </w:tcPr>
          <w:p>
            <w:pPr>
              <w:jc w:val="right"/>
              <w:spacing w:after="0"/>
              <w:rPr>
                <w:sz w:val="20"/>
                <w:szCs w:val="20"/>
                <w:color w:val="auto"/>
              </w:rPr>
            </w:pPr>
            <w:r>
              <w:rPr>
                <w:rFonts w:ascii="Arial" w:cs="Arial" w:eastAsia="Arial" w:hAnsi="Arial"/>
                <w:sz w:val="11"/>
                <w:szCs w:val="11"/>
                <w:color w:val="auto"/>
              </w:rPr>
              <w:t>22.04</w:t>
            </w:r>
          </w:p>
        </w:tc>
        <w:tc>
          <w:tcPr>
            <w:tcW w:w="100" w:type="dxa"/>
            <w:vAlign w:val="bottom"/>
          </w:tcPr>
          <w:p>
            <w:pPr>
              <w:spacing w:after="0"/>
              <w:rPr>
                <w:sz w:val="12"/>
                <w:szCs w:val="12"/>
                <w:color w:val="auto"/>
              </w:rPr>
            </w:pPr>
          </w:p>
        </w:tc>
        <w:tc>
          <w:tcPr>
            <w:tcW w:w="50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560" w:type="dxa"/>
            <w:vAlign w:val="bottom"/>
            <w:tcBorders>
              <w:bottom w:val="single" w:sz="8" w:color="A6A6A6"/>
            </w:tcBorders>
          </w:tcPr>
          <w:p>
            <w:pPr>
              <w:spacing w:after="0"/>
              <w:rPr>
                <w:sz w:val="12"/>
                <w:szCs w:val="12"/>
                <w:color w:val="auto"/>
              </w:rPr>
            </w:pPr>
          </w:p>
        </w:tc>
        <w:tc>
          <w:tcPr>
            <w:tcW w:w="58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297"/>
        </w:trPr>
        <w:tc>
          <w:tcPr>
            <w:tcW w:w="5200" w:type="dxa"/>
            <w:vAlign w:val="bottom"/>
          </w:tcPr>
          <w:p>
            <w:pPr>
              <w:spacing w:after="0"/>
              <w:rPr>
                <w:sz w:val="20"/>
                <w:szCs w:val="20"/>
                <w:color w:val="auto"/>
              </w:rPr>
            </w:pPr>
            <w:r>
              <w:rPr>
                <w:rFonts w:ascii="Arial" w:cs="Arial" w:eastAsia="Arial" w:hAnsi="Arial"/>
                <w:sz w:val="12"/>
                <w:szCs w:val="12"/>
                <w:color w:val="auto"/>
              </w:rPr>
              <w:t>The following table summarizes information about stock options outstanding at June 30, 2020: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5200" w:type="dxa"/>
            <w:vAlign w:val="bottom"/>
          </w:tcPr>
          <w:p>
            <w:pPr>
              <w:spacing w:after="0"/>
              <w:rPr>
                <w:sz w:val="13"/>
                <w:szCs w:val="13"/>
                <w:color w:val="auto"/>
              </w:rPr>
            </w:pPr>
          </w:p>
        </w:tc>
        <w:tc>
          <w:tcPr>
            <w:tcW w:w="10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60" w:type="dxa"/>
            <w:vAlign w:val="bottom"/>
            <w:shd w:val="clear" w:color="auto" w:fill="004483"/>
          </w:tcPr>
          <w:p>
            <w:pPr>
              <w:jc w:val="right"/>
              <w:ind w:right="193"/>
              <w:spacing w:after="0"/>
              <w:rPr>
                <w:sz w:val="20"/>
                <w:szCs w:val="20"/>
                <w:color w:val="auto"/>
              </w:rPr>
            </w:pPr>
            <w:r>
              <w:rPr>
                <w:rFonts w:ascii="Arial" w:cs="Arial" w:eastAsia="Arial" w:hAnsi="Arial"/>
                <w:sz w:val="8"/>
                <w:szCs w:val="8"/>
                <w:b w:val="1"/>
                <w:bCs w:val="1"/>
                <w:color w:val="FFFFFF"/>
              </w:rPr>
              <w:t>Options Outstanding</w:t>
            </w:r>
          </w:p>
        </w:tc>
        <w:tc>
          <w:tcPr>
            <w:tcW w:w="180" w:type="dxa"/>
            <w:vAlign w:val="bottom"/>
            <w:shd w:val="clear" w:color="auto" w:fill="004483"/>
          </w:tcPr>
          <w:p>
            <w:pPr>
              <w:spacing w:after="0"/>
              <w:rPr>
                <w:sz w:val="13"/>
                <w:szCs w:val="13"/>
                <w:color w:val="auto"/>
              </w:rPr>
            </w:pPr>
          </w:p>
        </w:tc>
        <w:tc>
          <w:tcPr>
            <w:tcW w:w="320" w:type="dxa"/>
            <w:vAlign w:val="bottom"/>
            <w:shd w:val="clear" w:color="auto" w:fill="004483"/>
          </w:tcPr>
          <w:p>
            <w:pPr>
              <w:spacing w:after="0"/>
              <w:rPr>
                <w:sz w:val="13"/>
                <w:szCs w:val="13"/>
                <w:color w:val="auto"/>
              </w:rPr>
            </w:pPr>
          </w:p>
        </w:tc>
        <w:tc>
          <w:tcPr>
            <w:tcW w:w="740" w:type="dxa"/>
            <w:vAlign w:val="bottom"/>
            <w:shd w:val="clear" w:color="auto" w:fill="004483"/>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180" w:type="dxa"/>
            <w:vAlign w:val="bottom"/>
            <w:gridSpan w:val="3"/>
            <w:shd w:val="clear" w:color="auto" w:fill="004483"/>
          </w:tcPr>
          <w:p>
            <w:pPr>
              <w:jc w:val="right"/>
              <w:ind w:right="146"/>
              <w:spacing w:after="0"/>
              <w:rPr>
                <w:sz w:val="20"/>
                <w:szCs w:val="20"/>
                <w:color w:val="auto"/>
              </w:rPr>
            </w:pPr>
            <w:r>
              <w:rPr>
                <w:rFonts w:ascii="Arial" w:cs="Arial" w:eastAsia="Arial" w:hAnsi="Arial"/>
                <w:sz w:val="8"/>
                <w:szCs w:val="8"/>
                <w:b w:val="1"/>
                <w:bCs w:val="1"/>
                <w:color w:val="FFFFFF"/>
              </w:rPr>
              <w:t>Options Exercisable</w:t>
            </w:r>
          </w:p>
        </w:tc>
        <w:tc>
          <w:tcPr>
            <w:tcW w:w="5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88"/>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jc w:val="right"/>
              <w:ind w:right="73"/>
              <w:spacing w:after="0" w:line="89" w:lineRule="exact"/>
              <w:rPr>
                <w:sz w:val="20"/>
                <w:szCs w:val="20"/>
                <w:color w:val="auto"/>
              </w:rPr>
            </w:pPr>
            <w:r>
              <w:rPr>
                <w:rFonts w:ascii="Arial" w:cs="Arial" w:eastAsia="Arial" w:hAnsi="Arial"/>
                <w:sz w:val="8"/>
                <w:szCs w:val="8"/>
                <w:b w:val="1"/>
                <w:bCs w:val="1"/>
                <w:color w:val="auto"/>
              </w:rPr>
              <w:t>Weighted-</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jc w:val="right"/>
              <w:ind w:right="73"/>
              <w:spacing w:after="0" w:line="90" w:lineRule="exact"/>
              <w:rPr>
                <w:sz w:val="20"/>
                <w:szCs w:val="20"/>
                <w:color w:val="auto"/>
              </w:rPr>
            </w:pPr>
            <w:r>
              <w:rPr>
                <w:rFonts w:ascii="Arial" w:cs="Arial" w:eastAsia="Arial" w:hAnsi="Arial"/>
                <w:sz w:val="8"/>
                <w:szCs w:val="8"/>
                <w:b w:val="1"/>
                <w:bCs w:val="1"/>
                <w:color w:val="auto"/>
              </w:rPr>
              <w:t>Average</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gridSpan w:val="4"/>
          </w:tcPr>
          <w:p>
            <w:pPr>
              <w:jc w:val="right"/>
              <w:ind w:right="740"/>
              <w:spacing w:after="0" w:line="90" w:lineRule="exact"/>
              <w:rPr>
                <w:sz w:val="20"/>
                <w:szCs w:val="20"/>
                <w:color w:val="auto"/>
              </w:rPr>
            </w:pPr>
            <w:r>
              <w:rPr>
                <w:rFonts w:ascii="Arial" w:cs="Arial" w:eastAsia="Arial" w:hAnsi="Arial"/>
                <w:sz w:val="8"/>
                <w:szCs w:val="8"/>
                <w:b w:val="1"/>
                <w:bCs w:val="1"/>
                <w:color w:val="auto"/>
              </w:rPr>
              <w:t>Weighted-</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Weighted-</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100" w:type="dxa"/>
            <w:vAlign w:val="bottom"/>
            <w:gridSpan w:val="2"/>
          </w:tcPr>
          <w:p>
            <w:pPr>
              <w:jc w:val="right"/>
              <w:ind w:right="100"/>
              <w:spacing w:after="0" w:line="90" w:lineRule="exact"/>
              <w:rPr>
                <w:sz w:val="20"/>
                <w:szCs w:val="20"/>
                <w:color w:val="auto"/>
              </w:rPr>
            </w:pPr>
            <w:r>
              <w:rPr>
                <w:rFonts w:ascii="Arial" w:cs="Arial" w:eastAsia="Arial" w:hAnsi="Arial"/>
                <w:sz w:val="8"/>
                <w:szCs w:val="8"/>
                <w:b w:val="1"/>
                <w:bCs w:val="1"/>
                <w:color w:val="auto"/>
              </w:rPr>
              <w:t>Number of</w:t>
            </w:r>
          </w:p>
        </w:tc>
        <w:tc>
          <w:tcPr>
            <w:tcW w:w="1260" w:type="dxa"/>
            <w:vAlign w:val="bottom"/>
          </w:tcPr>
          <w:p>
            <w:pPr>
              <w:jc w:val="right"/>
              <w:ind w:right="73"/>
              <w:spacing w:after="0" w:line="90" w:lineRule="exact"/>
              <w:rPr>
                <w:sz w:val="20"/>
                <w:szCs w:val="20"/>
                <w:color w:val="auto"/>
              </w:rPr>
            </w:pPr>
            <w:r>
              <w:rPr>
                <w:rFonts w:ascii="Arial" w:cs="Arial" w:eastAsia="Arial" w:hAnsi="Arial"/>
                <w:sz w:val="8"/>
                <w:szCs w:val="8"/>
                <w:b w:val="1"/>
                <w:bCs w:val="1"/>
                <w:color w:val="auto"/>
              </w:rPr>
              <w:t>Remaining</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gridSpan w:val="4"/>
          </w:tcPr>
          <w:p>
            <w:pPr>
              <w:jc w:val="right"/>
              <w:ind w:right="740"/>
              <w:spacing w:after="0" w:line="90" w:lineRule="exact"/>
              <w:rPr>
                <w:sz w:val="20"/>
                <w:szCs w:val="20"/>
                <w:color w:val="auto"/>
              </w:rPr>
            </w:pPr>
            <w:r>
              <w:rPr>
                <w:rFonts w:ascii="Arial" w:cs="Arial" w:eastAsia="Arial" w:hAnsi="Arial"/>
                <w:sz w:val="8"/>
                <w:szCs w:val="8"/>
                <w:b w:val="1"/>
                <w:bCs w:val="1"/>
                <w:color w:val="auto"/>
              </w:rPr>
              <w:t>Average</w:t>
            </w:r>
          </w:p>
        </w:tc>
        <w:tc>
          <w:tcPr>
            <w:tcW w:w="62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Number of</w:t>
            </w: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Average</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100" w:type="dxa"/>
            <w:vAlign w:val="bottom"/>
            <w:gridSpan w:val="2"/>
          </w:tcPr>
          <w:p>
            <w:pPr>
              <w:jc w:val="right"/>
              <w:ind w:right="100"/>
              <w:spacing w:after="0" w:line="90" w:lineRule="exact"/>
              <w:rPr>
                <w:sz w:val="20"/>
                <w:szCs w:val="20"/>
                <w:color w:val="auto"/>
              </w:rPr>
            </w:pPr>
            <w:r>
              <w:rPr>
                <w:rFonts w:ascii="Arial" w:cs="Arial" w:eastAsia="Arial" w:hAnsi="Arial"/>
                <w:sz w:val="8"/>
                <w:szCs w:val="8"/>
                <w:b w:val="1"/>
                <w:bCs w:val="1"/>
                <w:color w:val="auto"/>
              </w:rPr>
              <w:t>Shares</w:t>
            </w:r>
          </w:p>
        </w:tc>
        <w:tc>
          <w:tcPr>
            <w:tcW w:w="1260" w:type="dxa"/>
            <w:vAlign w:val="bottom"/>
          </w:tcPr>
          <w:p>
            <w:pPr>
              <w:jc w:val="right"/>
              <w:ind w:right="73"/>
              <w:spacing w:after="0" w:line="90" w:lineRule="exact"/>
              <w:rPr>
                <w:sz w:val="20"/>
                <w:szCs w:val="20"/>
                <w:color w:val="auto"/>
              </w:rPr>
            </w:pPr>
            <w:r>
              <w:rPr>
                <w:rFonts w:ascii="Arial" w:cs="Arial" w:eastAsia="Arial" w:hAnsi="Arial"/>
                <w:sz w:val="8"/>
                <w:szCs w:val="8"/>
                <w:b w:val="1"/>
                <w:bCs w:val="1"/>
                <w:color w:val="auto"/>
              </w:rPr>
              <w:t>Contractual</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gridSpan w:val="4"/>
          </w:tcPr>
          <w:p>
            <w:pPr>
              <w:jc w:val="right"/>
              <w:ind w:right="740"/>
              <w:spacing w:after="0" w:line="90" w:lineRule="exact"/>
              <w:rPr>
                <w:sz w:val="20"/>
                <w:szCs w:val="20"/>
                <w:color w:val="auto"/>
              </w:rPr>
            </w:pPr>
            <w:r>
              <w:rPr>
                <w:rFonts w:ascii="Arial" w:cs="Arial" w:eastAsia="Arial" w:hAnsi="Arial"/>
                <w:sz w:val="8"/>
                <w:szCs w:val="8"/>
                <w:b w:val="1"/>
                <w:bCs w:val="1"/>
                <w:color w:val="auto"/>
              </w:rPr>
              <w:t>Exercise</w:t>
            </w:r>
          </w:p>
        </w:tc>
        <w:tc>
          <w:tcPr>
            <w:tcW w:w="62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Shares</w:t>
            </w: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Exercise</w:t>
            </w:r>
          </w:p>
        </w:tc>
        <w:tc>
          <w:tcPr>
            <w:tcW w:w="120" w:type="dxa"/>
            <w:vAlign w:val="bottom"/>
          </w:tcPr>
          <w:p>
            <w:pPr>
              <w:spacing w:after="0"/>
              <w:rPr>
                <w:sz w:val="7"/>
                <w:szCs w:val="7"/>
                <w:color w:val="auto"/>
              </w:rPr>
            </w:pPr>
          </w:p>
        </w:tc>
      </w:tr>
      <w:tr>
        <w:trPr>
          <w:trHeight w:val="101"/>
        </w:trPr>
        <w:tc>
          <w:tcPr>
            <w:tcW w:w="5200" w:type="dxa"/>
            <w:vAlign w:val="bottom"/>
          </w:tcPr>
          <w:p>
            <w:pPr>
              <w:spacing w:after="0"/>
              <w:rPr>
                <w:sz w:val="20"/>
                <w:szCs w:val="20"/>
                <w:color w:val="auto"/>
              </w:rPr>
            </w:pPr>
            <w:r>
              <w:rPr>
                <w:rFonts w:ascii="Arial" w:cs="Arial" w:eastAsia="Arial" w:hAnsi="Arial"/>
                <w:sz w:val="8"/>
                <w:szCs w:val="8"/>
                <w:b w:val="1"/>
                <w:bCs w:val="1"/>
                <w:color w:val="auto"/>
              </w:rPr>
              <w:t>Range of Exercise Prices</w:t>
            </w:r>
          </w:p>
        </w:tc>
        <w:tc>
          <w:tcPr>
            <w:tcW w:w="1100" w:type="dxa"/>
            <w:vAlign w:val="bottom"/>
            <w:gridSpan w:val="2"/>
          </w:tcPr>
          <w:p>
            <w:pPr>
              <w:jc w:val="right"/>
              <w:ind w:right="100"/>
              <w:spacing w:after="0"/>
              <w:rPr>
                <w:sz w:val="20"/>
                <w:szCs w:val="20"/>
                <w:color w:val="auto"/>
              </w:rPr>
            </w:pPr>
            <w:r>
              <w:rPr>
                <w:rFonts w:ascii="Arial" w:cs="Arial" w:eastAsia="Arial" w:hAnsi="Arial"/>
                <w:sz w:val="8"/>
                <w:szCs w:val="8"/>
                <w:b w:val="1"/>
                <w:bCs w:val="1"/>
                <w:color w:val="auto"/>
              </w:rPr>
              <w:t>Outstanding</w:t>
            </w:r>
          </w:p>
        </w:tc>
        <w:tc>
          <w:tcPr>
            <w:tcW w:w="1260" w:type="dxa"/>
            <w:vAlign w:val="bottom"/>
          </w:tcPr>
          <w:p>
            <w:pPr>
              <w:jc w:val="right"/>
              <w:ind w:right="73"/>
              <w:spacing w:after="0"/>
              <w:rPr>
                <w:sz w:val="20"/>
                <w:szCs w:val="20"/>
                <w:color w:val="auto"/>
              </w:rPr>
            </w:pPr>
            <w:r>
              <w:rPr>
                <w:rFonts w:ascii="Arial" w:cs="Arial" w:eastAsia="Arial" w:hAnsi="Arial"/>
                <w:sz w:val="8"/>
                <w:szCs w:val="8"/>
                <w:b w:val="1"/>
                <w:bCs w:val="1"/>
                <w:color w:val="auto"/>
              </w:rPr>
              <w:t>Life (in years)</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gridSpan w:val="4"/>
          </w:tcPr>
          <w:p>
            <w:pPr>
              <w:jc w:val="right"/>
              <w:ind w:right="740"/>
              <w:spacing w:after="0"/>
              <w:rPr>
                <w:sz w:val="20"/>
                <w:szCs w:val="20"/>
                <w:color w:val="auto"/>
              </w:rPr>
            </w:pPr>
            <w:r>
              <w:rPr>
                <w:rFonts w:ascii="Arial" w:cs="Arial" w:eastAsia="Arial" w:hAnsi="Arial"/>
                <w:sz w:val="8"/>
                <w:szCs w:val="8"/>
                <w:b w:val="1"/>
                <w:bCs w:val="1"/>
                <w:color w:val="auto"/>
              </w:rPr>
              <w:t>Price</w:t>
            </w:r>
          </w:p>
        </w:tc>
        <w:tc>
          <w:tcPr>
            <w:tcW w:w="62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Outstanding</w:t>
            </w:r>
          </w:p>
        </w:tc>
        <w:tc>
          <w:tcPr>
            <w:tcW w:w="56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Price</w:t>
            </w:r>
          </w:p>
        </w:tc>
        <w:tc>
          <w:tcPr>
            <w:tcW w:w="120" w:type="dxa"/>
            <w:vAlign w:val="bottom"/>
          </w:tcPr>
          <w:p>
            <w:pPr>
              <w:spacing w:after="0"/>
              <w:rPr>
                <w:sz w:val="8"/>
                <w:szCs w:val="8"/>
                <w:color w:val="auto"/>
              </w:rPr>
            </w:pPr>
          </w:p>
        </w:tc>
      </w:tr>
      <w:tr>
        <w:trPr>
          <w:trHeight w:val="131"/>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$23.17 - $29.84</w:t>
            </w: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65,912</w:t>
            </w:r>
          </w:p>
        </w:tc>
        <w:tc>
          <w:tcPr>
            <w:tcW w:w="100" w:type="dxa"/>
            <w:vAlign w:val="bottom"/>
          </w:tcPr>
          <w:p>
            <w:pPr>
              <w:spacing w:after="0"/>
              <w:rPr>
                <w:sz w:val="11"/>
                <w:szCs w:val="11"/>
                <w:color w:val="auto"/>
              </w:rPr>
            </w:pPr>
          </w:p>
        </w:tc>
        <w:tc>
          <w:tcPr>
            <w:tcW w:w="1260" w:type="dxa"/>
            <w:vAlign w:val="bottom"/>
            <w:tcBorders>
              <w:top w:val="single" w:sz="8" w:color="004483"/>
              <w:bottom w:val="single" w:sz="8" w:color="A6A6A6"/>
            </w:tcBorders>
          </w:tcPr>
          <w:p>
            <w:pPr>
              <w:jc w:val="right"/>
              <w:ind w:right="73"/>
              <w:spacing w:after="0"/>
              <w:rPr>
                <w:sz w:val="20"/>
                <w:szCs w:val="20"/>
                <w:color w:val="auto"/>
              </w:rPr>
            </w:pPr>
            <w:r>
              <w:rPr>
                <w:rFonts w:ascii="Arial" w:cs="Arial" w:eastAsia="Arial" w:hAnsi="Arial"/>
                <w:sz w:val="11"/>
                <w:szCs w:val="11"/>
                <w:color w:val="auto"/>
              </w:rPr>
              <w:t>1.10</w:t>
            </w:r>
          </w:p>
        </w:tc>
        <w:tc>
          <w:tcPr>
            <w:tcW w:w="1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top w:val="single" w:sz="8" w:color="004483"/>
              <w:bottom w:val="single" w:sz="8" w:color="A6A6A6"/>
            </w:tcBorders>
          </w:tcPr>
          <w:p>
            <w:pPr>
              <w:spacing w:after="0"/>
              <w:rPr>
                <w:sz w:val="11"/>
                <w:szCs w:val="11"/>
                <w:color w:val="auto"/>
              </w:rPr>
            </w:pPr>
          </w:p>
        </w:tc>
        <w:tc>
          <w:tcPr>
            <w:tcW w:w="740" w:type="dxa"/>
            <w:vAlign w:val="bottom"/>
            <w:tcBorders>
              <w:top w:val="single" w:sz="8" w:color="004483"/>
              <w:bottom w:val="single" w:sz="8" w:color="A6A6A6"/>
            </w:tcBorders>
          </w:tcPr>
          <w:p>
            <w:pPr>
              <w:jc w:val="right"/>
              <w:ind w:right="69"/>
              <w:spacing w:after="0"/>
              <w:rPr>
                <w:sz w:val="20"/>
                <w:szCs w:val="20"/>
                <w:color w:val="auto"/>
              </w:rPr>
            </w:pPr>
            <w:r>
              <w:rPr>
                <w:rFonts w:ascii="Arial" w:cs="Arial" w:eastAsia="Arial" w:hAnsi="Arial"/>
                <w:sz w:val="11"/>
                <w:szCs w:val="11"/>
                <w:color w:val="auto"/>
              </w:rPr>
              <w:t>23.27</w:t>
            </w:r>
          </w:p>
        </w:tc>
        <w:tc>
          <w:tcPr>
            <w:tcW w:w="120" w:type="dxa"/>
            <w:vAlign w:val="bottom"/>
            <w:tcBorders>
              <w:top w:val="single" w:sz="8" w:color="004483"/>
              <w:bottom w:val="single" w:sz="8" w:color="A6A6A6"/>
            </w:tcBorders>
          </w:tcPr>
          <w:p>
            <w:pPr>
              <w:spacing w:after="0"/>
              <w:rPr>
                <w:sz w:val="11"/>
                <w:szCs w:val="11"/>
                <w:color w:val="auto"/>
              </w:rPr>
            </w:pPr>
          </w:p>
        </w:tc>
        <w:tc>
          <w:tcPr>
            <w:tcW w:w="400" w:type="dxa"/>
            <w:vAlign w:val="bottom"/>
            <w:tcBorders>
              <w:top w:val="single" w:sz="8" w:color="004483"/>
              <w:bottom w:val="single" w:sz="8" w:color="A6A6A6"/>
            </w:tcBorders>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5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65,912</w:t>
            </w:r>
          </w:p>
        </w:tc>
        <w:tc>
          <w:tcPr>
            <w:tcW w:w="120" w:type="dxa"/>
            <w:vAlign w:val="bottom"/>
          </w:tcPr>
          <w:p>
            <w:pPr>
              <w:spacing w:after="0"/>
              <w:rPr>
                <w:sz w:val="11"/>
                <w:szCs w:val="11"/>
                <w:color w:val="auto"/>
              </w:rPr>
            </w:pPr>
          </w:p>
        </w:tc>
        <w:tc>
          <w:tcPr>
            <w:tcW w:w="560" w:type="dxa"/>
            <w:vAlign w:val="bottom"/>
            <w:tcBorders>
              <w:top w:val="single" w:sz="8" w:color="004483"/>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23.27</w:t>
            </w:r>
          </w:p>
        </w:tc>
        <w:tc>
          <w:tcPr>
            <w:tcW w:w="120" w:type="dxa"/>
            <w:vAlign w:val="bottom"/>
            <w:tcBorders>
              <w:top w:val="single" w:sz="8" w:color="004483"/>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$33.43 - $37.34</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57,728</w:t>
            </w:r>
          </w:p>
        </w:tc>
        <w:tc>
          <w:tcPr>
            <w:tcW w:w="100" w:type="dxa"/>
            <w:vAlign w:val="bottom"/>
          </w:tcPr>
          <w:p>
            <w:pPr>
              <w:spacing w:after="0"/>
              <w:rPr>
                <w:sz w:val="11"/>
                <w:szCs w:val="11"/>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color w:val="auto"/>
              </w:rPr>
              <w:t>1.96</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34.03</w:t>
            </w:r>
          </w:p>
        </w:tc>
        <w:tc>
          <w:tcPr>
            <w:tcW w:w="120" w:type="dxa"/>
            <w:vAlign w:val="bottom"/>
            <w:tcBorders>
              <w:bottom w:val="single" w:sz="8" w:color="A6A6A6"/>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57,728</w:t>
            </w:r>
          </w:p>
        </w:tc>
        <w:tc>
          <w:tcPr>
            <w:tcW w:w="120" w:type="dxa"/>
            <w:vAlign w:val="bottom"/>
          </w:tcPr>
          <w:p>
            <w:pPr>
              <w:spacing w:after="0"/>
              <w:rPr>
                <w:sz w:val="11"/>
                <w:szCs w:val="11"/>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34.03</w:t>
            </w:r>
          </w:p>
        </w:tc>
        <w:tc>
          <w:tcPr>
            <w:tcW w:w="120" w:type="dxa"/>
            <w:vAlign w:val="bottom"/>
            <w:tcBorders>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$53.22 - $77.67</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446,709</w:t>
            </w:r>
          </w:p>
        </w:tc>
        <w:tc>
          <w:tcPr>
            <w:tcW w:w="100" w:type="dxa"/>
            <w:vAlign w:val="bottom"/>
          </w:tcPr>
          <w:p>
            <w:pPr>
              <w:spacing w:after="0"/>
              <w:rPr>
                <w:sz w:val="11"/>
                <w:szCs w:val="11"/>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color w:val="auto"/>
              </w:rPr>
              <w:t>6.98</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67.55</w:t>
            </w:r>
          </w:p>
        </w:tc>
        <w:tc>
          <w:tcPr>
            <w:tcW w:w="120" w:type="dxa"/>
            <w:vAlign w:val="bottom"/>
            <w:tcBorders>
              <w:bottom w:val="single" w:sz="8" w:color="A6A6A6"/>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255,357</w:t>
            </w:r>
          </w:p>
        </w:tc>
        <w:tc>
          <w:tcPr>
            <w:tcW w:w="120" w:type="dxa"/>
            <w:vAlign w:val="bottom"/>
          </w:tcPr>
          <w:p>
            <w:pPr>
              <w:spacing w:after="0"/>
              <w:rPr>
                <w:sz w:val="11"/>
                <w:szCs w:val="11"/>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72.53</w:t>
            </w:r>
          </w:p>
        </w:tc>
        <w:tc>
          <w:tcPr>
            <w:tcW w:w="120" w:type="dxa"/>
            <w:vAlign w:val="bottom"/>
            <w:tcBorders>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$79.73 - $106.24</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756,594</w:t>
            </w:r>
          </w:p>
        </w:tc>
        <w:tc>
          <w:tcPr>
            <w:tcW w:w="100" w:type="dxa"/>
            <w:vAlign w:val="bottom"/>
          </w:tcPr>
          <w:p>
            <w:pPr>
              <w:spacing w:after="0"/>
              <w:rPr>
                <w:sz w:val="11"/>
                <w:szCs w:val="11"/>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color w:val="auto"/>
              </w:rPr>
              <w:t>6.44</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91.49</w:t>
            </w:r>
          </w:p>
        </w:tc>
        <w:tc>
          <w:tcPr>
            <w:tcW w:w="120" w:type="dxa"/>
            <w:vAlign w:val="bottom"/>
            <w:tcBorders>
              <w:bottom w:val="single" w:sz="8" w:color="A6A6A6"/>
            </w:tcBorders>
          </w:tcPr>
          <w:p>
            <w:pPr>
              <w:spacing w:after="0"/>
              <w:rPr>
                <w:sz w:val="11"/>
                <w:szCs w:val="11"/>
                <w:color w:val="auto"/>
              </w:rPr>
            </w:pPr>
          </w:p>
        </w:tc>
        <w:tc>
          <w:tcPr>
            <w:tcW w:w="400" w:type="dxa"/>
            <w:vAlign w:val="bottom"/>
            <w:tcBorders>
              <w:bottom w:val="single" w:sz="8" w:color="004483"/>
            </w:tcBorders>
          </w:tcPr>
          <w:p>
            <w:pPr>
              <w:spacing w:after="0"/>
              <w:rPr>
                <w:sz w:val="11"/>
                <w:szCs w:val="11"/>
                <w:color w:val="auto"/>
              </w:rPr>
            </w:pPr>
          </w:p>
        </w:tc>
        <w:tc>
          <w:tcPr>
            <w:tcW w:w="100" w:type="dxa"/>
            <w:vAlign w:val="bottom"/>
            <w:tcBorders>
              <w:bottom w:val="single" w:sz="8" w:color="004483"/>
            </w:tcBorders>
          </w:tcPr>
          <w:p>
            <w:pPr>
              <w:spacing w:after="0"/>
              <w:rPr>
                <w:sz w:val="11"/>
                <w:szCs w:val="11"/>
                <w:color w:val="auto"/>
              </w:rPr>
            </w:pPr>
          </w:p>
        </w:tc>
        <w:tc>
          <w:tcPr>
            <w:tcW w:w="5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535,686</w:t>
            </w:r>
          </w:p>
        </w:tc>
        <w:tc>
          <w:tcPr>
            <w:tcW w:w="120" w:type="dxa"/>
            <w:vAlign w:val="bottom"/>
          </w:tcPr>
          <w:p>
            <w:pPr>
              <w:spacing w:after="0"/>
              <w:rPr>
                <w:sz w:val="11"/>
                <w:szCs w:val="11"/>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89.34</w:t>
            </w:r>
          </w:p>
        </w:tc>
        <w:tc>
          <w:tcPr>
            <w:tcW w:w="120" w:type="dxa"/>
            <w:vAlign w:val="bottom"/>
            <w:tcBorders>
              <w:bottom w:val="single" w:sz="8" w:color="A6A6A6"/>
            </w:tcBorders>
          </w:tcPr>
          <w:p>
            <w:pPr>
              <w:spacing w:after="0"/>
              <w:rPr>
                <w:sz w:val="11"/>
                <w:szCs w:val="11"/>
                <w:color w:val="auto"/>
              </w:rPr>
            </w:pPr>
          </w:p>
        </w:tc>
      </w:tr>
      <w:tr>
        <w:trPr>
          <w:trHeight w:val="142"/>
        </w:trPr>
        <w:tc>
          <w:tcPr>
            <w:tcW w:w="5200" w:type="dxa"/>
            <w:vAlign w:val="bottom"/>
            <w:tcBorders>
              <w:bottom w:val="single" w:sz="8" w:color="A6A6A6"/>
            </w:tcBorders>
          </w:tcPr>
          <w:p>
            <w:pPr>
              <w:spacing w:after="0"/>
              <w:rPr>
                <w:sz w:val="12"/>
                <w:szCs w:val="12"/>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1,326,943</w:t>
            </w:r>
          </w:p>
        </w:tc>
        <w:tc>
          <w:tcPr>
            <w:tcW w:w="100" w:type="dxa"/>
            <w:vAlign w:val="bottom"/>
          </w:tcPr>
          <w:p>
            <w:pPr>
              <w:spacing w:after="0"/>
              <w:rPr>
                <w:sz w:val="12"/>
                <w:szCs w:val="12"/>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b w:val="1"/>
                <w:bCs w:val="1"/>
                <w:color w:val="auto"/>
              </w:rPr>
              <w:t>6.16</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w:t>
            </w:r>
          </w:p>
        </w:tc>
        <w:tc>
          <w:tcPr>
            <w:tcW w:w="320" w:type="dxa"/>
            <w:vAlign w:val="bottom"/>
            <w:tcBorders>
              <w:bottom w:val="single" w:sz="8" w:color="A6A6A6"/>
            </w:tcBorders>
          </w:tcPr>
          <w:p>
            <w:pPr>
              <w:spacing w:after="0"/>
              <w:rPr>
                <w:sz w:val="12"/>
                <w:szCs w:val="12"/>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b w:val="1"/>
                <w:bCs w:val="1"/>
                <w:color w:val="auto"/>
              </w:rPr>
              <w:t>77.54</w:t>
            </w:r>
          </w:p>
        </w:tc>
        <w:tc>
          <w:tcPr>
            <w:tcW w:w="120" w:type="dxa"/>
            <w:vAlign w:val="bottom"/>
            <w:tcBorders>
              <w:bottom w:val="single" w:sz="8" w:color="A6A6A6"/>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5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914,683</w:t>
            </w:r>
          </w:p>
        </w:tc>
        <w:tc>
          <w:tcPr>
            <w:tcW w:w="120" w:type="dxa"/>
            <w:vAlign w:val="bottom"/>
          </w:tcPr>
          <w:p>
            <w:pPr>
              <w:spacing w:after="0"/>
              <w:rPr>
                <w:sz w:val="12"/>
                <w:szCs w:val="12"/>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76.39</w:t>
            </w:r>
          </w:p>
        </w:tc>
        <w:tc>
          <w:tcPr>
            <w:tcW w:w="120" w:type="dxa"/>
            <w:vAlign w:val="bottom"/>
            <w:tcBorders>
              <w:bottom w:val="single" w:sz="8" w:color="A6A6A6"/>
            </w:tcBorders>
          </w:tcPr>
          <w:p>
            <w:pPr>
              <w:spacing w:after="0"/>
              <w:rPr>
                <w:sz w:val="12"/>
                <w:szCs w:val="12"/>
                <w:color w:val="auto"/>
              </w:rPr>
            </w:pPr>
          </w:p>
        </w:tc>
      </w:tr>
    </w:tbl>
    <w:p>
      <w:pPr>
        <w:spacing w:after="0" w:line="161" w:lineRule="exact"/>
        <w:rPr>
          <w:sz w:val="20"/>
          <w:szCs w:val="20"/>
          <w:color w:val="auto"/>
        </w:rPr>
      </w:pPr>
    </w:p>
    <w:p>
      <w:pPr>
        <w:jc w:val="both"/>
        <w:ind w:right="100"/>
        <w:spacing w:after="0" w:line="277" w:lineRule="auto"/>
        <w:rPr>
          <w:sz w:val="20"/>
          <w:szCs w:val="20"/>
          <w:color w:val="auto"/>
        </w:rPr>
      </w:pPr>
      <w:r>
        <w:rPr>
          <w:rFonts w:ascii="Arial" w:cs="Arial" w:eastAsia="Arial" w:hAnsi="Arial"/>
          <w:sz w:val="12"/>
          <w:szCs w:val="12"/>
          <w:color w:val="auto"/>
        </w:rPr>
        <w:t>At June 30, 2020, the aggregate intrinsic value for both of the outstanding and exercisable options was approximately $7.4 million and $5.5 million, respectively. No options were exercised during the three months ended June 30, 2020.</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RESTRICTED STOCK</w:t>
      </w:r>
    </w:p>
    <w:p>
      <w:pPr>
        <w:spacing w:after="0" w:line="101" w:lineRule="exact"/>
        <w:rPr>
          <w:sz w:val="20"/>
          <w:szCs w:val="20"/>
          <w:color w:val="auto"/>
        </w:rPr>
      </w:pPr>
    </w:p>
    <w:p>
      <w:pPr>
        <w:ind w:right="40"/>
        <w:spacing w:after="0" w:line="267" w:lineRule="auto"/>
        <w:rPr>
          <w:sz w:val="20"/>
          <w:szCs w:val="20"/>
          <w:color w:val="auto"/>
        </w:rPr>
      </w:pPr>
      <w:r>
        <w:rPr>
          <w:rFonts w:ascii="Arial" w:cs="Arial" w:eastAsia="Arial" w:hAnsi="Arial"/>
          <w:sz w:val="12"/>
          <w:szCs w:val="12"/>
          <w:color w:val="auto"/>
        </w:rPr>
        <w:t>In May 2020, the Compensation Committee approved the granting to certain officers and key employees an aggregate of 82,722 shares of performance vesting restricted stock that will be earned if certain performance conditions are satisfied (the Fiscal 2021 Employee Restricted Stock Performance Award). The performance criteria for the Fiscal 2021 Employee Restricted Stock Performance Award is based upon the achievement of certain levels of return on equity (as defined in the award agreement), ranging from 10.0% to 20.0%, for the fiscal year ending March 31, 2021.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determination date, and the remaining restrictions lapsing on March 31, 2022 through 2024. The Compensation Committee also approved the granting of 68,936 shares of time-vesting restricted stock to the same officers and key employees, which vest ratably over four years (the Fiscal 2021 Employee Restricted Stock Time-Vesting Award). The Fiscal 2020 Employee Restricted Stock Performance Award and the Fiscal 2021 Employee Restricted Stock Time-Vesting Award were valued at the closing price of the stock on the date of grant and are being expensed over a four-year period.</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restricted stock is based on the stock price at the date of grant. The following table summarizes the activity for nonvested restricted shares during the three months ended June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7740" w:type="dxa"/>
            <w:vAlign w:val="bottom"/>
          </w:tcPr>
          <w:p>
            <w:pPr>
              <w:spacing w:after="0"/>
              <w:rPr>
                <w:sz w:val="8"/>
                <w:szCs w:val="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Number of Shares</w:t>
            </w:r>
          </w:p>
        </w:tc>
        <w:tc>
          <w:tcPr>
            <w:tcW w:w="1760" w:type="dxa"/>
            <w:vAlign w:val="bottom"/>
            <w:gridSpan w:val="2"/>
          </w:tcPr>
          <w:p>
            <w:pPr>
              <w:jc w:val="right"/>
              <w:spacing w:after="0"/>
              <w:rPr>
                <w:sz w:val="20"/>
                <w:szCs w:val="20"/>
                <w:color w:val="auto"/>
              </w:rPr>
            </w:pPr>
            <w:r>
              <w:rPr>
                <w:rFonts w:ascii="Arial" w:cs="Arial" w:eastAsia="Arial" w:hAnsi="Arial"/>
                <w:sz w:val="8"/>
                <w:szCs w:val="8"/>
                <w:b w:val="1"/>
                <w:bCs w:val="1"/>
                <w:color w:val="auto"/>
              </w:rPr>
              <w:t>Weighted-Average Grant Date Fair Value</w:t>
            </w:r>
          </w:p>
        </w:tc>
      </w:tr>
      <w:tr>
        <w:trPr>
          <w:trHeight w:val="140"/>
        </w:trPr>
        <w:tc>
          <w:tcPr>
            <w:tcW w:w="77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Nonvested Restricted Stock March 31, 2020</w:t>
            </w:r>
          </w:p>
        </w:tc>
        <w:tc>
          <w:tcPr>
            <w:tcW w:w="1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233,120</w:t>
            </w:r>
          </w:p>
        </w:tc>
        <w:tc>
          <w:tcPr>
            <w:tcW w:w="100" w:type="dxa"/>
            <w:vAlign w:val="bottom"/>
          </w:tcPr>
          <w:p>
            <w:pPr>
              <w:spacing w:after="0"/>
              <w:rPr>
                <w:sz w:val="12"/>
                <w:szCs w:val="12"/>
                <w:color w:val="auto"/>
              </w:rPr>
            </w:pPr>
          </w:p>
        </w:tc>
        <w:tc>
          <w:tcPr>
            <w:tcW w:w="880" w:type="dxa"/>
            <w:vAlign w:val="bottom"/>
            <w:tcBorders>
              <w:top w:val="single" w:sz="8" w:color="004483"/>
              <w:bottom w:val="single" w:sz="8" w:color="A6A6A6"/>
            </w:tcBorders>
          </w:tcPr>
          <w:p>
            <w:pPr>
              <w:jc w:val="right"/>
              <w:ind w:right="588"/>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78.94</w:t>
            </w:r>
          </w:p>
        </w:tc>
      </w:tr>
      <w:tr>
        <w:trPr>
          <w:trHeight w:val="142"/>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Granted</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152,309</w:t>
            </w:r>
          </w:p>
        </w:tc>
        <w:tc>
          <w:tcPr>
            <w:tcW w:w="100" w:type="dxa"/>
            <w:vAlign w:val="bottom"/>
          </w:tcPr>
          <w:p>
            <w:pPr>
              <w:spacing w:after="0"/>
              <w:rPr>
                <w:sz w:val="12"/>
                <w:szCs w:val="12"/>
                <w:color w:val="auto"/>
              </w:rPr>
            </w:pPr>
          </w:p>
        </w:tc>
        <w:tc>
          <w:tcPr>
            <w:tcW w:w="880" w:type="dxa"/>
            <w:vAlign w:val="bottom"/>
            <w:tcBorders>
              <w:bottom w:val="single" w:sz="8" w:color="A6A6A6"/>
            </w:tcBorders>
          </w:tcPr>
          <w:p>
            <w:pPr>
              <w:jc w:val="right"/>
              <w:ind w:right="588"/>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60.21</w:t>
            </w:r>
          </w:p>
        </w:tc>
      </w:tr>
      <w:tr>
        <w:trPr>
          <w:trHeight w:val="142"/>
        </w:trPr>
        <w:tc>
          <w:tcPr>
            <w:tcW w:w="7740" w:type="dxa"/>
            <w:vAlign w:val="bottom"/>
          </w:tcPr>
          <w:p>
            <w:pPr>
              <w:spacing w:after="0"/>
              <w:rPr>
                <w:sz w:val="20"/>
                <w:szCs w:val="20"/>
                <w:color w:val="auto"/>
              </w:rPr>
            </w:pPr>
            <w:r>
              <w:rPr>
                <w:rFonts w:ascii="Arial" w:cs="Arial" w:eastAsia="Arial" w:hAnsi="Arial"/>
                <w:sz w:val="11"/>
                <w:szCs w:val="11"/>
                <w:color w:val="auto"/>
              </w:rPr>
              <w:t>Vested</w:t>
            </w:r>
          </w:p>
        </w:tc>
        <w:tc>
          <w:tcPr>
            <w:tcW w:w="1680" w:type="dxa"/>
            <w:vAlign w:val="bottom"/>
            <w:gridSpan w:val="2"/>
          </w:tcPr>
          <w:p>
            <w:pPr>
              <w:jc w:val="right"/>
              <w:ind w:right="60"/>
              <w:spacing w:after="0"/>
              <w:rPr>
                <w:sz w:val="20"/>
                <w:szCs w:val="20"/>
                <w:color w:val="auto"/>
              </w:rPr>
            </w:pPr>
            <w:r>
              <w:rPr>
                <w:rFonts w:ascii="Arial" w:cs="Arial" w:eastAsia="Arial" w:hAnsi="Arial"/>
                <w:sz w:val="11"/>
                <w:szCs w:val="11"/>
                <w:color w:val="auto"/>
              </w:rPr>
              <w:t>(49,727)</w:t>
            </w:r>
          </w:p>
        </w:tc>
        <w:tc>
          <w:tcPr>
            <w:tcW w:w="880" w:type="dxa"/>
            <w:vAlign w:val="bottom"/>
          </w:tcPr>
          <w:p>
            <w:pPr>
              <w:jc w:val="right"/>
              <w:ind w:right="588"/>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55.50</w:t>
            </w:r>
          </w:p>
        </w:tc>
      </w:tr>
      <w:tr>
        <w:trPr>
          <w:trHeight w:val="20"/>
        </w:trPr>
        <w:tc>
          <w:tcPr>
            <w:tcW w:w="774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1"/>
                <w:szCs w:val="11"/>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1"/>
                <w:szCs w:val="11"/>
                <w:color w:val="auto"/>
              </w:rPr>
              <w:t>(6,127)</w:t>
            </w:r>
          </w:p>
        </w:tc>
        <w:tc>
          <w:tcPr>
            <w:tcW w:w="880" w:type="dxa"/>
            <w:vAlign w:val="bottom"/>
          </w:tcPr>
          <w:p>
            <w:pPr>
              <w:jc w:val="right"/>
              <w:ind w:right="588"/>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91.58</w:t>
            </w:r>
          </w:p>
        </w:tc>
      </w:tr>
      <w:tr>
        <w:trPr>
          <w:trHeight w:val="151"/>
        </w:trPr>
        <w:tc>
          <w:tcPr>
            <w:tcW w:w="774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Nonvested Restricted Stock at June 30, 2020</w:t>
            </w:r>
          </w:p>
        </w:tc>
        <w:tc>
          <w:tcPr>
            <w:tcW w:w="15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329,575</w:t>
            </w:r>
          </w:p>
        </w:tc>
        <w:tc>
          <w:tcPr>
            <w:tcW w:w="100" w:type="dxa"/>
            <w:vAlign w:val="bottom"/>
          </w:tcPr>
          <w:p>
            <w:pPr>
              <w:spacing w:after="0"/>
              <w:rPr>
                <w:sz w:val="13"/>
                <w:szCs w:val="13"/>
                <w:color w:val="auto"/>
              </w:rPr>
            </w:pPr>
          </w:p>
        </w:tc>
        <w:tc>
          <w:tcPr>
            <w:tcW w:w="880" w:type="dxa"/>
            <w:vAlign w:val="bottom"/>
            <w:tcBorders>
              <w:top w:val="single" w:sz="8" w:color="A6A6A6"/>
            </w:tcBorders>
          </w:tcPr>
          <w:p>
            <w:pPr>
              <w:spacing w:after="0"/>
              <w:rPr>
                <w:sz w:val="13"/>
                <w:szCs w:val="13"/>
                <w:color w:val="auto"/>
              </w:rPr>
            </w:pPr>
          </w:p>
        </w:tc>
        <w:tc>
          <w:tcPr>
            <w:tcW w:w="880" w:type="dxa"/>
            <w:vAlign w:val="bottom"/>
            <w:tcBorders>
              <w:top w:val="single" w:sz="8" w:color="A6A6A6"/>
            </w:tcBorders>
          </w:tcPr>
          <w:p>
            <w:pPr>
              <w:spacing w:after="0"/>
              <w:rPr>
                <w:sz w:val="13"/>
                <w:szCs w:val="13"/>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June 30, 2020, the weighted-average grant date fair value of restricted shares awarded was $60.21.</w:t>
      </w:r>
    </w:p>
    <w:p>
      <w:pPr>
        <w:spacing w:after="0" w:line="87"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Expense related to restricted shares was approximately $3.0 million and $7.1 million for the three months ended June 30, 2020 and 2019, respectively. At June 30, 2020, there was approximately $17.8 million of unearned compensation from restricted stock, which will be recognized over a weighted-average period of 2.9 years.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number of shares available for future grants of stock options, restricted stock units, stock appreciation rights, and restricted stock under the Plan was 3,469,927 at June 30, 2020.</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 COMPUTATION OF EARNINGS PER SHARE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The calculation of basic and diluted common shares outstanding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740" w:type="dxa"/>
            <w:vAlign w:val="bottom"/>
          </w:tcPr>
          <w:p>
            <w:pPr>
              <w:spacing w:after="0"/>
              <w:rPr>
                <w:sz w:val="11"/>
                <w:szCs w:val="11"/>
                <w:color w:val="auto"/>
              </w:rPr>
            </w:pPr>
          </w:p>
        </w:tc>
        <w:tc>
          <w:tcPr>
            <w:tcW w:w="2680" w:type="dxa"/>
            <w:vAlign w:val="bottom"/>
            <w:tcBorders>
              <w:bottom w:val="single" w:sz="8" w:color="004483"/>
            </w:tcBorders>
            <w:gridSpan w:val="4"/>
            <w:shd w:val="clear" w:color="auto" w:fill="004483"/>
          </w:tcPr>
          <w:p>
            <w:pPr>
              <w:ind w:left="1040"/>
              <w:spacing w:after="0"/>
              <w:rPr>
                <w:sz w:val="20"/>
                <w:szCs w:val="20"/>
                <w:color w:val="auto"/>
              </w:rPr>
            </w:pPr>
            <w:r>
              <w:rPr>
                <w:rFonts w:ascii="Arial" w:cs="Arial" w:eastAsia="Arial" w:hAnsi="Arial"/>
                <w:sz w:val="8"/>
                <w:szCs w:val="8"/>
                <w:b w:val="1"/>
                <w:bCs w:val="1"/>
                <w:color w:val="FFFFFF"/>
              </w:rPr>
              <w:t>For the Three Months Ended June 30,</w:t>
            </w:r>
          </w:p>
        </w:tc>
        <w:tc>
          <w:tcPr>
            <w:tcW w:w="760" w:type="dxa"/>
            <w:vAlign w:val="bottom"/>
            <w:tcBorders>
              <w:bottom w:val="single" w:sz="8" w:color="004483"/>
            </w:tcBorders>
            <w:shd w:val="clear" w:color="auto" w:fill="004483"/>
          </w:tcPr>
          <w:p>
            <w:pPr>
              <w:spacing w:after="0"/>
              <w:rPr>
                <w:sz w:val="11"/>
                <w:szCs w:val="11"/>
                <w:color w:val="auto"/>
              </w:rPr>
            </w:pPr>
          </w:p>
        </w:tc>
        <w:tc>
          <w:tcPr>
            <w:tcW w:w="120" w:type="dxa"/>
            <w:vAlign w:val="bottom"/>
            <w:tcBorders>
              <w:bottom w:val="single" w:sz="8" w:color="004483"/>
            </w:tcBorders>
            <w:shd w:val="clear" w:color="auto" w:fill="004483"/>
          </w:tcPr>
          <w:p>
            <w:pPr>
              <w:spacing w:after="0"/>
              <w:rPr>
                <w:sz w:val="11"/>
                <w:szCs w:val="11"/>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Weighted Average Shares of Common Stock Outstanding</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41,410,794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43,870,222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Effect of Dilutive Shares:</w:t>
            </w:r>
          </w:p>
        </w:tc>
        <w:tc>
          <w:tcPr>
            <w:tcW w:w="158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Assumed Exercise of Outstanding Dilutive Options</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130,687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750,654</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Less Shares Repurchased from Proceeds of Assumed Exercised Options</w:t>
            </w:r>
          </w:p>
        </w:tc>
        <w:tc>
          <w:tcPr>
            <w:tcW w:w="1680" w:type="dxa"/>
            <w:vAlign w:val="bottom"/>
            <w:gridSpan w:val="2"/>
          </w:tcPr>
          <w:p>
            <w:pPr>
              <w:jc w:val="right"/>
              <w:ind w:right="60"/>
              <w:spacing w:after="0"/>
              <w:rPr>
                <w:sz w:val="20"/>
                <w:szCs w:val="20"/>
                <w:color w:val="auto"/>
              </w:rPr>
            </w:pPr>
            <w:r>
              <w:rPr>
                <w:rFonts w:ascii="Arial" w:cs="Arial" w:eastAsia="Arial" w:hAnsi="Arial"/>
                <w:sz w:val="11"/>
                <w:szCs w:val="11"/>
                <w:color w:val="auto"/>
              </w:rPr>
              <w:t>(61,690)</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(591,647)</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Restricted Stock Units</w:t>
            </w:r>
          </w:p>
        </w:tc>
        <w:tc>
          <w:tcPr>
            <w:tcW w:w="15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83,477</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004483"/>
            </w:tcBorders>
          </w:tcPr>
          <w:p>
            <w:pPr>
              <w:spacing w:after="0"/>
              <w:rPr>
                <w:sz w:val="11"/>
                <w:szCs w:val="11"/>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120,982</w:t>
            </w:r>
          </w:p>
        </w:tc>
        <w:tc>
          <w:tcPr>
            <w:tcW w:w="120" w:type="dxa"/>
            <w:vAlign w:val="bottom"/>
          </w:tcPr>
          <w:p>
            <w:pPr>
              <w:spacing w:after="0"/>
              <w:rPr>
                <w:sz w:val="11"/>
                <w:szCs w:val="11"/>
                <w:color w:val="auto"/>
              </w:rPr>
            </w:pPr>
          </w:p>
        </w:tc>
      </w:tr>
      <w:tr>
        <w:trPr>
          <w:trHeight w:val="15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Weighted Average Common Stock and Dilutive Securities Outstanding</w:t>
            </w: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41,563,268</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800" w:type="dxa"/>
            <w:vAlign w:val="bottom"/>
            <w:tcBorders>
              <w:bottom w:val="single" w:sz="8" w:color="004483"/>
            </w:tcBorders>
          </w:tcPr>
          <w:p>
            <w:pPr>
              <w:spacing w:after="0"/>
              <w:rPr>
                <w:sz w:val="13"/>
                <w:szCs w:val="13"/>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44,150,211</w:t>
            </w:r>
          </w:p>
        </w:tc>
        <w:tc>
          <w:tcPr>
            <w:tcW w:w="120" w:type="dxa"/>
            <w:vAlign w:val="bottom"/>
          </w:tcPr>
          <w:p>
            <w:pPr>
              <w:spacing w:after="0"/>
              <w:rPr>
                <w:sz w:val="13"/>
                <w:szCs w:val="13"/>
                <w:color w:val="auto"/>
              </w:rPr>
            </w:pPr>
          </w:p>
        </w:tc>
      </w:tr>
      <w:tr>
        <w:trPr>
          <w:trHeight w:val="140"/>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Shares Excluded Due to Anti-dilution Effects</w:t>
            </w: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1,065,648</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80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327,761</w:t>
            </w:r>
          </w:p>
        </w:tc>
        <w:tc>
          <w:tcPr>
            <w:tcW w:w="120" w:type="dxa"/>
            <w:vAlign w:val="bottom"/>
          </w:tcPr>
          <w:p>
            <w:pPr>
              <w:spacing w:after="0"/>
              <w:rPr>
                <w:sz w:val="12"/>
                <w:szCs w:val="12"/>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49" w:right="29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(L) PENSION AND EMPLOYEE BENEFIT PLANS</w:t>
      </w:r>
    </w:p>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2"/>
          <w:szCs w:val="12"/>
          <w:color w:val="auto"/>
        </w:rPr>
        <w:t>We sponsor several defined benefit pension plans and defined contribution plans, which together cover substantially all our employees. Benefits paid under the defined benefit plans covering certain hourly employees are based on years of service and the employee’s qualifying compensation over the last few years of employment.</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the components of net periodic (benefit) cost for our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60" w:type="dxa"/>
            <w:vAlign w:val="bottom"/>
            <w:gridSpan w:val="4"/>
            <w:shd w:val="clear" w:color="auto" w:fill="004483"/>
          </w:tcPr>
          <w:p>
            <w:pPr>
              <w:jc w:val="right"/>
              <w:ind w:right="393"/>
              <w:spacing w:after="0"/>
              <w:rPr>
                <w:sz w:val="20"/>
                <w:szCs w:val="20"/>
                <w:color w:val="auto"/>
              </w:rPr>
            </w:pPr>
            <w:r>
              <w:rPr>
                <w:rFonts w:ascii="Arial" w:cs="Arial" w:eastAsia="Arial" w:hAnsi="Arial"/>
                <w:sz w:val="8"/>
                <w:szCs w:val="8"/>
                <w:b w:val="1"/>
                <w:bCs w:val="1"/>
                <w:color w:val="FFFFFF"/>
              </w:rPr>
              <w:t>For the Three Months Ended June 30,</w:t>
            </w:r>
          </w:p>
        </w:tc>
        <w:tc>
          <w:tcPr>
            <w:tcW w:w="6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60" w:type="dxa"/>
            <w:vAlign w:val="bottom"/>
            <w:tcBorders>
              <w:bottom w:val="single" w:sz="8" w:color="004483"/>
            </w:tcBorders>
            <w:gridSpan w:val="4"/>
          </w:tcPr>
          <w:p>
            <w:pPr>
              <w:jc w:val="right"/>
              <w:ind w:right="713"/>
              <w:spacing w:after="0"/>
              <w:rPr>
                <w:sz w:val="20"/>
                <w:szCs w:val="20"/>
                <w:color w:val="auto"/>
              </w:rPr>
            </w:pPr>
            <w:r>
              <w:rPr>
                <w:rFonts w:ascii="Arial" w:cs="Arial" w:eastAsia="Arial" w:hAnsi="Arial"/>
                <w:sz w:val="8"/>
                <w:szCs w:val="8"/>
                <w:color w:val="auto"/>
              </w:rPr>
              <w:t>(dollars in thousands)</w:t>
            </w:r>
          </w:p>
        </w:tc>
        <w:tc>
          <w:tcPr>
            <w:tcW w:w="6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Pr>
          <w:p>
            <w:pPr>
              <w:spacing w:after="0"/>
              <w:rPr>
                <w:sz w:val="20"/>
                <w:szCs w:val="20"/>
                <w:color w:val="auto"/>
              </w:rPr>
            </w:pPr>
            <w:r>
              <w:rPr>
                <w:rFonts w:ascii="Arial" w:cs="Arial" w:eastAsia="Arial" w:hAnsi="Arial"/>
                <w:sz w:val="11"/>
                <w:szCs w:val="11"/>
                <w:color w:val="auto"/>
              </w:rPr>
              <w:t>Service Cost - Benefits Earned During the Period</w:t>
            </w: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32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73"/>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1"/>
                <w:szCs w:val="11"/>
                <w:color w:val="auto"/>
              </w:rPr>
            </w:pP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Interest Cost of Projected Benefit Obligation</w:t>
            </w:r>
          </w:p>
        </w:tc>
        <w:tc>
          <w:tcPr>
            <w:tcW w:w="560" w:type="dxa"/>
            <w:vAlign w:val="bottom"/>
            <w:tcBorders>
              <w:top w:val="single" w:sz="8" w:color="A6A6A6"/>
              <w:bottom w:val="single" w:sz="8" w:color="A6A6A6"/>
            </w:tcBorders>
          </w:tcPr>
          <w:p>
            <w:pPr>
              <w:spacing w:after="0"/>
              <w:rPr>
                <w:sz w:val="11"/>
                <w:szCs w:val="11"/>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940" w:type="dxa"/>
            <w:vAlign w:val="bottom"/>
            <w:tcBorders>
              <w:top w:val="single" w:sz="8" w:color="A6A6A6"/>
              <w:bottom w:val="single" w:sz="8" w:color="A6A6A6"/>
            </w:tcBorders>
          </w:tcPr>
          <w:p>
            <w:pPr>
              <w:spacing w:after="0"/>
              <w:rPr>
                <w:sz w:val="11"/>
                <w:szCs w:val="11"/>
                <w:color w:val="auto"/>
              </w:rPr>
            </w:pPr>
          </w:p>
        </w:tc>
        <w:tc>
          <w:tcPr>
            <w:tcW w:w="6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Expected Return on Plan Assets</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(355)</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(426)</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Recognized Net Actuarial Loss</w:t>
            </w:r>
          </w:p>
        </w:tc>
        <w:tc>
          <w:tcPr>
            <w:tcW w:w="560" w:type="dxa"/>
            <w:vAlign w:val="bottom"/>
            <w:tcBorders>
              <w:top w:val="single" w:sz="8" w:color="A6A6A6"/>
              <w:bottom w:val="single" w:sz="8" w:color="004483"/>
            </w:tcBorders>
          </w:tcPr>
          <w:p>
            <w:pPr>
              <w:spacing w:after="0"/>
              <w:rPr>
                <w:sz w:val="11"/>
                <w:szCs w:val="11"/>
                <w:color w:val="auto"/>
              </w:rPr>
            </w:pPr>
          </w:p>
        </w:tc>
        <w:tc>
          <w:tcPr>
            <w:tcW w:w="10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940" w:type="dxa"/>
            <w:vAlign w:val="bottom"/>
            <w:tcBorders>
              <w:top w:val="single" w:sz="8" w:color="A6A6A6"/>
              <w:bottom w:val="single" w:sz="8" w:color="004483"/>
            </w:tcBorders>
          </w:tcPr>
          <w:p>
            <w:pPr>
              <w:spacing w:after="0"/>
              <w:rPr>
                <w:sz w:val="11"/>
                <w:szCs w:val="11"/>
                <w:color w:val="auto"/>
              </w:rPr>
            </w:pPr>
          </w:p>
        </w:tc>
        <w:tc>
          <w:tcPr>
            <w:tcW w:w="6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r>
      <w:tr>
        <w:trPr>
          <w:trHeight w:val="142"/>
        </w:trPr>
        <w:tc>
          <w:tcPr>
            <w:tcW w:w="7740" w:type="dxa"/>
            <w:vAlign w:val="bottom"/>
          </w:tcPr>
          <w:p>
            <w:pPr>
              <w:ind w:left="160"/>
              <w:spacing w:after="0"/>
              <w:rPr>
                <w:sz w:val="20"/>
                <w:szCs w:val="20"/>
                <w:color w:val="auto"/>
              </w:rPr>
            </w:pPr>
            <w:r>
              <w:rPr>
                <w:rFonts w:ascii="Arial" w:cs="Arial" w:eastAsia="Arial" w:hAnsi="Arial"/>
                <w:sz w:val="11"/>
                <w:szCs w:val="11"/>
                <w:b w:val="1"/>
                <w:bCs w:val="1"/>
                <w:color w:val="auto"/>
              </w:rPr>
              <w:t>Net Periodic Pension (Benefit) Cost</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004483"/>
            </w:tcBorders>
          </w:tcPr>
          <w:p>
            <w:pPr>
              <w:jc w:val="right"/>
              <w:ind w:right="873"/>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40</w:t>
            </w:r>
          </w:p>
        </w:tc>
        <w:tc>
          <w:tcPr>
            <w:tcW w:w="120" w:type="dxa"/>
            <w:vAlign w:val="bottom"/>
          </w:tcPr>
          <w:p>
            <w:pPr>
              <w:spacing w:after="0"/>
              <w:rPr>
                <w:sz w:val="12"/>
                <w:szCs w:val="1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 INCOME TAXES</w:t>
      </w:r>
    </w:p>
    <w:p>
      <w:pPr>
        <w:spacing w:after="0" w:line="102"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June 30, 2020 was approximately 25%, which was in line with the tax rate of 25% for the three months ended June 30, 2019. During the three months ended June 30, 2020, the effective tax rate rose above the US Statutory rate of 21% primarily due to state income taxes and a discrete penalty that was recorded related to an uncertain tax position.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 LONG-TERM DEBT</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Long-term Debt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00" w:type="dxa"/>
            <w:vAlign w:val="bottom"/>
            <w:shd w:val="clear" w:color="auto" w:fill="004483"/>
          </w:tcPr>
          <w:p>
            <w:pPr>
              <w:spacing w:after="0"/>
              <w:rPr>
                <w:sz w:val="13"/>
                <w:szCs w:val="13"/>
                <w:color w:val="auto"/>
              </w:rPr>
            </w:pPr>
          </w:p>
        </w:tc>
        <w:tc>
          <w:tcPr>
            <w:tcW w:w="1280" w:type="dxa"/>
            <w:vAlign w:val="bottom"/>
            <w:gridSpan w:val="3"/>
            <w:shd w:val="clear" w:color="auto" w:fill="004483"/>
          </w:tcPr>
          <w:p>
            <w:pPr>
              <w:ind w:left="660"/>
              <w:spacing w:after="0"/>
              <w:rPr>
                <w:sz w:val="20"/>
                <w:szCs w:val="20"/>
                <w:color w:val="auto"/>
              </w:rPr>
            </w:pPr>
            <w:r>
              <w:rPr>
                <w:rFonts w:ascii="Arial" w:cs="Arial" w:eastAsia="Arial" w:hAnsi="Arial"/>
                <w:sz w:val="8"/>
                <w:szCs w:val="8"/>
                <w:b w:val="1"/>
                <w:bCs w:val="1"/>
                <w:color w:val="FFFFFF"/>
              </w:rPr>
              <w:t>June 30,</w:t>
            </w:r>
          </w:p>
        </w:tc>
        <w:tc>
          <w:tcPr>
            <w:tcW w:w="660" w:type="dxa"/>
            <w:vAlign w:val="bottom"/>
            <w:shd w:val="clear" w:color="auto" w:fill="004483"/>
          </w:tcPr>
          <w:p>
            <w:pPr>
              <w:spacing w:after="0"/>
              <w:rPr>
                <w:sz w:val="13"/>
                <w:szCs w:val="13"/>
                <w:color w:val="auto"/>
              </w:rPr>
            </w:pPr>
          </w:p>
        </w:tc>
        <w:tc>
          <w:tcPr>
            <w:tcW w:w="102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4"/>
          </w:tcPr>
          <w:p>
            <w:pPr>
              <w:jc w:val="right"/>
              <w:ind w:right="433"/>
              <w:spacing w:after="0"/>
              <w:rPr>
                <w:sz w:val="20"/>
                <w:szCs w:val="20"/>
                <w:color w:val="auto"/>
              </w:rPr>
            </w:pPr>
            <w:r>
              <w:rPr>
                <w:rFonts w:ascii="Arial" w:cs="Arial" w:eastAsia="Arial" w:hAnsi="Arial"/>
                <w:sz w:val="8"/>
                <w:szCs w:val="8"/>
                <w:color w:val="auto"/>
              </w:rPr>
              <w:t>(dollars in thousands)</w:t>
            </w:r>
          </w:p>
        </w:tc>
        <w:tc>
          <w:tcPr>
            <w:tcW w:w="9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Revolving Credit Facility</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485,000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ind w:right="593"/>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560,000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4.500% Senior Unsecured Notes Due 2026</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350,000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350,000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Term Loan</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665,000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665,000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Debt</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1,500,000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1,575,000</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Less: Debt Origination Costs</w:t>
            </w:r>
          </w:p>
        </w:tc>
        <w:tc>
          <w:tcPr>
            <w:tcW w:w="600" w:type="dxa"/>
            <w:vAlign w:val="bottom"/>
          </w:tcPr>
          <w:p>
            <w:pPr>
              <w:spacing w:after="0"/>
              <w:rPr>
                <w:sz w:val="11"/>
                <w:szCs w:val="1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1"/>
                <w:szCs w:val="11"/>
                <w:color w:val="auto"/>
              </w:rPr>
              <w:t>(7,912)</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(7,685)</w:t>
            </w:r>
          </w:p>
        </w:tc>
      </w:tr>
      <w:tr>
        <w:trPr>
          <w:trHeight w:val="142"/>
        </w:trPr>
        <w:tc>
          <w:tcPr>
            <w:tcW w:w="774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Long-term Debt</w:t>
            </w:r>
          </w:p>
        </w:tc>
        <w:tc>
          <w:tcPr>
            <w:tcW w:w="600" w:type="dxa"/>
            <w:vAlign w:val="bottom"/>
            <w:tcBorders>
              <w:top w:val="single" w:sz="8" w:color="004483"/>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1,492,088</w:t>
            </w:r>
          </w:p>
        </w:tc>
        <w:tc>
          <w:tcPr>
            <w:tcW w:w="100" w:type="dxa"/>
            <w:vAlign w:val="bottom"/>
          </w:tcPr>
          <w:p>
            <w:pPr>
              <w:spacing w:after="0"/>
              <w:rPr>
                <w:sz w:val="12"/>
                <w:szCs w:val="12"/>
                <w:color w:val="auto"/>
              </w:rPr>
            </w:pPr>
          </w:p>
        </w:tc>
        <w:tc>
          <w:tcPr>
            <w:tcW w:w="200" w:type="dxa"/>
            <w:vAlign w:val="bottom"/>
            <w:tcBorders>
              <w:top w:val="single" w:sz="8" w:color="A6A6A6"/>
            </w:tcBorders>
          </w:tcPr>
          <w:p>
            <w:pPr>
              <w:spacing w:after="0"/>
              <w:rPr>
                <w:sz w:val="12"/>
                <w:szCs w:val="12"/>
                <w:color w:val="auto"/>
              </w:rPr>
            </w:pPr>
          </w:p>
        </w:tc>
        <w:tc>
          <w:tcPr>
            <w:tcW w:w="660" w:type="dxa"/>
            <w:vAlign w:val="bottom"/>
            <w:tcBorders>
              <w:top w:val="single" w:sz="8" w:color="004483"/>
              <w:bottom w:val="single" w:sz="8" w:color="004483"/>
            </w:tcBorders>
          </w:tcPr>
          <w:p>
            <w:pPr>
              <w:jc w:val="right"/>
              <w:ind w:right="593"/>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1,567,315</w:t>
            </w:r>
          </w:p>
        </w:tc>
        <w:tc>
          <w:tcPr>
            <w:tcW w:w="120" w:type="dxa"/>
            <w:vAlign w:val="bottom"/>
          </w:tcPr>
          <w:p>
            <w:pPr>
              <w:spacing w:after="0"/>
              <w:rPr>
                <w:sz w:val="12"/>
                <w:szCs w:val="12"/>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Credit Facility</w:t>
      </w:r>
    </w:p>
    <w:p>
      <w:pPr>
        <w:spacing w:after="0" w:line="92" w:lineRule="exact"/>
        <w:rPr>
          <w:sz w:val="20"/>
          <w:szCs w:val="20"/>
          <w:color w:val="auto"/>
        </w:rPr>
      </w:pPr>
    </w:p>
    <w:p>
      <w:pPr>
        <w:jc w:val="both"/>
        <w:ind w:right="100"/>
        <w:spacing w:after="0" w:line="277" w:lineRule="auto"/>
        <w:rPr>
          <w:sz w:val="20"/>
          <w:szCs w:val="20"/>
          <w:color w:val="auto"/>
        </w:rPr>
      </w:pPr>
      <w:r>
        <w:rPr>
          <w:rFonts w:ascii="Arial" w:cs="Arial" w:eastAsia="Arial" w:hAnsi="Arial"/>
          <w:sz w:val="12"/>
          <w:szCs w:val="12"/>
          <w:color w:val="auto"/>
        </w:rPr>
        <w:t>We have a revolving credit facility (the Revolving Credit Facility) that terminates on August 2, 2022. The borrowing capacity under the Revolving Credit Facility is $750.0 million until August 2, 2021, after which the aggregate borrowing capacity under the Revolving Credit Facility will be reduced to $665.0 million. The Revolving Credit Facility also includes a swingline loan sublimit of $25.0 million.</w:t>
      </w:r>
    </w:p>
    <w:p>
      <w:pPr>
        <w:spacing w:after="0" w:line="59"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Borrowings under the Revolving Credit Facility are guaranteed by all of the Company’s material subsidiaries. The debt under the Revolving Credit Facility is not rated by ratings agencies. At the Company’s option, principal amounts outstanding under the Revolving Credit Facility bear interest at a variable rate equal to either (i) the Adjusted LIBO Rate (as defined in the Revolving Credit Facility) plus an agreed spread (ranging from 125 to 200 basis points for loans scheduled to mature in 2021 and from 150 to 250 basis points for loans scheduled to mature in 2022), which is established quarterly based on the Company's then Leverage Ratio (as defined in the Revolving Credit Facility); or (ii) an Alternate Base Rate (as defined in the Revolving Credit Facility), which is the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7" w:name="page18"/>
    <w:bookmarkEnd w:id="17"/>
    <w:p>
      <w:pPr>
        <w:spacing w:after="0" w:line="267" w:lineRule="auto"/>
        <w:rPr>
          <w:sz w:val="20"/>
          <w:szCs w:val="20"/>
          <w:color w:val="auto"/>
        </w:rPr>
      </w:pPr>
      <w:r>
        <w:rPr>
          <w:rFonts w:ascii="Arial" w:cs="Arial" w:eastAsia="Arial" w:hAnsi="Arial"/>
          <w:sz w:val="12"/>
          <w:szCs w:val="12"/>
          <w:color w:val="auto"/>
        </w:rPr>
        <w:t>highest of (a) the Prime Rate (as defined in the Revolving Credit Facility), (b) the NYFRB (as defined in the Revolving Credit Facility) plus ½ of 1%, and (c) the Adjusted LIBO Rate for a one-month interest period on such day, plus 1.0%, in each case plus an agreed upon spread (ranging from 25 to 100 basis points for loans scheduled to mature in 2021 and from 50 to 150 basis points for loans scheduled to mature in 2022) which is established quarterly based on the Company's then Leverage Ratio. In the case of loans bearing interest at a rate based on the Alternate Base Rate, interest payments are payable quarterly. In the case of loans bearing interest at a rate based on the Adjusted LIBO Rate, interest is payable at the end of the relevant Interest Period (as defined in the Revolving Credit Facility) for such borrowing unless such Interest Period is for more than three months duration, in which case such interest is payable at intervals of three months duration after the first day of such Interest Period, which can be up to six months at the option of the Company. The Company is also required to pay a commitment fee on unused available borrowings under the Revolving Credit Facility (ranging from 15 to 30 basis points for loans scheduled to mature in 2021 and from 20 to 40 basis points for loans scheduled to mature in 2022) which is established quarterly based on the Company's then Leverage Ratio. The Revolving Credit Facility contains customary covenants that restrict the Company’s and its Restricted Subsidiaries’ ability to incur additional debt; encumber assets; merge with or transfer or sell assets to other persons; make or enter into certain investments, loans, or guaranties; enter into certain swap agreements; enter into affiliate transactions or restrictive transactions; make restricted payments; prepay subordinated indebtedness; and enter into sale and leaseback arrangements. The Revolving Credit Facility also requires the Company to maintain at the end of each fiscal quarter a Leverage Ratio of 4.50:1.00 or less and an Interest Coverage Ratio (as defined in the Revolving Credit Facility) equal to or greater than 2.50 to 1.00.</w:t>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We were in compliance with all financial ratios and tests at June 30, 2020. We had $485.0 million of borrowings outstanding under the Revolving Credit Facility at June 30, 2020. We had $260.0 million of available borrowings under the Revolving Credit Facility, net of the outstanding letters of credit, at June 30, 2020, all of which was available for future borrowings based on our current Leverage Ratio.</w:t>
      </w:r>
    </w:p>
    <w:p>
      <w:pPr>
        <w:spacing w:after="0" w:line="59" w:lineRule="exact"/>
        <w:rPr>
          <w:sz w:val="20"/>
          <w:szCs w:val="20"/>
          <w:color w:val="auto"/>
        </w:rPr>
      </w:pPr>
    </w:p>
    <w:p>
      <w:pPr>
        <w:ind w:right="140"/>
        <w:spacing w:after="0" w:line="269" w:lineRule="auto"/>
        <w:rPr>
          <w:sz w:val="20"/>
          <w:szCs w:val="20"/>
          <w:color w:val="auto"/>
        </w:rPr>
      </w:pPr>
      <w:r>
        <w:rPr>
          <w:rFonts w:ascii="Arial" w:cs="Arial" w:eastAsia="Arial" w:hAnsi="Arial"/>
          <w:sz w:val="12"/>
          <w:szCs w:val="12"/>
          <w:color w:val="auto"/>
        </w:rPr>
        <w:t>The Revolving Credit Facility has a $40.0 million letter of credit facility. 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one-time letter of credit fee to the issuing bank of such letters of credit in an amount equal to 0.125% of the initial stated amount. At June 30, 2020, we had $5.0 million of outstanding letters of credit. We previously provided an irrevocable stand-by letter of credit for any borrowings made by our Joint Venture under its credit facility; however, this credit facility was terminated and the letter of credit cancelled in July 2020.</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Term Loan</w:t>
      </w:r>
    </w:p>
    <w:p>
      <w:pPr>
        <w:spacing w:after="0" w:line="101"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We have a term loan credit agreement (the Term Loan Agreement) establishing a $665.0 million term loan facility which we used to pay a portion of the purchase price for the Kosmos Acquisition and fees and expenses incurred in connection with the Kosmos Acquisition in March 2020, which matures on August 2, 2022.</w:t>
      </w:r>
    </w:p>
    <w:p>
      <w:pPr>
        <w:spacing w:after="0" w:line="59" w:lineRule="exact"/>
        <w:rPr>
          <w:sz w:val="20"/>
          <w:szCs w:val="20"/>
          <w:color w:val="auto"/>
        </w:rPr>
      </w:pPr>
    </w:p>
    <w:p>
      <w:pPr>
        <w:ind w:right="120"/>
        <w:spacing w:after="0" w:line="269" w:lineRule="auto"/>
        <w:rPr>
          <w:sz w:val="20"/>
          <w:szCs w:val="20"/>
          <w:color w:val="auto"/>
        </w:rPr>
      </w:pPr>
      <w:r>
        <w:rPr>
          <w:rFonts w:ascii="Arial" w:cs="Arial" w:eastAsia="Arial" w:hAnsi="Arial"/>
          <w:sz w:val="12"/>
          <w:szCs w:val="12"/>
          <w:color w:val="auto"/>
        </w:rPr>
        <w:t>Borrowings under the Term Loan Agreement bear interest, at our option, at a variable rate equal to either (i) the Alternate Base Rate (as defined in the Term Loan Agreement and consistent with the Revolving Credit Facility), plus an agreed spread (ranging from 50 to 150 basis points), or (ii) the Adjusted LIBO Rate (as defined in the Term Loan Agreement) plus an agreed spread (ranging from 150 to 250 basis points), which is established quarterly based on the Company's then Leverage Ratio (as defined in the Term Loan Agreement and consistent with the Revolving Credit Facility). The Company must also maintain a Leverage Ratio and Interest Coverage Ratio consistent with the Revolving Credit Facility.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u w:val="single" w:color="auto"/>
          <w:color w:val="auto"/>
        </w:rPr>
        <w:t>4.500% Senior Unsecured Notes Due 2026</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On August 2, 2016, the Company issued $350.0 million aggregate principal amount of 4.500% senior notes (Senior Unsecured Notes) due August 2026. Interest on the Senior Unsecured Notes is payable semiannually on February 1 and August 1 of each year until all of the outstanding notes are paid. The Senior Unsecured Notes rank equal to existing and future senior indebtedness, including the Credit Facility and the Private Placement Senior Unsecured Notes. Prior to August 1, 2021, we may redeem some or all of the Senior Unsecured Notes at a price equal to 100% of the principal amount, plus a “make-whole” premium. Beginning August 1, 2021, we may redeem some or all of the Senior Unsecured Notes at the redemption prices set forth below (expressed as a percentage of the principal amount being redeemed):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800" w:type="dxa"/>
            <w:vAlign w:val="bottom"/>
            <w:tcBorders>
              <w:bottom w:val="single" w:sz="8" w:color="004483"/>
            </w:tcBorders>
          </w:tcPr>
          <w:p>
            <w:pPr>
              <w:spacing w:after="0"/>
              <w:rPr>
                <w:sz w:val="8"/>
                <w:szCs w:val="8"/>
                <w:color w:val="auto"/>
              </w:rPr>
            </w:pPr>
          </w:p>
        </w:tc>
        <w:tc>
          <w:tcPr>
            <w:tcW w:w="5380" w:type="dxa"/>
            <w:vAlign w:val="bottom"/>
            <w:tcBorders>
              <w:bottom w:val="single" w:sz="8" w:color="004483"/>
            </w:tcBorders>
          </w:tcPr>
          <w:p>
            <w:pPr>
              <w:ind w:left="4980"/>
              <w:spacing w:after="0"/>
              <w:rPr>
                <w:sz w:val="20"/>
                <w:szCs w:val="20"/>
                <w:color w:val="auto"/>
              </w:rPr>
            </w:pPr>
            <w:r>
              <w:rPr>
                <w:rFonts w:ascii="Arial" w:cs="Arial" w:eastAsia="Arial" w:hAnsi="Arial"/>
                <w:sz w:val="8"/>
                <w:szCs w:val="8"/>
                <w:b w:val="1"/>
                <w:bCs w:val="1"/>
                <w:color w:val="auto"/>
                <w:w w:val="87"/>
              </w:rPr>
              <w:t>Percentage</w:t>
            </w:r>
          </w:p>
        </w:tc>
        <w:tc>
          <w:tcPr>
            <w:tcW w:w="80" w:type="dxa"/>
            <w:vAlign w:val="bottom"/>
          </w:tcPr>
          <w:p>
            <w:pPr>
              <w:spacing w:after="0"/>
              <w:rPr>
                <w:sz w:val="8"/>
                <w:szCs w:val="8"/>
                <w:color w:val="auto"/>
              </w:rPr>
            </w:pPr>
          </w:p>
        </w:tc>
      </w:tr>
      <w:tr>
        <w:trPr>
          <w:trHeight w:val="131"/>
        </w:trPr>
        <w:tc>
          <w:tcPr>
            <w:tcW w:w="5800" w:type="dxa"/>
            <w:vAlign w:val="bottom"/>
          </w:tcPr>
          <w:p>
            <w:pPr>
              <w:spacing w:after="0"/>
              <w:rPr>
                <w:sz w:val="20"/>
                <w:szCs w:val="20"/>
                <w:color w:val="auto"/>
              </w:rPr>
            </w:pPr>
            <w:r>
              <w:rPr>
                <w:rFonts w:ascii="Arial" w:cs="Arial" w:eastAsia="Arial" w:hAnsi="Arial"/>
                <w:sz w:val="11"/>
                <w:szCs w:val="11"/>
                <w:color w:val="auto"/>
              </w:rPr>
              <w:t>2021</w:t>
            </w:r>
          </w:p>
        </w:tc>
        <w:tc>
          <w:tcPr>
            <w:tcW w:w="5460" w:type="dxa"/>
            <w:vAlign w:val="bottom"/>
            <w:gridSpan w:val="2"/>
          </w:tcPr>
          <w:p>
            <w:pPr>
              <w:jc w:val="right"/>
              <w:spacing w:after="0"/>
              <w:rPr>
                <w:sz w:val="20"/>
                <w:szCs w:val="20"/>
                <w:color w:val="auto"/>
              </w:rPr>
            </w:pPr>
            <w:r>
              <w:rPr>
                <w:rFonts w:ascii="Arial" w:cs="Arial" w:eastAsia="Arial" w:hAnsi="Arial"/>
                <w:sz w:val="11"/>
                <w:szCs w:val="11"/>
                <w:color w:val="auto"/>
              </w:rPr>
              <w:t>102.25%</w:t>
            </w:r>
          </w:p>
        </w:tc>
      </w:tr>
      <w:tr>
        <w:trPr>
          <w:trHeight w:val="20"/>
        </w:trPr>
        <w:tc>
          <w:tcPr>
            <w:tcW w:w="5800" w:type="dxa"/>
            <w:vAlign w:val="bottom"/>
            <w:shd w:val="clear" w:color="auto" w:fill="A6A6A6"/>
          </w:tcPr>
          <w:p>
            <w:pPr>
              <w:spacing w:after="0" w:line="20" w:lineRule="exact"/>
              <w:rPr>
                <w:sz w:val="1"/>
                <w:szCs w:val="1"/>
                <w:color w:val="auto"/>
              </w:rPr>
            </w:pPr>
          </w:p>
        </w:tc>
        <w:tc>
          <w:tcPr>
            <w:tcW w:w="53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5800" w:type="dxa"/>
            <w:vAlign w:val="bottom"/>
          </w:tcPr>
          <w:p>
            <w:pPr>
              <w:spacing w:after="0"/>
              <w:rPr>
                <w:sz w:val="20"/>
                <w:szCs w:val="20"/>
                <w:color w:val="auto"/>
              </w:rPr>
            </w:pPr>
            <w:r>
              <w:rPr>
                <w:rFonts w:ascii="Arial" w:cs="Arial" w:eastAsia="Arial" w:hAnsi="Arial"/>
                <w:sz w:val="11"/>
                <w:szCs w:val="11"/>
                <w:color w:val="auto"/>
              </w:rPr>
              <w:t>2022</w:t>
            </w:r>
          </w:p>
        </w:tc>
        <w:tc>
          <w:tcPr>
            <w:tcW w:w="5460" w:type="dxa"/>
            <w:vAlign w:val="bottom"/>
            <w:gridSpan w:val="2"/>
          </w:tcPr>
          <w:p>
            <w:pPr>
              <w:jc w:val="right"/>
              <w:spacing w:after="0"/>
              <w:rPr>
                <w:sz w:val="20"/>
                <w:szCs w:val="20"/>
                <w:color w:val="auto"/>
              </w:rPr>
            </w:pPr>
            <w:r>
              <w:rPr>
                <w:rFonts w:ascii="Arial" w:cs="Arial" w:eastAsia="Arial" w:hAnsi="Arial"/>
                <w:sz w:val="11"/>
                <w:szCs w:val="11"/>
                <w:color w:val="auto"/>
              </w:rPr>
              <w:t>101.50%</w:t>
            </w:r>
          </w:p>
        </w:tc>
      </w:tr>
      <w:tr>
        <w:trPr>
          <w:trHeight w:val="20"/>
        </w:trPr>
        <w:tc>
          <w:tcPr>
            <w:tcW w:w="5800" w:type="dxa"/>
            <w:vAlign w:val="bottom"/>
            <w:shd w:val="clear" w:color="auto" w:fill="A6A6A6"/>
          </w:tcPr>
          <w:p>
            <w:pPr>
              <w:spacing w:after="0" w:line="20" w:lineRule="exact"/>
              <w:rPr>
                <w:sz w:val="1"/>
                <w:szCs w:val="1"/>
                <w:color w:val="auto"/>
              </w:rPr>
            </w:pPr>
          </w:p>
        </w:tc>
        <w:tc>
          <w:tcPr>
            <w:tcW w:w="53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5800" w:type="dxa"/>
            <w:vAlign w:val="bottom"/>
          </w:tcPr>
          <w:p>
            <w:pPr>
              <w:spacing w:after="0"/>
              <w:rPr>
                <w:sz w:val="20"/>
                <w:szCs w:val="20"/>
                <w:color w:val="auto"/>
              </w:rPr>
            </w:pPr>
            <w:r>
              <w:rPr>
                <w:rFonts w:ascii="Arial" w:cs="Arial" w:eastAsia="Arial" w:hAnsi="Arial"/>
                <w:sz w:val="11"/>
                <w:szCs w:val="11"/>
                <w:color w:val="auto"/>
              </w:rPr>
              <w:t>2023</w:t>
            </w:r>
          </w:p>
        </w:tc>
        <w:tc>
          <w:tcPr>
            <w:tcW w:w="5460" w:type="dxa"/>
            <w:vAlign w:val="bottom"/>
            <w:gridSpan w:val="2"/>
          </w:tcPr>
          <w:p>
            <w:pPr>
              <w:jc w:val="right"/>
              <w:spacing w:after="0"/>
              <w:rPr>
                <w:sz w:val="20"/>
                <w:szCs w:val="20"/>
                <w:color w:val="auto"/>
              </w:rPr>
            </w:pPr>
            <w:r>
              <w:rPr>
                <w:rFonts w:ascii="Arial" w:cs="Arial" w:eastAsia="Arial" w:hAnsi="Arial"/>
                <w:sz w:val="11"/>
                <w:szCs w:val="11"/>
                <w:color w:val="auto"/>
              </w:rPr>
              <w:t>100.75%</w:t>
            </w:r>
          </w:p>
        </w:tc>
      </w:tr>
      <w:tr>
        <w:trPr>
          <w:trHeight w:val="20"/>
        </w:trPr>
        <w:tc>
          <w:tcPr>
            <w:tcW w:w="5800" w:type="dxa"/>
            <w:vAlign w:val="bottom"/>
            <w:shd w:val="clear" w:color="auto" w:fill="A6A6A6"/>
          </w:tcPr>
          <w:p>
            <w:pPr>
              <w:spacing w:after="0" w:line="20" w:lineRule="exact"/>
              <w:rPr>
                <w:sz w:val="1"/>
                <w:szCs w:val="1"/>
                <w:color w:val="auto"/>
              </w:rPr>
            </w:pPr>
          </w:p>
        </w:tc>
        <w:tc>
          <w:tcPr>
            <w:tcW w:w="53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5800" w:type="dxa"/>
            <w:vAlign w:val="bottom"/>
          </w:tcPr>
          <w:p>
            <w:pPr>
              <w:spacing w:after="0"/>
              <w:rPr>
                <w:sz w:val="20"/>
                <w:szCs w:val="20"/>
                <w:color w:val="auto"/>
              </w:rPr>
            </w:pPr>
            <w:r>
              <w:rPr>
                <w:rFonts w:ascii="Arial" w:cs="Arial" w:eastAsia="Arial" w:hAnsi="Arial"/>
                <w:sz w:val="11"/>
                <w:szCs w:val="11"/>
                <w:color w:val="auto"/>
              </w:rPr>
              <w:t>2024 and thereafter</w:t>
            </w:r>
          </w:p>
        </w:tc>
        <w:tc>
          <w:tcPr>
            <w:tcW w:w="5460" w:type="dxa"/>
            <w:vAlign w:val="bottom"/>
            <w:gridSpan w:val="2"/>
          </w:tcPr>
          <w:p>
            <w:pPr>
              <w:jc w:val="right"/>
              <w:spacing w:after="0"/>
              <w:rPr>
                <w:sz w:val="20"/>
                <w:szCs w:val="20"/>
                <w:color w:val="auto"/>
              </w:rPr>
            </w:pPr>
            <w:r>
              <w:rPr>
                <w:rFonts w:ascii="Arial" w:cs="Arial" w:eastAsia="Arial" w:hAnsi="Arial"/>
                <w:sz w:val="11"/>
                <w:szCs w:val="11"/>
                <w:color w:val="auto"/>
              </w:rPr>
              <w:t>100.00%</w:t>
            </w:r>
          </w:p>
        </w:tc>
      </w:tr>
      <w:tr>
        <w:trPr>
          <w:trHeight w:val="20"/>
        </w:trPr>
        <w:tc>
          <w:tcPr>
            <w:tcW w:w="5800" w:type="dxa"/>
            <w:vAlign w:val="bottom"/>
            <w:shd w:val="clear" w:color="auto" w:fill="A6A6A6"/>
          </w:tcPr>
          <w:p>
            <w:pPr>
              <w:spacing w:after="0" w:line="20" w:lineRule="exact"/>
              <w:rPr>
                <w:sz w:val="1"/>
                <w:szCs w:val="1"/>
                <w:color w:val="auto"/>
              </w:rPr>
            </w:pPr>
          </w:p>
        </w:tc>
        <w:tc>
          <w:tcPr>
            <w:tcW w:w="53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00"/>
        <w:spacing w:after="0" w:line="271" w:lineRule="auto"/>
        <w:rPr>
          <w:sz w:val="20"/>
          <w:szCs w:val="20"/>
          <w:color w:val="auto"/>
        </w:rPr>
      </w:pPr>
      <w:r>
        <w:rPr>
          <w:rFonts w:ascii="Arial" w:cs="Arial" w:eastAsia="Arial" w:hAnsi="Arial"/>
          <w:sz w:val="12"/>
          <w:szCs w:val="12"/>
          <w:color w:val="auto"/>
        </w:rPr>
        <w:t>The Senior Unsecured Notes contain covenants that limit our ability and/or our guarantor subsidiaries' ability to create or permit to exist certain liens; enter into sale and leaseback transactions; and consolidate, merge, or transfer all or substantially all of our assets. The Company’s Senior Unsecured Notes are fully, unconditionally, jointly, and severally guaranteed by each of our subsidiaries that are guarantors under the Revolving Credit Facility and Term Loan Agreement. See Footnote (R) for more information on the guarantors of the Senior Public Notes.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Other Information</w:t>
      </w:r>
    </w:p>
    <w:p>
      <w:pPr>
        <w:spacing w:after="0" w:line="92"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We lease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are equal in amount to the payments required to be made by the city of Sugar Creek to the holders of the industrial revenue bonds. Because we hold all outstanding industrial revenue bonds, no debt is reflected on our financial statements in connection with our lease of the cement plant. Upon expiration of the lease in fiscal 2021, we have the option to purchase the cement plant for a nominal amount.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 SEGMENT INFORMATION</w:t>
      </w:r>
    </w:p>
    <w:p>
      <w:pPr>
        <w:spacing w:after="0" w:line="93" w:lineRule="exact"/>
        <w:rPr>
          <w:sz w:val="20"/>
          <w:szCs w:val="20"/>
          <w:color w:val="auto"/>
        </w:rPr>
      </w:pPr>
    </w:p>
    <w:p>
      <w:pPr>
        <w:ind w:right="140"/>
        <w:spacing w:after="0" w:line="277" w:lineRule="auto"/>
        <w:rPr>
          <w:sz w:val="20"/>
          <w:szCs w:val="20"/>
          <w:color w:val="auto"/>
        </w:rPr>
      </w:pPr>
      <w:r>
        <w:rPr>
          <w:rFonts w:ascii="Arial" w:cs="Arial" w:eastAsia="Arial" w:hAnsi="Arial"/>
          <w:sz w:val="12"/>
          <w:szCs w:val="12"/>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p>
    <w:p>
      <w:pPr>
        <w:spacing w:after="0" w:line="59" w:lineRule="exact"/>
        <w:rPr>
          <w:sz w:val="20"/>
          <w:szCs w:val="20"/>
          <w:color w:val="auto"/>
        </w:rPr>
      </w:pPr>
    </w:p>
    <w:p>
      <w:pPr>
        <w:spacing w:after="0" w:line="307" w:lineRule="auto"/>
        <w:rPr>
          <w:sz w:val="20"/>
          <w:szCs w:val="20"/>
          <w:color w:val="auto"/>
        </w:rPr>
      </w:pPr>
      <w:r>
        <w:rPr>
          <w:rFonts w:ascii="Arial" w:cs="Arial" w:eastAsia="Arial" w:hAnsi="Arial"/>
          <w:sz w:val="11"/>
          <w:szCs w:val="11"/>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 We also produce sand used in hydraulic fracturing as part of our Oil and Gas Proppants segment.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19" w:name="page20"/>
    <w:bookmarkEnd w:id="19"/>
    <w:p>
      <w:pPr>
        <w:ind w:right="520"/>
        <w:spacing w:after="0" w:line="277" w:lineRule="auto"/>
        <w:rPr>
          <w:sz w:val="20"/>
          <w:szCs w:val="20"/>
          <w:color w:val="auto"/>
        </w:rPr>
      </w:pPr>
      <w:r>
        <w:rPr>
          <w:rFonts w:ascii="Arial" w:cs="Arial" w:eastAsia="Arial" w:hAnsi="Arial"/>
          <w:sz w:val="12"/>
          <w:szCs w:val="12"/>
          <w:color w:val="auto"/>
        </w:rPr>
        <w:t>Our business is organized into three sectors within which there are five reportable business segments. The Heavy Materials sector includes the Cement and Concrete and Aggregates segments. The Light Materials sector includes the Gypsum Wallboard and Recycled Paperboard segments. The Oil and Gas Proppants segment produces frac sand used in oil and gas extraction.</w:t>
      </w:r>
    </w:p>
    <w:p>
      <w:pPr>
        <w:spacing w:after="0" w:line="59" w:lineRule="exact"/>
        <w:rPr>
          <w:sz w:val="20"/>
          <w:szCs w:val="20"/>
          <w:color w:val="auto"/>
        </w:rPr>
      </w:pPr>
    </w:p>
    <w:p>
      <w:pPr>
        <w:jc w:val="both"/>
        <w:ind w:right="140"/>
        <w:spacing w:after="0" w:line="307" w:lineRule="auto"/>
        <w:rPr>
          <w:sz w:val="20"/>
          <w:szCs w:val="20"/>
          <w:color w:val="auto"/>
        </w:rPr>
      </w:pPr>
      <w:r>
        <w:rPr>
          <w:rFonts w:ascii="Arial" w:cs="Arial" w:eastAsia="Arial" w:hAnsi="Arial"/>
          <w:sz w:val="11"/>
          <w:szCs w:val="11"/>
          <w:color w:val="auto"/>
        </w:rPr>
        <w:t>Our operations are conducted in the U.S. and include the mining of limestone for the manufacture, production, distribution, and sale of portland cement (a basic construction material which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the mining and sale of aggregates (crushed stone, sand, and gravel) and the mining and sale of sand used in hydraulic fracturing (frac sand).</w:t>
      </w:r>
    </w:p>
    <w:p>
      <w:pPr>
        <w:spacing w:after="0" w:line="46"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California, Colorado, Illinois, Indiana, Iowa, Kentucky, Missouri, Nebraska, Nevada, Ohio, Oklahoma, and Texas. We operate 23 readymix concrete batch plants and four aggregates processing plants in markets that are complementary to our cement network. On April 17, 2020 we sold our Concrete and Aggregates companies in northern California. See Footnote (D) for more information about the sale.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We operate five gypsum wallboard plants and a recycled paperboard mill. We distribute gypsum wallboard and recycled paperboard throughout the continental U.S., with the exception of the Northeast.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Our Oil and Gas Proppants business owns two frac sand processing facilities, four frac sand drying facilities, and two frac sand trans-load locations. Frac sand is sold into shale deposits across the United States.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During May 2020, we significantly curtailed our operating activities at our frac sand facilities.</w:t>
      </w:r>
    </w:p>
    <w:p>
      <w:pPr>
        <w:spacing w:after="0" w:line="87"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2"/>
          <w:szCs w:val="12"/>
          <w:color w:val="auto"/>
        </w:rPr>
        <w:t>The following table sets forth certain financial information relating to our operations by segment. We do not allocate interest or taxes at the segment level; these costs are disclosed at the consolidated company level.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80" w:type="dxa"/>
            <w:vAlign w:val="bottom"/>
            <w:gridSpan w:val="4"/>
            <w:shd w:val="clear" w:color="auto" w:fill="004483"/>
          </w:tcPr>
          <w:p>
            <w:pPr>
              <w:jc w:val="right"/>
              <w:ind w:right="313"/>
              <w:spacing w:after="0"/>
              <w:rPr>
                <w:sz w:val="20"/>
                <w:szCs w:val="20"/>
                <w:color w:val="auto"/>
              </w:rPr>
            </w:pPr>
            <w:r>
              <w:rPr>
                <w:rFonts w:ascii="Arial" w:cs="Arial" w:eastAsia="Arial" w:hAnsi="Arial"/>
                <w:sz w:val="8"/>
                <w:szCs w:val="8"/>
                <w:b w:val="1"/>
                <w:bCs w:val="1"/>
                <w:color w:val="FFFFFF"/>
              </w:rPr>
              <w:t>For the Three Months Ended June 30,</w:t>
            </w:r>
          </w:p>
        </w:tc>
        <w:tc>
          <w:tcPr>
            <w:tcW w:w="7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4"/>
          </w:tcPr>
          <w:p>
            <w:pPr>
              <w:jc w:val="right"/>
              <w:ind w:right="633"/>
              <w:spacing w:after="0"/>
              <w:rPr>
                <w:sz w:val="20"/>
                <w:szCs w:val="20"/>
                <w:color w:val="auto"/>
              </w:rPr>
            </w:pPr>
            <w:r>
              <w:rPr>
                <w:rFonts w:ascii="Arial" w:cs="Arial" w:eastAsia="Arial" w:hAnsi="Arial"/>
                <w:sz w:val="8"/>
                <w:szCs w:val="8"/>
                <w:color w:val="auto"/>
              </w:rPr>
              <w:t>(dollars in thousands)</w:t>
            </w:r>
          </w:p>
        </w:tc>
        <w:tc>
          <w:tcPr>
            <w:tcW w:w="7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Revenue -</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261,411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93"/>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195,313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44,190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39,778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130,150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126,724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36,744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42,700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Oil and Gas Proppants</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1,031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004483"/>
            </w:tcBorders>
          </w:tcPr>
          <w:p>
            <w:pPr>
              <w:spacing w:after="0"/>
              <w:rPr>
                <w:sz w:val="11"/>
                <w:szCs w:val="11"/>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15,232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473,526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419,747</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Less: Intersegment Revenue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(20,206)</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(21,645)</w:t>
            </w: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Less: Joint Venture Revenue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(25,300)</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(27,505)</w:t>
            </w:r>
          </w:p>
        </w:tc>
      </w:tr>
      <w:tr>
        <w:trPr>
          <w:trHeight w:val="142"/>
        </w:trPr>
        <w:tc>
          <w:tcPr>
            <w:tcW w:w="7740" w:type="dxa"/>
            <w:vAlign w:val="bottom"/>
            <w:tcBorders>
              <w:top w:val="single" w:sz="8" w:color="A6A6A6"/>
            </w:tcBorders>
          </w:tcPr>
          <w:p>
            <w:pPr>
              <w:spacing w:after="0"/>
              <w:rPr>
                <w:sz w:val="12"/>
                <w:szCs w:val="12"/>
                <w:color w:val="auto"/>
              </w:rPr>
            </w:pP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428,020</w:t>
            </w:r>
          </w:p>
        </w:tc>
        <w:tc>
          <w:tcPr>
            <w:tcW w:w="100" w:type="dxa"/>
            <w:vAlign w:val="bottom"/>
          </w:tcPr>
          <w:p>
            <w:pPr>
              <w:spacing w:after="0"/>
              <w:rPr>
                <w:sz w:val="12"/>
                <w:szCs w:val="12"/>
                <w:color w:val="auto"/>
              </w:rPr>
            </w:pPr>
          </w:p>
        </w:tc>
        <w:tc>
          <w:tcPr>
            <w:tcW w:w="200" w:type="dxa"/>
            <w:vAlign w:val="bottom"/>
            <w:tcBorders>
              <w:top w:val="single" w:sz="8" w:color="A6A6A6"/>
            </w:tcBorders>
          </w:tcPr>
          <w:p>
            <w:pPr>
              <w:spacing w:after="0"/>
              <w:rPr>
                <w:sz w:val="12"/>
                <w:szCs w:val="12"/>
                <w:color w:val="auto"/>
              </w:rPr>
            </w:pPr>
          </w:p>
        </w:tc>
        <w:tc>
          <w:tcPr>
            <w:tcW w:w="860" w:type="dxa"/>
            <w:vAlign w:val="bottom"/>
            <w:tcBorders>
              <w:top w:val="single" w:sz="8" w:color="004483"/>
              <w:bottom w:val="single" w:sz="8" w:color="004483"/>
            </w:tcBorders>
          </w:tcPr>
          <w:p>
            <w:pPr>
              <w:jc w:val="right"/>
              <w:ind w:right="793"/>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370,597</w:t>
            </w:r>
          </w:p>
        </w:tc>
        <w:tc>
          <w:tcPr>
            <w:tcW w:w="120" w:type="dxa"/>
            <w:vAlign w:val="bottom"/>
          </w:tcPr>
          <w:p>
            <w:pPr>
              <w:spacing w:after="0"/>
              <w:rPr>
                <w:sz w:val="12"/>
                <w:szCs w:val="12"/>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00" w:type="dxa"/>
            <w:vAlign w:val="bottom"/>
            <w:gridSpan w:val="4"/>
            <w:shd w:val="clear" w:color="auto" w:fill="004483"/>
          </w:tcPr>
          <w:p>
            <w:pPr>
              <w:jc w:val="center"/>
              <w:ind w:left="68"/>
              <w:spacing w:after="0"/>
              <w:rPr>
                <w:sz w:val="20"/>
                <w:szCs w:val="20"/>
                <w:color w:val="auto"/>
              </w:rPr>
            </w:pPr>
            <w:r>
              <w:rPr>
                <w:rFonts w:ascii="Arial" w:cs="Arial" w:eastAsia="Arial" w:hAnsi="Arial"/>
                <w:sz w:val="8"/>
                <w:szCs w:val="8"/>
                <w:b w:val="1"/>
                <w:bCs w:val="1"/>
                <w:color w:val="FFFFFF"/>
                <w:w w:val="95"/>
              </w:rPr>
              <w:t>For the Three Months Ended June 30,</w:t>
            </w:r>
          </w:p>
        </w:tc>
        <w:tc>
          <w:tcPr>
            <w:tcW w:w="6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00" w:type="dxa"/>
            <w:vAlign w:val="bottom"/>
            <w:tcBorders>
              <w:bottom w:val="single" w:sz="8" w:color="004483"/>
            </w:tcBorders>
            <w:gridSpan w:val="4"/>
          </w:tcPr>
          <w:p>
            <w:pPr>
              <w:jc w:val="center"/>
              <w:ind w:left="68"/>
              <w:spacing w:after="0"/>
              <w:rPr>
                <w:sz w:val="20"/>
                <w:szCs w:val="20"/>
                <w:color w:val="auto"/>
              </w:rPr>
            </w:pPr>
            <w:r>
              <w:rPr>
                <w:rFonts w:ascii="Arial" w:cs="Arial" w:eastAsia="Arial" w:hAnsi="Arial"/>
                <w:sz w:val="8"/>
                <w:szCs w:val="8"/>
                <w:color w:val="auto"/>
                <w:w w:val="94"/>
              </w:rPr>
              <w:t>(dollars in thousands)</w:t>
            </w:r>
          </w:p>
        </w:tc>
        <w:tc>
          <w:tcPr>
            <w:tcW w:w="6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Intersegment Revenue -</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6,031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8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4,253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14,069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004483"/>
            </w:tcBorders>
          </w:tcPr>
          <w:p>
            <w:pPr>
              <w:spacing w:after="0"/>
              <w:rPr>
                <w:sz w:val="11"/>
                <w:szCs w:val="11"/>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17,015</w:t>
            </w:r>
          </w:p>
        </w:tc>
        <w:tc>
          <w:tcPr>
            <w:tcW w:w="120" w:type="dxa"/>
            <w:vAlign w:val="bottom"/>
          </w:tcPr>
          <w:p>
            <w:pPr>
              <w:spacing w:after="0"/>
              <w:rPr>
                <w:sz w:val="11"/>
                <w:szCs w:val="11"/>
                <w:color w:val="auto"/>
              </w:rPr>
            </w:pPr>
          </w:p>
        </w:tc>
      </w:tr>
      <w:tr>
        <w:trPr>
          <w:trHeight w:val="153"/>
        </w:trPr>
        <w:tc>
          <w:tcPr>
            <w:tcW w:w="7740" w:type="dxa"/>
            <w:vAlign w:val="bottom"/>
            <w:tcBorders>
              <w:bottom w:val="single" w:sz="8" w:color="A6A6A6"/>
            </w:tcBorders>
          </w:tcPr>
          <w:p>
            <w:pPr>
              <w:spacing w:after="0"/>
              <w:rPr>
                <w:sz w:val="13"/>
                <w:szCs w:val="13"/>
                <w:color w:val="auto"/>
              </w:rPr>
            </w:pP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20,206</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880" w:type="dxa"/>
            <w:vAlign w:val="bottom"/>
            <w:tcBorders>
              <w:bottom w:val="single" w:sz="8" w:color="004483"/>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21,645</w:t>
            </w:r>
          </w:p>
        </w:tc>
        <w:tc>
          <w:tcPr>
            <w:tcW w:w="120" w:type="dxa"/>
            <w:vAlign w:val="bottom"/>
          </w:tcPr>
          <w:p>
            <w:pPr>
              <w:spacing w:after="0"/>
              <w:rPr>
                <w:sz w:val="13"/>
                <w:szCs w:val="13"/>
                <w:color w:val="auto"/>
              </w:rPr>
            </w:pPr>
          </w:p>
        </w:tc>
      </w:tr>
      <w:tr>
        <w:trPr>
          <w:trHeight w:val="127"/>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Cement Sales Volume (M tons) -</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Wholly Owned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1,866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1,318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Joint Venture</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004483"/>
            </w:tcBorders>
          </w:tcPr>
          <w:p>
            <w:pPr>
              <w:spacing w:after="0"/>
              <w:rPr>
                <w:sz w:val="11"/>
                <w:szCs w:val="11"/>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232</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560" w:type="dxa"/>
            <w:vAlign w:val="bottom"/>
            <w:tcBorders>
              <w:bottom w:val="single" w:sz="8" w:color="004483"/>
            </w:tcBorders>
          </w:tcPr>
          <w:p>
            <w:pPr>
              <w:spacing w:after="0"/>
              <w:rPr>
                <w:sz w:val="12"/>
                <w:szCs w:val="12"/>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2,085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004483"/>
            </w:tcBorders>
          </w:tcPr>
          <w:p>
            <w:pPr>
              <w:spacing w:after="0"/>
              <w:rPr>
                <w:sz w:val="12"/>
                <w:szCs w:val="12"/>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1,550</w:t>
            </w:r>
          </w:p>
        </w:tc>
        <w:tc>
          <w:tcPr>
            <w:tcW w:w="120" w:type="dxa"/>
            <w:vAlign w:val="bottom"/>
          </w:tcPr>
          <w:p>
            <w:pPr>
              <w:spacing w:after="0"/>
              <w:rPr>
                <w:sz w:val="12"/>
                <w:szCs w:val="12"/>
                <w:color w:val="auto"/>
              </w:rPr>
            </w:pPr>
          </w:p>
        </w:tc>
      </w:tr>
      <w:tr>
        <w:trPr>
          <w:trHeight w:val="162"/>
        </w:trPr>
        <w:tc>
          <w:tcPr>
            <w:tcW w:w="7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00" w:type="dxa"/>
            <w:vAlign w:val="bottom"/>
            <w:gridSpan w:val="4"/>
            <w:shd w:val="clear" w:color="auto" w:fill="004483"/>
          </w:tcPr>
          <w:p>
            <w:pPr>
              <w:jc w:val="center"/>
              <w:ind w:left="68"/>
              <w:spacing w:after="0"/>
              <w:rPr>
                <w:sz w:val="20"/>
                <w:szCs w:val="20"/>
                <w:color w:val="auto"/>
              </w:rPr>
            </w:pPr>
            <w:r>
              <w:rPr>
                <w:rFonts w:ascii="Arial" w:cs="Arial" w:eastAsia="Arial" w:hAnsi="Arial"/>
                <w:sz w:val="8"/>
                <w:szCs w:val="8"/>
                <w:b w:val="1"/>
                <w:bCs w:val="1"/>
                <w:color w:val="FFFFFF"/>
                <w:w w:val="95"/>
              </w:rPr>
              <w:t>For the Three Months Ended June 30,</w:t>
            </w:r>
          </w:p>
        </w:tc>
        <w:tc>
          <w:tcPr>
            <w:tcW w:w="6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00" w:type="dxa"/>
            <w:vAlign w:val="bottom"/>
            <w:tcBorders>
              <w:bottom w:val="single" w:sz="8" w:color="004483"/>
            </w:tcBorders>
            <w:gridSpan w:val="4"/>
          </w:tcPr>
          <w:p>
            <w:pPr>
              <w:jc w:val="center"/>
              <w:ind w:left="68"/>
              <w:spacing w:after="0"/>
              <w:rPr>
                <w:sz w:val="20"/>
                <w:szCs w:val="20"/>
                <w:color w:val="auto"/>
              </w:rPr>
            </w:pPr>
            <w:r>
              <w:rPr>
                <w:rFonts w:ascii="Arial" w:cs="Arial" w:eastAsia="Arial" w:hAnsi="Arial"/>
                <w:sz w:val="8"/>
                <w:szCs w:val="8"/>
                <w:color w:val="auto"/>
                <w:w w:val="94"/>
              </w:rPr>
              <w:t>(dollars in thousands)</w:t>
            </w:r>
          </w:p>
        </w:tc>
        <w:tc>
          <w:tcPr>
            <w:tcW w:w="6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Operating Earnings -</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60,455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8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36,121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5,418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4,434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41,325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37,932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2,895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9,944</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Oil and Gas Proppants</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(1,318)</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(3,670)</w:t>
            </w:r>
          </w:p>
        </w:tc>
      </w:tr>
      <w:tr>
        <w:trPr>
          <w:trHeight w:val="133"/>
        </w:trPr>
        <w:tc>
          <w:tcPr>
            <w:tcW w:w="7740" w:type="dxa"/>
            <w:vAlign w:val="bottom"/>
            <w:tcBorders>
              <w:top w:val="single" w:sz="8" w:color="A6A6A6"/>
              <w:bottom w:val="single" w:sz="8" w:color="A6A6A6"/>
            </w:tcBorders>
          </w:tcPr>
          <w:p>
            <w:pPr>
              <w:ind w:left="320"/>
              <w:spacing w:after="0"/>
              <w:rPr>
                <w:sz w:val="20"/>
                <w:szCs w:val="20"/>
                <w:color w:val="auto"/>
              </w:rPr>
            </w:pPr>
            <w:r>
              <w:rPr>
                <w:rFonts w:ascii="Arial" w:cs="Arial" w:eastAsia="Arial" w:hAnsi="Arial"/>
                <w:sz w:val="11"/>
                <w:szCs w:val="11"/>
                <w:color w:val="auto"/>
              </w:rPr>
              <w:t>Sub-Total</w:t>
            </w:r>
          </w:p>
        </w:tc>
        <w:tc>
          <w:tcPr>
            <w:tcW w:w="560" w:type="dxa"/>
            <w:vAlign w:val="bottom"/>
            <w:tcBorders>
              <w:top w:val="single" w:sz="8" w:color="004483"/>
              <w:bottom w:val="single" w:sz="8" w:color="A6A6A6"/>
            </w:tcBorders>
          </w:tcPr>
          <w:p>
            <w:pPr>
              <w:spacing w:after="0"/>
              <w:rPr>
                <w:sz w:val="11"/>
                <w:szCs w:val="11"/>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108,775</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84,761</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Corporate General and Administrative Expense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(17,789)</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(21,254)</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Gain on Sale of Businesses</w:t>
            </w:r>
          </w:p>
        </w:tc>
        <w:tc>
          <w:tcPr>
            <w:tcW w:w="560" w:type="dxa"/>
            <w:vAlign w:val="bottom"/>
            <w:tcBorders>
              <w:top w:val="single" w:sz="8" w:color="A6A6A6"/>
              <w:bottom w:val="single" w:sz="8" w:color="A6A6A6"/>
            </w:tcBorders>
          </w:tcPr>
          <w:p>
            <w:pPr>
              <w:spacing w:after="0"/>
              <w:rPr>
                <w:sz w:val="11"/>
                <w:szCs w:val="11"/>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51,973</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Other Non-Operating Income (Loss)</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(127)</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200</w:t>
            </w:r>
          </w:p>
        </w:tc>
        <w:tc>
          <w:tcPr>
            <w:tcW w:w="120" w:type="dxa"/>
            <w:vAlign w:val="bottom"/>
          </w:tcPr>
          <w:p>
            <w:pPr>
              <w:spacing w:after="0"/>
              <w:rPr>
                <w:sz w:val="11"/>
                <w:szCs w:val="11"/>
                <w:color w:val="auto"/>
              </w:rPr>
            </w:pP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Earnings Before Interest and Income Taxes</w:t>
            </w:r>
          </w:p>
        </w:tc>
        <w:tc>
          <w:tcPr>
            <w:tcW w:w="560" w:type="dxa"/>
            <w:vAlign w:val="bottom"/>
            <w:tcBorders>
              <w:top w:val="single" w:sz="8" w:color="004483"/>
              <w:bottom w:val="single" w:sz="8" w:color="A6A6A6"/>
            </w:tcBorders>
          </w:tcPr>
          <w:p>
            <w:pPr>
              <w:spacing w:after="0"/>
              <w:rPr>
                <w:sz w:val="11"/>
                <w:szCs w:val="11"/>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142,832</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63,707</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Interest Expense, net</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(14,041)</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(8,846)</w:t>
            </w:r>
          </w:p>
        </w:tc>
      </w:tr>
      <w:tr>
        <w:trPr>
          <w:trHeight w:val="15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b w:val="1"/>
                <w:bCs w:val="1"/>
                <w:color w:val="auto"/>
              </w:rPr>
              <w:t>Earnings Before Income Taxes</w:t>
            </w: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128,791</w:t>
            </w:r>
          </w:p>
        </w:tc>
        <w:tc>
          <w:tcPr>
            <w:tcW w:w="100" w:type="dxa"/>
            <w:vAlign w:val="bottom"/>
          </w:tcPr>
          <w:p>
            <w:pPr>
              <w:spacing w:after="0"/>
              <w:rPr>
                <w:sz w:val="13"/>
                <w:szCs w:val="13"/>
                <w:color w:val="auto"/>
              </w:rPr>
            </w:pPr>
          </w:p>
        </w:tc>
        <w:tc>
          <w:tcPr>
            <w:tcW w:w="200" w:type="dxa"/>
            <w:vAlign w:val="bottom"/>
            <w:tcBorders>
              <w:top w:val="single" w:sz="8" w:color="A6A6A6"/>
              <w:bottom w:val="single" w:sz="8" w:color="A6A6A6"/>
            </w:tcBorders>
          </w:tcPr>
          <w:p>
            <w:pPr>
              <w:spacing w:after="0"/>
              <w:rPr>
                <w:sz w:val="13"/>
                <w:szCs w:val="13"/>
                <w:color w:val="auto"/>
              </w:rPr>
            </w:pPr>
          </w:p>
        </w:tc>
        <w:tc>
          <w:tcPr>
            <w:tcW w:w="880" w:type="dxa"/>
            <w:vAlign w:val="bottom"/>
            <w:tcBorders>
              <w:top w:val="single" w:sz="8" w:color="004483"/>
              <w:bottom w:val="single" w:sz="8" w:color="004483"/>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54,861</w:t>
            </w:r>
          </w:p>
        </w:tc>
        <w:tc>
          <w:tcPr>
            <w:tcW w:w="120" w:type="dxa"/>
            <w:vAlign w:val="bottom"/>
          </w:tcPr>
          <w:p>
            <w:pPr>
              <w:spacing w:after="0"/>
              <w:rPr>
                <w:sz w:val="13"/>
                <w:szCs w:val="13"/>
                <w:color w:val="auto"/>
              </w:rPr>
            </w:pPr>
          </w:p>
        </w:tc>
      </w:tr>
      <w:tr>
        <w:trPr>
          <w:trHeight w:val="126"/>
        </w:trPr>
        <w:tc>
          <w:tcPr>
            <w:tcW w:w="7740" w:type="dxa"/>
            <w:vAlign w:val="bottom"/>
            <w:tcBorders>
              <w:bottom w:val="single" w:sz="8" w:color="A6A6A6"/>
            </w:tcBorders>
          </w:tcPr>
          <w:p>
            <w:pPr>
              <w:spacing w:after="0" w:line="120" w:lineRule="exact"/>
              <w:rPr>
                <w:sz w:val="20"/>
                <w:szCs w:val="20"/>
                <w:color w:val="auto"/>
              </w:rPr>
            </w:pPr>
            <w:r>
              <w:rPr>
                <w:rFonts w:ascii="Arial" w:cs="Arial" w:eastAsia="Arial" w:hAnsi="Arial"/>
                <w:sz w:val="11"/>
                <w:szCs w:val="11"/>
                <w:color w:val="auto"/>
              </w:rPr>
              <w:t>Cement Operating Earnings -</w:t>
            </w:r>
          </w:p>
        </w:tc>
        <w:tc>
          <w:tcPr>
            <w:tcW w:w="560" w:type="dxa"/>
            <w:vAlign w:val="bottom"/>
            <w:tcBorders>
              <w:bottom w:val="single" w:sz="8" w:color="A6A6A6"/>
            </w:tcBorders>
          </w:tcPr>
          <w:p>
            <w:pPr>
              <w:spacing w:after="0"/>
              <w:rPr>
                <w:sz w:val="10"/>
                <w:szCs w:val="10"/>
                <w:color w:val="auto"/>
              </w:rPr>
            </w:pPr>
          </w:p>
        </w:tc>
        <w:tc>
          <w:tcPr>
            <w:tcW w:w="1020" w:type="dxa"/>
            <w:vAlign w:val="bottom"/>
            <w:tcBorders>
              <w:bottom w:val="single" w:sz="8" w:color="A6A6A6"/>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6A6A6"/>
            </w:tcBorders>
          </w:tcPr>
          <w:p>
            <w:pPr>
              <w:spacing w:after="0"/>
              <w:rPr>
                <w:sz w:val="10"/>
                <w:szCs w:val="10"/>
                <w:color w:val="auto"/>
              </w:rPr>
            </w:pPr>
          </w:p>
        </w:tc>
        <w:tc>
          <w:tcPr>
            <w:tcW w:w="880" w:type="dxa"/>
            <w:vAlign w:val="bottom"/>
            <w:tcBorders>
              <w:bottom w:val="single" w:sz="8" w:color="A6A6A6"/>
            </w:tcBorders>
          </w:tcPr>
          <w:p>
            <w:pPr>
              <w:spacing w:after="0"/>
              <w:rPr>
                <w:sz w:val="10"/>
                <w:szCs w:val="10"/>
                <w:color w:val="auto"/>
              </w:rPr>
            </w:pPr>
          </w:p>
        </w:tc>
        <w:tc>
          <w:tcPr>
            <w:tcW w:w="680" w:type="dxa"/>
            <w:vAlign w:val="bottom"/>
            <w:tcBorders>
              <w:bottom w:val="single" w:sz="8" w:color="A6A6A6"/>
            </w:tcBorders>
          </w:tcPr>
          <w:p>
            <w:pPr>
              <w:spacing w:after="0"/>
              <w:rPr>
                <w:sz w:val="10"/>
                <w:szCs w:val="10"/>
                <w:color w:val="auto"/>
              </w:rPr>
            </w:pPr>
          </w:p>
        </w:tc>
        <w:tc>
          <w:tcPr>
            <w:tcW w:w="120" w:type="dxa"/>
            <w:vAlign w:val="bottom"/>
          </w:tcPr>
          <w:p>
            <w:pPr>
              <w:spacing w:after="0"/>
              <w:rPr>
                <w:sz w:val="10"/>
                <w:szCs w:val="10"/>
                <w:color w:val="auto"/>
              </w:rPr>
            </w:pPr>
          </w:p>
        </w:tc>
      </w:tr>
      <w:tr>
        <w:trPr>
          <w:trHeight w:val="138"/>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Wholly Owned</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52,659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8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26,689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Joint Ventures</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7,796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004483"/>
            </w:tcBorders>
          </w:tcPr>
          <w:p>
            <w:pPr>
              <w:spacing w:after="0"/>
              <w:rPr>
                <w:sz w:val="11"/>
                <w:szCs w:val="11"/>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9,432</w:t>
            </w:r>
          </w:p>
        </w:tc>
        <w:tc>
          <w:tcPr>
            <w:tcW w:w="120" w:type="dxa"/>
            <w:vAlign w:val="bottom"/>
          </w:tcPr>
          <w:p>
            <w:pPr>
              <w:spacing w:after="0"/>
              <w:rPr>
                <w:sz w:val="11"/>
                <w:szCs w:val="11"/>
                <w:color w:val="auto"/>
              </w:rPr>
            </w:pPr>
          </w:p>
        </w:tc>
      </w:tr>
      <w:tr>
        <w:trPr>
          <w:trHeight w:val="153"/>
        </w:trPr>
        <w:tc>
          <w:tcPr>
            <w:tcW w:w="7740" w:type="dxa"/>
            <w:vAlign w:val="bottom"/>
            <w:tcBorders>
              <w:bottom w:val="single" w:sz="8" w:color="A6A6A6"/>
            </w:tcBorders>
          </w:tcPr>
          <w:p>
            <w:pPr>
              <w:spacing w:after="0"/>
              <w:rPr>
                <w:sz w:val="13"/>
                <w:szCs w:val="13"/>
                <w:color w:val="auto"/>
              </w:rPr>
            </w:pP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60,455</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880" w:type="dxa"/>
            <w:vAlign w:val="bottom"/>
            <w:tcBorders>
              <w:bottom w:val="single" w:sz="8" w:color="004483"/>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36,121</w:t>
            </w:r>
          </w:p>
        </w:tc>
        <w:tc>
          <w:tcPr>
            <w:tcW w:w="120" w:type="dxa"/>
            <w:vAlign w:val="bottom"/>
          </w:tcPr>
          <w:p>
            <w:pPr>
              <w:spacing w:after="0"/>
              <w:rPr>
                <w:sz w:val="13"/>
                <w:szCs w:val="13"/>
                <w:color w:val="auto"/>
              </w:rPr>
            </w:pPr>
          </w:p>
        </w:tc>
      </w:tr>
      <w:tr>
        <w:trPr>
          <w:trHeight w:val="127"/>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Capital Expenditures -</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10,348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8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10,537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1,261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595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6,512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1,931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7,870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12,360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Oil and Gas Proppants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Other, net</w:t>
            </w:r>
          </w:p>
        </w:tc>
        <w:tc>
          <w:tcPr>
            <w:tcW w:w="560" w:type="dxa"/>
            <w:vAlign w:val="bottom"/>
          </w:tcPr>
          <w:p>
            <w:pPr>
              <w:spacing w:after="0"/>
              <w:rPr>
                <w:sz w:val="11"/>
                <w:szCs w:val="11"/>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53"/>
        </w:trPr>
        <w:tc>
          <w:tcPr>
            <w:tcW w:w="7740" w:type="dxa"/>
            <w:vAlign w:val="bottom"/>
            <w:tcBorders>
              <w:top w:val="single" w:sz="8" w:color="A6A6A6"/>
              <w:bottom w:val="single" w:sz="8" w:color="A6A6A6"/>
            </w:tcBorders>
          </w:tcPr>
          <w:p>
            <w:pPr>
              <w:spacing w:after="0"/>
              <w:rPr>
                <w:sz w:val="13"/>
                <w:szCs w:val="13"/>
                <w:color w:val="auto"/>
              </w:rPr>
            </w:pP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25,991</w:t>
            </w:r>
          </w:p>
        </w:tc>
        <w:tc>
          <w:tcPr>
            <w:tcW w:w="100" w:type="dxa"/>
            <w:vAlign w:val="bottom"/>
          </w:tcPr>
          <w:p>
            <w:pPr>
              <w:spacing w:after="0"/>
              <w:rPr>
                <w:sz w:val="13"/>
                <w:szCs w:val="13"/>
                <w:color w:val="auto"/>
              </w:rPr>
            </w:pPr>
          </w:p>
        </w:tc>
        <w:tc>
          <w:tcPr>
            <w:tcW w:w="200" w:type="dxa"/>
            <w:vAlign w:val="bottom"/>
            <w:tcBorders>
              <w:top w:val="single" w:sz="8" w:color="A6A6A6"/>
              <w:bottom w:val="single" w:sz="8" w:color="A6A6A6"/>
            </w:tcBorders>
          </w:tcPr>
          <w:p>
            <w:pPr>
              <w:spacing w:after="0"/>
              <w:rPr>
                <w:sz w:val="13"/>
                <w:szCs w:val="13"/>
                <w:color w:val="auto"/>
              </w:rPr>
            </w:pPr>
          </w:p>
        </w:tc>
        <w:tc>
          <w:tcPr>
            <w:tcW w:w="880" w:type="dxa"/>
            <w:vAlign w:val="bottom"/>
            <w:tcBorders>
              <w:top w:val="single" w:sz="8" w:color="004483"/>
              <w:bottom w:val="single" w:sz="8" w:color="004483"/>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25,488</w:t>
            </w:r>
          </w:p>
        </w:tc>
        <w:tc>
          <w:tcPr>
            <w:tcW w:w="120" w:type="dxa"/>
            <w:vAlign w:val="bottom"/>
          </w:tcPr>
          <w:p>
            <w:pPr>
              <w:spacing w:after="0"/>
              <w:rPr>
                <w:sz w:val="13"/>
                <w:szCs w:val="13"/>
                <w:color w:val="auto"/>
              </w:rPr>
            </w:pPr>
          </w:p>
        </w:tc>
      </w:tr>
      <w:tr>
        <w:trPr>
          <w:trHeight w:val="127"/>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Depreciation, Depletion, and Amortization -</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19,243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8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14,218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2,721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2,191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4,952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3,352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2,163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Oil and Gas Proppants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3,839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Corporate and Other</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1,300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004483"/>
            </w:tcBorders>
          </w:tcPr>
          <w:p>
            <w:pPr>
              <w:spacing w:after="0"/>
              <w:rPr>
                <w:sz w:val="11"/>
                <w:szCs w:val="11"/>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597</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31,937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004483"/>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27,960</w:t>
            </w:r>
          </w:p>
        </w:tc>
        <w:tc>
          <w:tcPr>
            <w:tcW w:w="120" w:type="dxa"/>
            <w:vAlign w:val="bottom"/>
          </w:tcPr>
          <w:p>
            <w:pPr>
              <w:spacing w:after="0"/>
              <w:rPr>
                <w:sz w:val="12"/>
                <w:szCs w:val="12"/>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64"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3"/>
        </w:trPr>
        <w:tc>
          <w:tcPr>
            <w:tcW w:w="7740" w:type="dxa"/>
            <w:vAlign w:val="bottom"/>
          </w:tcPr>
          <w:p>
            <w:pPr>
              <w:spacing w:after="0"/>
              <w:rPr>
                <w:sz w:val="11"/>
                <w:szCs w:val="11"/>
                <w:color w:val="auto"/>
              </w:rPr>
            </w:pPr>
          </w:p>
        </w:tc>
        <w:tc>
          <w:tcPr>
            <w:tcW w:w="600" w:type="dxa"/>
            <w:vAlign w:val="bottom"/>
            <w:tcBorders>
              <w:bottom w:val="single" w:sz="8" w:color="004483"/>
            </w:tcBorders>
            <w:shd w:val="clear" w:color="auto" w:fill="004483"/>
          </w:tcPr>
          <w:p>
            <w:pPr>
              <w:spacing w:after="0"/>
              <w:rPr>
                <w:sz w:val="11"/>
                <w:szCs w:val="11"/>
                <w:color w:val="auto"/>
              </w:rPr>
            </w:pPr>
          </w:p>
        </w:tc>
        <w:tc>
          <w:tcPr>
            <w:tcW w:w="1280" w:type="dxa"/>
            <w:vAlign w:val="bottom"/>
            <w:tcBorders>
              <w:bottom w:val="single" w:sz="8" w:color="004483"/>
            </w:tcBorders>
            <w:gridSpan w:val="3"/>
            <w:shd w:val="clear" w:color="auto" w:fill="004483"/>
          </w:tcPr>
          <w:p>
            <w:pPr>
              <w:ind w:left="660"/>
              <w:spacing w:after="0"/>
              <w:rPr>
                <w:sz w:val="20"/>
                <w:szCs w:val="20"/>
                <w:color w:val="auto"/>
              </w:rPr>
            </w:pPr>
            <w:r>
              <w:rPr>
                <w:rFonts w:ascii="Arial" w:cs="Arial" w:eastAsia="Arial" w:hAnsi="Arial"/>
                <w:sz w:val="8"/>
                <w:szCs w:val="8"/>
                <w:b w:val="1"/>
                <w:bCs w:val="1"/>
                <w:color w:val="FFFFFF"/>
              </w:rPr>
              <w:t>June 30,</w:t>
            </w:r>
          </w:p>
        </w:tc>
        <w:tc>
          <w:tcPr>
            <w:tcW w:w="660" w:type="dxa"/>
            <w:vAlign w:val="bottom"/>
            <w:tcBorders>
              <w:bottom w:val="single" w:sz="8" w:color="004483"/>
            </w:tcBorders>
            <w:shd w:val="clear" w:color="auto" w:fill="004483"/>
          </w:tcPr>
          <w:p>
            <w:pPr>
              <w:spacing w:after="0"/>
              <w:rPr>
                <w:sz w:val="11"/>
                <w:szCs w:val="11"/>
                <w:color w:val="auto"/>
              </w:rPr>
            </w:pPr>
          </w:p>
        </w:tc>
        <w:tc>
          <w:tcPr>
            <w:tcW w:w="1020" w:type="dxa"/>
            <w:vAlign w:val="bottom"/>
            <w:tcBorders>
              <w:bottom w:val="single" w:sz="8" w:color="004483"/>
            </w:tcBorders>
            <w:gridSpan w:val="2"/>
            <w:shd w:val="clear" w:color="auto" w:fill="004483"/>
          </w:tcPr>
          <w:p>
            <w:pPr>
              <w:ind w:left="54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4"/>
          </w:tcPr>
          <w:p>
            <w:pPr>
              <w:jc w:val="right"/>
              <w:ind w:right="433"/>
              <w:spacing w:after="0"/>
              <w:rPr>
                <w:sz w:val="20"/>
                <w:szCs w:val="20"/>
                <w:color w:val="auto"/>
              </w:rPr>
            </w:pPr>
            <w:r>
              <w:rPr>
                <w:rFonts w:ascii="Arial" w:cs="Arial" w:eastAsia="Arial" w:hAnsi="Arial"/>
                <w:sz w:val="8"/>
                <w:szCs w:val="8"/>
                <w:color w:val="auto"/>
              </w:rPr>
              <w:t>(dollars in thousands)</w:t>
            </w:r>
          </w:p>
        </w:tc>
        <w:tc>
          <w:tcPr>
            <w:tcW w:w="9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Identifiable Assets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600" w:type="dxa"/>
            <w:vAlign w:val="bottom"/>
            <w:tcBorders>
              <w:bottom w:val="single" w:sz="8" w:color="A6A6A6"/>
            </w:tcBorders>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1,999,175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ind w:right="593"/>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1,980,306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99,298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136,041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372,628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375,946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187,511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183,288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Oil and Gas Proppants</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8,047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14,294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Other, net</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348,505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271,145</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00" w:type="dxa"/>
            <w:vAlign w:val="bottom"/>
            <w:tcBorders>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3,015,164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004483"/>
            </w:tcBorders>
          </w:tcPr>
          <w:p>
            <w:pPr>
              <w:jc w:val="right"/>
              <w:ind w:right="593"/>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2,961,020</w:t>
            </w:r>
          </w:p>
        </w:tc>
        <w:tc>
          <w:tcPr>
            <w:tcW w:w="120" w:type="dxa"/>
            <w:vAlign w:val="bottom"/>
          </w:tcPr>
          <w:p>
            <w:pPr>
              <w:spacing w:after="0"/>
              <w:rPr>
                <w:sz w:val="12"/>
                <w:szCs w:val="12"/>
                <w:color w:val="auto"/>
              </w:rPr>
            </w:pPr>
          </w:p>
        </w:tc>
      </w:tr>
    </w:tbl>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2"/>
          <w:szCs w:val="12"/>
          <w:color w:val="auto"/>
        </w:rPr>
        <w:t>The capital expenditures for the three months ended June 30, 2019 disclosed above differs from the capital expenditures on the Unaudited Consolidated Statement of Cash Flows as it includes $3.7 million of capital expenditures that were accrued at June 30, 2019 and therefore not included in the Statement of Cash Flows. See Footnote (B) for more information.</w:t>
      </w:r>
    </w:p>
    <w:p>
      <w:pPr>
        <w:spacing w:after="0" w:line="59"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primarily of cash and cash equivalents, general office assets, and miscellaneous other assets.</w:t>
      </w:r>
    </w:p>
    <w:p>
      <w:pPr>
        <w:spacing w:after="0" w:line="64" w:lineRule="exact"/>
        <w:rPr>
          <w:sz w:val="20"/>
          <w:szCs w:val="20"/>
          <w:color w:val="auto"/>
        </w:rPr>
      </w:pPr>
    </w:p>
    <w:p>
      <w:pPr>
        <w:ind w:right="460"/>
        <w:spacing w:after="0" w:line="277" w:lineRule="auto"/>
        <w:rPr>
          <w:sz w:val="20"/>
          <w:szCs w:val="20"/>
          <w:color w:val="auto"/>
        </w:rPr>
      </w:pPr>
      <w:r>
        <w:rPr>
          <w:rFonts w:ascii="Arial" w:cs="Arial" w:eastAsia="Arial" w:hAnsi="Arial"/>
          <w:sz w:val="12"/>
          <w:szCs w:val="12"/>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segment breakdown of Goodwill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740" w:type="dxa"/>
            <w:vAlign w:val="bottom"/>
          </w:tcPr>
          <w:p>
            <w:pPr>
              <w:spacing w:after="0"/>
              <w:rPr>
                <w:sz w:val="11"/>
                <w:szCs w:val="11"/>
                <w:color w:val="auto"/>
              </w:rPr>
            </w:pPr>
          </w:p>
        </w:tc>
        <w:tc>
          <w:tcPr>
            <w:tcW w:w="640" w:type="dxa"/>
            <w:vAlign w:val="bottom"/>
            <w:tcBorders>
              <w:bottom w:val="single" w:sz="8" w:color="004483"/>
            </w:tcBorders>
            <w:shd w:val="clear" w:color="auto" w:fill="004483"/>
          </w:tcPr>
          <w:p>
            <w:pPr>
              <w:spacing w:after="0"/>
              <w:rPr>
                <w:sz w:val="11"/>
                <w:szCs w:val="11"/>
                <w:color w:val="auto"/>
              </w:rPr>
            </w:pPr>
          </w:p>
        </w:tc>
        <w:tc>
          <w:tcPr>
            <w:tcW w:w="1240" w:type="dxa"/>
            <w:vAlign w:val="bottom"/>
            <w:tcBorders>
              <w:bottom w:val="single" w:sz="8" w:color="004483"/>
            </w:tcBorders>
            <w:gridSpan w:val="3"/>
            <w:shd w:val="clear" w:color="auto" w:fill="004483"/>
          </w:tcPr>
          <w:p>
            <w:pPr>
              <w:ind w:left="620"/>
              <w:spacing w:after="0"/>
              <w:rPr>
                <w:sz w:val="20"/>
                <w:szCs w:val="20"/>
                <w:color w:val="auto"/>
              </w:rPr>
            </w:pPr>
            <w:r>
              <w:rPr>
                <w:rFonts w:ascii="Arial" w:cs="Arial" w:eastAsia="Arial" w:hAnsi="Arial"/>
                <w:sz w:val="8"/>
                <w:szCs w:val="8"/>
                <w:b w:val="1"/>
                <w:bCs w:val="1"/>
                <w:color w:val="FFFFFF"/>
              </w:rPr>
              <w:t>June 30,</w:t>
            </w:r>
          </w:p>
        </w:tc>
        <w:tc>
          <w:tcPr>
            <w:tcW w:w="700" w:type="dxa"/>
            <w:vAlign w:val="bottom"/>
            <w:tcBorders>
              <w:bottom w:val="single" w:sz="8" w:color="004483"/>
            </w:tcBorders>
            <w:shd w:val="clear" w:color="auto" w:fill="004483"/>
          </w:tcPr>
          <w:p>
            <w:pPr>
              <w:spacing w:after="0"/>
              <w:rPr>
                <w:sz w:val="11"/>
                <w:szCs w:val="11"/>
                <w:color w:val="auto"/>
              </w:rPr>
            </w:pPr>
          </w:p>
        </w:tc>
        <w:tc>
          <w:tcPr>
            <w:tcW w:w="980" w:type="dxa"/>
            <w:vAlign w:val="bottom"/>
            <w:tcBorders>
              <w:bottom w:val="single" w:sz="8" w:color="004483"/>
            </w:tcBorders>
            <w:gridSpan w:val="2"/>
            <w:shd w:val="clear" w:color="auto" w:fill="004483"/>
          </w:tcPr>
          <w:p>
            <w:pPr>
              <w:ind w:left="50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4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4"/>
          </w:tcPr>
          <w:p>
            <w:pPr>
              <w:jc w:val="right"/>
              <w:ind w:right="473"/>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Cement</w:t>
            </w: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203,342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205,797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Concrete and Aggregates</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1,639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1,639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Gypsum Wallboard</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116,618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116,618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Paperboard</w:t>
            </w:r>
          </w:p>
        </w:tc>
        <w:tc>
          <w:tcPr>
            <w:tcW w:w="64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7,538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7,538</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40" w:type="dxa"/>
            <w:vAlign w:val="bottom"/>
            <w:tcBorders>
              <w:bottom w:val="single" w:sz="8" w:color="004483"/>
            </w:tcBorders>
          </w:tcPr>
          <w:p>
            <w:pPr>
              <w:jc w:val="right"/>
              <w:ind w:right="5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329,137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331,592</w:t>
            </w:r>
          </w:p>
        </w:tc>
        <w:tc>
          <w:tcPr>
            <w:tcW w:w="120" w:type="dxa"/>
            <w:vAlign w:val="bottom"/>
          </w:tcPr>
          <w:p>
            <w:pPr>
              <w:spacing w:after="0"/>
              <w:rPr>
                <w:sz w:val="12"/>
                <w:szCs w:val="12"/>
                <w:color w:val="auto"/>
              </w:rPr>
            </w:pPr>
          </w:p>
        </w:tc>
      </w:tr>
    </w:tbl>
    <w:p>
      <w:pPr>
        <w:spacing w:after="0" w:line="233" w:lineRule="exact"/>
        <w:rPr>
          <w:sz w:val="20"/>
          <w:szCs w:val="20"/>
          <w:color w:val="auto"/>
        </w:rPr>
      </w:pPr>
    </w:p>
    <w:p>
      <w:pPr>
        <w:ind w:right="320"/>
        <w:spacing w:after="0" w:line="277" w:lineRule="auto"/>
        <w:rPr>
          <w:sz w:val="20"/>
          <w:szCs w:val="20"/>
          <w:color w:val="auto"/>
        </w:rPr>
      </w:pPr>
      <w:r>
        <w:rPr>
          <w:rFonts w:ascii="Arial" w:cs="Arial" w:eastAsia="Arial" w:hAnsi="Arial"/>
          <w:sz w:val="12"/>
          <w:szCs w:val="12"/>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80" w:type="dxa"/>
            <w:vAlign w:val="bottom"/>
            <w:gridSpan w:val="2"/>
            <w:shd w:val="clear" w:color="auto" w:fill="004483"/>
          </w:tcPr>
          <w:p>
            <w:pPr>
              <w:jc w:val="center"/>
              <w:ind w:left="92"/>
              <w:spacing w:after="0"/>
              <w:rPr>
                <w:sz w:val="20"/>
                <w:szCs w:val="20"/>
                <w:color w:val="auto"/>
              </w:rPr>
            </w:pPr>
            <w:r>
              <w:rPr>
                <w:rFonts w:ascii="Arial" w:cs="Arial" w:eastAsia="Arial" w:hAnsi="Arial"/>
                <w:sz w:val="8"/>
                <w:szCs w:val="8"/>
                <w:b w:val="1"/>
                <w:bCs w:val="1"/>
                <w:color w:val="FFFFFF"/>
                <w:w w:val="95"/>
              </w:rPr>
              <w:t>For the Three Months Ended June 30,</w:t>
            </w:r>
          </w:p>
        </w:tc>
        <w:tc>
          <w:tcPr>
            <w:tcW w:w="820" w:type="dxa"/>
            <w:vAlign w:val="bottom"/>
            <w:shd w:val="clear" w:color="auto" w:fill="004483"/>
          </w:tcPr>
          <w:p>
            <w:pPr>
              <w:spacing w:after="0"/>
              <w:rPr>
                <w:sz w:val="13"/>
                <w:szCs w:val="13"/>
                <w:color w:val="auto"/>
              </w:rPr>
            </w:pPr>
          </w:p>
        </w:tc>
      </w:tr>
      <w:tr>
        <w:trPr>
          <w:trHeight w:val="97"/>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jc w:val="right"/>
              <w:ind w:right="112"/>
              <w:spacing w:after="0"/>
              <w:rPr>
                <w:sz w:val="20"/>
                <w:szCs w:val="20"/>
                <w:color w:val="auto"/>
              </w:rPr>
            </w:pPr>
            <w:r>
              <w:rPr>
                <w:rFonts w:ascii="Arial" w:cs="Arial" w:eastAsia="Arial" w:hAnsi="Arial"/>
                <w:sz w:val="8"/>
                <w:szCs w:val="8"/>
                <w:b w:val="1"/>
                <w:bCs w:val="1"/>
                <w:color w:val="auto"/>
              </w:rPr>
              <w:t>2020</w:t>
            </w:r>
          </w:p>
        </w:tc>
        <w:tc>
          <w:tcPr>
            <w:tcW w:w="1020" w:type="dxa"/>
            <w:vAlign w:val="bottom"/>
          </w:tcPr>
          <w:p>
            <w:pPr>
              <w:spacing w:after="0"/>
              <w:rPr>
                <w:sz w:val="8"/>
                <w:szCs w:val="8"/>
                <w:color w:val="auto"/>
              </w:rPr>
            </w:pPr>
          </w:p>
        </w:tc>
        <w:tc>
          <w:tcPr>
            <w:tcW w:w="820" w:type="dxa"/>
            <w:vAlign w:val="bottom"/>
          </w:tcPr>
          <w:p>
            <w:pPr>
              <w:jc w:val="right"/>
              <w:ind w:right="70"/>
              <w:spacing w:after="0"/>
              <w:rPr>
                <w:sz w:val="20"/>
                <w:szCs w:val="20"/>
                <w:color w:val="auto"/>
              </w:rPr>
            </w:pPr>
            <w:r>
              <w:rPr>
                <w:rFonts w:ascii="Arial" w:cs="Arial" w:eastAsia="Arial" w:hAnsi="Arial"/>
                <w:sz w:val="8"/>
                <w:szCs w:val="8"/>
                <w:b w:val="1"/>
                <w:bCs w:val="1"/>
                <w:color w:val="auto"/>
              </w:rPr>
              <w:t>2019</w:t>
            </w:r>
          </w:p>
        </w:tc>
      </w:tr>
      <w:tr>
        <w:trPr>
          <w:trHeight w:val="101"/>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2"/>
          </w:tcPr>
          <w:p>
            <w:pPr>
              <w:jc w:val="center"/>
              <w:ind w:left="112"/>
              <w:spacing w:after="0"/>
              <w:rPr>
                <w:sz w:val="20"/>
                <w:szCs w:val="20"/>
                <w:color w:val="auto"/>
              </w:rPr>
            </w:pPr>
            <w:r>
              <w:rPr>
                <w:rFonts w:ascii="Arial" w:cs="Arial" w:eastAsia="Arial" w:hAnsi="Arial"/>
                <w:sz w:val="8"/>
                <w:szCs w:val="8"/>
                <w:b w:val="1"/>
                <w:bCs w:val="1"/>
                <w:color w:val="auto"/>
                <w:w w:val="93"/>
              </w:rPr>
              <w:t>(dollars in thousands)</w:t>
            </w:r>
          </w:p>
        </w:tc>
        <w:tc>
          <w:tcPr>
            <w:tcW w:w="82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Revenue</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50,600</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55,010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Gross Margin</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16,765</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19,866</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Earnings Before Income Taxes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15,727</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19,017</w:t>
            </w:r>
          </w:p>
        </w:tc>
      </w:tr>
      <w:tr>
        <w:trPr>
          <w:trHeight w:val="153"/>
        </w:trPr>
        <w:tc>
          <w:tcPr>
            <w:tcW w:w="7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33"/>
        </w:trPr>
        <w:tc>
          <w:tcPr>
            <w:tcW w:w="7740" w:type="dxa"/>
            <w:vAlign w:val="bottom"/>
          </w:tcPr>
          <w:p>
            <w:pPr>
              <w:spacing w:after="0"/>
              <w:rPr>
                <w:sz w:val="11"/>
                <w:szCs w:val="11"/>
                <w:color w:val="auto"/>
              </w:rPr>
            </w:pPr>
          </w:p>
        </w:tc>
        <w:tc>
          <w:tcPr>
            <w:tcW w:w="560" w:type="dxa"/>
            <w:vAlign w:val="bottom"/>
            <w:tcBorders>
              <w:bottom w:val="single" w:sz="8" w:color="004483"/>
            </w:tcBorders>
            <w:shd w:val="clear" w:color="auto" w:fill="004483"/>
          </w:tcPr>
          <w:p>
            <w:pPr>
              <w:spacing w:after="0"/>
              <w:rPr>
                <w:sz w:val="11"/>
                <w:szCs w:val="11"/>
                <w:color w:val="auto"/>
              </w:rPr>
            </w:pPr>
          </w:p>
        </w:tc>
        <w:tc>
          <w:tcPr>
            <w:tcW w:w="1160" w:type="dxa"/>
            <w:vAlign w:val="bottom"/>
            <w:tcBorders>
              <w:bottom w:val="single" w:sz="8" w:color="004483"/>
            </w:tcBorders>
            <w:shd w:val="clear" w:color="auto" w:fill="004483"/>
          </w:tcPr>
          <w:p>
            <w:pPr>
              <w:jc w:val="right"/>
              <w:ind w:right="112"/>
              <w:spacing w:after="0"/>
              <w:rPr>
                <w:sz w:val="20"/>
                <w:szCs w:val="20"/>
                <w:color w:val="auto"/>
              </w:rPr>
            </w:pPr>
            <w:r>
              <w:rPr>
                <w:rFonts w:ascii="Arial" w:cs="Arial" w:eastAsia="Arial" w:hAnsi="Arial"/>
                <w:sz w:val="8"/>
                <w:szCs w:val="8"/>
                <w:b w:val="1"/>
                <w:bCs w:val="1"/>
                <w:color w:val="FFFFFF"/>
              </w:rPr>
              <w:t>June 30,</w:t>
            </w:r>
          </w:p>
        </w:tc>
        <w:tc>
          <w:tcPr>
            <w:tcW w:w="1020" w:type="dxa"/>
            <w:vAlign w:val="bottom"/>
            <w:tcBorders>
              <w:bottom w:val="single" w:sz="8" w:color="004483"/>
            </w:tcBorders>
            <w:shd w:val="clear" w:color="auto" w:fill="004483"/>
          </w:tcPr>
          <w:p>
            <w:pPr>
              <w:spacing w:after="0"/>
              <w:rPr>
                <w:sz w:val="11"/>
                <w:szCs w:val="11"/>
                <w:color w:val="auto"/>
              </w:rPr>
            </w:pPr>
          </w:p>
        </w:tc>
        <w:tc>
          <w:tcPr>
            <w:tcW w:w="820" w:type="dxa"/>
            <w:vAlign w:val="bottom"/>
            <w:tcBorders>
              <w:bottom w:val="single" w:sz="8" w:color="004483"/>
            </w:tcBorders>
            <w:shd w:val="clear" w:color="auto" w:fill="004483"/>
          </w:tcPr>
          <w:p>
            <w:pPr>
              <w:jc w:val="right"/>
              <w:ind w:right="7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jc w:val="right"/>
              <w:ind w:right="112"/>
              <w:spacing w:after="0"/>
              <w:rPr>
                <w:sz w:val="20"/>
                <w:szCs w:val="20"/>
                <w:color w:val="auto"/>
              </w:rPr>
            </w:pPr>
            <w:r>
              <w:rPr>
                <w:rFonts w:ascii="Arial" w:cs="Arial" w:eastAsia="Arial" w:hAnsi="Arial"/>
                <w:sz w:val="8"/>
                <w:szCs w:val="8"/>
                <w:b w:val="1"/>
                <w:bCs w:val="1"/>
                <w:color w:val="auto"/>
              </w:rPr>
              <w:t>2020</w:t>
            </w:r>
          </w:p>
        </w:tc>
        <w:tc>
          <w:tcPr>
            <w:tcW w:w="1020" w:type="dxa"/>
            <w:vAlign w:val="bottom"/>
          </w:tcPr>
          <w:p>
            <w:pPr>
              <w:spacing w:after="0"/>
              <w:rPr>
                <w:sz w:val="8"/>
                <w:szCs w:val="8"/>
                <w:color w:val="auto"/>
              </w:rPr>
            </w:pPr>
          </w:p>
        </w:tc>
        <w:tc>
          <w:tcPr>
            <w:tcW w:w="820" w:type="dxa"/>
            <w:vAlign w:val="bottom"/>
          </w:tcPr>
          <w:p>
            <w:pPr>
              <w:jc w:val="right"/>
              <w:ind w:right="70"/>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2"/>
          </w:tcPr>
          <w:p>
            <w:pPr>
              <w:jc w:val="center"/>
              <w:ind w:left="92"/>
              <w:spacing w:after="0"/>
              <w:rPr>
                <w:sz w:val="20"/>
                <w:szCs w:val="20"/>
                <w:color w:val="auto"/>
              </w:rPr>
            </w:pPr>
            <w:r>
              <w:rPr>
                <w:rFonts w:ascii="Arial" w:cs="Arial" w:eastAsia="Arial" w:hAnsi="Arial"/>
                <w:sz w:val="8"/>
                <w:szCs w:val="8"/>
                <w:color w:val="auto"/>
                <w:w w:val="94"/>
              </w:rPr>
              <w:t>(dollars in thousands)</w:t>
            </w:r>
          </w:p>
        </w:tc>
        <w:tc>
          <w:tcPr>
            <w:tcW w:w="82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Current Assets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70,153</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77,331</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Non-Current Assets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99,488</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93,093</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Current Liabilities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18,302</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17,197</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3" w:right="29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(P) INTEREST EXPENSE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components are included in Interest Expense,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40" w:type="dxa"/>
            <w:vAlign w:val="bottom"/>
            <w:gridSpan w:val="4"/>
            <w:shd w:val="clear" w:color="auto" w:fill="004483"/>
          </w:tcPr>
          <w:p>
            <w:pPr>
              <w:jc w:val="right"/>
              <w:ind w:right="373"/>
              <w:spacing w:after="0"/>
              <w:rPr>
                <w:sz w:val="20"/>
                <w:szCs w:val="20"/>
                <w:color w:val="auto"/>
              </w:rPr>
            </w:pPr>
            <w:r>
              <w:rPr>
                <w:rFonts w:ascii="Arial" w:cs="Arial" w:eastAsia="Arial" w:hAnsi="Arial"/>
                <w:sz w:val="8"/>
                <w:szCs w:val="8"/>
                <w:b w:val="1"/>
                <w:bCs w:val="1"/>
                <w:color w:val="FFFFFF"/>
              </w:rPr>
              <w:t>For the Three Months Ended June 30,</w:t>
            </w:r>
          </w:p>
        </w:tc>
        <w:tc>
          <w:tcPr>
            <w:tcW w:w="6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40" w:type="dxa"/>
            <w:vAlign w:val="bottom"/>
            <w:tcBorders>
              <w:bottom w:val="single" w:sz="8" w:color="004483"/>
            </w:tcBorders>
            <w:gridSpan w:val="4"/>
          </w:tcPr>
          <w:p>
            <w:pPr>
              <w:jc w:val="right"/>
              <w:ind w:right="693"/>
              <w:spacing w:after="0"/>
              <w:rPr>
                <w:sz w:val="20"/>
                <w:szCs w:val="20"/>
                <w:color w:val="auto"/>
              </w:rPr>
            </w:pPr>
            <w:r>
              <w:rPr>
                <w:rFonts w:ascii="Arial" w:cs="Arial" w:eastAsia="Arial" w:hAnsi="Arial"/>
                <w:sz w:val="8"/>
                <w:szCs w:val="8"/>
                <w:color w:val="auto"/>
              </w:rPr>
              <w:t>(dollars in thousands)</w:t>
            </w:r>
          </w:p>
        </w:tc>
        <w:tc>
          <w:tcPr>
            <w:tcW w:w="6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Pr>
          <w:p>
            <w:pPr>
              <w:spacing w:after="0"/>
              <w:rPr>
                <w:sz w:val="20"/>
                <w:szCs w:val="20"/>
                <w:color w:val="auto"/>
              </w:rPr>
            </w:pPr>
            <w:r>
              <w:rPr>
                <w:rFonts w:ascii="Arial" w:cs="Arial" w:eastAsia="Arial" w:hAnsi="Arial"/>
                <w:sz w:val="11"/>
                <w:szCs w:val="11"/>
                <w:color w:val="auto"/>
              </w:rPr>
              <w:t>Interest Income</w:t>
            </w: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32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53"/>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Interest Expense</w:t>
            </w:r>
          </w:p>
        </w:tc>
        <w:tc>
          <w:tcPr>
            <w:tcW w:w="560" w:type="dxa"/>
            <w:vAlign w:val="bottom"/>
            <w:tcBorders>
              <w:top w:val="single" w:sz="8" w:color="A6A6A6"/>
              <w:bottom w:val="single" w:sz="8" w:color="A6A6A6"/>
            </w:tcBorders>
          </w:tcPr>
          <w:p>
            <w:pPr>
              <w:spacing w:after="0"/>
              <w:rPr>
                <w:sz w:val="11"/>
                <w:szCs w:val="11"/>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13,019</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8,559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 Expenses</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1,022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20" w:type="dxa"/>
            <w:vAlign w:val="bottom"/>
            <w:tcBorders>
              <w:bottom w:val="single" w:sz="8" w:color="004483"/>
            </w:tcBorders>
          </w:tcPr>
          <w:p>
            <w:pPr>
              <w:spacing w:after="0"/>
              <w:rPr>
                <w:sz w:val="11"/>
                <w:szCs w:val="11"/>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291</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1"/>
                <w:szCs w:val="11"/>
                <w:b w:val="1"/>
                <w:bCs w:val="1"/>
                <w:color w:val="auto"/>
              </w:rPr>
              <w:t>Interest Expense, net</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14,041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004483"/>
            </w:tcBorders>
          </w:tcPr>
          <w:p>
            <w:pPr>
              <w:jc w:val="right"/>
              <w:ind w:right="85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8,846</w:t>
            </w:r>
          </w:p>
        </w:tc>
        <w:tc>
          <w:tcPr>
            <w:tcW w:w="120" w:type="dxa"/>
            <w:vAlign w:val="bottom"/>
          </w:tcPr>
          <w:p>
            <w:pPr>
              <w:spacing w:after="0"/>
              <w:rPr>
                <w:sz w:val="12"/>
                <w:szCs w:val="12"/>
                <w:color w:val="auto"/>
              </w:rPr>
            </w:pPr>
          </w:p>
        </w:tc>
      </w:tr>
    </w:tbl>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 COMMITMENTS AND CONTINGENCIES</w:t>
      </w:r>
    </w:p>
    <w:p>
      <w:pPr>
        <w:spacing w:after="0" w:line="93" w:lineRule="exact"/>
        <w:rPr>
          <w:sz w:val="20"/>
          <w:szCs w:val="20"/>
          <w:color w:val="auto"/>
        </w:rPr>
      </w:pPr>
    </w:p>
    <w:p>
      <w:pPr>
        <w:ind w:right="180"/>
        <w:spacing w:after="0" w:line="271" w:lineRule="auto"/>
        <w:rPr>
          <w:sz w:val="20"/>
          <w:szCs w:val="20"/>
          <w:color w:val="auto"/>
        </w:rPr>
      </w:pPr>
      <w:r>
        <w:rPr>
          <w:rFonts w:ascii="Arial" w:cs="Arial" w:eastAsia="Arial" w:hAnsi="Arial"/>
          <w:sz w:val="12"/>
          <w:szCs w:val="12"/>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and auto and general liability self-insurance. At June 30, 2020, we had contingent liabilities under these outstanding letters of credit of approximately $5.0 million.</w:t>
      </w:r>
    </w:p>
    <w:p>
      <w:pPr>
        <w:spacing w:after="0" w:line="64" w:lineRule="exact"/>
        <w:rPr>
          <w:sz w:val="20"/>
          <w:szCs w:val="20"/>
          <w:color w:val="auto"/>
        </w:rPr>
      </w:pPr>
    </w:p>
    <w:p>
      <w:pPr>
        <w:ind w:right="200"/>
        <w:spacing w:after="0" w:line="269" w:lineRule="auto"/>
        <w:rPr>
          <w:sz w:val="20"/>
          <w:szCs w:val="20"/>
          <w:color w:val="auto"/>
        </w:rPr>
      </w:pPr>
      <w:r>
        <w:rPr>
          <w:rFonts w:ascii="Arial" w:cs="Arial" w:eastAsia="Arial" w:hAnsi="Arial"/>
          <w:sz w:val="12"/>
          <w:szCs w:val="12"/>
          <w:color w:val="auto"/>
        </w:rPr>
        <w:t>In the ordinary course of business, we execute contracts involving indemnifications that are standard in the industry and indemnifications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65"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color w:val="auto"/>
        </w:rPr>
        <w:t>We are currently contingently liable for performance under $29.9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 FAIR VALUE OF FINANCIAL INSTRUMENTS</w:t>
      </w:r>
    </w:p>
    <w:p>
      <w:pPr>
        <w:spacing w:after="0" w:line="93"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The fair value of our long-term debt has been estimated based upon our current incremental borrowing rates for similar types of borrowing arrangements. The fair value of our Senior Unsecured Notes at June 30, 2020 is as follows:</w:t>
      </w:r>
    </w:p>
    <w:p>
      <w:pPr>
        <w:spacing w:after="0" w:line="31" w:lineRule="exact"/>
        <w:rPr>
          <w:sz w:val="20"/>
          <w:szCs w:val="20"/>
          <w:color w:val="auto"/>
        </w:rPr>
      </w:pPr>
    </w:p>
    <w:p>
      <w:pPr>
        <w:jc w:val="right"/>
        <w:ind w:right="120"/>
        <w:spacing w:after="0"/>
        <w:rPr>
          <w:sz w:val="20"/>
          <w:szCs w:val="20"/>
          <w:color w:val="auto"/>
        </w:rPr>
      </w:pPr>
      <w:r>
        <w:rPr>
          <w:rFonts w:ascii="Arial" w:cs="Arial" w:eastAsia="Arial" w:hAnsi="Arial"/>
          <w:sz w:val="8"/>
          <w:szCs w:val="8"/>
          <w:b w:val="1"/>
          <w:bCs w:val="1"/>
          <w:color w:val="auto"/>
        </w:rPr>
        <w:t>Fair Value</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8"/>
          <w:szCs w:val="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094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tabs>
          <w:tab w:leader="none" w:pos="8960" w:val="left"/>
          <w:tab w:leader="none" w:pos="10800" w:val="left"/>
        </w:tabs>
        <w:rPr>
          <w:sz w:val="20"/>
          <w:szCs w:val="20"/>
          <w:color w:val="auto"/>
        </w:rPr>
      </w:pPr>
      <w:r>
        <w:rPr>
          <w:rFonts w:ascii="Arial" w:cs="Arial" w:eastAsia="Arial" w:hAnsi="Arial"/>
          <w:sz w:val="11"/>
          <w:szCs w:val="11"/>
          <w:color w:val="auto"/>
        </w:rPr>
        <w:t>4.500% Senior Unsecured Notes Due 2026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363,765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094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The estimated fair value of our long-term debt was based on quoted prices of similar debt instruments with similar terms that are publicly traded (level 2 input). The carrying values of cash and cash equivalents, accounts and notes receivable, accounts payable, and accrued liabilities approximate their fair values at June 30, 2020, due to the short-term maturities of these assets and liabilities. The fair value of our Revolving Credit Facility and Term Loan also approximates their carrying values at June 30, 2020.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(S) FINANCIAL STATEMENTS FOR GUARANTORS OF THE 4.500% SENIOR UNSECURED NOTES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On August 2, 2016, the Company completed a public offering of its Senior Unsecured Notes. The Senior Unsecured Notes are senior unsecured obligations of the Company and were offered under the Company’s existing shelf registration statement filed with the Securities and Exchange Commission.</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color w:val="auto"/>
        </w:rPr>
        <w:t>Our Senior Unsecured Notes are guaranteed by all of the Company’s wholly-owned subsidiaries, except for those subsidiaries comprising the Oil and Gas Proppants business. The guarantees are full and unconditional, and joint and several. The subsidiaries comprising the Oil and Gas Proppants business were guarantors of the Senior Unsecured Notes at March 31, 2020, but beginning in April 2020 they were removed from the guarantor group.</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The following unaudited condensed consolidating financial statements present separately the Earnings and Comprehensive Earnings, financial position, and Cash Flows of the parent issuer (Eagle Materials Inc.), the guarantors (all wholly owned subsidiaries of Eagle Materials Inc., with the exception of the Oil and Gas Proppants businesses beginning April 1, 2020) and the non-guarantors (the Oil and Gas Proppants businesses beginning April 1, 2020) on a combined basis with eliminating entries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200" w:type="dxa"/>
            <w:vAlign w:val="bottom"/>
            <w:vMerge w:val="restart"/>
          </w:tcPr>
          <w:p>
            <w:pPr>
              <w:spacing w:after="0"/>
              <w:rPr>
                <w:sz w:val="20"/>
                <w:szCs w:val="20"/>
                <w:color w:val="auto"/>
              </w:rPr>
            </w:pPr>
            <w:r>
              <w:rPr>
                <w:rFonts w:ascii="Arial" w:cs="Arial" w:eastAsia="Arial" w:hAnsi="Arial"/>
                <w:sz w:val="8"/>
                <w:szCs w:val="8"/>
                <w:b w:val="1"/>
                <w:bCs w:val="1"/>
                <w:color w:val="auto"/>
              </w:rPr>
              <w:t>Condensed Consolidating Statement of Earnings and Comprehensive Earnings For the Three Months Ended June 30, 2020</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Guarantor</w:t>
            </w:r>
          </w:p>
        </w:tc>
        <w:tc>
          <w:tcPr>
            <w:tcW w:w="240" w:type="dxa"/>
            <w:vAlign w:val="bottom"/>
          </w:tcPr>
          <w:p>
            <w:pPr>
              <w:spacing w:after="0"/>
              <w:rPr>
                <w:sz w:val="7"/>
                <w:szCs w:val="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Non-Guarantor</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Parent</w:t>
            </w:r>
          </w:p>
        </w:tc>
        <w:tc>
          <w:tcPr>
            <w:tcW w:w="24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Subsidiaries</w:t>
            </w:r>
          </w:p>
        </w:tc>
        <w:tc>
          <w:tcPr>
            <w:tcW w:w="24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Subsidiaries</w:t>
            </w:r>
          </w:p>
        </w:tc>
        <w:tc>
          <w:tcPr>
            <w:tcW w:w="24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Eliminations</w:t>
            </w:r>
          </w:p>
        </w:tc>
        <w:tc>
          <w:tcPr>
            <w:tcW w:w="24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Consolidated</w:t>
            </w: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5200" w:type="dxa"/>
            <w:vAlign w:val="bottom"/>
            <w:tcBorders>
              <w:bottom w:val="single" w:sz="8" w:color="004483"/>
            </w:tcBorders>
          </w:tcPr>
          <w:p>
            <w:pPr>
              <w:spacing w:after="0"/>
              <w:rPr>
                <w:sz w:val="3"/>
                <w:szCs w:val="3"/>
                <w:color w:val="auto"/>
              </w:rPr>
            </w:pPr>
          </w:p>
        </w:tc>
        <w:tc>
          <w:tcPr>
            <w:tcW w:w="360" w:type="dxa"/>
            <w:vAlign w:val="bottom"/>
            <w:tcBorders>
              <w:bottom w:val="single" w:sz="8" w:color="004483"/>
            </w:tcBorders>
          </w:tcPr>
          <w:p>
            <w:pPr>
              <w:spacing w:after="0"/>
              <w:rPr>
                <w:sz w:val="3"/>
                <w:szCs w:val="3"/>
                <w:color w:val="auto"/>
              </w:rPr>
            </w:pPr>
          </w:p>
        </w:tc>
        <w:tc>
          <w:tcPr>
            <w:tcW w:w="64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Borders>
              <w:bottom w:val="single" w:sz="8" w:color="004483"/>
            </w:tcBorders>
          </w:tcPr>
          <w:p>
            <w:pPr>
              <w:spacing w:after="0"/>
              <w:rPr>
                <w:sz w:val="3"/>
                <w:szCs w:val="3"/>
                <w:color w:val="auto"/>
              </w:rPr>
            </w:pPr>
          </w:p>
        </w:tc>
        <w:tc>
          <w:tcPr>
            <w:tcW w:w="70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40" w:type="dxa"/>
            <w:vAlign w:val="bottom"/>
            <w:tcBorders>
              <w:bottom w:val="single" w:sz="8" w:color="004483"/>
            </w:tcBorders>
          </w:tcPr>
          <w:p>
            <w:pPr>
              <w:spacing w:after="0"/>
              <w:rPr>
                <w:sz w:val="3"/>
                <w:szCs w:val="3"/>
                <w:color w:val="auto"/>
              </w:rPr>
            </w:pPr>
          </w:p>
        </w:tc>
        <w:tc>
          <w:tcPr>
            <w:tcW w:w="76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Borders>
              <w:bottom w:val="single" w:sz="8" w:color="004483"/>
            </w:tcBorders>
          </w:tcPr>
          <w:p>
            <w:pPr>
              <w:spacing w:after="0"/>
              <w:rPr>
                <w:sz w:val="3"/>
                <w:szCs w:val="3"/>
                <w:color w:val="auto"/>
              </w:rPr>
            </w:pPr>
          </w:p>
        </w:tc>
        <w:tc>
          <w:tcPr>
            <w:tcW w:w="70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Borders>
              <w:bottom w:val="single" w:sz="8" w:color="004483"/>
            </w:tcBorders>
          </w:tcPr>
          <w:p>
            <w:pPr>
              <w:spacing w:after="0"/>
              <w:rPr>
                <w:sz w:val="3"/>
                <w:szCs w:val="3"/>
                <w:color w:val="auto"/>
              </w:rPr>
            </w:pPr>
          </w:p>
        </w:tc>
        <w:tc>
          <w:tcPr>
            <w:tcW w:w="720" w:type="dxa"/>
            <w:vAlign w:val="bottom"/>
            <w:tcBorders>
              <w:bottom w:val="single" w:sz="8" w:color="004483"/>
            </w:tcBorders>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Revenue</w:t>
            </w:r>
          </w:p>
        </w:tc>
        <w:tc>
          <w:tcPr>
            <w:tcW w:w="360" w:type="dxa"/>
            <w:vAlign w:val="bottom"/>
            <w:tcBorders>
              <w:bottom w:val="single" w:sz="8" w:color="A6A6A6"/>
            </w:tcBorders>
          </w:tcPr>
          <w:p>
            <w:pPr>
              <w:jc w:val="right"/>
              <w:ind w:right="293"/>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426,989</w:t>
            </w:r>
          </w:p>
        </w:tc>
        <w:tc>
          <w:tcPr>
            <w:tcW w:w="240" w:type="dxa"/>
            <w:vAlign w:val="bottom"/>
          </w:tcPr>
          <w:p>
            <w:pPr>
              <w:spacing w:after="0"/>
              <w:rPr>
                <w:sz w:val="12"/>
                <w:szCs w:val="12"/>
                <w:color w:val="auto"/>
              </w:rPr>
            </w:pPr>
          </w:p>
        </w:tc>
        <w:tc>
          <w:tcPr>
            <w:tcW w:w="240" w:type="dxa"/>
            <w:vAlign w:val="bottom"/>
            <w:tcBorders>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1,031</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428,020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Cost of Goods Sold</w:t>
            </w:r>
          </w:p>
        </w:tc>
        <w:tc>
          <w:tcPr>
            <w:tcW w:w="360" w:type="dxa"/>
            <w:vAlign w:val="bottom"/>
            <w:tcBorders>
              <w:bottom w:val="single" w:sz="8" w:color="004483"/>
            </w:tcBorders>
          </w:tcPr>
          <w:p>
            <w:pPr>
              <w:spacing w:after="0"/>
              <w:rPr>
                <w:sz w:val="12"/>
                <w:szCs w:val="12"/>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324,692</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2,349</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327,041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160"/>
              <w:spacing w:after="0"/>
              <w:rPr>
                <w:sz w:val="20"/>
                <w:szCs w:val="20"/>
                <w:color w:val="auto"/>
              </w:rPr>
            </w:pPr>
            <w:r>
              <w:rPr>
                <w:rFonts w:ascii="Arial" w:cs="Arial" w:eastAsia="Arial" w:hAnsi="Arial"/>
                <w:sz w:val="11"/>
                <w:szCs w:val="11"/>
                <w:color w:val="auto"/>
              </w:rPr>
              <w:t>Gross Profit</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102,297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(1,318)</w:t>
            </w: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100,979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Equity in Earnings of Unconsolidated Joint Venture</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7,796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7,796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(7,796)</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Equity in Earnings of Subsidiaries</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63,684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(63,684)</w:t>
            </w:r>
          </w:p>
        </w:tc>
        <w:tc>
          <w:tcPr>
            <w:tcW w:w="3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Corporate General and Administrative Expenses</w:t>
            </w:r>
          </w:p>
        </w:tc>
        <w:tc>
          <w:tcPr>
            <w:tcW w:w="3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(14,411)</w:t>
            </w: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(3,260)</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(118)</w:t>
            </w: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(17,789)</w:t>
            </w:r>
          </w:p>
        </w:tc>
        <w:tc>
          <w:tcPr>
            <w:tcW w:w="0" w:type="dxa"/>
            <w:vAlign w:val="bottom"/>
          </w:tcPr>
          <w:p>
            <w:pPr>
              <w:spacing w:after="0"/>
              <w:rPr>
                <w:sz w:val="1"/>
                <w:szCs w:val="1"/>
                <w:color w:val="auto"/>
              </w:rPr>
            </w:pPr>
          </w:p>
        </w:tc>
      </w:tr>
      <w:tr>
        <w:trPr>
          <w:trHeight w:val="142"/>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Gain on Sale of Businesses</w:t>
            </w:r>
          </w:p>
        </w:tc>
        <w:tc>
          <w:tcPr>
            <w:tcW w:w="360" w:type="dxa"/>
            <w:vAlign w:val="bottom"/>
            <w:tcBorders>
              <w:top w:val="single" w:sz="8" w:color="A6A6A6"/>
              <w:bottom w:val="single" w:sz="8" w:color="A6A6A6"/>
            </w:tcBorders>
          </w:tcPr>
          <w:p>
            <w:pPr>
              <w:spacing w:after="0"/>
              <w:rPr>
                <w:sz w:val="12"/>
                <w:szCs w:val="12"/>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51,973</w:t>
            </w:r>
          </w:p>
        </w:tc>
        <w:tc>
          <w:tcPr>
            <w:tcW w:w="240" w:type="dxa"/>
            <w:vAlign w:val="bottom"/>
          </w:tcPr>
          <w:p>
            <w:pPr>
              <w:spacing w:after="0"/>
              <w:rPr>
                <w:sz w:val="12"/>
                <w:szCs w:val="12"/>
                <w:color w:val="auto"/>
              </w:rPr>
            </w:pPr>
          </w:p>
        </w:tc>
        <w:tc>
          <w:tcPr>
            <w:tcW w:w="300" w:type="dxa"/>
            <w:vAlign w:val="bottom"/>
            <w:tcBorders>
              <w:top w:val="single" w:sz="8" w:color="A6A6A6"/>
              <w:bottom w:val="single" w:sz="8" w:color="A6A6A6"/>
            </w:tcBorders>
          </w:tcPr>
          <w:p>
            <w:pPr>
              <w:spacing w:after="0"/>
              <w:rPr>
                <w:sz w:val="12"/>
                <w:szCs w:val="12"/>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Borders>
              <w:top w:val="single" w:sz="8" w:color="A6A6A6"/>
              <w:bottom w:val="single" w:sz="8" w:color="A6A6A6"/>
            </w:tcBorders>
          </w:tcPr>
          <w:p>
            <w:pPr>
              <w:spacing w:after="0"/>
              <w:rPr>
                <w:sz w:val="12"/>
                <w:szCs w:val="12"/>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top w:val="single" w:sz="8" w:color="A6A6A6"/>
              <w:bottom w:val="single" w:sz="8" w:color="A6A6A6"/>
            </w:tcBorders>
          </w:tcPr>
          <w:p>
            <w:pPr>
              <w:spacing w:after="0"/>
              <w:rPr>
                <w:sz w:val="12"/>
                <w:szCs w:val="12"/>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top w:val="single" w:sz="8" w:color="A6A6A6"/>
              <w:bottom w:val="single" w:sz="8" w:color="A6A6A6"/>
            </w:tcBorders>
          </w:tcPr>
          <w:p>
            <w:pPr>
              <w:spacing w:after="0"/>
              <w:rPr>
                <w:sz w:val="12"/>
                <w:szCs w:val="12"/>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51,973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Other Non-Operating Income (Loss)</w:t>
            </w:r>
          </w:p>
        </w:tc>
        <w:tc>
          <w:tcPr>
            <w:tcW w:w="3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(375)</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Interest Expense, net</w:t>
            </w:r>
          </w:p>
        </w:tc>
        <w:tc>
          <w:tcPr>
            <w:tcW w:w="3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(14,028)</w:t>
            </w: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(13)</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(14,041)</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64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ind w:left="160"/>
              <w:spacing w:after="0"/>
              <w:rPr>
                <w:sz w:val="20"/>
                <w:szCs w:val="20"/>
                <w:color w:val="auto"/>
              </w:rPr>
            </w:pPr>
            <w:r>
              <w:rPr>
                <w:rFonts w:ascii="Arial" w:cs="Arial" w:eastAsia="Arial" w:hAnsi="Arial"/>
                <w:sz w:val="11"/>
                <w:szCs w:val="11"/>
                <w:color w:val="auto"/>
              </w:rPr>
              <w:t>Earnings before Income Taxes</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94,639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106,887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(1,255)</w:t>
            </w: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(71,480)</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128,791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Income Taxes</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1,567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(34,502)</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350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(32,585)</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64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auto"/>
              </w:rPr>
              <w:t>Net Earnings</w:t>
            </w:r>
          </w:p>
        </w:tc>
        <w:tc>
          <w:tcPr>
            <w:tcW w:w="360" w:type="dxa"/>
            <w:vAlign w:val="bottom"/>
            <w:tcBorders>
              <w:bottom w:val="single" w:sz="8" w:color="004483"/>
            </w:tcBorders>
          </w:tcPr>
          <w:p>
            <w:pPr>
              <w:jc w:val="right"/>
              <w:ind w:right="29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96,206</w:t>
            </w:r>
          </w:p>
        </w:tc>
        <w:tc>
          <w:tcPr>
            <w:tcW w:w="240" w:type="dxa"/>
            <w:vAlign w:val="bottom"/>
          </w:tcPr>
          <w:p>
            <w:pPr>
              <w:spacing w:after="0"/>
              <w:rPr>
                <w:sz w:val="14"/>
                <w:szCs w:val="14"/>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72,385</w:t>
            </w:r>
          </w:p>
        </w:tc>
        <w:tc>
          <w:tcPr>
            <w:tcW w:w="240" w:type="dxa"/>
            <w:vAlign w:val="bottom"/>
          </w:tcPr>
          <w:p>
            <w:pPr>
              <w:spacing w:after="0"/>
              <w:rPr>
                <w:sz w:val="14"/>
                <w:szCs w:val="14"/>
                <w:color w:val="auto"/>
              </w:rPr>
            </w:pPr>
          </w:p>
        </w:tc>
        <w:tc>
          <w:tcPr>
            <w:tcW w:w="240" w:type="dxa"/>
            <w:vAlign w:val="bottom"/>
            <w:tcBorders>
              <w:bottom w:val="single" w:sz="8" w:color="004483"/>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004483"/>
            </w:tcBorders>
            <w:gridSpan w:val="2"/>
          </w:tcPr>
          <w:p>
            <w:pPr>
              <w:jc w:val="right"/>
              <w:ind w:right="200"/>
              <w:spacing w:after="0"/>
              <w:rPr>
                <w:sz w:val="20"/>
                <w:szCs w:val="20"/>
                <w:color w:val="auto"/>
              </w:rPr>
            </w:pPr>
            <w:r>
              <w:rPr>
                <w:rFonts w:ascii="Arial" w:cs="Arial" w:eastAsia="Arial" w:hAnsi="Arial"/>
                <w:sz w:val="11"/>
                <w:szCs w:val="11"/>
                <w:b w:val="1"/>
                <w:bCs w:val="1"/>
                <w:color w:val="auto"/>
              </w:rPr>
              <w:t>(905)</w:t>
            </w: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gridSpan w:val="2"/>
          </w:tcPr>
          <w:p>
            <w:pPr>
              <w:jc w:val="right"/>
              <w:ind w:right="200"/>
              <w:spacing w:after="0"/>
              <w:rPr>
                <w:sz w:val="20"/>
                <w:szCs w:val="20"/>
                <w:color w:val="auto"/>
              </w:rPr>
            </w:pPr>
            <w:r>
              <w:rPr>
                <w:rFonts w:ascii="Arial" w:cs="Arial" w:eastAsia="Arial" w:hAnsi="Arial"/>
                <w:sz w:val="11"/>
                <w:szCs w:val="11"/>
                <w:b w:val="1"/>
                <w:bCs w:val="1"/>
                <w:color w:val="auto"/>
              </w:rPr>
              <w:t>(71,480)</w:t>
            </w: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96,206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00" w:type="dxa"/>
            <w:vAlign w:val="bottom"/>
          </w:tcPr>
          <w:p>
            <w:pPr>
              <w:spacing w:after="0" w:line="120" w:lineRule="exact"/>
              <w:rPr>
                <w:sz w:val="20"/>
                <w:szCs w:val="20"/>
                <w:color w:val="auto"/>
              </w:rPr>
            </w:pPr>
            <w:r>
              <w:rPr>
                <w:rFonts w:ascii="Arial" w:cs="Arial" w:eastAsia="Arial" w:hAnsi="Arial"/>
                <w:sz w:val="11"/>
                <w:szCs w:val="11"/>
                <w:color w:val="auto"/>
              </w:rPr>
              <w:t>Net Earnings</w:t>
            </w:r>
          </w:p>
        </w:tc>
        <w:tc>
          <w:tcPr>
            <w:tcW w:w="360" w:type="dxa"/>
            <w:vAlign w:val="bottom"/>
          </w:tcPr>
          <w:p>
            <w:pPr>
              <w:jc w:val="right"/>
              <w:ind w:right="293"/>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96,206</w:t>
            </w:r>
          </w:p>
        </w:tc>
        <w:tc>
          <w:tcPr>
            <w:tcW w:w="2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72,385</w:t>
            </w:r>
          </w:p>
        </w:tc>
        <w:tc>
          <w:tcPr>
            <w:tcW w:w="24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(905)</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(71,480)</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96,206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Net Actuarial Change in Benefit Plans, net of tax</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(25)</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64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00" w:type="dxa"/>
            <w:vAlign w:val="bottom"/>
          </w:tcPr>
          <w:p>
            <w:pPr>
              <w:spacing w:after="0"/>
              <w:rPr>
                <w:sz w:val="20"/>
                <w:szCs w:val="20"/>
                <w:color w:val="auto"/>
              </w:rPr>
            </w:pPr>
            <w:r>
              <w:rPr>
                <w:rFonts w:ascii="Arial" w:cs="Arial" w:eastAsia="Arial" w:hAnsi="Arial"/>
                <w:sz w:val="11"/>
                <w:szCs w:val="11"/>
                <w:b w:val="1"/>
                <w:bCs w:val="1"/>
                <w:color w:val="auto"/>
              </w:rPr>
              <w:t>Comprehensive Earnings</w:t>
            </w:r>
          </w:p>
        </w:tc>
        <w:tc>
          <w:tcPr>
            <w:tcW w:w="360" w:type="dxa"/>
            <w:vAlign w:val="bottom"/>
          </w:tcPr>
          <w:p>
            <w:pPr>
              <w:jc w:val="right"/>
              <w:ind w:right="293"/>
              <w:spacing w:after="0"/>
              <w:rPr>
                <w:sz w:val="20"/>
                <w:szCs w:val="20"/>
                <w:color w:val="auto"/>
              </w:rPr>
            </w:pPr>
            <w:r>
              <w:rPr>
                <w:rFonts w:ascii="Arial" w:cs="Arial" w:eastAsia="Arial" w:hAnsi="Arial"/>
                <w:sz w:val="5"/>
                <w:szCs w:val="5"/>
                <w:b w:val="1"/>
                <w:bCs w:val="1"/>
                <w:color w:val="auto"/>
                <w:w w:val="70"/>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96,231</w:t>
            </w:r>
          </w:p>
        </w:tc>
        <w:tc>
          <w:tcPr>
            <w:tcW w:w="24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72,410</w:t>
            </w:r>
          </w:p>
        </w:tc>
        <w:tc>
          <w:tcPr>
            <w:tcW w:w="24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(905)</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(71,505)</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96,231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200" w:type="dxa"/>
            <w:vAlign w:val="bottom"/>
            <w:vMerge w:val="restart"/>
          </w:tcPr>
          <w:p>
            <w:pPr>
              <w:spacing w:after="0"/>
              <w:rPr>
                <w:sz w:val="20"/>
                <w:szCs w:val="20"/>
                <w:color w:val="auto"/>
              </w:rPr>
            </w:pPr>
            <w:r>
              <w:rPr>
                <w:rFonts w:ascii="Arial" w:cs="Arial" w:eastAsia="Arial" w:hAnsi="Arial"/>
                <w:sz w:val="8"/>
                <w:szCs w:val="8"/>
                <w:b w:val="1"/>
                <w:bCs w:val="1"/>
                <w:color w:val="auto"/>
              </w:rPr>
              <w:t>Condensed Consolidating Statement of Earnings and Comprehensive Earnings For the Three Months Ended June 30, 2019</w:t>
            </w:r>
          </w:p>
        </w:tc>
        <w:tc>
          <w:tcPr>
            <w:tcW w:w="360" w:type="dxa"/>
            <w:vAlign w:val="bottom"/>
            <w:tcBorders>
              <w:top w:val="single" w:sz="8" w:color="004483"/>
            </w:tcBorders>
          </w:tcPr>
          <w:p>
            <w:pPr>
              <w:spacing w:after="0"/>
              <w:rPr>
                <w:sz w:val="20"/>
                <w:szCs w:val="20"/>
                <w:color w:val="auto"/>
              </w:rPr>
            </w:pPr>
          </w:p>
        </w:tc>
        <w:tc>
          <w:tcPr>
            <w:tcW w:w="640" w:type="dxa"/>
            <w:vAlign w:val="bottom"/>
            <w:tcBorders>
              <w:top w:val="single" w:sz="8" w:color="004483"/>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004483"/>
            </w:tcBorders>
          </w:tcPr>
          <w:p>
            <w:pPr>
              <w:spacing w:after="0"/>
              <w:rPr>
                <w:sz w:val="20"/>
                <w:szCs w:val="20"/>
                <w:color w:val="auto"/>
              </w:rPr>
            </w:pPr>
          </w:p>
        </w:tc>
        <w:tc>
          <w:tcPr>
            <w:tcW w:w="700" w:type="dxa"/>
            <w:vAlign w:val="bottom"/>
            <w:tcBorders>
              <w:top w:val="single" w:sz="8" w:color="004483"/>
            </w:tcBorders>
          </w:tcPr>
          <w:p>
            <w:pPr>
              <w:jc w:val="right"/>
              <w:spacing w:after="0"/>
              <w:rPr>
                <w:sz w:val="20"/>
                <w:szCs w:val="20"/>
                <w:color w:val="auto"/>
              </w:rPr>
            </w:pPr>
            <w:r>
              <w:rPr>
                <w:rFonts w:ascii="Arial" w:cs="Arial" w:eastAsia="Arial" w:hAnsi="Arial"/>
                <w:sz w:val="8"/>
                <w:szCs w:val="8"/>
                <w:b w:val="1"/>
                <w:bCs w:val="1"/>
                <w:color w:val="auto"/>
              </w:rPr>
              <w:t>Guarantor</w:t>
            </w:r>
          </w:p>
        </w:tc>
        <w:tc>
          <w:tcPr>
            <w:tcW w:w="240" w:type="dxa"/>
            <w:vAlign w:val="bottom"/>
          </w:tcPr>
          <w:p>
            <w:pPr>
              <w:spacing w:after="0"/>
              <w:rPr>
                <w:sz w:val="20"/>
                <w:szCs w:val="20"/>
                <w:color w:val="auto"/>
              </w:rPr>
            </w:pPr>
          </w:p>
        </w:tc>
        <w:tc>
          <w:tcPr>
            <w:tcW w:w="240" w:type="dxa"/>
            <w:vAlign w:val="bottom"/>
            <w:tcBorders>
              <w:top w:val="single" w:sz="8" w:color="004483"/>
            </w:tcBorders>
          </w:tcPr>
          <w:p>
            <w:pPr>
              <w:spacing w:after="0"/>
              <w:rPr>
                <w:sz w:val="20"/>
                <w:szCs w:val="20"/>
                <w:color w:val="auto"/>
              </w:rPr>
            </w:pPr>
          </w:p>
        </w:tc>
        <w:tc>
          <w:tcPr>
            <w:tcW w:w="760" w:type="dxa"/>
            <w:vAlign w:val="bottom"/>
            <w:tcBorders>
              <w:top w:val="single" w:sz="8" w:color="004483"/>
            </w:tcBorders>
          </w:tcPr>
          <w:p>
            <w:pPr>
              <w:jc w:val="right"/>
              <w:spacing w:after="0"/>
              <w:rPr>
                <w:sz w:val="20"/>
                <w:szCs w:val="20"/>
                <w:color w:val="auto"/>
              </w:rPr>
            </w:pPr>
            <w:r>
              <w:rPr>
                <w:rFonts w:ascii="Arial" w:cs="Arial" w:eastAsia="Arial" w:hAnsi="Arial"/>
                <w:sz w:val="8"/>
                <w:szCs w:val="8"/>
                <w:b w:val="1"/>
                <w:bCs w:val="1"/>
                <w:color w:val="auto"/>
              </w:rPr>
              <w:t>Non-Guarantor</w:t>
            </w:r>
          </w:p>
        </w:tc>
        <w:tc>
          <w:tcPr>
            <w:tcW w:w="240" w:type="dxa"/>
            <w:vAlign w:val="bottom"/>
          </w:tcPr>
          <w:p>
            <w:pPr>
              <w:spacing w:after="0"/>
              <w:rPr>
                <w:sz w:val="20"/>
                <w:szCs w:val="20"/>
                <w:color w:val="auto"/>
              </w:rPr>
            </w:pPr>
          </w:p>
        </w:tc>
        <w:tc>
          <w:tcPr>
            <w:tcW w:w="300" w:type="dxa"/>
            <w:vAlign w:val="bottom"/>
            <w:tcBorders>
              <w:top w:val="single" w:sz="8" w:color="004483"/>
            </w:tcBorders>
          </w:tcPr>
          <w:p>
            <w:pPr>
              <w:spacing w:after="0"/>
              <w:rPr>
                <w:sz w:val="20"/>
                <w:szCs w:val="20"/>
                <w:color w:val="auto"/>
              </w:rPr>
            </w:pPr>
          </w:p>
        </w:tc>
        <w:tc>
          <w:tcPr>
            <w:tcW w:w="700" w:type="dxa"/>
            <w:vAlign w:val="bottom"/>
            <w:tcBorders>
              <w:top w:val="single" w:sz="8" w:color="004483"/>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004483"/>
            </w:tcBorders>
          </w:tcPr>
          <w:p>
            <w:pPr>
              <w:spacing w:after="0"/>
              <w:rPr>
                <w:sz w:val="20"/>
                <w:szCs w:val="20"/>
                <w:color w:val="auto"/>
              </w:rPr>
            </w:pPr>
          </w:p>
        </w:tc>
        <w:tc>
          <w:tcPr>
            <w:tcW w:w="720" w:type="dxa"/>
            <w:vAlign w:val="bottom"/>
            <w:tcBorders>
              <w:top w:val="single" w:sz="8" w:color="004483"/>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52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Parent</w:t>
            </w:r>
          </w:p>
        </w:tc>
        <w:tc>
          <w:tcPr>
            <w:tcW w:w="24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Subsidiaries</w:t>
            </w:r>
          </w:p>
        </w:tc>
        <w:tc>
          <w:tcPr>
            <w:tcW w:w="24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Subsidiaries</w:t>
            </w:r>
          </w:p>
        </w:tc>
        <w:tc>
          <w:tcPr>
            <w:tcW w:w="24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Eliminations</w:t>
            </w:r>
          </w:p>
        </w:tc>
        <w:tc>
          <w:tcPr>
            <w:tcW w:w="24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Consolidated</w:t>
            </w: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5200" w:type="dxa"/>
            <w:vAlign w:val="bottom"/>
            <w:tcBorders>
              <w:bottom w:val="single" w:sz="8" w:color="004483"/>
            </w:tcBorders>
          </w:tcPr>
          <w:p>
            <w:pPr>
              <w:spacing w:after="0"/>
              <w:rPr>
                <w:sz w:val="3"/>
                <w:szCs w:val="3"/>
                <w:color w:val="auto"/>
              </w:rPr>
            </w:pPr>
          </w:p>
        </w:tc>
        <w:tc>
          <w:tcPr>
            <w:tcW w:w="360" w:type="dxa"/>
            <w:vAlign w:val="bottom"/>
            <w:tcBorders>
              <w:bottom w:val="single" w:sz="8" w:color="004483"/>
            </w:tcBorders>
          </w:tcPr>
          <w:p>
            <w:pPr>
              <w:spacing w:after="0"/>
              <w:rPr>
                <w:sz w:val="3"/>
                <w:szCs w:val="3"/>
                <w:color w:val="auto"/>
              </w:rPr>
            </w:pPr>
          </w:p>
        </w:tc>
        <w:tc>
          <w:tcPr>
            <w:tcW w:w="64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Borders>
              <w:bottom w:val="single" w:sz="8" w:color="004483"/>
            </w:tcBorders>
          </w:tcPr>
          <w:p>
            <w:pPr>
              <w:spacing w:after="0"/>
              <w:rPr>
                <w:sz w:val="3"/>
                <w:szCs w:val="3"/>
                <w:color w:val="auto"/>
              </w:rPr>
            </w:pPr>
          </w:p>
        </w:tc>
        <w:tc>
          <w:tcPr>
            <w:tcW w:w="70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40" w:type="dxa"/>
            <w:vAlign w:val="bottom"/>
            <w:tcBorders>
              <w:bottom w:val="single" w:sz="8" w:color="004483"/>
            </w:tcBorders>
          </w:tcPr>
          <w:p>
            <w:pPr>
              <w:spacing w:after="0"/>
              <w:rPr>
                <w:sz w:val="3"/>
                <w:szCs w:val="3"/>
                <w:color w:val="auto"/>
              </w:rPr>
            </w:pPr>
          </w:p>
        </w:tc>
        <w:tc>
          <w:tcPr>
            <w:tcW w:w="76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Borders>
              <w:bottom w:val="single" w:sz="8" w:color="004483"/>
            </w:tcBorders>
          </w:tcPr>
          <w:p>
            <w:pPr>
              <w:spacing w:after="0"/>
              <w:rPr>
                <w:sz w:val="3"/>
                <w:szCs w:val="3"/>
                <w:color w:val="auto"/>
              </w:rPr>
            </w:pPr>
          </w:p>
        </w:tc>
        <w:tc>
          <w:tcPr>
            <w:tcW w:w="700" w:type="dxa"/>
            <w:vAlign w:val="bottom"/>
            <w:tcBorders>
              <w:bottom w:val="single" w:sz="8" w:color="004483"/>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Borders>
              <w:bottom w:val="single" w:sz="8" w:color="004483"/>
            </w:tcBorders>
          </w:tcPr>
          <w:p>
            <w:pPr>
              <w:spacing w:after="0"/>
              <w:rPr>
                <w:sz w:val="3"/>
                <w:szCs w:val="3"/>
                <w:color w:val="auto"/>
              </w:rPr>
            </w:pPr>
          </w:p>
        </w:tc>
        <w:tc>
          <w:tcPr>
            <w:tcW w:w="720" w:type="dxa"/>
            <w:vAlign w:val="bottom"/>
            <w:tcBorders>
              <w:bottom w:val="single" w:sz="8" w:color="004483"/>
            </w:tcBorders>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Revenue</w:t>
            </w:r>
          </w:p>
        </w:tc>
        <w:tc>
          <w:tcPr>
            <w:tcW w:w="360" w:type="dxa"/>
            <w:vAlign w:val="bottom"/>
            <w:tcBorders>
              <w:bottom w:val="single" w:sz="8" w:color="A6A6A6"/>
            </w:tcBorders>
          </w:tcPr>
          <w:p>
            <w:pPr>
              <w:jc w:val="right"/>
              <w:ind w:right="293"/>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370,597</w:t>
            </w:r>
          </w:p>
        </w:tc>
        <w:tc>
          <w:tcPr>
            <w:tcW w:w="240" w:type="dxa"/>
            <w:vAlign w:val="bottom"/>
          </w:tcPr>
          <w:p>
            <w:pPr>
              <w:spacing w:after="0"/>
              <w:rPr>
                <w:sz w:val="12"/>
                <w:szCs w:val="12"/>
                <w:color w:val="auto"/>
              </w:rPr>
            </w:pPr>
          </w:p>
        </w:tc>
        <w:tc>
          <w:tcPr>
            <w:tcW w:w="240" w:type="dxa"/>
            <w:vAlign w:val="bottom"/>
            <w:tcBorders>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370,597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Cost of Goods Sold</w:t>
            </w:r>
          </w:p>
        </w:tc>
        <w:tc>
          <w:tcPr>
            <w:tcW w:w="360" w:type="dxa"/>
            <w:vAlign w:val="bottom"/>
            <w:tcBorders>
              <w:bottom w:val="single" w:sz="8" w:color="004483"/>
            </w:tcBorders>
          </w:tcPr>
          <w:p>
            <w:pPr>
              <w:spacing w:after="0"/>
              <w:rPr>
                <w:sz w:val="12"/>
                <w:szCs w:val="12"/>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295,268</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295,268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Gross Profit</w:t>
            </w:r>
          </w:p>
        </w:tc>
        <w:tc>
          <w:tcPr>
            <w:tcW w:w="360" w:type="dxa"/>
            <w:vAlign w:val="bottom"/>
            <w:tcBorders>
              <w:bottom w:val="single" w:sz="8" w:color="A6A6A6"/>
            </w:tcBorders>
          </w:tcPr>
          <w:p>
            <w:pPr>
              <w:spacing w:after="0"/>
              <w:rPr>
                <w:sz w:val="12"/>
                <w:szCs w:val="12"/>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75,329</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75,329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Equity in Earnings of Unconsolidated Joint Venture</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9,432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9,432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(9,432)</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9,432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Equity in Earnings of Subsidiaries</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55,742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(55,742)</w:t>
            </w:r>
          </w:p>
        </w:tc>
        <w:tc>
          <w:tcPr>
            <w:tcW w:w="3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Corporate General and Administrative Expenses</w:t>
            </w:r>
          </w:p>
        </w:tc>
        <w:tc>
          <w:tcPr>
            <w:tcW w:w="3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(20,968)</w:t>
            </w: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(286)</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(21,254)</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Other Non-Operating Income</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426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(226)</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Interest Expense, net</w:t>
            </w:r>
          </w:p>
        </w:tc>
        <w:tc>
          <w:tcPr>
            <w:tcW w:w="3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(8,834)</w:t>
            </w: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(8,846)</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64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ind w:left="160"/>
              <w:spacing w:after="0"/>
              <w:rPr>
                <w:sz w:val="20"/>
                <w:szCs w:val="20"/>
                <w:color w:val="auto"/>
              </w:rPr>
            </w:pPr>
            <w:r>
              <w:rPr>
                <w:rFonts w:ascii="Arial" w:cs="Arial" w:eastAsia="Arial" w:hAnsi="Arial"/>
                <w:sz w:val="11"/>
                <w:szCs w:val="11"/>
                <w:color w:val="auto"/>
              </w:rPr>
              <w:t>Earnings before Income Taxes</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35,798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84,237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(65,174)</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54,861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Income Taxes</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5,506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(19,063)</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(13,557)</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64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b w:val="1"/>
                <w:bCs w:val="1"/>
                <w:color w:val="auto"/>
              </w:rPr>
              <w:t>Net Earnings</w:t>
            </w:r>
          </w:p>
        </w:tc>
        <w:tc>
          <w:tcPr>
            <w:tcW w:w="360" w:type="dxa"/>
            <w:vAlign w:val="bottom"/>
            <w:tcBorders>
              <w:bottom w:val="single" w:sz="8" w:color="004483"/>
            </w:tcBorders>
          </w:tcPr>
          <w:p>
            <w:pPr>
              <w:jc w:val="right"/>
              <w:ind w:right="29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41,304</w:t>
            </w:r>
          </w:p>
        </w:tc>
        <w:tc>
          <w:tcPr>
            <w:tcW w:w="240" w:type="dxa"/>
            <w:vAlign w:val="bottom"/>
          </w:tcPr>
          <w:p>
            <w:pPr>
              <w:spacing w:after="0"/>
              <w:rPr>
                <w:sz w:val="14"/>
                <w:szCs w:val="14"/>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65,174</w:t>
            </w:r>
          </w:p>
        </w:tc>
        <w:tc>
          <w:tcPr>
            <w:tcW w:w="240" w:type="dxa"/>
            <w:vAlign w:val="bottom"/>
          </w:tcPr>
          <w:p>
            <w:pPr>
              <w:spacing w:after="0"/>
              <w:rPr>
                <w:sz w:val="14"/>
                <w:szCs w:val="14"/>
                <w:color w:val="auto"/>
              </w:rPr>
            </w:pPr>
          </w:p>
        </w:tc>
        <w:tc>
          <w:tcPr>
            <w:tcW w:w="240" w:type="dxa"/>
            <w:vAlign w:val="bottom"/>
            <w:tcBorders>
              <w:bottom w:val="single" w:sz="8" w:color="004483"/>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tcBorders>
              <w:bottom w:val="single" w:sz="8" w:color="004483"/>
            </w:tcBorders>
          </w:tcPr>
          <w:p>
            <w:pPr>
              <w:spacing w:after="0"/>
              <w:rPr>
                <w:sz w:val="14"/>
                <w:szCs w:val="14"/>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gridSpan w:val="2"/>
          </w:tcPr>
          <w:p>
            <w:pPr>
              <w:jc w:val="right"/>
              <w:ind w:right="200"/>
              <w:spacing w:after="0"/>
              <w:rPr>
                <w:sz w:val="20"/>
                <w:szCs w:val="20"/>
                <w:color w:val="auto"/>
              </w:rPr>
            </w:pPr>
            <w:r>
              <w:rPr>
                <w:rFonts w:ascii="Arial" w:cs="Arial" w:eastAsia="Arial" w:hAnsi="Arial"/>
                <w:sz w:val="11"/>
                <w:szCs w:val="11"/>
                <w:b w:val="1"/>
                <w:bCs w:val="1"/>
                <w:color w:val="auto"/>
              </w:rPr>
              <w:t>(65,174)</w:t>
            </w: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00" w:type="dxa"/>
            <w:vAlign w:val="bottom"/>
          </w:tcPr>
          <w:p>
            <w:pPr>
              <w:spacing w:after="0" w:line="120" w:lineRule="exact"/>
              <w:rPr>
                <w:sz w:val="20"/>
                <w:szCs w:val="20"/>
                <w:color w:val="auto"/>
              </w:rPr>
            </w:pPr>
            <w:r>
              <w:rPr>
                <w:rFonts w:ascii="Arial" w:cs="Arial" w:eastAsia="Arial" w:hAnsi="Arial"/>
                <w:sz w:val="11"/>
                <w:szCs w:val="11"/>
                <w:color w:val="auto"/>
              </w:rPr>
              <w:t>Net Earnings</w:t>
            </w:r>
          </w:p>
        </w:tc>
        <w:tc>
          <w:tcPr>
            <w:tcW w:w="360" w:type="dxa"/>
            <w:vAlign w:val="bottom"/>
          </w:tcPr>
          <w:p>
            <w:pPr>
              <w:jc w:val="right"/>
              <w:ind w:right="293"/>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41,304</w:t>
            </w:r>
          </w:p>
        </w:tc>
        <w:tc>
          <w:tcPr>
            <w:tcW w:w="2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65,174</w:t>
            </w:r>
          </w:p>
        </w:tc>
        <w:tc>
          <w:tcPr>
            <w:tcW w:w="24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(65,174)</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41,304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color w:val="auto"/>
              </w:rPr>
              <w:t>Net Actuarial Change in Benefit Plans, net of tax</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(33)</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64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b w:val="1"/>
                <w:bCs w:val="1"/>
                <w:color w:val="auto"/>
              </w:rPr>
              <w:t>Comprehensive Earnings</w:t>
            </w:r>
          </w:p>
        </w:tc>
        <w:tc>
          <w:tcPr>
            <w:tcW w:w="360" w:type="dxa"/>
            <w:vAlign w:val="bottom"/>
          </w:tcPr>
          <w:p>
            <w:pPr>
              <w:jc w:val="right"/>
              <w:ind w:right="293"/>
              <w:spacing w:after="0"/>
              <w:rPr>
                <w:sz w:val="20"/>
                <w:szCs w:val="20"/>
                <w:color w:val="auto"/>
              </w:rPr>
            </w:pPr>
            <w:r>
              <w:rPr>
                <w:rFonts w:ascii="Arial" w:cs="Arial" w:eastAsia="Arial" w:hAnsi="Arial"/>
                <w:sz w:val="5"/>
                <w:szCs w:val="5"/>
                <w:b w:val="1"/>
                <w:bCs w:val="1"/>
                <w:color w:val="auto"/>
                <w:w w:val="70"/>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41,337</w:t>
            </w:r>
          </w:p>
        </w:tc>
        <w:tc>
          <w:tcPr>
            <w:tcW w:w="2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65,207</w:t>
            </w:r>
          </w:p>
        </w:tc>
        <w:tc>
          <w:tcPr>
            <w:tcW w:w="24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(65,207)</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41,337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360" w:type="dxa"/>
            <w:vAlign w:val="bottom"/>
            <w:shd w:val="clear" w:color="auto" w:fill="004483"/>
          </w:tcPr>
          <w:p>
            <w:pPr>
              <w:spacing w:after="0"/>
              <w:rPr>
                <w:sz w:val="2"/>
                <w:szCs w:val="2"/>
                <w:color w:val="auto"/>
              </w:rPr>
            </w:pPr>
          </w:p>
        </w:tc>
        <w:tc>
          <w:tcPr>
            <w:tcW w:w="64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0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4483"/>
          </w:tcPr>
          <w:p>
            <w:pPr>
              <w:spacing w:after="0"/>
              <w:rPr>
                <w:sz w:val="2"/>
                <w:szCs w:val="2"/>
                <w:color w:val="auto"/>
              </w:rPr>
            </w:pPr>
          </w:p>
        </w:tc>
        <w:tc>
          <w:tcPr>
            <w:tcW w:w="76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0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20" w:type="dxa"/>
            <w:vAlign w:val="bottom"/>
            <w:shd w:val="clear" w:color="auto" w:fill="00448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427" w:right="3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92"/>
        </w:trPr>
        <w:tc>
          <w:tcPr>
            <w:tcW w:w="52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Condensed Consolidating Balance Sheet at June 30, 2020</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Guarantor</w:t>
            </w:r>
          </w:p>
        </w:tc>
        <w:tc>
          <w:tcPr>
            <w:tcW w:w="240" w:type="dxa"/>
            <w:vAlign w:val="bottom"/>
          </w:tcPr>
          <w:p>
            <w:pPr>
              <w:spacing w:after="0"/>
              <w:rPr>
                <w:sz w:val="7"/>
                <w:szCs w:val="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Non-Guarantor</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2"/>
            <w:vMerge w:val="restart"/>
          </w:tcPr>
          <w:p>
            <w:pPr>
              <w:ind w:left="460"/>
              <w:spacing w:after="0"/>
              <w:rPr>
                <w:sz w:val="20"/>
                <w:szCs w:val="20"/>
                <w:color w:val="auto"/>
              </w:rPr>
            </w:pPr>
            <w:r>
              <w:rPr>
                <w:rFonts w:ascii="Arial" w:cs="Arial" w:eastAsia="Arial" w:hAnsi="Arial"/>
                <w:sz w:val="8"/>
                <w:szCs w:val="8"/>
                <w:b w:val="1"/>
                <w:bCs w:val="1"/>
                <w:color w:val="auto"/>
              </w:rPr>
              <w:t>Parent</w:t>
            </w:r>
          </w:p>
        </w:tc>
        <w:tc>
          <w:tcPr>
            <w:tcW w:w="280" w:type="dxa"/>
            <w:vAlign w:val="bottom"/>
          </w:tcPr>
          <w:p>
            <w:pPr>
              <w:spacing w:after="0"/>
              <w:rPr>
                <w:sz w:val="5"/>
                <w:szCs w:val="5"/>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240" w:type="dxa"/>
            <w:vAlign w:val="bottom"/>
          </w:tcPr>
          <w:p>
            <w:pPr>
              <w:spacing w:after="0"/>
              <w:rPr>
                <w:sz w:val="5"/>
                <w:szCs w:val="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300" w:type="dxa"/>
            <w:vAlign w:val="bottom"/>
          </w:tcPr>
          <w:p>
            <w:pPr>
              <w:spacing w:after="0"/>
              <w:rPr>
                <w:sz w:val="5"/>
                <w:szCs w:val="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8"/>
                <w:szCs w:val="8"/>
                <w:b w:val="1"/>
                <w:bCs w:val="1"/>
                <w:color w:val="auto"/>
              </w:rPr>
              <w:t>Eliminations</w:t>
            </w: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Consolidated</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5200" w:type="dxa"/>
            <w:vAlign w:val="bottom"/>
            <w:tcBorders>
              <w:top w:val="single" w:sz="8" w:color="004483"/>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ASSETS</w:t>
            </w: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004483"/>
              <w:bottom w:val="single" w:sz="8" w:color="BFBFBF"/>
            </w:tcBorders>
          </w:tcPr>
          <w:p>
            <w:pPr>
              <w:spacing w:after="0"/>
              <w:rPr>
                <w:sz w:val="11"/>
                <w:szCs w:val="11"/>
                <w:color w:val="auto"/>
              </w:rPr>
            </w:pPr>
          </w:p>
        </w:tc>
        <w:tc>
          <w:tcPr>
            <w:tcW w:w="760" w:type="dxa"/>
            <w:vAlign w:val="bottom"/>
            <w:tcBorders>
              <w:top w:val="single" w:sz="8" w:color="004483"/>
              <w:bottom w:val="single" w:sz="8" w:color="BFBFBF"/>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Current Assets -</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Cash and Cash Equivalents</w:t>
            </w:r>
          </w:p>
        </w:tc>
        <w:tc>
          <w:tcPr>
            <w:tcW w:w="300" w:type="dxa"/>
            <w:vAlign w:val="bottom"/>
            <w:tcBorders>
              <w:bottom w:val="single" w:sz="8" w:color="A6A6A6"/>
            </w:tcBorders>
          </w:tcPr>
          <w:p>
            <w:pPr>
              <w:jc w:val="right"/>
              <w:ind w:right="233"/>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196,831</w:t>
            </w:r>
          </w:p>
        </w:tc>
        <w:tc>
          <w:tcPr>
            <w:tcW w:w="240" w:type="dxa"/>
            <w:vAlign w:val="bottom"/>
          </w:tcPr>
          <w:p>
            <w:pPr>
              <w:spacing w:after="0"/>
              <w:rPr>
                <w:sz w:val="12"/>
                <w:szCs w:val="12"/>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2,600</w:t>
            </w:r>
          </w:p>
        </w:tc>
        <w:tc>
          <w:tcPr>
            <w:tcW w:w="240" w:type="dxa"/>
            <w:vAlign w:val="bottom"/>
          </w:tcPr>
          <w:p>
            <w:pPr>
              <w:spacing w:after="0"/>
              <w:rPr>
                <w:sz w:val="12"/>
                <w:szCs w:val="12"/>
                <w:color w:val="auto"/>
              </w:rPr>
            </w:pPr>
          </w:p>
        </w:tc>
        <w:tc>
          <w:tcPr>
            <w:tcW w:w="240" w:type="dxa"/>
            <w:vAlign w:val="bottom"/>
            <w:tcBorders>
              <w:bottom w:val="single" w:sz="8" w:color="BFBFBF"/>
            </w:tcBorders>
          </w:tcPr>
          <w:p>
            <w:pPr>
              <w:jc w:val="right"/>
              <w:ind w:right="1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199,441</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Accounts and Notes Receivable</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1,463</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192,271</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830</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194,564</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Inventories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242,658</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467</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243,125</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Income Tax Receivable</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123,709</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123,709</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Prepaid and Other Current Assets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1,199</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9,415</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140</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10,754</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Total Current Assets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323,202</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446,944</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1,447</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771,593</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Property, Plant, and Equipment, net</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6,329</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1,714,389</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5,645</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1,726,363</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Notes Receivable</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9,068</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9,068</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Investment in Joint Venture</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70</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72,184</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72,254</w:t>
            </w:r>
          </w:p>
        </w:tc>
        <w:tc>
          <w:tcPr>
            <w:tcW w:w="0" w:type="dxa"/>
            <w:vAlign w:val="bottom"/>
          </w:tcPr>
          <w:p>
            <w:pPr>
              <w:spacing w:after="0"/>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Investments in Subsidiaries and Receivables from Affiliates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2,543,210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215,702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(2,759,380)</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760" w:type="dxa"/>
            <w:vAlign w:val="bottom"/>
            <w:shd w:val="clear" w:color="auto" w:fill="BFBFB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Deferred Income Taxes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9,246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43,742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(52,988)</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5200" w:type="dxa"/>
            <w:vAlign w:val="bottom"/>
            <w:tcBorders>
              <w:top w:val="single" w:sz="8" w:color="A6A6A6"/>
              <w:bottom w:val="single" w:sz="8" w:color="A6A6A6"/>
            </w:tcBorders>
            <w:gridSpan w:val="2"/>
          </w:tcPr>
          <w:p>
            <w:pPr>
              <w:spacing w:after="0"/>
              <w:rPr>
                <w:sz w:val="20"/>
                <w:szCs w:val="20"/>
                <w:color w:val="auto"/>
              </w:rPr>
            </w:pPr>
            <w:r>
              <w:rPr>
                <w:rFonts w:ascii="Arial" w:cs="Arial" w:eastAsia="Arial" w:hAnsi="Arial"/>
                <w:sz w:val="11"/>
                <w:szCs w:val="11"/>
                <w:color w:val="auto"/>
              </w:rPr>
              <w:t>Operating Lease Right of Use Assets</w:t>
            </w:r>
          </w:p>
        </w:tc>
        <w:tc>
          <w:tcPr>
            <w:tcW w:w="300" w:type="dxa"/>
            <w:vAlign w:val="bottom"/>
            <w:tcBorders>
              <w:top w:val="single" w:sz="8" w:color="A6A6A6"/>
              <w:bottom w:val="single" w:sz="8" w:color="A6A6A6"/>
            </w:tcBorders>
          </w:tcPr>
          <w:p>
            <w:pPr>
              <w:spacing w:after="0"/>
              <w:rPr>
                <w:sz w:val="12"/>
                <w:szCs w:val="12"/>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9,576</w:t>
            </w:r>
          </w:p>
        </w:tc>
        <w:tc>
          <w:tcPr>
            <w:tcW w:w="240" w:type="dxa"/>
            <w:vAlign w:val="bottom"/>
          </w:tcPr>
          <w:p>
            <w:pPr>
              <w:spacing w:after="0"/>
              <w:rPr>
                <w:sz w:val="12"/>
                <w:szCs w:val="12"/>
                <w:color w:val="auto"/>
              </w:rPr>
            </w:pPr>
          </w:p>
        </w:tc>
        <w:tc>
          <w:tcPr>
            <w:tcW w:w="280" w:type="dxa"/>
            <w:vAlign w:val="bottom"/>
            <w:tcBorders>
              <w:top w:val="single" w:sz="8" w:color="A6A6A6"/>
              <w:bottom w:val="single" w:sz="8" w:color="A6A6A6"/>
            </w:tcBorders>
          </w:tcPr>
          <w:p>
            <w:pPr>
              <w:spacing w:after="0"/>
              <w:rPr>
                <w:sz w:val="12"/>
                <w:szCs w:val="12"/>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19,373</w:t>
            </w:r>
          </w:p>
        </w:tc>
        <w:tc>
          <w:tcPr>
            <w:tcW w:w="240" w:type="dxa"/>
            <w:vAlign w:val="bottom"/>
          </w:tcPr>
          <w:p>
            <w:pPr>
              <w:spacing w:after="0"/>
              <w:rPr>
                <w:sz w:val="12"/>
                <w:szCs w:val="12"/>
                <w:color w:val="auto"/>
              </w:rPr>
            </w:pPr>
          </w:p>
        </w:tc>
        <w:tc>
          <w:tcPr>
            <w:tcW w:w="240" w:type="dxa"/>
            <w:vAlign w:val="bottom"/>
            <w:tcBorders>
              <w:top w:val="single" w:sz="8" w:color="BFBFBF"/>
              <w:bottom w:val="single" w:sz="8" w:color="BFBFBF"/>
            </w:tcBorders>
          </w:tcPr>
          <w:p>
            <w:pPr>
              <w:spacing w:after="0"/>
              <w:rPr>
                <w:sz w:val="12"/>
                <w:szCs w:val="12"/>
                <w:color w:val="auto"/>
              </w:rPr>
            </w:pPr>
          </w:p>
        </w:tc>
        <w:tc>
          <w:tcPr>
            <w:tcW w:w="760" w:type="dxa"/>
            <w:vAlign w:val="bottom"/>
            <w:tcBorders>
              <w:top w:val="single" w:sz="8" w:color="BFBFBF"/>
              <w:bottom w:val="single" w:sz="8" w:color="BFBFBF"/>
            </w:tcBorders>
          </w:tcPr>
          <w:p>
            <w:pPr>
              <w:jc w:val="right"/>
              <w:spacing w:after="0"/>
              <w:rPr>
                <w:sz w:val="20"/>
                <w:szCs w:val="20"/>
                <w:color w:val="auto"/>
              </w:rPr>
            </w:pPr>
            <w:r>
              <w:rPr>
                <w:rFonts w:ascii="Arial" w:cs="Arial" w:eastAsia="Arial" w:hAnsi="Arial"/>
                <w:sz w:val="11"/>
                <w:szCs w:val="11"/>
                <w:color w:val="auto"/>
              </w:rPr>
              <w:t>955</w:t>
            </w:r>
          </w:p>
        </w:tc>
        <w:tc>
          <w:tcPr>
            <w:tcW w:w="240" w:type="dxa"/>
            <w:vAlign w:val="bottom"/>
          </w:tcPr>
          <w:p>
            <w:pPr>
              <w:spacing w:after="0"/>
              <w:rPr>
                <w:sz w:val="12"/>
                <w:szCs w:val="12"/>
                <w:color w:val="auto"/>
              </w:rPr>
            </w:pPr>
          </w:p>
        </w:tc>
        <w:tc>
          <w:tcPr>
            <w:tcW w:w="300" w:type="dxa"/>
            <w:vAlign w:val="bottom"/>
            <w:tcBorders>
              <w:top w:val="single" w:sz="8" w:color="A6A6A6"/>
              <w:bottom w:val="single" w:sz="8" w:color="A6A6A6"/>
            </w:tcBorders>
          </w:tcPr>
          <w:p>
            <w:pPr>
              <w:spacing w:after="0"/>
              <w:rPr>
                <w:sz w:val="12"/>
                <w:szCs w:val="12"/>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top w:val="single" w:sz="8" w:color="A6A6A6"/>
              <w:bottom w:val="single" w:sz="8" w:color="A6A6A6"/>
            </w:tcBorders>
          </w:tcPr>
          <w:p>
            <w:pPr>
              <w:spacing w:after="0"/>
              <w:rPr>
                <w:sz w:val="12"/>
                <w:szCs w:val="12"/>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29,904</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Goodwill and Intangible Assets, net</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395,673</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395,673</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Other Assets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5,029</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5,280</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10,309</w:t>
            </w:r>
          </w:p>
        </w:tc>
        <w:tc>
          <w:tcPr>
            <w:tcW w:w="0" w:type="dxa"/>
            <w:vAlign w:val="bottom"/>
          </w:tcPr>
          <w:p>
            <w:pPr>
              <w:spacing w:after="0"/>
              <w:rPr>
                <w:sz w:val="1"/>
                <w:szCs w:val="1"/>
                <w:color w:val="auto"/>
              </w:rPr>
            </w:pPr>
          </w:p>
        </w:tc>
      </w:tr>
      <w:tr>
        <w:trPr>
          <w:trHeight w:val="151"/>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ind w:right="233"/>
              <w:spacing w:after="0"/>
              <w:rPr>
                <w:sz w:val="20"/>
                <w:szCs w:val="20"/>
                <w:color w:val="auto"/>
              </w:rPr>
            </w:pPr>
            <w:r>
              <w:rPr>
                <w:rFonts w:ascii="Arial" w:cs="Arial" w:eastAsia="Arial" w:hAnsi="Arial"/>
                <w:sz w:val="5"/>
                <w:szCs w:val="5"/>
                <w:b w:val="1"/>
                <w:bCs w:val="1"/>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2,896,662</w:t>
            </w:r>
          </w:p>
        </w:tc>
        <w:tc>
          <w:tcPr>
            <w:tcW w:w="24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2,878,613</w:t>
            </w:r>
          </w:p>
        </w:tc>
        <w:tc>
          <w:tcPr>
            <w:tcW w:w="24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52,257</w:t>
            </w:r>
          </w:p>
        </w:tc>
        <w:tc>
          <w:tcPr>
            <w:tcW w:w="24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(2,812,368)</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3,015,164</w:t>
            </w:r>
          </w:p>
        </w:tc>
        <w:tc>
          <w:tcPr>
            <w:tcW w:w="0" w:type="dxa"/>
            <w:vAlign w:val="bottom"/>
          </w:tcPr>
          <w:p>
            <w:pPr>
              <w:spacing w:after="0"/>
              <w:rPr>
                <w:sz w:val="1"/>
                <w:szCs w:val="1"/>
                <w:color w:val="auto"/>
              </w:rPr>
            </w:pPr>
          </w:p>
        </w:tc>
      </w:tr>
      <w:tr>
        <w:trPr>
          <w:trHeight w:val="146"/>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300" w:type="dxa"/>
            <w:vAlign w:val="bottom"/>
            <w:tcBorders>
              <w:top w:val="single" w:sz="8" w:color="004483"/>
              <w:bottom w:val="single" w:sz="8" w:color="A6A6A6"/>
            </w:tcBorders>
          </w:tcPr>
          <w:p>
            <w:pPr>
              <w:spacing w:after="0"/>
              <w:rPr>
                <w:sz w:val="12"/>
                <w:szCs w:val="12"/>
                <w:color w:val="auto"/>
              </w:rPr>
            </w:pPr>
          </w:p>
        </w:tc>
        <w:tc>
          <w:tcPr>
            <w:tcW w:w="700" w:type="dxa"/>
            <w:vAlign w:val="bottom"/>
            <w:tcBorders>
              <w:top w:val="single" w:sz="8" w:color="004483"/>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004483"/>
              <w:bottom w:val="single" w:sz="8" w:color="A6A6A6"/>
            </w:tcBorders>
          </w:tcPr>
          <w:p>
            <w:pPr>
              <w:spacing w:after="0"/>
              <w:rPr>
                <w:sz w:val="12"/>
                <w:szCs w:val="12"/>
                <w:color w:val="auto"/>
              </w:rPr>
            </w:pPr>
          </w:p>
        </w:tc>
        <w:tc>
          <w:tcPr>
            <w:tcW w:w="720" w:type="dxa"/>
            <w:vAlign w:val="bottom"/>
            <w:tcBorders>
              <w:top w:val="single" w:sz="8" w:color="004483"/>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004483"/>
              <w:bottom w:val="single" w:sz="8" w:color="BFBFBF"/>
            </w:tcBorders>
          </w:tcPr>
          <w:p>
            <w:pPr>
              <w:spacing w:after="0"/>
              <w:rPr>
                <w:sz w:val="12"/>
                <w:szCs w:val="12"/>
                <w:color w:val="auto"/>
              </w:rPr>
            </w:pPr>
          </w:p>
        </w:tc>
        <w:tc>
          <w:tcPr>
            <w:tcW w:w="760" w:type="dxa"/>
            <w:vAlign w:val="bottom"/>
            <w:tcBorders>
              <w:top w:val="single" w:sz="8" w:color="004483"/>
              <w:bottom w:val="single" w:sz="8" w:color="BFBFBF"/>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004483"/>
              <w:bottom w:val="single" w:sz="8" w:color="A6A6A6"/>
            </w:tcBorders>
          </w:tcPr>
          <w:p>
            <w:pPr>
              <w:spacing w:after="0"/>
              <w:rPr>
                <w:sz w:val="12"/>
                <w:szCs w:val="12"/>
                <w:color w:val="auto"/>
              </w:rPr>
            </w:pPr>
          </w:p>
        </w:tc>
        <w:tc>
          <w:tcPr>
            <w:tcW w:w="700" w:type="dxa"/>
            <w:vAlign w:val="bottom"/>
            <w:tcBorders>
              <w:top w:val="single" w:sz="8" w:color="004483"/>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004483"/>
              <w:bottom w:val="single" w:sz="8" w:color="A6A6A6"/>
            </w:tcBorders>
          </w:tcPr>
          <w:p>
            <w:pPr>
              <w:spacing w:after="0"/>
              <w:rPr>
                <w:sz w:val="12"/>
                <w:szCs w:val="12"/>
                <w:color w:val="auto"/>
              </w:rPr>
            </w:pPr>
          </w:p>
        </w:tc>
        <w:tc>
          <w:tcPr>
            <w:tcW w:w="720" w:type="dxa"/>
            <w:vAlign w:val="bottom"/>
            <w:tcBorders>
              <w:top w:val="single" w:sz="8" w:color="004483"/>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Current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Accounts Payable</w:t>
            </w:r>
          </w:p>
        </w:tc>
        <w:tc>
          <w:tcPr>
            <w:tcW w:w="300" w:type="dxa"/>
            <w:vAlign w:val="bottom"/>
            <w:tcBorders>
              <w:bottom w:val="single" w:sz="8" w:color="A6A6A6"/>
            </w:tcBorders>
          </w:tcPr>
          <w:p>
            <w:pPr>
              <w:jc w:val="right"/>
              <w:ind w:right="233"/>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3,052</w:t>
            </w:r>
          </w:p>
        </w:tc>
        <w:tc>
          <w:tcPr>
            <w:tcW w:w="240" w:type="dxa"/>
            <w:vAlign w:val="bottom"/>
          </w:tcPr>
          <w:p>
            <w:pPr>
              <w:spacing w:after="0"/>
              <w:rPr>
                <w:sz w:val="12"/>
                <w:szCs w:val="12"/>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77,371</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1,562</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81,985</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Accrued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38,027</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34,963</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2,492</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75,482</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Income Taxes Payable</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32,130</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32,130</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Operating Lease Liabilities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1,197</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5,702</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3,537</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10,436</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Total Current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74,406</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118,036</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7,591</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200,033</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Long-term Debt</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1,492,088</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1,492,088</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Noncurrent Lease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11,952</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26,783</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8,743</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47,478</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Other Long-term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3,500</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35,362</w:t>
            </w:r>
          </w:p>
        </w:tc>
        <w:tc>
          <w:tcPr>
            <w:tcW w:w="240" w:type="dxa"/>
            <w:vAlign w:val="bottom"/>
          </w:tcPr>
          <w:p>
            <w:pPr>
              <w:spacing w:after="0"/>
              <w:rPr>
                <w:sz w:val="12"/>
                <w:szCs w:val="12"/>
                <w:color w:val="auto"/>
              </w:rPr>
            </w:pPr>
          </w:p>
        </w:tc>
        <w:tc>
          <w:tcPr>
            <w:tcW w:w="240" w:type="dxa"/>
            <w:vAlign w:val="bottom"/>
            <w:tcBorders>
              <w:bottom w:val="single" w:sz="8" w:color="BFBFBF"/>
            </w:tcBorders>
          </w:tcPr>
          <w:p>
            <w:pPr>
              <w:spacing w:after="0"/>
              <w:rPr>
                <w:sz w:val="12"/>
                <w:szCs w:val="12"/>
                <w:color w:val="auto"/>
              </w:rPr>
            </w:pPr>
          </w:p>
        </w:tc>
        <w:tc>
          <w:tcPr>
            <w:tcW w:w="760" w:type="dxa"/>
            <w:vAlign w:val="bottom"/>
            <w:tcBorders>
              <w:bottom w:val="single" w:sz="8" w:color="BFBFBF"/>
            </w:tcBorders>
          </w:tcPr>
          <w:p>
            <w:pPr>
              <w:jc w:val="right"/>
              <w:spacing w:after="0"/>
              <w:rPr>
                <w:sz w:val="20"/>
                <w:szCs w:val="20"/>
                <w:color w:val="auto"/>
              </w:rPr>
            </w:pPr>
            <w:r>
              <w:rPr>
                <w:rFonts w:ascii="Arial" w:cs="Arial" w:eastAsia="Arial" w:hAnsi="Arial"/>
                <w:sz w:val="11"/>
                <w:szCs w:val="11"/>
                <w:color w:val="auto"/>
              </w:rPr>
              <w:t>5,805</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44,667</w:t>
            </w:r>
          </w:p>
        </w:tc>
        <w:tc>
          <w:tcPr>
            <w:tcW w:w="0" w:type="dxa"/>
            <w:vAlign w:val="bottom"/>
          </w:tcPr>
          <w:p>
            <w:pPr>
              <w:spacing w:after="0"/>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Payables to Affiliates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246,758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6,813,951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51,727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(7,112,436)</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760" w:type="dxa"/>
            <w:vAlign w:val="bottom"/>
            <w:shd w:val="clear" w:color="auto" w:fill="BFBFB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Deferred Income Taxes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215,928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(52,988)</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162,940</w:t>
            </w:r>
          </w:p>
        </w:tc>
        <w:tc>
          <w:tcPr>
            <w:tcW w:w="0" w:type="dxa"/>
            <w:vAlign w:val="bottom"/>
          </w:tcPr>
          <w:p>
            <w:pPr>
              <w:spacing w:after="0"/>
              <w:rPr>
                <w:sz w:val="1"/>
                <w:szCs w:val="1"/>
                <w:color w:val="auto"/>
              </w:rPr>
            </w:pP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ind w:left="320"/>
              <w:spacing w:after="0"/>
              <w:rPr>
                <w:sz w:val="20"/>
                <w:szCs w:val="20"/>
                <w:color w:val="auto"/>
              </w:rPr>
            </w:pPr>
            <w:r>
              <w:rPr>
                <w:rFonts w:ascii="Arial" w:cs="Arial" w:eastAsia="Arial" w:hAnsi="Arial"/>
                <w:sz w:val="11"/>
                <w:szCs w:val="11"/>
                <w:color w:val="auto"/>
              </w:rPr>
              <w:t>Total Liabilities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1,828,704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7,210,060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73,866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(7,165,424)</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1,947,206</w:t>
            </w:r>
          </w:p>
        </w:tc>
        <w:tc>
          <w:tcPr>
            <w:tcW w:w="0" w:type="dxa"/>
            <w:vAlign w:val="bottom"/>
          </w:tcPr>
          <w:p>
            <w:pPr>
              <w:spacing w:after="0"/>
              <w:rPr>
                <w:sz w:val="1"/>
                <w:szCs w:val="1"/>
                <w:color w:val="auto"/>
              </w:rPr>
            </w:pPr>
          </w:p>
        </w:tc>
      </w:tr>
      <w:tr>
        <w:trPr>
          <w:trHeight w:val="20"/>
        </w:trPr>
        <w:tc>
          <w:tcPr>
            <w:tcW w:w="5060" w:type="dxa"/>
            <w:vAlign w:val="bottom"/>
            <w:shd w:val="clear" w:color="auto" w:fill="A6A6A6"/>
          </w:tcPr>
          <w:p>
            <w:pPr>
              <w:spacing w:after="0" w:line="20" w:lineRule="exact"/>
              <w:rPr>
                <w:sz w:val="1"/>
                <w:szCs w:val="1"/>
                <w:color w:val="auto"/>
              </w:rPr>
            </w:pPr>
          </w:p>
        </w:tc>
        <w:tc>
          <w:tcPr>
            <w:tcW w:w="140" w:type="dxa"/>
            <w:vAlign w:val="bottom"/>
            <w:shd w:val="clear" w:color="auto" w:fill="A3A3A3"/>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ind w:left="320"/>
              <w:spacing w:after="0"/>
              <w:rPr>
                <w:sz w:val="20"/>
                <w:szCs w:val="20"/>
                <w:color w:val="auto"/>
              </w:rPr>
            </w:pPr>
            <w:r>
              <w:rPr>
                <w:rFonts w:ascii="Arial" w:cs="Arial" w:eastAsia="Arial" w:hAnsi="Arial"/>
                <w:sz w:val="11"/>
                <w:szCs w:val="11"/>
                <w:color w:val="auto"/>
              </w:rPr>
              <w:t>Total Stockholders’ Equity</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1,067,958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(4,331,447)</w:t>
            </w:r>
          </w:p>
        </w:tc>
        <w:tc>
          <w:tcPr>
            <w:tcW w:w="24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(21,609)</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4,353,056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1,067,958</w:t>
            </w:r>
          </w:p>
        </w:tc>
        <w:tc>
          <w:tcPr>
            <w:tcW w:w="0" w:type="dxa"/>
            <w:vAlign w:val="bottom"/>
          </w:tcPr>
          <w:p>
            <w:pPr>
              <w:spacing w:after="0"/>
              <w:rPr>
                <w:sz w:val="1"/>
                <w:szCs w:val="1"/>
                <w:color w:val="auto"/>
              </w:rPr>
            </w:pPr>
          </w:p>
        </w:tc>
      </w:tr>
      <w:tr>
        <w:trPr>
          <w:trHeight w:val="20"/>
        </w:trPr>
        <w:tc>
          <w:tcPr>
            <w:tcW w:w="5060" w:type="dxa"/>
            <w:vAlign w:val="bottom"/>
            <w:shd w:val="clear" w:color="auto" w:fill="A6A6A6"/>
          </w:tcPr>
          <w:p>
            <w:pPr>
              <w:spacing w:after="0" w:line="20" w:lineRule="exact"/>
              <w:rPr>
                <w:sz w:val="1"/>
                <w:szCs w:val="1"/>
                <w:color w:val="auto"/>
              </w:rPr>
            </w:pPr>
          </w:p>
        </w:tc>
        <w:tc>
          <w:tcPr>
            <w:tcW w:w="140" w:type="dxa"/>
            <w:vAlign w:val="bottom"/>
            <w:shd w:val="clear" w:color="auto" w:fill="A3A3A3"/>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ind w:right="233"/>
              <w:spacing w:after="0"/>
              <w:rPr>
                <w:sz w:val="20"/>
                <w:szCs w:val="20"/>
                <w:color w:val="auto"/>
              </w:rPr>
            </w:pPr>
            <w:r>
              <w:rPr>
                <w:rFonts w:ascii="Arial" w:cs="Arial" w:eastAsia="Arial" w:hAnsi="Arial"/>
                <w:sz w:val="5"/>
                <w:szCs w:val="5"/>
                <w:b w:val="1"/>
                <w:bCs w:val="1"/>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2,896,662</w:t>
            </w:r>
          </w:p>
        </w:tc>
        <w:tc>
          <w:tcPr>
            <w:tcW w:w="24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2,878,613</w:t>
            </w:r>
          </w:p>
        </w:tc>
        <w:tc>
          <w:tcPr>
            <w:tcW w:w="24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52,257</w:t>
            </w:r>
          </w:p>
        </w:tc>
        <w:tc>
          <w:tcPr>
            <w:tcW w:w="2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(2,812,368)</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3,015,164</w:t>
            </w: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0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4483"/>
          </w:tcPr>
          <w:p>
            <w:pPr>
              <w:spacing w:after="0"/>
              <w:rPr>
                <w:sz w:val="2"/>
                <w:szCs w:val="2"/>
                <w:color w:val="auto"/>
              </w:rPr>
            </w:pPr>
          </w:p>
        </w:tc>
        <w:tc>
          <w:tcPr>
            <w:tcW w:w="72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4483"/>
          </w:tcPr>
          <w:p>
            <w:pPr>
              <w:spacing w:after="0"/>
              <w:rPr>
                <w:sz w:val="2"/>
                <w:szCs w:val="2"/>
                <w:color w:val="auto"/>
              </w:rPr>
            </w:pPr>
          </w:p>
        </w:tc>
        <w:tc>
          <w:tcPr>
            <w:tcW w:w="76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0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20" w:type="dxa"/>
            <w:vAlign w:val="bottom"/>
            <w:shd w:val="clear" w:color="auto" w:fill="0044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80"/>
          </w:cols>
          <w:pgMar w:left="300" w:top="307" w:right="4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92"/>
        </w:trPr>
        <w:tc>
          <w:tcPr>
            <w:tcW w:w="52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Condensed Consolidating Balance Sheet at March 31, 2020</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Guarantor</w:t>
            </w:r>
          </w:p>
        </w:tc>
        <w:tc>
          <w:tcPr>
            <w:tcW w:w="240" w:type="dxa"/>
            <w:vAlign w:val="bottom"/>
          </w:tcPr>
          <w:p>
            <w:pPr>
              <w:spacing w:after="0"/>
              <w:rPr>
                <w:sz w:val="7"/>
                <w:szCs w:val="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rPr>
              <w:t>Non-Guarantor</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2"/>
            <w:vMerge w:val="restart"/>
          </w:tcPr>
          <w:p>
            <w:pPr>
              <w:ind w:left="460"/>
              <w:spacing w:after="0"/>
              <w:rPr>
                <w:sz w:val="20"/>
                <w:szCs w:val="20"/>
                <w:color w:val="auto"/>
              </w:rPr>
            </w:pPr>
            <w:r>
              <w:rPr>
                <w:rFonts w:ascii="Arial" w:cs="Arial" w:eastAsia="Arial" w:hAnsi="Arial"/>
                <w:sz w:val="8"/>
                <w:szCs w:val="8"/>
                <w:b w:val="1"/>
                <w:bCs w:val="1"/>
                <w:color w:val="auto"/>
              </w:rPr>
              <w:t>Parent</w:t>
            </w:r>
          </w:p>
        </w:tc>
        <w:tc>
          <w:tcPr>
            <w:tcW w:w="280" w:type="dxa"/>
            <w:vAlign w:val="bottom"/>
          </w:tcPr>
          <w:p>
            <w:pPr>
              <w:spacing w:after="0"/>
              <w:rPr>
                <w:sz w:val="5"/>
                <w:szCs w:val="5"/>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240" w:type="dxa"/>
            <w:vAlign w:val="bottom"/>
          </w:tcPr>
          <w:p>
            <w:pPr>
              <w:spacing w:after="0"/>
              <w:rPr>
                <w:sz w:val="5"/>
                <w:szCs w:val="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300" w:type="dxa"/>
            <w:vAlign w:val="bottom"/>
          </w:tcPr>
          <w:p>
            <w:pPr>
              <w:spacing w:after="0"/>
              <w:rPr>
                <w:sz w:val="5"/>
                <w:szCs w:val="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8"/>
                <w:szCs w:val="8"/>
                <w:b w:val="1"/>
                <w:bCs w:val="1"/>
                <w:color w:val="auto"/>
              </w:rPr>
              <w:t>Eliminations</w:t>
            </w:r>
          </w:p>
        </w:tc>
        <w:tc>
          <w:tcPr>
            <w:tcW w:w="3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Consolidated</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5200" w:type="dxa"/>
            <w:vAlign w:val="bottom"/>
            <w:tcBorders>
              <w:top w:val="single" w:sz="8" w:color="004483"/>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ASSETS</w:t>
            </w: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004483"/>
              <w:bottom w:val="single" w:sz="8" w:color="A6A6A6"/>
            </w:tcBorders>
          </w:tcPr>
          <w:p>
            <w:pPr>
              <w:spacing w:after="0"/>
              <w:rPr>
                <w:sz w:val="11"/>
                <w:szCs w:val="11"/>
                <w:color w:val="auto"/>
              </w:rPr>
            </w:pPr>
          </w:p>
        </w:tc>
        <w:tc>
          <w:tcPr>
            <w:tcW w:w="760" w:type="dxa"/>
            <w:vAlign w:val="bottom"/>
            <w:tcBorders>
              <w:top w:val="single" w:sz="8" w:color="004483"/>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Current Assets -</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Cash and Cash Equivalents</w:t>
            </w:r>
          </w:p>
        </w:tc>
        <w:tc>
          <w:tcPr>
            <w:tcW w:w="300" w:type="dxa"/>
            <w:vAlign w:val="bottom"/>
            <w:tcBorders>
              <w:bottom w:val="single" w:sz="8" w:color="A6A6A6"/>
            </w:tcBorders>
          </w:tcPr>
          <w:p>
            <w:pPr>
              <w:jc w:val="right"/>
              <w:ind w:right="233"/>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116,269</w:t>
            </w:r>
          </w:p>
        </w:tc>
        <w:tc>
          <w:tcPr>
            <w:tcW w:w="240" w:type="dxa"/>
            <w:vAlign w:val="bottom"/>
          </w:tcPr>
          <w:p>
            <w:pPr>
              <w:spacing w:after="0"/>
              <w:rPr>
                <w:sz w:val="12"/>
                <w:szCs w:val="12"/>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2,379</w:t>
            </w:r>
          </w:p>
        </w:tc>
        <w:tc>
          <w:tcPr>
            <w:tcW w:w="240" w:type="dxa"/>
            <w:vAlign w:val="bottom"/>
          </w:tcPr>
          <w:p>
            <w:pPr>
              <w:spacing w:after="0"/>
              <w:rPr>
                <w:sz w:val="12"/>
                <w:szCs w:val="12"/>
                <w:color w:val="auto"/>
              </w:rPr>
            </w:pPr>
          </w:p>
        </w:tc>
        <w:tc>
          <w:tcPr>
            <w:tcW w:w="240" w:type="dxa"/>
            <w:vAlign w:val="bottom"/>
            <w:tcBorders>
              <w:bottom w:val="single" w:sz="8" w:color="A6A6A6"/>
            </w:tcBorders>
          </w:tcPr>
          <w:p>
            <w:pPr>
              <w:jc w:val="right"/>
              <w:ind w:right="1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118,648</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Accounts and Notes Receivable</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531</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151,255</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151,786</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Inventories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272,508</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272,508</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Income Tax Receivables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128,413</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128,413</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Prepaid and Other Current Assets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953</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5,909</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6,862</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Total Current Assets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246,166</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432,051</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678,217</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Property, Plant, and Equipment, net</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6,606</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1,755,503</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1,762,109</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Notes Receivable</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9,139</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9,139</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Investment in Joint Venture</w:t>
            </w:r>
          </w:p>
        </w:tc>
        <w:tc>
          <w:tcPr>
            <w:tcW w:w="1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70</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73,888</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73,958</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Operating Lease Right-of-Use Assets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9,765</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20,765</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30,530</w:t>
            </w:r>
          </w:p>
        </w:tc>
        <w:tc>
          <w:tcPr>
            <w:tcW w:w="0" w:type="dxa"/>
            <w:vAlign w:val="bottom"/>
          </w:tcPr>
          <w:p>
            <w:pPr>
              <w:spacing w:after="0"/>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Investments in Subsidiaries and Receivables from Affiliates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2,489,326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179,398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(2,668,724)</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Deferred Taxes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11,409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(11,409)</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5200" w:type="dxa"/>
            <w:vAlign w:val="bottom"/>
            <w:tcBorders>
              <w:top w:val="single" w:sz="8" w:color="A6A6A6"/>
              <w:bottom w:val="single" w:sz="8" w:color="A6A6A6"/>
            </w:tcBorders>
            <w:gridSpan w:val="2"/>
          </w:tcPr>
          <w:p>
            <w:pPr>
              <w:spacing w:after="0"/>
              <w:rPr>
                <w:sz w:val="20"/>
                <w:szCs w:val="20"/>
                <w:color w:val="auto"/>
              </w:rPr>
            </w:pPr>
            <w:r>
              <w:rPr>
                <w:rFonts w:ascii="Arial" w:cs="Arial" w:eastAsia="Arial" w:hAnsi="Arial"/>
                <w:sz w:val="11"/>
                <w:szCs w:val="11"/>
                <w:color w:val="auto"/>
              </w:rPr>
              <w:t>Goodwill and Intangible Assets, net</w:t>
            </w:r>
          </w:p>
        </w:tc>
        <w:tc>
          <w:tcPr>
            <w:tcW w:w="300" w:type="dxa"/>
            <w:vAlign w:val="bottom"/>
            <w:tcBorders>
              <w:top w:val="single" w:sz="8" w:color="A6A6A6"/>
              <w:bottom w:val="single" w:sz="8" w:color="A6A6A6"/>
            </w:tcBorders>
          </w:tcPr>
          <w:p>
            <w:pPr>
              <w:spacing w:after="0"/>
              <w:rPr>
                <w:sz w:val="12"/>
                <w:szCs w:val="12"/>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Borders>
              <w:top w:val="single" w:sz="8" w:color="A6A6A6"/>
              <w:bottom w:val="single" w:sz="8" w:color="A6A6A6"/>
            </w:tcBorders>
          </w:tcPr>
          <w:p>
            <w:pPr>
              <w:spacing w:after="0"/>
              <w:rPr>
                <w:sz w:val="12"/>
                <w:szCs w:val="12"/>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396,463</w:t>
            </w:r>
          </w:p>
        </w:tc>
        <w:tc>
          <w:tcPr>
            <w:tcW w:w="240" w:type="dxa"/>
            <w:vAlign w:val="bottom"/>
          </w:tcPr>
          <w:p>
            <w:pPr>
              <w:spacing w:after="0"/>
              <w:rPr>
                <w:sz w:val="12"/>
                <w:szCs w:val="12"/>
                <w:color w:val="auto"/>
              </w:rPr>
            </w:pPr>
          </w:p>
        </w:tc>
        <w:tc>
          <w:tcPr>
            <w:tcW w:w="240" w:type="dxa"/>
            <w:vAlign w:val="bottom"/>
            <w:tcBorders>
              <w:top w:val="single" w:sz="8" w:color="A6A6A6"/>
              <w:bottom w:val="single" w:sz="8" w:color="A6A6A6"/>
            </w:tcBorders>
          </w:tcPr>
          <w:p>
            <w:pPr>
              <w:spacing w:after="0"/>
              <w:rPr>
                <w:sz w:val="12"/>
                <w:szCs w:val="12"/>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top w:val="single" w:sz="8" w:color="A6A6A6"/>
              <w:bottom w:val="single" w:sz="8" w:color="A6A6A6"/>
            </w:tcBorders>
          </w:tcPr>
          <w:p>
            <w:pPr>
              <w:spacing w:after="0"/>
              <w:rPr>
                <w:sz w:val="12"/>
                <w:szCs w:val="12"/>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top w:val="single" w:sz="8" w:color="A6A6A6"/>
              <w:bottom w:val="single" w:sz="8" w:color="A6A6A6"/>
            </w:tcBorders>
          </w:tcPr>
          <w:p>
            <w:pPr>
              <w:spacing w:after="0"/>
              <w:rPr>
                <w:sz w:val="12"/>
                <w:szCs w:val="12"/>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396,463</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Other Assets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4,417</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6,187</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10,604</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ind w:right="233"/>
              <w:spacing w:after="0"/>
              <w:rPr>
                <w:sz w:val="20"/>
                <w:szCs w:val="20"/>
                <w:color w:val="auto"/>
              </w:rPr>
            </w:pPr>
            <w:r>
              <w:rPr>
                <w:rFonts w:ascii="Arial" w:cs="Arial" w:eastAsia="Arial" w:hAnsi="Arial"/>
                <w:sz w:val="5"/>
                <w:szCs w:val="5"/>
                <w:b w:val="1"/>
                <w:bCs w:val="1"/>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2,767,759</w:t>
            </w:r>
          </w:p>
        </w:tc>
        <w:tc>
          <w:tcPr>
            <w:tcW w:w="240" w:type="dxa"/>
            <w:vAlign w:val="bottom"/>
          </w:tcPr>
          <w:p>
            <w:pPr>
              <w:spacing w:after="0"/>
              <w:rPr>
                <w:sz w:val="14"/>
                <w:szCs w:val="1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2,873,394</w:t>
            </w:r>
          </w:p>
        </w:tc>
        <w:tc>
          <w:tcPr>
            <w:tcW w:w="240" w:type="dxa"/>
            <w:vAlign w:val="bottom"/>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(2,680,133)</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2,961,020</w:t>
            </w:r>
          </w:p>
        </w:tc>
        <w:tc>
          <w:tcPr>
            <w:tcW w:w="0" w:type="dxa"/>
            <w:vAlign w:val="bottom"/>
          </w:tcPr>
          <w:p>
            <w:pPr>
              <w:spacing w:after="0"/>
              <w:rPr>
                <w:sz w:val="1"/>
                <w:szCs w:val="1"/>
                <w:color w:val="auto"/>
              </w:rPr>
            </w:pPr>
          </w:p>
        </w:tc>
      </w:tr>
      <w:tr>
        <w:trPr>
          <w:trHeight w:val="120"/>
        </w:trPr>
        <w:tc>
          <w:tcPr>
            <w:tcW w:w="5060" w:type="dxa"/>
            <w:vAlign w:val="bottom"/>
            <w:tcBorders>
              <w:top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LIABILITIES AND STOCKHOLDERS’ EQUITY</w:t>
            </w:r>
          </w:p>
        </w:tc>
        <w:tc>
          <w:tcPr>
            <w:tcW w:w="140" w:type="dxa"/>
            <w:vAlign w:val="bottom"/>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004483"/>
            </w:tcBorders>
          </w:tcPr>
          <w:p>
            <w:pPr>
              <w:spacing w:after="0"/>
              <w:rPr>
                <w:sz w:val="10"/>
                <w:szCs w:val="10"/>
                <w:color w:val="auto"/>
              </w:rPr>
            </w:pPr>
          </w:p>
        </w:tc>
        <w:tc>
          <w:tcPr>
            <w:tcW w:w="720" w:type="dxa"/>
            <w:vAlign w:val="bottom"/>
            <w:tcBorders>
              <w:top w:val="single" w:sz="8" w:color="004483"/>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004483"/>
            </w:tcBorders>
          </w:tcPr>
          <w:p>
            <w:pPr>
              <w:spacing w:after="0"/>
              <w:rPr>
                <w:sz w:val="10"/>
                <w:szCs w:val="10"/>
                <w:color w:val="auto"/>
              </w:rPr>
            </w:pPr>
          </w:p>
        </w:tc>
        <w:tc>
          <w:tcPr>
            <w:tcW w:w="760" w:type="dxa"/>
            <w:vAlign w:val="bottom"/>
            <w:tcBorders>
              <w:top w:val="single" w:sz="8" w:color="004483"/>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20" w:type="dxa"/>
            <w:vAlign w:val="bottom"/>
            <w:tcBorders>
              <w:top w:val="single" w:sz="8" w:color="004483"/>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200" w:type="dxa"/>
            <w:vAlign w:val="bottom"/>
            <w:tcBorders>
              <w:bottom w:val="single" w:sz="8" w:color="A6A6A6"/>
            </w:tcBorders>
            <w:gridSpan w:val="2"/>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6A6A6"/>
            </w:tcBorders>
          </w:tcPr>
          <w:p>
            <w:pPr>
              <w:spacing w:after="0" w:line="20" w:lineRule="exact"/>
              <w:rPr>
                <w:sz w:val="1"/>
                <w:szCs w:val="1"/>
                <w:color w:val="auto"/>
              </w:rPr>
            </w:pPr>
          </w:p>
        </w:tc>
        <w:tc>
          <w:tcPr>
            <w:tcW w:w="720" w:type="dxa"/>
            <w:vAlign w:val="bottom"/>
            <w:tcBorders>
              <w:bottom w:val="single" w:sz="8" w:color="A6A6A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72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Current Liabilities-</w:t>
            </w:r>
          </w:p>
        </w:tc>
        <w:tc>
          <w:tcPr>
            <w:tcW w:w="3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Accounts Payable</w:t>
            </w:r>
          </w:p>
        </w:tc>
        <w:tc>
          <w:tcPr>
            <w:tcW w:w="300" w:type="dxa"/>
            <w:vAlign w:val="bottom"/>
            <w:tcBorders>
              <w:bottom w:val="single" w:sz="8" w:color="A6A6A6"/>
            </w:tcBorders>
          </w:tcPr>
          <w:p>
            <w:pPr>
              <w:jc w:val="right"/>
              <w:ind w:right="233"/>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6,365</w:t>
            </w:r>
          </w:p>
        </w:tc>
        <w:tc>
          <w:tcPr>
            <w:tcW w:w="240" w:type="dxa"/>
            <w:vAlign w:val="bottom"/>
          </w:tcPr>
          <w:p>
            <w:pPr>
              <w:spacing w:after="0"/>
              <w:rPr>
                <w:sz w:val="12"/>
                <w:szCs w:val="12"/>
                <w:color w:val="auto"/>
              </w:rPr>
            </w:pPr>
          </w:p>
        </w:tc>
        <w:tc>
          <w:tcPr>
            <w:tcW w:w="280" w:type="dxa"/>
            <w:vAlign w:val="bottom"/>
            <w:tcBorders>
              <w:bottom w:val="single" w:sz="8" w:color="A6A6A6"/>
            </w:tcBorders>
          </w:tcPr>
          <w:p>
            <w:pPr>
              <w:jc w:val="right"/>
              <w:ind w:right="1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79,832</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86,197</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Accrued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33,409</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39,884</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73,293</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Operating Lease Liabilities</w:t>
            </w: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1,180</w:t>
            </w:r>
          </w:p>
        </w:tc>
        <w:tc>
          <w:tcPr>
            <w:tcW w:w="240" w:type="dxa"/>
            <w:vAlign w:val="bottom"/>
          </w:tcPr>
          <w:p>
            <w:pPr>
              <w:spacing w:after="0"/>
              <w:rPr>
                <w:sz w:val="12"/>
                <w:szCs w:val="12"/>
                <w:color w:val="auto"/>
              </w:rPr>
            </w:pPr>
          </w:p>
        </w:tc>
        <w:tc>
          <w:tcPr>
            <w:tcW w:w="28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9,027</w:t>
            </w:r>
          </w:p>
        </w:tc>
        <w:tc>
          <w:tcPr>
            <w:tcW w:w="240" w:type="dxa"/>
            <w:vAlign w:val="bottom"/>
          </w:tcPr>
          <w:p>
            <w:pPr>
              <w:spacing w:after="0"/>
              <w:rPr>
                <w:sz w:val="12"/>
                <w:szCs w:val="12"/>
                <w:color w:val="auto"/>
              </w:rPr>
            </w:pPr>
          </w:p>
        </w:tc>
        <w:tc>
          <w:tcPr>
            <w:tcW w:w="24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004483"/>
            </w:tcBorders>
          </w:tcPr>
          <w:p>
            <w:pPr>
              <w:spacing w:after="0"/>
              <w:rPr>
                <w:sz w:val="12"/>
                <w:szCs w:val="12"/>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10,207</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Total Current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40,954</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128,743</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169,697</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Long-term Debt</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1,567,315</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1,567,315</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Noncurrent Operating Lease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12,249</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37,560</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49,809</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color w:val="auto"/>
              </w:rPr>
              <w:t>Other Long-term Liabilities</w:t>
            </w: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39,689</w:t>
            </w:r>
          </w:p>
        </w:tc>
        <w:tc>
          <w:tcPr>
            <w:tcW w:w="240" w:type="dxa"/>
            <w:vAlign w:val="bottom"/>
          </w:tcPr>
          <w:p>
            <w:pPr>
              <w:spacing w:after="0"/>
              <w:rPr>
                <w:sz w:val="12"/>
                <w:szCs w:val="12"/>
                <w:color w:val="auto"/>
              </w:rPr>
            </w:pPr>
          </w:p>
        </w:tc>
        <w:tc>
          <w:tcPr>
            <w:tcW w:w="240" w:type="dxa"/>
            <w:vAlign w:val="bottom"/>
            <w:tcBorders>
              <w:bottom w:val="single" w:sz="8" w:color="A6A6A6"/>
            </w:tcBorders>
          </w:tcPr>
          <w:p>
            <w:pPr>
              <w:spacing w:after="0"/>
              <w:rPr>
                <w:sz w:val="12"/>
                <w:szCs w:val="12"/>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Borders>
              <w:bottom w:val="single" w:sz="8" w:color="A6A6A6"/>
            </w:tcBorders>
          </w:tcPr>
          <w:p>
            <w:pPr>
              <w:spacing w:after="0"/>
              <w:rPr>
                <w:sz w:val="12"/>
                <w:szCs w:val="12"/>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39,689</w:t>
            </w:r>
          </w:p>
        </w:tc>
        <w:tc>
          <w:tcPr>
            <w:tcW w:w="0" w:type="dxa"/>
            <w:vAlign w:val="bottom"/>
          </w:tcPr>
          <w:p>
            <w:pPr>
              <w:spacing w:after="0"/>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Payables to Affiliates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179,398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6,324,504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(6,503,902)</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gridSpan w:val="2"/>
          </w:tcPr>
          <w:p>
            <w:pPr>
              <w:spacing w:after="0"/>
              <w:rPr>
                <w:sz w:val="20"/>
                <w:szCs w:val="20"/>
                <w:color w:val="auto"/>
              </w:rPr>
            </w:pPr>
            <w:r>
              <w:rPr>
                <w:rFonts w:ascii="Arial" w:cs="Arial" w:eastAsia="Arial" w:hAnsi="Arial"/>
                <w:sz w:val="11"/>
                <w:szCs w:val="11"/>
                <w:color w:val="auto"/>
              </w:rPr>
              <w:t>Deferred Income Taxes</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178,076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(11,409)</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166,667</w:t>
            </w:r>
          </w:p>
        </w:tc>
        <w:tc>
          <w:tcPr>
            <w:tcW w:w="0" w:type="dxa"/>
            <w:vAlign w:val="bottom"/>
          </w:tcPr>
          <w:p>
            <w:pPr>
              <w:spacing w:after="0"/>
              <w:rPr>
                <w:sz w:val="1"/>
                <w:szCs w:val="1"/>
                <w:color w:val="auto"/>
              </w:rPr>
            </w:pPr>
          </w:p>
        </w:tc>
      </w:tr>
      <w:tr>
        <w:trPr>
          <w:trHeight w:val="20"/>
        </w:trPr>
        <w:tc>
          <w:tcPr>
            <w:tcW w:w="5200" w:type="dxa"/>
            <w:vAlign w:val="bottom"/>
            <w:gridSpan w:val="2"/>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ind w:left="320"/>
              <w:spacing w:after="0"/>
              <w:rPr>
                <w:sz w:val="20"/>
                <w:szCs w:val="20"/>
                <w:color w:val="auto"/>
              </w:rPr>
            </w:pPr>
            <w:r>
              <w:rPr>
                <w:rFonts w:ascii="Arial" w:cs="Arial" w:eastAsia="Arial" w:hAnsi="Arial"/>
                <w:sz w:val="11"/>
                <w:szCs w:val="11"/>
                <w:color w:val="auto"/>
              </w:rPr>
              <w:t>Total Liabilities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1,799,916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6,708,572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(6,515,311)</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1,993,177</w:t>
            </w:r>
          </w:p>
        </w:tc>
        <w:tc>
          <w:tcPr>
            <w:tcW w:w="0" w:type="dxa"/>
            <w:vAlign w:val="bottom"/>
          </w:tcPr>
          <w:p>
            <w:pPr>
              <w:spacing w:after="0"/>
              <w:rPr>
                <w:sz w:val="1"/>
                <w:szCs w:val="1"/>
                <w:color w:val="auto"/>
              </w:rPr>
            </w:pPr>
          </w:p>
        </w:tc>
      </w:tr>
      <w:tr>
        <w:trPr>
          <w:trHeight w:val="20"/>
        </w:trPr>
        <w:tc>
          <w:tcPr>
            <w:tcW w:w="5060" w:type="dxa"/>
            <w:vAlign w:val="bottom"/>
            <w:shd w:val="clear" w:color="auto" w:fill="A6A6A6"/>
          </w:tcPr>
          <w:p>
            <w:pPr>
              <w:spacing w:after="0" w:line="20" w:lineRule="exact"/>
              <w:rPr>
                <w:sz w:val="1"/>
                <w:szCs w:val="1"/>
                <w:color w:val="auto"/>
              </w:rPr>
            </w:pPr>
          </w:p>
        </w:tc>
        <w:tc>
          <w:tcPr>
            <w:tcW w:w="140" w:type="dxa"/>
            <w:vAlign w:val="bottom"/>
            <w:shd w:val="clear" w:color="auto" w:fill="A3A3A3"/>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ind w:left="320"/>
              <w:spacing w:after="0"/>
              <w:rPr>
                <w:sz w:val="20"/>
                <w:szCs w:val="20"/>
                <w:color w:val="auto"/>
              </w:rPr>
            </w:pPr>
            <w:r>
              <w:rPr>
                <w:rFonts w:ascii="Arial" w:cs="Arial" w:eastAsia="Arial" w:hAnsi="Arial"/>
                <w:sz w:val="11"/>
                <w:szCs w:val="11"/>
                <w:color w:val="auto"/>
              </w:rPr>
              <w:t>Total Stockholders’ Equity</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967,843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(3,835,178)</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3,835,178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967,843</w:t>
            </w:r>
          </w:p>
        </w:tc>
        <w:tc>
          <w:tcPr>
            <w:tcW w:w="0" w:type="dxa"/>
            <w:vAlign w:val="bottom"/>
          </w:tcPr>
          <w:p>
            <w:pPr>
              <w:spacing w:after="0"/>
              <w:rPr>
                <w:sz w:val="1"/>
                <w:szCs w:val="1"/>
                <w:color w:val="auto"/>
              </w:rPr>
            </w:pPr>
          </w:p>
        </w:tc>
      </w:tr>
      <w:tr>
        <w:trPr>
          <w:trHeight w:val="20"/>
        </w:trPr>
        <w:tc>
          <w:tcPr>
            <w:tcW w:w="5060" w:type="dxa"/>
            <w:vAlign w:val="bottom"/>
            <w:shd w:val="clear" w:color="auto" w:fill="A6A6A6"/>
          </w:tcPr>
          <w:p>
            <w:pPr>
              <w:spacing w:after="0" w:line="20" w:lineRule="exact"/>
              <w:rPr>
                <w:sz w:val="1"/>
                <w:szCs w:val="1"/>
                <w:color w:val="auto"/>
              </w:rPr>
            </w:pPr>
          </w:p>
        </w:tc>
        <w:tc>
          <w:tcPr>
            <w:tcW w:w="140" w:type="dxa"/>
            <w:vAlign w:val="bottom"/>
            <w:shd w:val="clear" w:color="auto" w:fill="A3A3A3"/>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ind w:right="233"/>
              <w:spacing w:after="0"/>
              <w:rPr>
                <w:sz w:val="20"/>
                <w:szCs w:val="20"/>
                <w:color w:val="auto"/>
              </w:rPr>
            </w:pPr>
            <w:r>
              <w:rPr>
                <w:rFonts w:ascii="Arial" w:cs="Arial" w:eastAsia="Arial" w:hAnsi="Arial"/>
                <w:sz w:val="5"/>
                <w:szCs w:val="5"/>
                <w:b w:val="1"/>
                <w:bCs w:val="1"/>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2,767,759</w:t>
            </w:r>
          </w:p>
        </w:tc>
        <w:tc>
          <w:tcPr>
            <w:tcW w:w="24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2,873,394</w:t>
            </w:r>
          </w:p>
        </w:tc>
        <w:tc>
          <w:tcPr>
            <w:tcW w:w="24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(2,680,133)</w:t>
            </w:r>
          </w:p>
        </w:tc>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2,961,020</w:t>
            </w:r>
          </w:p>
        </w:tc>
        <w:tc>
          <w:tcPr>
            <w:tcW w:w="0" w:type="dxa"/>
            <w:vAlign w:val="bottom"/>
          </w:tcPr>
          <w:p>
            <w:pPr>
              <w:spacing w:after="0"/>
              <w:rPr>
                <w:sz w:val="1"/>
                <w:szCs w:val="1"/>
                <w:color w:val="auto"/>
              </w:rPr>
            </w:pPr>
          </w:p>
        </w:tc>
      </w:tr>
      <w:tr>
        <w:trPr>
          <w:trHeight w:val="29"/>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0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4483"/>
          </w:tcPr>
          <w:p>
            <w:pPr>
              <w:spacing w:after="0"/>
              <w:rPr>
                <w:sz w:val="2"/>
                <w:szCs w:val="2"/>
                <w:color w:val="auto"/>
              </w:rPr>
            </w:pPr>
          </w:p>
        </w:tc>
        <w:tc>
          <w:tcPr>
            <w:tcW w:w="72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4483"/>
          </w:tcPr>
          <w:p>
            <w:pPr>
              <w:spacing w:after="0"/>
              <w:rPr>
                <w:sz w:val="2"/>
                <w:szCs w:val="2"/>
                <w:color w:val="auto"/>
              </w:rPr>
            </w:pPr>
          </w:p>
        </w:tc>
        <w:tc>
          <w:tcPr>
            <w:tcW w:w="76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00" w:type="dxa"/>
            <w:vAlign w:val="bottom"/>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4483"/>
          </w:tcPr>
          <w:p>
            <w:pPr>
              <w:spacing w:after="0"/>
              <w:rPr>
                <w:sz w:val="2"/>
                <w:szCs w:val="2"/>
                <w:color w:val="auto"/>
              </w:rPr>
            </w:pPr>
          </w:p>
        </w:tc>
        <w:tc>
          <w:tcPr>
            <w:tcW w:w="720" w:type="dxa"/>
            <w:vAlign w:val="bottom"/>
            <w:shd w:val="clear" w:color="auto" w:fill="0044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80"/>
          </w:cols>
          <w:pgMar w:left="300" w:top="307"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92"/>
        </w:trPr>
        <w:tc>
          <w:tcPr>
            <w:tcW w:w="5200" w:type="dxa"/>
            <w:vAlign w:val="bottom"/>
            <w:vMerge w:val="restart"/>
          </w:tcPr>
          <w:p>
            <w:pPr>
              <w:spacing w:after="0"/>
              <w:rPr>
                <w:sz w:val="20"/>
                <w:szCs w:val="20"/>
                <w:color w:val="auto"/>
              </w:rPr>
            </w:pPr>
            <w:r>
              <w:rPr>
                <w:rFonts w:ascii="Arial" w:cs="Arial" w:eastAsia="Arial" w:hAnsi="Arial"/>
                <w:sz w:val="8"/>
                <w:szCs w:val="8"/>
                <w:b w:val="1"/>
                <w:bCs w:val="1"/>
                <w:color w:val="auto"/>
              </w:rPr>
              <w:t>Condensed Consolidating Statement of Cash Flows For the Three Months Ended June 30, 2020</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8"/>
                <w:szCs w:val="8"/>
                <w:b w:val="1"/>
                <w:bCs w:val="1"/>
                <w:color w:val="auto"/>
              </w:rPr>
              <w:t>Guarantor</w:t>
            </w:r>
          </w:p>
        </w:tc>
        <w:tc>
          <w:tcPr>
            <w:tcW w:w="240" w:type="dxa"/>
            <w:vAlign w:val="bottom"/>
          </w:tcPr>
          <w:p>
            <w:pPr>
              <w:spacing w:after="0"/>
              <w:rPr>
                <w:sz w:val="7"/>
                <w:szCs w:val="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8"/>
                <w:szCs w:val="8"/>
                <w:b w:val="1"/>
                <w:bCs w:val="1"/>
                <w:color w:val="auto"/>
              </w:rPr>
              <w:t>Non-Guarantor</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2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3"/>
            <w:vMerge w:val="restart"/>
          </w:tcPr>
          <w:p>
            <w:pPr>
              <w:ind w:left="440"/>
              <w:spacing w:after="0"/>
              <w:rPr>
                <w:sz w:val="20"/>
                <w:szCs w:val="20"/>
                <w:color w:val="auto"/>
              </w:rPr>
            </w:pPr>
            <w:r>
              <w:rPr>
                <w:rFonts w:ascii="Arial" w:cs="Arial" w:eastAsia="Arial" w:hAnsi="Arial"/>
                <w:sz w:val="8"/>
                <w:szCs w:val="8"/>
                <w:b w:val="1"/>
                <w:bCs w:val="1"/>
                <w:color w:val="auto"/>
              </w:rPr>
              <w:t>Parent</w:t>
            </w:r>
          </w:p>
        </w:tc>
        <w:tc>
          <w:tcPr>
            <w:tcW w:w="300" w:type="dxa"/>
            <w:vAlign w:val="bottom"/>
          </w:tcPr>
          <w:p>
            <w:pPr>
              <w:spacing w:after="0"/>
              <w:rPr>
                <w:sz w:val="5"/>
                <w:szCs w:val="5"/>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240" w:type="dxa"/>
            <w:vAlign w:val="bottom"/>
          </w:tcPr>
          <w:p>
            <w:pPr>
              <w:spacing w:after="0"/>
              <w:rPr>
                <w:sz w:val="5"/>
                <w:szCs w:val="5"/>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300" w:type="dxa"/>
            <w:vAlign w:val="bottom"/>
          </w:tcPr>
          <w:p>
            <w:pPr>
              <w:spacing w:after="0"/>
              <w:rPr>
                <w:sz w:val="5"/>
                <w:szCs w:val="5"/>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8"/>
                <w:szCs w:val="8"/>
                <w:b w:val="1"/>
                <w:bCs w:val="1"/>
                <w:color w:val="auto"/>
              </w:rPr>
              <w:t>Eliminations</w:t>
            </w:r>
          </w:p>
        </w:tc>
        <w:tc>
          <w:tcPr>
            <w:tcW w:w="300" w:type="dxa"/>
            <w:vAlign w:val="bottom"/>
          </w:tcPr>
          <w:p>
            <w:pPr>
              <w:spacing w:after="0"/>
              <w:rPr>
                <w:sz w:val="5"/>
                <w:szCs w:val="5"/>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8"/>
                <w:szCs w:val="8"/>
                <w:b w:val="1"/>
                <w:bCs w:val="1"/>
                <w:color w:val="auto"/>
              </w:rPr>
              <w:t>Consolidated</w:t>
            </w:r>
          </w:p>
        </w:tc>
        <w:tc>
          <w:tcPr>
            <w:tcW w:w="0" w:type="dxa"/>
            <w:vAlign w:val="bottom"/>
          </w:tcPr>
          <w:p>
            <w:pPr>
              <w:spacing w:after="0"/>
              <w:rPr>
                <w:sz w:val="1"/>
                <w:szCs w:val="1"/>
                <w:color w:val="auto"/>
              </w:rPr>
            </w:pPr>
          </w:p>
        </w:tc>
      </w:tr>
      <w:tr>
        <w:trPr>
          <w:trHeight w:val="39"/>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2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004483"/>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240" w:type="dxa"/>
            <w:vAlign w:val="bottom"/>
            <w:tcBorders>
              <w:top w:val="single" w:sz="8" w:color="004483"/>
              <w:bottom w:val="single" w:sz="8" w:color="A6A6A6"/>
            </w:tcBorders>
          </w:tcPr>
          <w:p>
            <w:pPr>
              <w:spacing w:after="0"/>
              <w:rPr>
                <w:sz w:val="11"/>
                <w:szCs w:val="11"/>
                <w:color w:val="auto"/>
              </w:rPr>
            </w:pPr>
          </w:p>
        </w:tc>
        <w:tc>
          <w:tcPr>
            <w:tcW w:w="76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Net Cash Provided by (Used in) Operating Activities</w:t>
            </w:r>
          </w:p>
        </w:tc>
        <w:tc>
          <w:tcPr>
            <w:tcW w:w="320" w:type="dxa"/>
            <w:vAlign w:val="bottom"/>
          </w:tcPr>
          <w:p>
            <w:pPr>
              <w:jc w:val="right"/>
              <w:ind w:right="253"/>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21,481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70,804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3,028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95,313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2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6A6A6"/>
              <w:bottom w:val="single" w:sz="8" w:color="A3A3A3"/>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3A3A3"/>
            </w:tcBorders>
          </w:tcPr>
          <w:p>
            <w:pPr>
              <w:spacing w:after="0"/>
              <w:rPr>
                <w:sz w:val="11"/>
                <w:szCs w:val="11"/>
                <w:color w:val="auto"/>
              </w:rPr>
            </w:pPr>
          </w:p>
        </w:tc>
        <w:tc>
          <w:tcPr>
            <w:tcW w:w="240" w:type="dxa"/>
            <w:vAlign w:val="bottom"/>
            <w:tcBorders>
              <w:top w:val="single" w:sz="8" w:color="004483"/>
              <w:bottom w:val="single" w:sz="8" w:color="A6A6A6"/>
            </w:tcBorders>
          </w:tcPr>
          <w:p>
            <w:pPr>
              <w:spacing w:after="0"/>
              <w:rPr>
                <w:sz w:val="11"/>
                <w:szCs w:val="11"/>
                <w:color w:val="auto"/>
              </w:rPr>
            </w:pPr>
          </w:p>
        </w:tc>
        <w:tc>
          <w:tcPr>
            <w:tcW w:w="76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Additions to Property, Plant, and Equipment</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(25,991)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(25,991)</w:t>
            </w:r>
          </w:p>
        </w:tc>
        <w:tc>
          <w:tcPr>
            <w:tcW w:w="0" w:type="dxa"/>
            <w:vAlign w:val="bottom"/>
          </w:tcPr>
          <w:p>
            <w:pPr>
              <w:spacing w:after="0"/>
              <w:rPr>
                <w:sz w:val="1"/>
                <w:szCs w:val="1"/>
                <w:color w:val="auto"/>
              </w:rPr>
            </w:pPr>
          </w:p>
        </w:tc>
      </w:tr>
      <w:tr>
        <w:trPr>
          <w:trHeight w:val="133"/>
        </w:trPr>
        <w:tc>
          <w:tcPr>
            <w:tcW w:w="520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Sale of Businesses</w:t>
            </w:r>
          </w:p>
        </w:tc>
        <w:tc>
          <w:tcPr>
            <w:tcW w:w="320" w:type="dxa"/>
            <w:vAlign w:val="bottom"/>
            <w:tcBorders>
              <w:top w:val="single" w:sz="8" w:color="004483"/>
              <w:bottom w:val="single" w:sz="8" w:color="004483"/>
            </w:tcBorders>
          </w:tcPr>
          <w:p>
            <w:pPr>
              <w:spacing w:after="0"/>
              <w:rPr>
                <w:sz w:val="11"/>
                <w:szCs w:val="11"/>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93,482</w:t>
            </w:r>
          </w:p>
        </w:tc>
        <w:tc>
          <w:tcPr>
            <w:tcW w:w="100" w:type="dxa"/>
            <w:vAlign w:val="bottom"/>
          </w:tcPr>
          <w:p>
            <w:pPr>
              <w:spacing w:after="0"/>
              <w:rPr>
                <w:sz w:val="11"/>
                <w:szCs w:val="11"/>
                <w:color w:val="auto"/>
              </w:rPr>
            </w:pPr>
          </w:p>
        </w:tc>
        <w:tc>
          <w:tcPr>
            <w:tcW w:w="140" w:type="dxa"/>
            <w:vAlign w:val="bottom"/>
            <w:tcBorders>
              <w:top w:val="single" w:sz="8" w:color="A3A3A3"/>
              <w:bottom w:val="single" w:sz="8" w:color="A6A6A6"/>
            </w:tcBorders>
          </w:tcPr>
          <w:p>
            <w:pPr>
              <w:spacing w:after="0"/>
              <w:rPr>
                <w:sz w:val="11"/>
                <w:szCs w:val="11"/>
                <w:color w:val="auto"/>
              </w:rPr>
            </w:pPr>
          </w:p>
        </w:tc>
        <w:tc>
          <w:tcPr>
            <w:tcW w:w="300" w:type="dxa"/>
            <w:vAlign w:val="bottom"/>
            <w:tcBorders>
              <w:top w:val="single" w:sz="8" w:color="004483"/>
              <w:bottom w:val="single" w:sz="8" w:color="004483"/>
            </w:tcBorders>
          </w:tcPr>
          <w:p>
            <w:pPr>
              <w:spacing w:after="0"/>
              <w:rPr>
                <w:sz w:val="11"/>
                <w:szCs w:val="11"/>
                <w:color w:val="auto"/>
              </w:rPr>
            </w:pP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3A3A3"/>
              <w:bottom w:val="single" w:sz="8" w:color="A6A6A6"/>
            </w:tcBorders>
          </w:tcPr>
          <w:p>
            <w:pPr>
              <w:spacing w:after="0"/>
              <w:rPr>
                <w:sz w:val="11"/>
                <w:szCs w:val="11"/>
                <w:color w:val="auto"/>
              </w:rPr>
            </w:pPr>
          </w:p>
        </w:tc>
        <w:tc>
          <w:tcPr>
            <w:tcW w:w="240" w:type="dxa"/>
            <w:vAlign w:val="bottom"/>
            <w:tcBorders>
              <w:top w:val="single" w:sz="8" w:color="004483"/>
              <w:bottom w:val="single" w:sz="8" w:color="004483"/>
            </w:tcBorders>
          </w:tcPr>
          <w:p>
            <w:pPr>
              <w:spacing w:after="0"/>
              <w:rPr>
                <w:sz w:val="11"/>
                <w:szCs w:val="11"/>
                <w:color w:val="auto"/>
              </w:rPr>
            </w:pP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004483"/>
            </w:tcBorders>
          </w:tcPr>
          <w:p>
            <w:pPr>
              <w:spacing w:after="0"/>
              <w:rPr>
                <w:sz w:val="11"/>
                <w:szCs w:val="11"/>
                <w:color w:val="auto"/>
              </w:rPr>
            </w:pP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004483"/>
            </w:tcBorders>
          </w:tcPr>
          <w:p>
            <w:pPr>
              <w:spacing w:after="0"/>
              <w:rPr>
                <w:sz w:val="11"/>
                <w:szCs w:val="11"/>
                <w:color w:val="auto"/>
              </w:rPr>
            </w:pPr>
          </w:p>
        </w:tc>
        <w:tc>
          <w:tcPr>
            <w:tcW w:w="7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93,482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93,482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(25,991)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67,491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b w:val="1"/>
                <w:bCs w:val="1"/>
                <w:color w:val="auto"/>
              </w:rPr>
              <w:t>CASH FLOWS FROM FINANCING ACTIVITIES</w:t>
            </w: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6A6A6"/>
            </w:tcBorders>
          </w:tcPr>
          <w:p>
            <w:pPr>
              <w:spacing w:after="0"/>
              <w:rPr>
                <w:sz w:val="11"/>
                <w:szCs w:val="11"/>
                <w:color w:val="auto"/>
              </w:rPr>
            </w:pPr>
          </w:p>
        </w:tc>
        <w:tc>
          <w:tcPr>
            <w:tcW w:w="30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tcBorders>
          </w:tcPr>
          <w:p>
            <w:pPr>
              <w:spacing w:after="0"/>
              <w:rPr>
                <w:sz w:val="11"/>
                <w:szCs w:val="11"/>
                <w:color w:val="auto"/>
              </w:rPr>
            </w:pPr>
          </w:p>
        </w:tc>
        <w:tc>
          <w:tcPr>
            <w:tcW w:w="240" w:type="dxa"/>
            <w:vAlign w:val="bottom"/>
            <w:tcBorders>
              <w:top w:val="single" w:sz="8" w:color="A6A6A6"/>
              <w:bottom w:val="single" w:sz="8" w:color="A6A6A6"/>
            </w:tcBorders>
          </w:tcPr>
          <w:p>
            <w:pPr>
              <w:spacing w:after="0"/>
              <w:rPr>
                <w:sz w:val="11"/>
                <w:szCs w:val="11"/>
                <w:color w:val="auto"/>
              </w:rPr>
            </w:pPr>
          </w:p>
        </w:tc>
        <w:tc>
          <w:tcPr>
            <w:tcW w:w="76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A6A6A6"/>
              <w:bottom w:val="single" w:sz="8" w:color="A6A6A6"/>
            </w:tcBorders>
          </w:tcPr>
          <w:p>
            <w:pPr>
              <w:spacing w:after="0"/>
              <w:rPr>
                <w:sz w:val="11"/>
                <w:szCs w:val="11"/>
                <w:color w:val="auto"/>
              </w:rPr>
            </w:pPr>
          </w:p>
        </w:tc>
        <w:tc>
          <w:tcPr>
            <w:tcW w:w="720" w:type="dxa"/>
            <w:vAlign w:val="bottom"/>
            <w:tcBorders>
              <w:top w:val="single" w:sz="8" w:color="A6A6A6"/>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Increase (Decrease) in Credit Facility</w:t>
            </w:r>
          </w:p>
        </w:tc>
        <w:tc>
          <w:tcPr>
            <w:tcW w:w="3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(75,000)</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(75,000)</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Dividends Paid to Stockholders</w:t>
            </w:r>
          </w:p>
        </w:tc>
        <w:tc>
          <w:tcPr>
            <w:tcW w:w="3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(4,163)</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(4,163)</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Payment of Debt Issuance Costs</w:t>
            </w:r>
          </w:p>
        </w:tc>
        <w:tc>
          <w:tcPr>
            <w:tcW w:w="3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(1,718)</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(1,718)</w:t>
            </w:r>
          </w:p>
        </w:tc>
        <w:tc>
          <w:tcPr>
            <w:tcW w:w="0" w:type="dxa"/>
            <w:vAlign w:val="bottom"/>
          </w:tcPr>
          <w:p>
            <w:pPr>
              <w:spacing w:after="0"/>
              <w:rPr>
                <w:sz w:val="1"/>
                <w:szCs w:val="1"/>
                <w:color w:val="auto"/>
              </w:rPr>
            </w:pPr>
          </w:p>
        </w:tc>
      </w:tr>
      <w:tr>
        <w:trPr>
          <w:trHeight w:val="130"/>
        </w:trPr>
        <w:tc>
          <w:tcPr>
            <w:tcW w:w="5200" w:type="dxa"/>
            <w:vAlign w:val="bottom"/>
            <w:tcBorders>
              <w:top w:val="single" w:sz="8" w:color="A6A6A6"/>
            </w:tcBorders>
          </w:tcPr>
          <w:p>
            <w:pPr>
              <w:ind w:left="160"/>
              <w:spacing w:after="0"/>
              <w:rPr>
                <w:sz w:val="20"/>
                <w:szCs w:val="20"/>
                <w:color w:val="auto"/>
              </w:rPr>
            </w:pPr>
            <w:r>
              <w:rPr>
                <w:rFonts w:ascii="Arial" w:cs="Arial" w:eastAsia="Arial" w:hAnsi="Arial"/>
                <w:sz w:val="11"/>
                <w:szCs w:val="11"/>
                <w:color w:val="auto"/>
              </w:rPr>
              <w:t>Shares Redeemed to Settle Employee Taxes on</w:t>
            </w:r>
          </w:p>
        </w:tc>
        <w:tc>
          <w:tcPr>
            <w:tcW w:w="320" w:type="dxa"/>
            <w:vAlign w:val="bottom"/>
            <w:tcBorders>
              <w:top w:val="single" w:sz="8" w:color="A6A6A6"/>
            </w:tcBorders>
          </w:tcPr>
          <w:p>
            <w:pPr>
              <w:spacing w:after="0"/>
              <w:rPr>
                <w:sz w:val="11"/>
                <w:szCs w:val="11"/>
                <w:color w:val="auto"/>
              </w:rPr>
            </w:pPr>
          </w:p>
        </w:tc>
        <w:tc>
          <w:tcPr>
            <w:tcW w:w="680" w:type="dxa"/>
            <w:vAlign w:val="bottom"/>
            <w:tcBorders>
              <w:top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6A6A6"/>
            </w:tcBorders>
          </w:tcPr>
          <w:p>
            <w:pPr>
              <w:spacing w:after="0"/>
              <w:rPr>
                <w:sz w:val="11"/>
                <w:szCs w:val="11"/>
                <w:color w:val="auto"/>
              </w:rPr>
            </w:pPr>
          </w:p>
        </w:tc>
        <w:tc>
          <w:tcPr>
            <w:tcW w:w="300" w:type="dxa"/>
            <w:vAlign w:val="bottom"/>
            <w:tcBorders>
              <w:top w:val="single" w:sz="8" w:color="A6A6A6"/>
            </w:tcBorders>
          </w:tcPr>
          <w:p>
            <w:pPr>
              <w:spacing w:after="0"/>
              <w:rPr>
                <w:sz w:val="11"/>
                <w:szCs w:val="11"/>
                <w:color w:val="auto"/>
              </w:rPr>
            </w:pPr>
          </w:p>
        </w:tc>
        <w:tc>
          <w:tcPr>
            <w:tcW w:w="700" w:type="dxa"/>
            <w:vAlign w:val="bottom"/>
            <w:tcBorders>
              <w:top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tcBorders>
          </w:tcPr>
          <w:p>
            <w:pPr>
              <w:spacing w:after="0"/>
              <w:rPr>
                <w:sz w:val="11"/>
                <w:szCs w:val="11"/>
                <w:color w:val="auto"/>
              </w:rPr>
            </w:pPr>
          </w:p>
        </w:tc>
        <w:tc>
          <w:tcPr>
            <w:tcW w:w="240" w:type="dxa"/>
            <w:vAlign w:val="bottom"/>
            <w:tcBorders>
              <w:top w:val="single" w:sz="8" w:color="A6A6A6"/>
            </w:tcBorders>
          </w:tcPr>
          <w:p>
            <w:pPr>
              <w:spacing w:after="0"/>
              <w:rPr>
                <w:sz w:val="11"/>
                <w:szCs w:val="11"/>
                <w:color w:val="auto"/>
              </w:rPr>
            </w:pPr>
          </w:p>
        </w:tc>
        <w:tc>
          <w:tcPr>
            <w:tcW w:w="760" w:type="dxa"/>
            <w:vAlign w:val="bottom"/>
            <w:tcBorders>
              <w:top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tcBorders>
          </w:tcPr>
          <w:p>
            <w:pPr>
              <w:spacing w:after="0"/>
              <w:rPr>
                <w:sz w:val="11"/>
                <w:szCs w:val="11"/>
                <w:color w:val="auto"/>
              </w:rPr>
            </w:pPr>
          </w:p>
        </w:tc>
        <w:tc>
          <w:tcPr>
            <w:tcW w:w="300" w:type="dxa"/>
            <w:vAlign w:val="bottom"/>
            <w:tcBorders>
              <w:top w:val="single" w:sz="8" w:color="A6A6A6"/>
            </w:tcBorders>
          </w:tcPr>
          <w:p>
            <w:pPr>
              <w:spacing w:after="0"/>
              <w:rPr>
                <w:sz w:val="11"/>
                <w:szCs w:val="11"/>
                <w:color w:val="auto"/>
              </w:rPr>
            </w:pPr>
          </w:p>
        </w:tc>
        <w:tc>
          <w:tcPr>
            <w:tcW w:w="700" w:type="dxa"/>
            <w:vAlign w:val="bottom"/>
            <w:tcBorders>
              <w:top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tcBorders>
          </w:tcPr>
          <w:p>
            <w:pPr>
              <w:spacing w:after="0"/>
              <w:rPr>
                <w:sz w:val="11"/>
                <w:szCs w:val="11"/>
                <w:color w:val="auto"/>
              </w:rPr>
            </w:pPr>
          </w:p>
        </w:tc>
        <w:tc>
          <w:tcPr>
            <w:tcW w:w="300" w:type="dxa"/>
            <w:vAlign w:val="bottom"/>
            <w:tcBorders>
              <w:top w:val="single" w:sz="8" w:color="A6A6A6"/>
            </w:tcBorders>
          </w:tcPr>
          <w:p>
            <w:pPr>
              <w:spacing w:after="0"/>
              <w:rPr>
                <w:sz w:val="11"/>
                <w:szCs w:val="11"/>
                <w:color w:val="auto"/>
              </w:rPr>
            </w:pPr>
          </w:p>
        </w:tc>
        <w:tc>
          <w:tcPr>
            <w:tcW w:w="720" w:type="dxa"/>
            <w:vAlign w:val="bottom"/>
            <w:tcBorders>
              <w:top w:val="single" w:sz="8" w:color="A6A6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00" w:type="dxa"/>
            <w:vAlign w:val="bottom"/>
          </w:tcPr>
          <w:p>
            <w:pPr>
              <w:ind w:left="240"/>
              <w:spacing w:after="0"/>
              <w:rPr>
                <w:sz w:val="20"/>
                <w:szCs w:val="20"/>
                <w:color w:val="auto"/>
              </w:rPr>
            </w:pPr>
            <w:r>
              <w:rPr>
                <w:rFonts w:ascii="Arial" w:cs="Arial" w:eastAsia="Arial" w:hAnsi="Arial"/>
                <w:sz w:val="11"/>
                <w:szCs w:val="11"/>
                <w:color w:val="auto"/>
              </w:rPr>
              <w:t>Stock Compensation</w:t>
            </w:r>
          </w:p>
        </w:tc>
        <w:tc>
          <w:tcPr>
            <w:tcW w:w="3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(1,130)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(1,130)</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Intra-entity Activity, net</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47,610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(44,592)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(3,018)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6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Net Cash Provided by (Used in) Financing Activities</w:t>
            </w:r>
          </w:p>
        </w:tc>
        <w:tc>
          <w:tcPr>
            <w:tcW w:w="3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(34,401)</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(44,592)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(3,018)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(82,011)</w:t>
            </w:r>
          </w:p>
        </w:tc>
        <w:tc>
          <w:tcPr>
            <w:tcW w:w="0" w:type="dxa"/>
            <w:vAlign w:val="bottom"/>
          </w:tcPr>
          <w:p>
            <w:pPr>
              <w:spacing w:after="0"/>
              <w:rPr>
                <w:sz w:val="1"/>
                <w:szCs w:val="1"/>
                <w:color w:val="auto"/>
              </w:rPr>
            </w:pPr>
          </w:p>
        </w:tc>
      </w:tr>
      <w:tr>
        <w:trPr>
          <w:trHeight w:val="126"/>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NET INCREASE IN CASH AND CASH</w:t>
            </w:r>
          </w:p>
        </w:tc>
        <w:tc>
          <w:tcPr>
            <w:tcW w:w="320" w:type="dxa"/>
            <w:vAlign w:val="bottom"/>
            <w:tcBorders>
              <w:top w:val="single" w:sz="8" w:color="004483"/>
            </w:tcBorders>
          </w:tcPr>
          <w:p>
            <w:pPr>
              <w:spacing w:after="0"/>
              <w:rPr>
                <w:sz w:val="10"/>
                <w:szCs w:val="10"/>
                <w:color w:val="auto"/>
              </w:rPr>
            </w:pPr>
          </w:p>
        </w:tc>
        <w:tc>
          <w:tcPr>
            <w:tcW w:w="680" w:type="dxa"/>
            <w:vAlign w:val="bottom"/>
            <w:tcBorders>
              <w:top w:val="single" w:sz="8" w:color="004483"/>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240" w:type="dxa"/>
            <w:vAlign w:val="bottom"/>
            <w:tcBorders>
              <w:top w:val="single" w:sz="8" w:color="004483"/>
            </w:tcBorders>
          </w:tcPr>
          <w:p>
            <w:pPr>
              <w:spacing w:after="0"/>
              <w:rPr>
                <w:sz w:val="10"/>
                <w:szCs w:val="10"/>
                <w:color w:val="auto"/>
              </w:rPr>
            </w:pPr>
          </w:p>
        </w:tc>
        <w:tc>
          <w:tcPr>
            <w:tcW w:w="76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20" w:type="dxa"/>
            <w:vAlign w:val="bottom"/>
            <w:tcBorders>
              <w:top w:val="single" w:sz="8" w:color="004483"/>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b w:val="1"/>
                <w:bCs w:val="1"/>
                <w:color w:val="auto"/>
              </w:rPr>
              <w:t>EQUIVALENTS AND RESTRICTED CASH</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80,562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80,793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CASH AND CASH EQUIVALENTS AND RESTRICTED CASH AT</w:t>
            </w:r>
          </w:p>
        </w:tc>
        <w:tc>
          <w:tcPr>
            <w:tcW w:w="320" w:type="dxa"/>
            <w:vAlign w:val="bottom"/>
            <w:tcBorders>
              <w:top w:val="single" w:sz="8" w:color="A6A6A6"/>
            </w:tcBorders>
          </w:tcPr>
          <w:p>
            <w:pPr>
              <w:spacing w:after="0"/>
              <w:rPr>
                <w:sz w:val="10"/>
                <w:szCs w:val="10"/>
                <w:color w:val="auto"/>
              </w:rPr>
            </w:pPr>
          </w:p>
        </w:tc>
        <w:tc>
          <w:tcPr>
            <w:tcW w:w="680" w:type="dxa"/>
            <w:vAlign w:val="bottom"/>
            <w:tcBorders>
              <w:top w:val="single" w:sz="8" w:color="A6A6A6"/>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6A6A6"/>
            </w:tcBorders>
          </w:tcPr>
          <w:p>
            <w:pPr>
              <w:spacing w:after="0"/>
              <w:rPr>
                <w:sz w:val="10"/>
                <w:szCs w:val="10"/>
                <w:color w:val="auto"/>
              </w:rPr>
            </w:pPr>
          </w:p>
        </w:tc>
        <w:tc>
          <w:tcPr>
            <w:tcW w:w="300" w:type="dxa"/>
            <w:vAlign w:val="bottom"/>
            <w:tcBorders>
              <w:top w:val="single" w:sz="8" w:color="A6A6A6"/>
            </w:tcBorders>
          </w:tcPr>
          <w:p>
            <w:pPr>
              <w:spacing w:after="0"/>
              <w:rPr>
                <w:sz w:val="10"/>
                <w:szCs w:val="10"/>
                <w:color w:val="auto"/>
              </w:rPr>
            </w:pPr>
          </w:p>
        </w:tc>
        <w:tc>
          <w:tcPr>
            <w:tcW w:w="700" w:type="dxa"/>
            <w:vAlign w:val="bottom"/>
            <w:tcBorders>
              <w:top w:val="single" w:sz="8" w:color="A6A6A6"/>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240" w:type="dxa"/>
            <w:vAlign w:val="bottom"/>
            <w:tcBorders>
              <w:top w:val="single" w:sz="8" w:color="A6A6A6"/>
            </w:tcBorders>
          </w:tcPr>
          <w:p>
            <w:pPr>
              <w:spacing w:after="0"/>
              <w:rPr>
                <w:sz w:val="10"/>
                <w:szCs w:val="10"/>
                <w:color w:val="auto"/>
              </w:rPr>
            </w:pPr>
          </w:p>
        </w:tc>
        <w:tc>
          <w:tcPr>
            <w:tcW w:w="760" w:type="dxa"/>
            <w:vAlign w:val="bottom"/>
            <w:tcBorders>
              <w:top w:val="single" w:sz="8" w:color="A6A6A6"/>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A6A6A6"/>
            </w:tcBorders>
          </w:tcPr>
          <w:p>
            <w:pPr>
              <w:spacing w:after="0"/>
              <w:rPr>
                <w:sz w:val="10"/>
                <w:szCs w:val="10"/>
                <w:color w:val="auto"/>
              </w:rPr>
            </w:pPr>
          </w:p>
        </w:tc>
        <w:tc>
          <w:tcPr>
            <w:tcW w:w="700" w:type="dxa"/>
            <w:vAlign w:val="bottom"/>
            <w:tcBorders>
              <w:top w:val="single" w:sz="8" w:color="A6A6A6"/>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A6A6A6"/>
            </w:tcBorders>
          </w:tcPr>
          <w:p>
            <w:pPr>
              <w:spacing w:after="0"/>
              <w:rPr>
                <w:sz w:val="10"/>
                <w:szCs w:val="10"/>
                <w:color w:val="auto"/>
              </w:rPr>
            </w:pPr>
          </w:p>
        </w:tc>
        <w:tc>
          <w:tcPr>
            <w:tcW w:w="720" w:type="dxa"/>
            <w:vAlign w:val="bottom"/>
            <w:tcBorders>
              <w:top w:val="single" w:sz="8" w:color="A6A6A6"/>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b w:val="1"/>
                <w:bCs w:val="1"/>
                <w:color w:val="auto"/>
              </w:rPr>
              <w:t>BEGINNING OF PERIOD</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116,269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118,648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CASH AND CASH EQUIVALENTS AND RESTRICTED CASH AT</w:t>
            </w:r>
          </w:p>
        </w:tc>
        <w:tc>
          <w:tcPr>
            <w:tcW w:w="320" w:type="dxa"/>
            <w:vAlign w:val="bottom"/>
            <w:tcBorders>
              <w:top w:val="single" w:sz="8" w:color="004483"/>
            </w:tcBorders>
          </w:tcPr>
          <w:p>
            <w:pPr>
              <w:spacing w:after="0"/>
              <w:rPr>
                <w:sz w:val="10"/>
                <w:szCs w:val="10"/>
                <w:color w:val="auto"/>
              </w:rPr>
            </w:pPr>
          </w:p>
        </w:tc>
        <w:tc>
          <w:tcPr>
            <w:tcW w:w="680" w:type="dxa"/>
            <w:vAlign w:val="bottom"/>
            <w:tcBorders>
              <w:top w:val="single" w:sz="8" w:color="004483"/>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240" w:type="dxa"/>
            <w:vAlign w:val="bottom"/>
            <w:tcBorders>
              <w:top w:val="single" w:sz="8" w:color="004483"/>
            </w:tcBorders>
          </w:tcPr>
          <w:p>
            <w:pPr>
              <w:spacing w:after="0"/>
              <w:rPr>
                <w:sz w:val="10"/>
                <w:szCs w:val="10"/>
                <w:color w:val="auto"/>
              </w:rPr>
            </w:pPr>
          </w:p>
        </w:tc>
        <w:tc>
          <w:tcPr>
            <w:tcW w:w="76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20" w:type="dxa"/>
            <w:vAlign w:val="bottom"/>
            <w:tcBorders>
              <w:top w:val="single" w:sz="8" w:color="004483"/>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200" w:type="dxa"/>
            <w:vAlign w:val="bottom"/>
          </w:tcPr>
          <w:p>
            <w:pPr>
              <w:ind w:left="80"/>
              <w:spacing w:after="0"/>
              <w:rPr>
                <w:sz w:val="20"/>
                <w:szCs w:val="20"/>
                <w:color w:val="auto"/>
              </w:rPr>
            </w:pPr>
            <w:r>
              <w:rPr>
                <w:rFonts w:ascii="Arial" w:cs="Arial" w:eastAsia="Arial" w:hAnsi="Arial"/>
                <w:sz w:val="11"/>
                <w:szCs w:val="11"/>
                <w:b w:val="1"/>
                <w:bCs w:val="1"/>
                <w:color w:val="auto"/>
              </w:rPr>
              <w:t>END OF PERIOD</w:t>
            </w:r>
          </w:p>
        </w:tc>
        <w:tc>
          <w:tcPr>
            <w:tcW w:w="320" w:type="dxa"/>
            <w:vAlign w:val="bottom"/>
            <w:tcBorders>
              <w:bottom w:val="single" w:sz="8" w:color="004483"/>
            </w:tcBorders>
          </w:tcPr>
          <w:p>
            <w:pPr>
              <w:jc w:val="right"/>
              <w:ind w:right="25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196,831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2,600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004483"/>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tcPr>
          <w:p>
            <w:pPr>
              <w:spacing w:after="0"/>
              <w:rPr>
                <w:sz w:val="13"/>
                <w:szCs w:val="13"/>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199,441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200" w:type="dxa"/>
            <w:vAlign w:val="bottom"/>
            <w:vMerge w:val="restart"/>
          </w:tcPr>
          <w:p>
            <w:pPr>
              <w:spacing w:after="0"/>
              <w:rPr>
                <w:sz w:val="20"/>
                <w:szCs w:val="20"/>
                <w:color w:val="auto"/>
              </w:rPr>
            </w:pPr>
            <w:r>
              <w:rPr>
                <w:rFonts w:ascii="Arial" w:cs="Arial" w:eastAsia="Arial" w:hAnsi="Arial"/>
                <w:sz w:val="8"/>
                <w:szCs w:val="8"/>
                <w:b w:val="1"/>
                <w:bCs w:val="1"/>
                <w:color w:val="auto"/>
              </w:rPr>
              <w:t>Condensed Consolidating Statement of Cash Flows For the Three Months Ended June 30, 2019</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8"/>
                <w:szCs w:val="8"/>
                <w:b w:val="1"/>
                <w:bCs w:val="1"/>
                <w:color w:val="auto"/>
              </w:rPr>
              <w:t>Guarantor</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8"/>
                <w:szCs w:val="8"/>
                <w:b w:val="1"/>
                <w:bCs w:val="1"/>
                <w:color w:val="auto"/>
              </w:rPr>
              <w:t>Non-Guarantor</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52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3"/>
            <w:vMerge w:val="restart"/>
          </w:tcPr>
          <w:p>
            <w:pPr>
              <w:ind w:left="440"/>
              <w:spacing w:after="0"/>
              <w:rPr>
                <w:sz w:val="20"/>
                <w:szCs w:val="20"/>
                <w:color w:val="auto"/>
              </w:rPr>
            </w:pPr>
            <w:r>
              <w:rPr>
                <w:rFonts w:ascii="Arial" w:cs="Arial" w:eastAsia="Arial" w:hAnsi="Arial"/>
                <w:sz w:val="8"/>
                <w:szCs w:val="8"/>
                <w:b w:val="1"/>
                <w:bCs w:val="1"/>
                <w:color w:val="auto"/>
              </w:rPr>
              <w:t>Parent</w:t>
            </w:r>
          </w:p>
        </w:tc>
        <w:tc>
          <w:tcPr>
            <w:tcW w:w="300" w:type="dxa"/>
            <w:vAlign w:val="bottom"/>
          </w:tcPr>
          <w:p>
            <w:pPr>
              <w:spacing w:after="0"/>
              <w:rPr>
                <w:sz w:val="5"/>
                <w:szCs w:val="5"/>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240" w:type="dxa"/>
            <w:vAlign w:val="bottom"/>
          </w:tcPr>
          <w:p>
            <w:pPr>
              <w:spacing w:after="0"/>
              <w:rPr>
                <w:sz w:val="5"/>
                <w:szCs w:val="5"/>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8"/>
                <w:szCs w:val="8"/>
                <w:b w:val="1"/>
                <w:bCs w:val="1"/>
                <w:color w:val="auto"/>
              </w:rPr>
              <w:t>Subsidiaries</w:t>
            </w:r>
          </w:p>
        </w:tc>
        <w:tc>
          <w:tcPr>
            <w:tcW w:w="300" w:type="dxa"/>
            <w:vAlign w:val="bottom"/>
          </w:tcPr>
          <w:p>
            <w:pPr>
              <w:spacing w:after="0"/>
              <w:rPr>
                <w:sz w:val="5"/>
                <w:szCs w:val="5"/>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8"/>
                <w:szCs w:val="8"/>
                <w:b w:val="1"/>
                <w:bCs w:val="1"/>
                <w:color w:val="auto"/>
              </w:rPr>
              <w:t>Eliminations</w:t>
            </w:r>
          </w:p>
        </w:tc>
        <w:tc>
          <w:tcPr>
            <w:tcW w:w="300" w:type="dxa"/>
            <w:vAlign w:val="bottom"/>
          </w:tcPr>
          <w:p>
            <w:pPr>
              <w:spacing w:after="0"/>
              <w:rPr>
                <w:sz w:val="5"/>
                <w:szCs w:val="5"/>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8"/>
                <w:szCs w:val="8"/>
                <w:b w:val="1"/>
                <w:bCs w:val="1"/>
                <w:color w:val="auto"/>
              </w:rPr>
              <w:t>Consolidated</w:t>
            </w:r>
          </w:p>
        </w:tc>
        <w:tc>
          <w:tcPr>
            <w:tcW w:w="0" w:type="dxa"/>
            <w:vAlign w:val="bottom"/>
          </w:tcPr>
          <w:p>
            <w:pPr>
              <w:spacing w:after="0"/>
              <w:rPr>
                <w:sz w:val="1"/>
                <w:szCs w:val="1"/>
                <w:color w:val="auto"/>
              </w:rPr>
            </w:pPr>
          </w:p>
        </w:tc>
      </w:tr>
      <w:tr>
        <w:trPr>
          <w:trHeight w:val="39"/>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2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004483"/>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240" w:type="dxa"/>
            <w:vAlign w:val="bottom"/>
            <w:tcBorders>
              <w:top w:val="single" w:sz="8" w:color="004483"/>
              <w:bottom w:val="single" w:sz="8" w:color="A6A6A6"/>
            </w:tcBorders>
          </w:tcPr>
          <w:p>
            <w:pPr>
              <w:spacing w:after="0"/>
              <w:rPr>
                <w:sz w:val="11"/>
                <w:szCs w:val="11"/>
                <w:color w:val="auto"/>
              </w:rPr>
            </w:pPr>
          </w:p>
        </w:tc>
        <w:tc>
          <w:tcPr>
            <w:tcW w:w="76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004483"/>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Net Cash Provided by (Used in) Operating Activities</w:t>
            </w:r>
          </w:p>
        </w:tc>
        <w:tc>
          <w:tcPr>
            <w:tcW w:w="320" w:type="dxa"/>
            <w:vAlign w:val="bottom"/>
          </w:tcPr>
          <w:p>
            <w:pPr>
              <w:jc w:val="right"/>
              <w:ind w:right="253"/>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(6,412)</w:t>
            </w:r>
          </w:p>
        </w:tc>
        <w:tc>
          <w:tcPr>
            <w:tcW w:w="14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57,110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50,698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2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6A6A6"/>
              <w:bottom w:val="single" w:sz="8" w:color="A3A3A3"/>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3A3A3"/>
            </w:tcBorders>
          </w:tcPr>
          <w:p>
            <w:pPr>
              <w:spacing w:after="0"/>
              <w:rPr>
                <w:sz w:val="11"/>
                <w:szCs w:val="11"/>
                <w:color w:val="auto"/>
              </w:rPr>
            </w:pPr>
          </w:p>
        </w:tc>
        <w:tc>
          <w:tcPr>
            <w:tcW w:w="240" w:type="dxa"/>
            <w:vAlign w:val="bottom"/>
            <w:tcBorders>
              <w:top w:val="single" w:sz="8" w:color="004483"/>
              <w:bottom w:val="single" w:sz="8" w:color="A6A6A6"/>
            </w:tcBorders>
          </w:tcPr>
          <w:p>
            <w:pPr>
              <w:spacing w:after="0"/>
              <w:rPr>
                <w:sz w:val="11"/>
                <w:szCs w:val="11"/>
                <w:color w:val="auto"/>
              </w:rPr>
            </w:pPr>
          </w:p>
        </w:tc>
        <w:tc>
          <w:tcPr>
            <w:tcW w:w="76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Additions to Property, Plant, and Equipment</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(21,813)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(21,813)</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6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3A3A3"/>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3A3A3"/>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(21,813)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(21,813)</w:t>
            </w:r>
          </w:p>
        </w:tc>
        <w:tc>
          <w:tcPr>
            <w:tcW w:w="0" w:type="dxa"/>
            <w:vAlign w:val="bottom"/>
          </w:tcPr>
          <w:p>
            <w:pPr>
              <w:spacing w:after="0"/>
              <w:rPr>
                <w:sz w:val="1"/>
                <w:szCs w:val="1"/>
                <w:color w:val="auto"/>
              </w:rPr>
            </w:pP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2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40" w:type="dxa"/>
            <w:vAlign w:val="bottom"/>
            <w:tcBorders>
              <w:top w:val="single" w:sz="8" w:color="004483"/>
              <w:bottom w:val="single" w:sz="8" w:color="A6A6A6"/>
            </w:tcBorders>
          </w:tcPr>
          <w:p>
            <w:pPr>
              <w:spacing w:after="0"/>
              <w:rPr>
                <w:sz w:val="11"/>
                <w:szCs w:val="11"/>
                <w:color w:val="auto"/>
              </w:rPr>
            </w:pPr>
          </w:p>
        </w:tc>
        <w:tc>
          <w:tcPr>
            <w:tcW w:w="76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Increase in Credit Facility</w:t>
            </w:r>
          </w:p>
        </w:tc>
        <w:tc>
          <w:tcPr>
            <w:tcW w:w="32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spacing w:after="0"/>
              <w:rPr>
                <w:sz w:val="11"/>
                <w:szCs w:val="11"/>
                <w:color w:val="auto"/>
              </w:rPr>
            </w:pPr>
          </w:p>
        </w:tc>
        <w:tc>
          <w:tcPr>
            <w:tcW w:w="24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0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Dividends Paid to Stockholders</w:t>
            </w:r>
          </w:p>
        </w:tc>
        <w:tc>
          <w:tcPr>
            <w:tcW w:w="3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(4,499)</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(4,499)</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Purchase and Retirement of Common Stock</w:t>
            </w:r>
          </w:p>
        </w:tc>
        <w:tc>
          <w:tcPr>
            <w:tcW w:w="3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(198,355)</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(198,355)</w:t>
            </w:r>
          </w:p>
        </w:tc>
        <w:tc>
          <w:tcPr>
            <w:tcW w:w="0" w:type="dxa"/>
            <w:vAlign w:val="bottom"/>
          </w:tcPr>
          <w:p>
            <w:pPr>
              <w:spacing w:after="0"/>
              <w:rPr>
                <w:sz w:val="1"/>
                <w:szCs w:val="1"/>
                <w:color w:val="auto"/>
              </w:rPr>
            </w:pPr>
          </w:p>
        </w:tc>
      </w:tr>
      <w:tr>
        <w:trPr>
          <w:trHeight w:val="133"/>
        </w:trPr>
        <w:tc>
          <w:tcPr>
            <w:tcW w:w="520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Stock Option Exercises</w:t>
            </w: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40" w:type="dxa"/>
            <w:vAlign w:val="bottom"/>
            <w:tcBorders>
              <w:top w:val="single" w:sz="8" w:color="A6A6A6"/>
              <w:bottom w:val="single" w:sz="8" w:color="A6A6A6"/>
            </w:tcBorders>
          </w:tcPr>
          <w:p>
            <w:pPr>
              <w:spacing w:after="0"/>
              <w:rPr>
                <w:sz w:val="11"/>
                <w:szCs w:val="11"/>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A6A6A6"/>
              <w:bottom w:val="single" w:sz="8" w:color="A6A6A6"/>
            </w:tcBorders>
          </w:tcPr>
          <w:p>
            <w:pPr>
              <w:spacing w:after="0"/>
              <w:rPr>
                <w:sz w:val="11"/>
                <w:szCs w:val="11"/>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396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tcPr>
          <w:p>
            <w:pPr>
              <w:ind w:left="160"/>
              <w:spacing w:after="0"/>
              <w:rPr>
                <w:sz w:val="20"/>
                <w:szCs w:val="20"/>
                <w:color w:val="auto"/>
              </w:rPr>
            </w:pPr>
            <w:r>
              <w:rPr>
                <w:rFonts w:ascii="Arial" w:cs="Arial" w:eastAsia="Arial" w:hAnsi="Arial"/>
                <w:sz w:val="11"/>
                <w:szCs w:val="11"/>
                <w:color w:val="auto"/>
              </w:rPr>
              <w:t>Shares Redeemed to Settle Employee Taxes on</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00" w:type="dxa"/>
            <w:vAlign w:val="bottom"/>
          </w:tcPr>
          <w:p>
            <w:pPr>
              <w:ind w:left="240"/>
              <w:spacing w:after="0"/>
              <w:rPr>
                <w:sz w:val="20"/>
                <w:szCs w:val="20"/>
                <w:color w:val="auto"/>
              </w:rPr>
            </w:pPr>
            <w:r>
              <w:rPr>
                <w:rFonts w:ascii="Arial" w:cs="Arial" w:eastAsia="Arial" w:hAnsi="Arial"/>
                <w:sz w:val="11"/>
                <w:szCs w:val="11"/>
                <w:color w:val="auto"/>
              </w:rPr>
              <w:t>Stock Compensation</w:t>
            </w:r>
          </w:p>
        </w:tc>
        <w:tc>
          <w:tcPr>
            <w:tcW w:w="3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(866)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(866)</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ind w:left="160"/>
              <w:spacing w:after="0"/>
              <w:rPr>
                <w:sz w:val="20"/>
                <w:szCs w:val="20"/>
                <w:color w:val="auto"/>
              </w:rPr>
            </w:pPr>
            <w:r>
              <w:rPr>
                <w:rFonts w:ascii="Arial" w:cs="Arial" w:eastAsia="Arial" w:hAnsi="Arial"/>
                <w:sz w:val="11"/>
                <w:szCs w:val="11"/>
                <w:color w:val="auto"/>
              </w:rPr>
              <w:t>Intra-entity Activity, net</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35,838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(35,838)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320" w:type="dxa"/>
            <w:vAlign w:val="bottom"/>
            <w:shd w:val="clear" w:color="auto" w:fill="004483"/>
          </w:tcPr>
          <w:p>
            <w:pPr>
              <w:spacing w:after="0" w:line="20" w:lineRule="exact"/>
              <w:rPr>
                <w:sz w:val="1"/>
                <w:szCs w:val="1"/>
                <w:color w:val="auto"/>
              </w:rPr>
            </w:pPr>
          </w:p>
        </w:tc>
        <w:tc>
          <w:tcPr>
            <w:tcW w:w="6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0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Net Cash Provided by (Used in) Financing Activities</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17,514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(35,838)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(18,324)</w:t>
            </w:r>
          </w:p>
        </w:tc>
        <w:tc>
          <w:tcPr>
            <w:tcW w:w="0" w:type="dxa"/>
            <w:vAlign w:val="bottom"/>
          </w:tcPr>
          <w:p>
            <w:pPr>
              <w:spacing w:after="0"/>
              <w:rPr>
                <w:sz w:val="1"/>
                <w:szCs w:val="1"/>
                <w:color w:val="auto"/>
              </w:rPr>
            </w:pPr>
          </w:p>
        </w:tc>
      </w:tr>
      <w:tr>
        <w:trPr>
          <w:trHeight w:val="126"/>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NET INCREASE IN CASH AND CASH EQUIVALENTS</w:t>
            </w:r>
          </w:p>
        </w:tc>
        <w:tc>
          <w:tcPr>
            <w:tcW w:w="320" w:type="dxa"/>
            <w:vAlign w:val="bottom"/>
            <w:tcBorders>
              <w:top w:val="single" w:sz="8" w:color="004483"/>
            </w:tcBorders>
          </w:tcPr>
          <w:p>
            <w:pPr>
              <w:spacing w:after="0"/>
              <w:rPr>
                <w:sz w:val="10"/>
                <w:szCs w:val="10"/>
                <w:color w:val="auto"/>
              </w:rPr>
            </w:pPr>
          </w:p>
        </w:tc>
        <w:tc>
          <w:tcPr>
            <w:tcW w:w="680" w:type="dxa"/>
            <w:vAlign w:val="bottom"/>
            <w:tcBorders>
              <w:top w:val="single" w:sz="8" w:color="004483"/>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240" w:type="dxa"/>
            <w:vAlign w:val="bottom"/>
            <w:tcBorders>
              <w:top w:val="single" w:sz="8" w:color="004483"/>
            </w:tcBorders>
          </w:tcPr>
          <w:p>
            <w:pPr>
              <w:spacing w:after="0"/>
              <w:rPr>
                <w:sz w:val="10"/>
                <w:szCs w:val="10"/>
                <w:color w:val="auto"/>
              </w:rPr>
            </w:pPr>
          </w:p>
        </w:tc>
        <w:tc>
          <w:tcPr>
            <w:tcW w:w="76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20" w:type="dxa"/>
            <w:vAlign w:val="bottom"/>
            <w:tcBorders>
              <w:top w:val="single" w:sz="8" w:color="004483"/>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b w:val="1"/>
                <w:bCs w:val="1"/>
                <w:color w:val="auto"/>
              </w:rPr>
              <w:t>AND RESTRICTED CASH</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11,102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(541)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CASH AND CASH EQUIVALENTS AND RESTRICTED CASH AT</w:t>
            </w:r>
          </w:p>
        </w:tc>
        <w:tc>
          <w:tcPr>
            <w:tcW w:w="320" w:type="dxa"/>
            <w:vAlign w:val="bottom"/>
            <w:tcBorders>
              <w:top w:val="single" w:sz="8" w:color="A6A6A6"/>
            </w:tcBorders>
          </w:tcPr>
          <w:p>
            <w:pPr>
              <w:spacing w:after="0"/>
              <w:rPr>
                <w:sz w:val="10"/>
                <w:szCs w:val="10"/>
                <w:color w:val="auto"/>
              </w:rPr>
            </w:pPr>
          </w:p>
        </w:tc>
        <w:tc>
          <w:tcPr>
            <w:tcW w:w="680" w:type="dxa"/>
            <w:vAlign w:val="bottom"/>
            <w:tcBorders>
              <w:top w:val="single" w:sz="8" w:color="A6A6A6"/>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6A6A6"/>
            </w:tcBorders>
          </w:tcPr>
          <w:p>
            <w:pPr>
              <w:spacing w:after="0"/>
              <w:rPr>
                <w:sz w:val="10"/>
                <w:szCs w:val="10"/>
                <w:color w:val="auto"/>
              </w:rPr>
            </w:pPr>
          </w:p>
        </w:tc>
        <w:tc>
          <w:tcPr>
            <w:tcW w:w="300" w:type="dxa"/>
            <w:vAlign w:val="bottom"/>
            <w:tcBorders>
              <w:top w:val="single" w:sz="8" w:color="A6A6A6"/>
            </w:tcBorders>
          </w:tcPr>
          <w:p>
            <w:pPr>
              <w:spacing w:after="0"/>
              <w:rPr>
                <w:sz w:val="10"/>
                <w:szCs w:val="10"/>
                <w:color w:val="auto"/>
              </w:rPr>
            </w:pPr>
          </w:p>
        </w:tc>
        <w:tc>
          <w:tcPr>
            <w:tcW w:w="700" w:type="dxa"/>
            <w:vAlign w:val="bottom"/>
            <w:tcBorders>
              <w:top w:val="single" w:sz="8" w:color="A6A6A6"/>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240" w:type="dxa"/>
            <w:vAlign w:val="bottom"/>
            <w:tcBorders>
              <w:top w:val="single" w:sz="8" w:color="A6A6A6"/>
            </w:tcBorders>
          </w:tcPr>
          <w:p>
            <w:pPr>
              <w:spacing w:after="0"/>
              <w:rPr>
                <w:sz w:val="10"/>
                <w:szCs w:val="10"/>
                <w:color w:val="auto"/>
              </w:rPr>
            </w:pPr>
          </w:p>
        </w:tc>
        <w:tc>
          <w:tcPr>
            <w:tcW w:w="760" w:type="dxa"/>
            <w:vAlign w:val="bottom"/>
            <w:tcBorders>
              <w:top w:val="single" w:sz="8" w:color="A6A6A6"/>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A6A6A6"/>
            </w:tcBorders>
          </w:tcPr>
          <w:p>
            <w:pPr>
              <w:spacing w:after="0"/>
              <w:rPr>
                <w:sz w:val="10"/>
                <w:szCs w:val="10"/>
                <w:color w:val="auto"/>
              </w:rPr>
            </w:pPr>
          </w:p>
        </w:tc>
        <w:tc>
          <w:tcPr>
            <w:tcW w:w="700" w:type="dxa"/>
            <w:vAlign w:val="bottom"/>
            <w:tcBorders>
              <w:top w:val="single" w:sz="8" w:color="A6A6A6"/>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A6A6A6"/>
            </w:tcBorders>
          </w:tcPr>
          <w:p>
            <w:pPr>
              <w:spacing w:after="0"/>
              <w:rPr>
                <w:sz w:val="10"/>
                <w:szCs w:val="10"/>
                <w:color w:val="auto"/>
              </w:rPr>
            </w:pPr>
          </w:p>
        </w:tc>
        <w:tc>
          <w:tcPr>
            <w:tcW w:w="720" w:type="dxa"/>
            <w:vAlign w:val="bottom"/>
            <w:tcBorders>
              <w:top w:val="single" w:sz="8" w:color="A6A6A6"/>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b w:val="1"/>
                <w:bCs w:val="1"/>
                <w:color w:val="auto"/>
              </w:rPr>
              <w:t>BEGINNING OF PERIOD</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5,779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8,601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CASH AND CASH EQUIVALENTS AND RESTRICTED CASH AT</w:t>
            </w:r>
          </w:p>
        </w:tc>
        <w:tc>
          <w:tcPr>
            <w:tcW w:w="320" w:type="dxa"/>
            <w:vAlign w:val="bottom"/>
            <w:tcBorders>
              <w:top w:val="single" w:sz="8" w:color="004483"/>
            </w:tcBorders>
          </w:tcPr>
          <w:p>
            <w:pPr>
              <w:spacing w:after="0"/>
              <w:rPr>
                <w:sz w:val="10"/>
                <w:szCs w:val="10"/>
                <w:color w:val="auto"/>
              </w:rPr>
            </w:pPr>
          </w:p>
        </w:tc>
        <w:tc>
          <w:tcPr>
            <w:tcW w:w="680" w:type="dxa"/>
            <w:vAlign w:val="bottom"/>
            <w:tcBorders>
              <w:top w:val="single" w:sz="8" w:color="004483"/>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240" w:type="dxa"/>
            <w:vAlign w:val="bottom"/>
            <w:tcBorders>
              <w:top w:val="single" w:sz="8" w:color="004483"/>
            </w:tcBorders>
          </w:tcPr>
          <w:p>
            <w:pPr>
              <w:spacing w:after="0"/>
              <w:rPr>
                <w:sz w:val="10"/>
                <w:szCs w:val="10"/>
                <w:color w:val="auto"/>
              </w:rPr>
            </w:pPr>
          </w:p>
        </w:tc>
        <w:tc>
          <w:tcPr>
            <w:tcW w:w="76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00" w:type="dxa"/>
            <w:vAlign w:val="bottom"/>
            <w:tcBorders>
              <w:top w:val="single" w:sz="8" w:color="004483"/>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6A6A6"/>
            </w:tcBorders>
          </w:tcPr>
          <w:p>
            <w:pPr>
              <w:spacing w:after="0"/>
              <w:rPr>
                <w:sz w:val="10"/>
                <w:szCs w:val="10"/>
                <w:color w:val="auto"/>
              </w:rPr>
            </w:pPr>
          </w:p>
        </w:tc>
        <w:tc>
          <w:tcPr>
            <w:tcW w:w="300" w:type="dxa"/>
            <w:vAlign w:val="bottom"/>
            <w:tcBorders>
              <w:top w:val="single" w:sz="8" w:color="004483"/>
            </w:tcBorders>
          </w:tcPr>
          <w:p>
            <w:pPr>
              <w:spacing w:after="0"/>
              <w:rPr>
                <w:sz w:val="10"/>
                <w:szCs w:val="10"/>
                <w:color w:val="auto"/>
              </w:rPr>
            </w:pPr>
          </w:p>
        </w:tc>
        <w:tc>
          <w:tcPr>
            <w:tcW w:w="720" w:type="dxa"/>
            <w:vAlign w:val="bottom"/>
            <w:tcBorders>
              <w:top w:val="single" w:sz="8" w:color="004483"/>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200" w:type="dxa"/>
            <w:vAlign w:val="bottom"/>
          </w:tcPr>
          <w:p>
            <w:pPr>
              <w:ind w:left="80"/>
              <w:spacing w:after="0"/>
              <w:rPr>
                <w:sz w:val="20"/>
                <w:szCs w:val="20"/>
                <w:color w:val="auto"/>
              </w:rPr>
            </w:pPr>
            <w:r>
              <w:rPr>
                <w:rFonts w:ascii="Arial" w:cs="Arial" w:eastAsia="Arial" w:hAnsi="Arial"/>
                <w:sz w:val="11"/>
                <w:szCs w:val="11"/>
                <w:b w:val="1"/>
                <w:bCs w:val="1"/>
                <w:color w:val="auto"/>
              </w:rPr>
              <w:t>END OF PERIOD</w:t>
            </w:r>
          </w:p>
        </w:tc>
        <w:tc>
          <w:tcPr>
            <w:tcW w:w="320" w:type="dxa"/>
            <w:vAlign w:val="bottom"/>
            <w:tcBorders>
              <w:bottom w:val="single" w:sz="8" w:color="004483"/>
            </w:tcBorders>
          </w:tcPr>
          <w:p>
            <w:pPr>
              <w:jc w:val="right"/>
              <w:ind w:right="25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16,881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2,281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004483"/>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tcPr>
          <w:p>
            <w:pPr>
              <w:spacing w:after="0"/>
              <w:rPr>
                <w:sz w:val="13"/>
                <w:szCs w:val="13"/>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tcPr>
          <w:p>
            <w:pPr>
              <w:spacing w:after="0"/>
              <w:rPr>
                <w:sz w:val="13"/>
                <w:szCs w:val="13"/>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19,162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307"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 We also produce sand used in hydraulic fracturing as part of our Oil and Gas Proppants sector.</w:t>
      </w:r>
    </w:p>
    <w:p>
      <w:pPr>
        <w:spacing w:after="0" w:line="64"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color w:val="auto"/>
        </w:rPr>
        <w:t>Our business is organized into three sectors: Heavy Materials, which includes the Cement and Concrete and Aggregates segments; Light Materials, which includes the Gypsum Wallboard and Recycled Paperboard segments; and Oil and Gas Proppants, which are used in oil and natural gas extraction. Financial results and other information for the three months ended June 30, 2020 and 2019, respectively, are presented on a consolidated basis and by these business segments – Cement, Concrete and Aggregates, Gypsum Wallboard, Recycled Paperboard, and Oil and Gas Proppants.</w:t>
      </w:r>
    </w:p>
    <w:p>
      <w:pPr>
        <w:spacing w:after="0" w:line="64" w:lineRule="exact"/>
        <w:rPr>
          <w:sz w:val="20"/>
          <w:szCs w:val="20"/>
          <w:color w:val="auto"/>
        </w:rPr>
      </w:pPr>
    </w:p>
    <w:p>
      <w:pPr>
        <w:jc w:val="both"/>
        <w:ind w:right="100"/>
        <w:spacing w:after="0" w:line="271" w:lineRule="auto"/>
        <w:rPr>
          <w:sz w:val="20"/>
          <w:szCs w:val="20"/>
          <w:color w:val="auto"/>
        </w:rPr>
      </w:pPr>
      <w:r>
        <w:rPr>
          <w:rFonts w:ascii="Arial" w:cs="Arial" w:eastAsia="Arial" w:hAnsi="Arial"/>
          <w:sz w:val="12"/>
          <w:szCs w:val="12"/>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64"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the mining and sale of aggregates (crushed stone, sand, and gravel); and the mining and sale of sand used in hydraulic fracturing (frac sand).</w:t>
      </w:r>
    </w:p>
    <w:p>
      <w:pPr>
        <w:spacing w:after="0" w:line="65" w:lineRule="exact"/>
        <w:rPr>
          <w:sz w:val="20"/>
          <w:szCs w:val="20"/>
          <w:color w:val="auto"/>
        </w:rPr>
      </w:pPr>
    </w:p>
    <w:p>
      <w:pPr>
        <w:ind w:right="300"/>
        <w:spacing w:after="0" w:line="271" w:lineRule="auto"/>
        <w:rPr>
          <w:sz w:val="20"/>
          <w:szCs w:val="20"/>
          <w:color w:val="auto"/>
        </w:rPr>
      </w:pPr>
      <w:r>
        <w:rPr>
          <w:rFonts w:ascii="Arial" w:cs="Arial" w:eastAsia="Arial" w:hAnsi="Arial"/>
          <w:sz w:val="12"/>
          <w:szCs w:val="12"/>
          <w:color w:val="auto"/>
        </w:rPr>
        <w:t>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64"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color w:val="auto"/>
        </w:rPr>
        <w:t>On August 2, 2019, we acquired the assets of a readymix concrete and aggregates business (the ConAgg Acquisition). The purchase price (Purchase Price) of the ConAgg Acquisition was approximately $30.4 million. The Purchase Price and expenses incurred in connection with the ConAgg Acquisition were funded through operating cash flows and borrowings under our Revolving Credit Facility. The ConAgg Acquisition’s assets and operating results are included in our Concrete and Aggregates segment reporting from August 2, 2019 through March 31, 2020, and for the three months ended June 30, 2020.</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2"/>
          <w:szCs w:val="12"/>
          <w:color w:val="auto"/>
        </w:rPr>
        <w:t>On March 6, 2020, we acquired the assets of Kosmos Cement Company (Kosmos), a joint venture between CEMEX S.A.B. de C.V. and Buzzi Unicem S.p.A. for approximately $669 million (the Kosmos Acquisition). The Kosmos Acquisition included (i) a cement plant located in Louisville, Kentucky, (ii) a limestone quarry located in Battletown, Kentucky, (iii) cement distribution terminals located in Indianapolis, Indiana; Cincinnati, Ohio; Pittsburgh, Pennsylvania; Charleston, West Virginia; Ceredo, West Virginia; Mt. Vernon, Indiana; and Lexington, Kentucky, and (iv) certain other properties and assets used by Kosmos in connection with the foregoing (collectively, the Kosmos Business). We also assumed certain liabilities and obligations of Kosmos relating to the Kosmos Business, including contractual obligations, reclamation obligations and various other liabilities and obligations arising out of or relating to the Kosmos Business. We funded the payment of the purchase price and expenses incurred in connection with the transaction through a combination of cash on hand and a syndicated term loan facility. The Kosmos Business’ assets and operating results are included in our Cement segment reporting from March 6, 2020 through March 31, 2020, and for the three months ended June 30, 2020.</w:t>
      </w:r>
    </w:p>
    <w:p>
      <w:pPr>
        <w:spacing w:after="0" w:line="64" w:lineRule="exact"/>
        <w:rPr>
          <w:sz w:val="20"/>
          <w:szCs w:val="20"/>
          <w:color w:val="auto"/>
        </w:rPr>
      </w:pPr>
    </w:p>
    <w:p>
      <w:pPr>
        <w:ind w:right="20"/>
        <w:spacing w:after="0" w:line="324" w:lineRule="auto"/>
        <w:rPr>
          <w:sz w:val="20"/>
          <w:szCs w:val="20"/>
          <w:color w:val="auto"/>
        </w:rPr>
      </w:pPr>
      <w:r>
        <w:rPr>
          <w:rFonts w:ascii="Arial" w:cs="Arial" w:eastAsia="Arial" w:hAnsi="Arial"/>
          <w:sz w:val="11"/>
          <w:szCs w:val="11"/>
          <w:color w:val="auto"/>
        </w:rPr>
        <w:t>On April 17, 2020, we sold our Western Aggregates LLC (Western) and Mathews Readymix LLC (Mathews) businesses for an aggregate purchase price of $93.5 million, resulting in a gain of $52.0 million. Western and Mathews were part of our Concrete and Aggregates operating segment, and their results of operations were included in our financial statements for the period from April 1, 2020 through April 17, 2020.</w:t>
      </w:r>
    </w:p>
    <w:p>
      <w:pPr>
        <w:spacing w:after="0" w:line="36" w:lineRule="exact"/>
        <w:rPr>
          <w:sz w:val="20"/>
          <w:szCs w:val="20"/>
          <w:color w:val="auto"/>
        </w:rPr>
      </w:pPr>
    </w:p>
    <w:p>
      <w:pPr>
        <w:jc w:val="both"/>
        <w:ind w:right="80"/>
        <w:spacing w:after="0" w:line="271" w:lineRule="auto"/>
        <w:rPr>
          <w:sz w:val="20"/>
          <w:szCs w:val="20"/>
          <w:color w:val="auto"/>
        </w:rPr>
      </w:pPr>
      <w:r>
        <w:rPr>
          <w:rFonts w:ascii="Arial" w:cs="Arial" w:eastAsia="Arial" w:hAnsi="Arial"/>
          <w:sz w:val="12"/>
          <w:szCs w:val="12"/>
          <w:color w:val="auto"/>
        </w:rPr>
        <w:t>As previously announced on May 30, 2019, the Company plans to separate its Heavy Materials and Light Materials businesses into two independent, publicly traded corporations by means of a tax-free spin-off to Eagle shareholders. We remain committed to the separation, although the timing is uncertain. We continue preparations to ensure that the two businesses are well-positioned for the separation when the markets recover from the effects of the COVID-19 pandemic.</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CONDITIONS AND OUTLOOK</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During the fourth quarter of fiscal 2020, several macroeconomic factors had a positive impact on the construction sector, including low interest rates, high consumer confidence and robust employment, which led to favorable trends in housing starts, state construction lettings and construction employment. These factors continued to have a positive effect on both our Heavy Materials and Light Materials businesses during the first quarter of fiscal 2021, despite the extraordinary and wide-ranging actions taken by international, federal, state, and local public health and governmental authorities to contain and combat the spread of COVID-19, including quarantines, “shelter-in-place” orders and similar mandates for many individuals to substantially restrict daily activities and for many businesses to curtail or cease normal operations. To date, we have not been materially affected by governmental orders requiring businesses to curtail or cease normal operations. We are continuing to operate as an essential business in virtually all of the markets we serve. However, in light of the continued spread COVID-19, we are closely monitoring the disruptions caused by the pandemic and their possible effects on our business in current and future periods.</w:t>
      </w:r>
    </w:p>
    <w:p>
      <w:pPr>
        <w:spacing w:after="0" w:line="6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Although the COVID-19 pandemic did not have a significant impact on our business in fiscal 2020 or the first quarter of fiscal 2021, we believe it is likely to negatively affect us in subsequent periods. The timing, nature and extent of its impact, however, is highly uncertain. To date, the pandemic and responses designed to contain its spread and mitigate its public health effects have resulted in significant job losses, causing an increase in the U.S. unemployment rate from 3.5% in February 2020 to 11.1% in June 2020, which is among the sharpest increases on record. In addition, consumer confidence has substantially decreased in many of the markets in which we operate. We expect that the new residential housing market, which depends to a significant extent on the amount of funds available to and expended by consumers, likely will be the first of our market segments to be materially affected. In fiscal 2020, approximately 50% of our wallboard business and 25% of our cement business was attributable to new residential construction.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The pandemic is also likely to have a significant effect on state and local government revenues and construction budgets, and may result in delays, cancellations or curtailment of construction projects in the future.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 continue to monitor our operations, the operations of our customers and actions taken by the various national, state, and local governments in the areas in which we operate.</w:t>
      </w:r>
    </w:p>
    <w:p>
      <w:pPr>
        <w:spacing w:after="0" w:line="87"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extent to which the spread of COVID-19 will impact the national and local economies in which we operate, and ultimately our business, will depend on numerous factors, which are highly uncertain and difficult to predict. Our integrated cement sales network stretches across the U.S. heartland. The Portland Cement Association is estimating cement consumption will increase in calendar 2020 over 2019 by approximately 2%. In addition to weather, cement and concrete and aggregates markets are affected by infrastructure spending, residential construction, and industrial construction activity. While we anticipate cement demand will remain strong in our markets throughout the remainder of the calendar 2020, the uncertainty around the COVID-19 pandemic and possible “second-wave” cases may cause demand to weaken during the fall. Oil well cement demand has been negatively affected by the reduction in drilling activity; however, oil well cement sales volume represented less than 2% of cement volume in the three months ended June 30, 2020.</w:t>
      </w: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Our primary Gypsum Wallboard sales network stretches across the southern half of the United States, consistent with our facility network. Wallboard demand is heavily influenced by new residential housing construction, as well as repair and remodeling activity. Demand for housing, and construction of new homes, was strong during three months ended June 30, 2020, in part aided by historically low interest rates. We anticipate demand to remain consistent for the next two quarters; however, the uncertainty around the COVID-19 pandemic and possible “second-wave” cases may cause demand to weaken during the late summer or early fall. Our Recycled Paperboard business primarily sells paper into the gypsum wallboard market, and demand for paper generally follows the demand for gypsum wallboard. The primary raw material used to produce recycled paperboard is recycled fiber, also known as OCC. During the quarter, recycled fiber costs increased a total of $75 per ton over the course of April and May because of a significant decline in generation as many states issued shelter-in-place orders to combat the COVID-19 pandemic. As economies began to re-open and recycled fiber generation increased, costs declined a total of $55 per ton over the course of June and July. We expect OCC pricing will remain fairly consistent over the next quarter, but pricing remains sensitive to any changes in economic activity related to COVID-19, which could result in further pricing volatility over the remainder of our fiscal year. Our current gypsum liner customer contracts include price escalators that partially offset and compensate for changes in raw material fiber prices, so the impact of the OCC price increases in the first quarter likely will adversely affect our wallboard operations by increasing the cost of paper during our second fiscal quarter.</w:t>
      </w:r>
    </w:p>
    <w:p>
      <w:pPr>
        <w:spacing w:after="0" w:line="6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During March and April 2020, oil prices declined to all-time lows due to the decrease in demand for oil resulting from the COVID-19 pandemic. At the same time, increases in production of oil by Saudi Arabia and Russia created a significant surplus in supply and resulted in sharp declines in oil and gas prices. These developments have led to substantial decreases in drilling and well-completion activity beginning in March 2020. The reduction in drilling activity has negatively affected demand for our frac sand and oil well cement, and led to a significant reduction or cessation of new orders. In response to these market conditions, we have curtailed our operations and reduced headcount at our frac sand facilities and are focused on preserving the value of our operating assets for future use. As previously disclosed, we are actively pursuing alternatives for our Oil and Gas Proppants business. If this results in an alternative use or disposition of this business, additional impairment or other losses may be incurred.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JUNE 30, 2020 COMPARED WITH THREE MONTHS ENDED JUNE 30,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20" w:type="dxa"/>
            <w:vAlign w:val="bottom"/>
            <w:shd w:val="clear" w:color="auto" w:fill="004483"/>
          </w:tcPr>
          <w:p>
            <w:pPr>
              <w:spacing w:after="0"/>
              <w:rPr>
                <w:sz w:val="13"/>
                <w:szCs w:val="13"/>
                <w:color w:val="auto"/>
              </w:rPr>
            </w:pPr>
          </w:p>
        </w:tc>
        <w:tc>
          <w:tcPr>
            <w:tcW w:w="1920" w:type="dxa"/>
            <w:vAlign w:val="bottom"/>
            <w:gridSpan w:val="4"/>
            <w:shd w:val="clear" w:color="auto" w:fill="004483"/>
          </w:tcPr>
          <w:p>
            <w:pPr>
              <w:jc w:val="right"/>
              <w:ind w:right="151"/>
              <w:spacing w:after="0"/>
              <w:rPr>
                <w:sz w:val="20"/>
                <w:szCs w:val="20"/>
                <w:color w:val="auto"/>
              </w:rPr>
            </w:pPr>
            <w:r>
              <w:rPr>
                <w:rFonts w:ascii="Arial" w:cs="Arial" w:eastAsia="Arial" w:hAnsi="Arial"/>
                <w:sz w:val="8"/>
                <w:szCs w:val="8"/>
                <w:b w:val="1"/>
                <w:bCs w:val="1"/>
                <w:color w:val="FFFFFF"/>
              </w:rPr>
              <w:t>For the Three Months Ended June 30,</w:t>
            </w:r>
          </w:p>
        </w:tc>
        <w:tc>
          <w:tcPr>
            <w:tcW w:w="58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620" w:type="dxa"/>
            <w:vAlign w:val="bottom"/>
            <w:gridSpan w:val="2"/>
            <w:vMerge w:val="restart"/>
          </w:tcPr>
          <w:p>
            <w:pPr>
              <w:jc w:val="right"/>
              <w:ind w:right="120"/>
              <w:spacing w:after="0"/>
              <w:rPr>
                <w:sz w:val="20"/>
                <w:szCs w:val="20"/>
                <w:color w:val="auto"/>
              </w:rPr>
            </w:pPr>
            <w:r>
              <w:rPr>
                <w:rFonts w:ascii="Arial" w:cs="Arial" w:eastAsia="Arial" w:hAnsi="Arial"/>
                <w:sz w:val="8"/>
                <w:szCs w:val="8"/>
                <w:b w:val="1"/>
                <w:bCs w:val="1"/>
                <w:color w:val="auto"/>
              </w:rPr>
              <w:t>Change</w:t>
            </w:r>
          </w:p>
        </w:tc>
        <w:tc>
          <w:tcPr>
            <w:tcW w:w="0" w:type="dxa"/>
            <w:vAlign w:val="bottom"/>
          </w:tcPr>
          <w:p>
            <w:pPr>
              <w:spacing w:after="0"/>
              <w:rPr>
                <w:sz w:val="1"/>
                <w:szCs w:val="1"/>
                <w:color w:val="auto"/>
              </w:rPr>
            </w:pPr>
          </w:p>
        </w:tc>
      </w:tr>
      <w:tr>
        <w:trPr>
          <w:trHeight w:val="99"/>
        </w:trPr>
        <w:tc>
          <w:tcPr>
            <w:tcW w:w="6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640" w:type="dxa"/>
            <w:vAlign w:val="bottom"/>
            <w:tcBorders>
              <w:bottom w:val="single" w:sz="8" w:color="004483"/>
            </w:tcBorders>
          </w:tcPr>
          <w:p>
            <w:pPr>
              <w:spacing w:after="0"/>
              <w:rPr>
                <w:sz w:val="8"/>
                <w:szCs w:val="8"/>
                <w:color w:val="auto"/>
              </w:rPr>
            </w:pPr>
          </w:p>
        </w:tc>
        <w:tc>
          <w:tcPr>
            <w:tcW w:w="420" w:type="dxa"/>
            <w:vAlign w:val="bottom"/>
            <w:tcBorders>
              <w:bottom w:val="single" w:sz="8" w:color="004483"/>
            </w:tcBorders>
          </w:tcPr>
          <w:p>
            <w:pPr>
              <w:spacing w:after="0"/>
              <w:rPr>
                <w:sz w:val="8"/>
                <w:szCs w:val="8"/>
                <w:color w:val="auto"/>
              </w:rPr>
            </w:pPr>
          </w:p>
        </w:tc>
        <w:tc>
          <w:tcPr>
            <w:tcW w:w="1920" w:type="dxa"/>
            <w:vAlign w:val="bottom"/>
            <w:tcBorders>
              <w:bottom w:val="single" w:sz="8" w:color="004483"/>
            </w:tcBorders>
            <w:gridSpan w:val="4"/>
          </w:tcPr>
          <w:p>
            <w:pPr>
              <w:jc w:val="right"/>
              <w:ind w:right="311"/>
              <w:spacing w:after="0"/>
              <w:rPr>
                <w:sz w:val="20"/>
                <w:szCs w:val="20"/>
                <w:color w:val="auto"/>
              </w:rPr>
            </w:pPr>
            <w:r>
              <w:rPr>
                <w:rFonts w:ascii="Arial" w:cs="Arial" w:eastAsia="Arial" w:hAnsi="Arial"/>
                <w:sz w:val="8"/>
                <w:szCs w:val="8"/>
                <w:color w:val="auto"/>
              </w:rPr>
              <w:t>(in thousands, except per share)</w:t>
            </w:r>
          </w:p>
        </w:tc>
        <w:tc>
          <w:tcPr>
            <w:tcW w:w="580" w:type="dxa"/>
            <w:vAlign w:val="bottom"/>
            <w:tcBorders>
              <w:bottom w:val="single" w:sz="8" w:color="004483"/>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Revenue</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428,020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370,597</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Cost of Goods Sold</w:t>
            </w:r>
          </w:p>
        </w:tc>
        <w:tc>
          <w:tcPr>
            <w:tcW w:w="4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(327,041)</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(295,268)</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004483"/>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Gross Profit</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100,979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75,329</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Equity in Earnings of Unconsolidated Joint Venture</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7,796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9,432</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Corporate General and Administrative</w:t>
            </w:r>
          </w:p>
        </w:tc>
        <w:tc>
          <w:tcPr>
            <w:tcW w:w="4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(17,789)</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(21,254)</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3"/>
        </w:trPr>
        <w:tc>
          <w:tcPr>
            <w:tcW w:w="66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Gain on Sale of Businesses</w:t>
            </w:r>
          </w:p>
        </w:tc>
        <w:tc>
          <w:tcPr>
            <w:tcW w:w="42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51,973</w:t>
            </w: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40" w:type="dxa"/>
            <w:vAlign w:val="bottom"/>
            <w:tcBorders>
              <w:top w:val="single" w:sz="8" w:color="A6A6A6"/>
              <w:bottom w:val="single" w:sz="8" w:color="A6A6A6"/>
            </w:tcBorders>
          </w:tcPr>
          <w:p>
            <w:pPr>
              <w:spacing w:after="0"/>
              <w:rPr>
                <w:sz w:val="11"/>
                <w:szCs w:val="11"/>
                <w:color w:val="auto"/>
              </w:rPr>
            </w:pPr>
          </w:p>
        </w:tc>
        <w:tc>
          <w:tcPr>
            <w:tcW w:w="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Other Non-Operating Income (Loss)</w:t>
            </w:r>
          </w:p>
        </w:tc>
        <w:tc>
          <w:tcPr>
            <w:tcW w:w="4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(127)</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(164)%</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Interest Expense, net</w:t>
            </w:r>
          </w:p>
        </w:tc>
        <w:tc>
          <w:tcPr>
            <w:tcW w:w="4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(14,041)</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(8,846)</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004483"/>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Earnings Before Income Taxes</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128,791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54,861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Income Tax Expense</w:t>
            </w:r>
          </w:p>
        </w:tc>
        <w:tc>
          <w:tcPr>
            <w:tcW w:w="4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(32,585)</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(13,557)</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004483"/>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40" w:type="dxa"/>
            <w:vAlign w:val="bottom"/>
          </w:tcPr>
          <w:p>
            <w:pPr>
              <w:spacing w:after="0"/>
              <w:rPr>
                <w:sz w:val="20"/>
                <w:szCs w:val="20"/>
                <w:color w:val="auto"/>
              </w:rPr>
            </w:pPr>
            <w:r>
              <w:rPr>
                <w:rFonts w:ascii="Arial" w:cs="Arial" w:eastAsia="Arial" w:hAnsi="Arial"/>
                <w:sz w:val="11"/>
                <w:szCs w:val="11"/>
                <w:b w:val="1"/>
                <w:bCs w:val="1"/>
                <w:color w:val="auto"/>
              </w:rPr>
              <w:t>Net Earnings</w:t>
            </w:r>
          </w:p>
        </w:tc>
        <w:tc>
          <w:tcPr>
            <w:tcW w:w="420" w:type="dxa"/>
            <w:vAlign w:val="bottom"/>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96,206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41,304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133%</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tcBorders>
              <w:bottom w:val="single" w:sz="8" w:color="004483"/>
            </w:tcBorders>
            <w:shd w:val="clear" w:color="auto" w:fill="004483"/>
          </w:tcPr>
          <w:p>
            <w:pPr>
              <w:spacing w:after="0" w:line="20" w:lineRule="exact"/>
              <w:rPr>
                <w:sz w:val="1"/>
                <w:szCs w:val="1"/>
                <w:color w:val="auto"/>
              </w:rPr>
            </w:pPr>
          </w:p>
        </w:tc>
        <w:tc>
          <w:tcPr>
            <w:tcW w:w="900" w:type="dxa"/>
            <w:vAlign w:val="bottom"/>
            <w:tcBorders>
              <w:bottom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tcBorders>
              <w:bottom w:val="single" w:sz="8" w:color="004483"/>
            </w:tcBorders>
            <w:shd w:val="clear" w:color="auto" w:fill="004483"/>
          </w:tcPr>
          <w:p>
            <w:pPr>
              <w:spacing w:after="0" w:line="20" w:lineRule="exact"/>
              <w:rPr>
                <w:sz w:val="1"/>
                <w:szCs w:val="1"/>
                <w:color w:val="auto"/>
              </w:rPr>
            </w:pPr>
          </w:p>
        </w:tc>
        <w:tc>
          <w:tcPr>
            <w:tcW w:w="580" w:type="dxa"/>
            <w:vAlign w:val="bottom"/>
            <w:tcBorders>
              <w:bottom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tcPr>
          <w:p>
            <w:pPr>
              <w:spacing w:after="0" w:line="121" w:lineRule="exact"/>
              <w:rPr>
                <w:sz w:val="20"/>
                <w:szCs w:val="20"/>
                <w:color w:val="auto"/>
              </w:rPr>
            </w:pPr>
            <w:r>
              <w:rPr>
                <w:rFonts w:ascii="Arial" w:cs="Arial" w:eastAsia="Arial" w:hAnsi="Arial"/>
                <w:sz w:val="11"/>
                <w:szCs w:val="11"/>
                <w:b w:val="1"/>
                <w:bCs w:val="1"/>
                <w:color w:val="auto"/>
              </w:rPr>
              <w:t>Diluted Earnings per Share</w:t>
            </w:r>
          </w:p>
        </w:tc>
        <w:tc>
          <w:tcPr>
            <w:tcW w:w="420" w:type="dxa"/>
            <w:vAlign w:val="bottom"/>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2.31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0.94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146%</w:t>
            </w:r>
          </w:p>
        </w:tc>
        <w:tc>
          <w:tcPr>
            <w:tcW w:w="0" w:type="dxa"/>
            <w:vAlign w:val="bottom"/>
          </w:tcPr>
          <w:p>
            <w:pPr>
              <w:spacing w:after="0"/>
              <w:rPr>
                <w:sz w:val="1"/>
                <w:szCs w:val="1"/>
                <w:color w:val="auto"/>
              </w:rPr>
            </w:pPr>
          </w:p>
        </w:tc>
      </w:tr>
      <w:tr>
        <w:trPr>
          <w:trHeight w:val="27"/>
        </w:trPr>
        <w:tc>
          <w:tcPr>
            <w:tcW w:w="6640" w:type="dxa"/>
            <w:vAlign w:val="bottom"/>
            <w:shd w:val="clear" w:color="auto" w:fill="A6A6A6"/>
          </w:tcPr>
          <w:p>
            <w:pPr>
              <w:spacing w:after="0"/>
              <w:rPr>
                <w:sz w:val="2"/>
                <w:szCs w:val="2"/>
                <w:color w:val="auto"/>
              </w:rPr>
            </w:pPr>
          </w:p>
        </w:tc>
        <w:tc>
          <w:tcPr>
            <w:tcW w:w="420" w:type="dxa"/>
            <w:vAlign w:val="bottom"/>
            <w:shd w:val="clear" w:color="auto" w:fill="004483"/>
          </w:tcPr>
          <w:p>
            <w:pPr>
              <w:spacing w:after="0"/>
              <w:rPr>
                <w:sz w:val="2"/>
                <w:szCs w:val="2"/>
                <w:color w:val="auto"/>
              </w:rPr>
            </w:pPr>
          </w:p>
        </w:tc>
        <w:tc>
          <w:tcPr>
            <w:tcW w:w="900" w:type="dxa"/>
            <w:vAlign w:val="bottom"/>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A6A6A6"/>
          </w:tcPr>
          <w:p>
            <w:pPr>
              <w:spacing w:after="0"/>
              <w:rPr>
                <w:sz w:val="2"/>
                <w:szCs w:val="2"/>
                <w:color w:val="auto"/>
              </w:rPr>
            </w:pPr>
          </w:p>
        </w:tc>
        <w:tc>
          <w:tcPr>
            <w:tcW w:w="740" w:type="dxa"/>
            <w:vAlign w:val="bottom"/>
            <w:shd w:val="clear" w:color="auto" w:fill="004483"/>
          </w:tcPr>
          <w:p>
            <w:pPr>
              <w:spacing w:after="0"/>
              <w:rPr>
                <w:sz w:val="2"/>
                <w:szCs w:val="2"/>
                <w:color w:val="auto"/>
              </w:rPr>
            </w:pPr>
          </w:p>
        </w:tc>
        <w:tc>
          <w:tcPr>
            <w:tcW w:w="580" w:type="dxa"/>
            <w:vAlign w:val="bottom"/>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01" w:lineRule="exact"/>
        <w:rPr>
          <w:sz w:val="20"/>
          <w:szCs w:val="20"/>
          <w:color w:val="auto"/>
        </w:rPr>
      </w:pPr>
    </w:p>
    <w:p>
      <w:pPr>
        <w:jc w:val="both"/>
        <w:ind w:right="120"/>
        <w:spacing w:after="0" w:line="269" w:lineRule="auto"/>
        <w:rPr>
          <w:sz w:val="20"/>
          <w:szCs w:val="20"/>
          <w:color w:val="auto"/>
        </w:rPr>
      </w:pPr>
      <w:r>
        <w:rPr>
          <w:rFonts w:ascii="Arial" w:cs="Arial" w:eastAsia="Arial" w:hAnsi="Arial"/>
          <w:sz w:val="12"/>
          <w:szCs w:val="12"/>
          <w:color w:val="auto"/>
        </w:rPr>
        <w:t>Revenue increased by $57.4 million, or 15%, to $428.0 million for the three months ended June 30, 2020. The Kosmos and ConAgg Acquisitions contributed $57.6 million of Revenue for the three months ended June 30, 2020, while Western and Mathews contributed $7.8 million of Revenue for the three months ended June 30, 2019. Excluding the acquisitions and dispositions, Revenue improved by $7.6 million, or 2%. The increase in Revenue was due to higher Sales Volume, which positively affected Revenue by approximately $8.0 million. This was partially offset by lower gross sale prices, which negatively affected Revenue by $0.4 million.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GOODS SOLD</w:t>
      </w:r>
    </w:p>
    <w:p>
      <w:pPr>
        <w:spacing w:after="0" w:line="101"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Cost of Goods Sold increased by $31.7 million, or 11%, to $327.0 million for the three months ended June 30, 2020. The Kosmos and ConAgg Acquisitions contributed $46.3 million of Cost of Goods Sold for the three months ended June 30, 2020, while Western and Mathews contributed $6.8 million of Cost of Goods Sold for the three months ended June 30, 2019. Excluding the acquisitions and dispositions, Cost of Goods Sold decreased by $7.8 million, or 3%. The decline in Cost of Goods Sold was due to the reduction in operating costs of approximately $18.9 million, partially offset by increased Cost of Goods Sold related to increased Sales Volume of $11.1 million. The reduction in operating costs was primarily related to our Cement, Gypsum Wallboard and Oil and Gas Proppants segments, which are discussed further on pages 31-35.</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PROFIT</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Gross Profit increased 34% to $101.0 million during the three months ended June 30, 2020. Excluding the acquisitions and dispositions, Gross Profit increased by $15.3 million, or 21%. The increase in Gross Profit was primarily due to lower operating expenses and increased Sales Volume, partially offset by lower gross sales prices. The gross margin increased to 24% from 21%, primarily because of lower operating expenses, partially offset by lower gross sales prices.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IN EARNINGS OF UNCONSOLIDATED JOINT VENTURE</w:t>
      </w:r>
    </w:p>
    <w:p>
      <w:pPr>
        <w:spacing w:after="0" w:line="101"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Equity in Earnings of our Unconsolidated Joint Venture decreased $1.6 million, or 17%, for the three months ended June 30, 2020. The decline was primarily due to lower net sales prices and Sales Volume, which adversely affected earnings by approximately $0.3 million and $0.5 million, respectively, as well as increased operating costs, which decreased operating earnings by approximately $0.8 million. The increase in operating costs was primarily due to maintenance, which increased by approximately $0.7 million.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6"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CORPORATE GENERAL AND ADMINISTRATIVE</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Corporate General and Administrative expenses declined by approximately $3.5 million, or 16%, for the three months ended June 30, 2020. The decrease was primarily because of lower salary and incentive compensation costs and promotion and travel costs of approximately $4.1 million and $0.5 million, respectively. This was partially offset by increased professional costs of $0.7 million incurred in connection with the Kosmos Acquisition and the sale of Mathews and Western. The lower salary and incentive compensation costs were primarily due to the acceleration of stock compensation costs of $5.3 million upon the retirement of our Chief Executive Officer in the first quarter of fiscal 2020.</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GAIN ON SALE OF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On April 17, 2020 we sold Western and Mathews for approximately $93.5 million. See Footnote (D) to the Unaudited Consolidated Financial Statements for more information regarding the sale.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NON-OPERATING INCOME (LOSS)</w:t>
      </w:r>
    </w:p>
    <w:p>
      <w:pPr>
        <w:spacing w:after="0" w:line="101" w:lineRule="exact"/>
        <w:rPr>
          <w:sz w:val="20"/>
          <w:szCs w:val="20"/>
          <w:color w:val="auto"/>
        </w:rPr>
      </w:pPr>
    </w:p>
    <w:p>
      <w:pPr>
        <w:ind w:right="140"/>
        <w:spacing w:after="0" w:line="277" w:lineRule="auto"/>
        <w:rPr>
          <w:sz w:val="20"/>
          <w:szCs w:val="20"/>
          <w:color w:val="auto"/>
        </w:rPr>
      </w:pPr>
      <w:r>
        <w:rPr>
          <w:rFonts w:ascii="Arial" w:cs="Arial" w:eastAsia="Arial" w:hAnsi="Arial"/>
          <w:sz w:val="12"/>
          <w:szCs w:val="12"/>
          <w:color w:val="auto"/>
        </w:rPr>
        <w:t>Other Non-Operating Income (Loss) consists of a variety of items that are unrelated to segment operations and include non-inventoried aggregates income, asset sales, and other miscellaneous income and cost items.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EXPENSE, NET</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Interest Expense, net increased by approximately $5.2 million, or 59%, during the three months ended June 30, 2020. The increase in Interest Expense, net was primarily due to higher interest on borrowings under our Revolving Credit Facility, Term Loan, and amortization of related debt issuances costs of approximately $0.5 million, $4.5 million, and $0.8 million, respectively. These increases were partially offset by lower interest on our Unsecured Private Placement Notes of $0.6 million, which were paid in full in fiscal 2020. The Term Loan was entered into in February 2020 to fund the Kosmos Acquisition. The increase in debt issuance costs was related to the issuance of the Term Loan and the amendment of both the Revolving Credit Facility and the Term Loan in April 2020.</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BEFORE INCOME TAXES</w:t>
      </w:r>
    </w:p>
    <w:p>
      <w:pPr>
        <w:spacing w:after="0" w:line="101"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Earnings Before Income Taxes increased to $128.8 million during the three months ended June 30, 2020, primarily as a result of higher Gross Profit and Gain on Sale of Businesses, and lower Corporate General and Administrative Expense. This was partially offset by lower Equity in Earnings of Unconsolidated Joint Venture and increased Interest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w:t>
      </w:r>
    </w:p>
    <w:p>
      <w:pPr>
        <w:spacing w:after="0" w:line="101"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Income Tax Expense increased 140% to $32.6 million for the three months ended June 30, 2020, primarily related to changes in pre-tax income. The effective tax rate was constant at 25% year over year. The increase in income tax expense was primarily because of higher pre-tax income for the three months ended June 30, 2020.</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EARNINGS AND DILUTED EARNINGS PER SHARE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Net Earnings increased 133% to $96.2 million for the three months ended June 30, 2020. Diluted Earnings per Share increased 146% to $2.31 per share.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JUNE 30, 2020 vs. THREE MONTHS ENDED JUNE 30, 2019 BY SEGMENT</w:t>
      </w:r>
    </w:p>
    <w:p>
      <w:pPr>
        <w:spacing w:after="0" w:line="101" w:lineRule="exact"/>
        <w:rPr>
          <w:sz w:val="20"/>
          <w:szCs w:val="20"/>
          <w:color w:val="auto"/>
        </w:rPr>
      </w:pPr>
    </w:p>
    <w:p>
      <w:pPr>
        <w:ind w:right="140"/>
        <w:spacing w:after="0" w:line="277" w:lineRule="auto"/>
        <w:rPr>
          <w:sz w:val="20"/>
          <w:szCs w:val="20"/>
          <w:color w:val="auto"/>
        </w:rPr>
      </w:pPr>
      <w:r>
        <w:rPr>
          <w:rFonts w:ascii="Arial" w:cs="Arial" w:eastAsia="Arial" w:hAnsi="Arial"/>
          <w:sz w:val="12"/>
          <w:szCs w:val="12"/>
          <w:color w:val="auto"/>
        </w:rPr>
        <w:t>The following presents results within our three business sectors for the three months ended June 30, 2020 and 2019. Revenue and operating results are organized by sector and discussed by individual business segment within each respective business sector.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32" w:name="page33"/>
    <w:bookmarkEnd w:id="32"/>
    <w:p>
      <w:pPr>
        <w:ind w:left="8"/>
        <w:spacing w:after="0"/>
        <w:rPr>
          <w:sz w:val="20"/>
          <w:szCs w:val="20"/>
          <w:color w:val="auto"/>
        </w:rPr>
      </w:pPr>
      <w:r>
        <w:rPr>
          <w:rFonts w:ascii="Arial" w:cs="Arial" w:eastAsia="Arial" w:hAnsi="Arial"/>
          <w:sz w:val="12"/>
          <w:szCs w:val="12"/>
          <w:b w:val="1"/>
          <w:bCs w:val="1"/>
          <w:u w:val="single" w:color="auto"/>
          <w:color w:val="auto"/>
        </w:rPr>
        <w:t>Heavy Materials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CEMENT </w:t>
      </w:r>
      <w:r>
        <w:rPr>
          <w:rFonts w:ascii="Arial" w:cs="Arial" w:eastAsia="Arial" w:hAnsi="Arial"/>
          <w:sz w:val="20"/>
          <w:szCs w:val="20"/>
          <w:b w:val="1"/>
          <w:bCs w:val="1"/>
          <w:color w:val="auto"/>
          <w:vertAlign w:val="superscript"/>
        </w:rPr>
        <w:t>(1)</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00" w:type="dxa"/>
            <w:vAlign w:val="bottom"/>
            <w:tcBorders>
              <w:bottom w:val="single" w:sz="8" w:color="auto"/>
            </w:tcBorders>
            <w:shd w:val="clear" w:color="auto" w:fill="004483"/>
          </w:tcPr>
          <w:p>
            <w:pPr>
              <w:spacing w:after="0"/>
              <w:rPr>
                <w:sz w:val="13"/>
                <w:szCs w:val="13"/>
                <w:color w:val="auto"/>
              </w:rPr>
            </w:pPr>
          </w:p>
        </w:tc>
        <w:tc>
          <w:tcPr>
            <w:tcW w:w="1960" w:type="dxa"/>
            <w:vAlign w:val="bottom"/>
            <w:tcBorders>
              <w:bottom w:val="single" w:sz="8" w:color="auto"/>
            </w:tcBorders>
            <w:gridSpan w:val="4"/>
            <w:shd w:val="clear" w:color="auto" w:fill="004483"/>
          </w:tcPr>
          <w:p>
            <w:pPr>
              <w:jc w:val="right"/>
              <w:ind w:right="220"/>
              <w:spacing w:after="0"/>
              <w:rPr>
                <w:sz w:val="20"/>
                <w:szCs w:val="20"/>
                <w:color w:val="auto"/>
              </w:rPr>
            </w:pPr>
            <w:r>
              <w:rPr>
                <w:rFonts w:ascii="Arial" w:cs="Arial" w:eastAsia="Arial" w:hAnsi="Arial"/>
                <w:sz w:val="8"/>
                <w:szCs w:val="8"/>
                <w:b w:val="1"/>
                <w:bCs w:val="1"/>
                <w:color w:val="FFFFFF"/>
              </w:rPr>
              <w:t>For the Three Months Ended June 30,</w:t>
            </w:r>
          </w:p>
        </w:tc>
        <w:tc>
          <w:tcPr>
            <w:tcW w:w="5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00" w:type="dxa"/>
            <w:vAlign w:val="bottom"/>
            <w:tcBorders>
              <w:bottom w:val="single" w:sz="8" w:color="17385E"/>
            </w:tcBorders>
          </w:tcPr>
          <w:p>
            <w:pPr>
              <w:spacing w:after="0"/>
              <w:rPr>
                <w:sz w:val="8"/>
                <w:szCs w:val="8"/>
                <w:color w:val="auto"/>
              </w:rPr>
            </w:pPr>
          </w:p>
        </w:tc>
        <w:tc>
          <w:tcPr>
            <w:tcW w:w="1960" w:type="dxa"/>
            <w:vAlign w:val="bottom"/>
            <w:tcBorders>
              <w:bottom w:val="single" w:sz="8" w:color="17385E"/>
            </w:tcBorders>
            <w:gridSpan w:val="4"/>
          </w:tcPr>
          <w:p>
            <w:pPr>
              <w:jc w:val="right"/>
              <w:ind w:right="200"/>
              <w:spacing w:after="0"/>
              <w:rPr>
                <w:sz w:val="20"/>
                <w:szCs w:val="20"/>
                <w:color w:val="auto"/>
              </w:rPr>
            </w:pPr>
            <w:r>
              <w:rPr>
                <w:rFonts w:ascii="Arial" w:cs="Arial" w:eastAsia="Arial" w:hAnsi="Arial"/>
                <w:sz w:val="8"/>
                <w:szCs w:val="8"/>
                <w:color w:val="auto"/>
              </w:rPr>
              <w:t>(in thousands, except per ton information)</w:t>
            </w:r>
          </w:p>
        </w:tc>
        <w:tc>
          <w:tcPr>
            <w:tcW w:w="56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Gross Revenue, including Intersegment and Joint Venture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261,411</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195,313</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34%</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Less Intersegment Revenue</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(6,031)</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(4,253)</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Less Joint Venture Revenue</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(25,300)</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(27,505)</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(8)%</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5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230,080</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163,555</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41%</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Freight and Delivery Costs billed to Customers</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(16,969)</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(12,896)</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5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Net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213,111</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150,659</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41%</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60" w:type="dxa"/>
            <w:vAlign w:val="bottom"/>
            <w:tcBorders>
              <w:top w:val="single" w:sz="8" w:color="A6A6A6"/>
              <w:bottom w:val="single" w:sz="8" w:color="A6A6A6"/>
            </w:tcBorders>
          </w:tcPr>
          <w:p>
            <w:pPr>
              <w:spacing w:after="0"/>
              <w:rPr>
                <w:sz w:val="11"/>
                <w:szCs w:val="11"/>
                <w:color w:val="auto"/>
              </w:rPr>
            </w:pPr>
          </w:p>
        </w:tc>
        <w:tc>
          <w:tcPr>
            <w:tcW w:w="56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Sales Volume (M Tons)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2,085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1,550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35%</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auto"/>
              </w:rPr>
              <w:t xml:space="preserve">Average Net Sales Price, per ton </w:t>
            </w:r>
            <w:r>
              <w:rPr>
                <w:rFonts w:ascii="Arial" w:cs="Arial" w:eastAsia="Arial" w:hAnsi="Arial"/>
                <w:sz w:val="15"/>
                <w:szCs w:val="15"/>
                <w:color w:val="auto"/>
                <w:vertAlign w:val="superscript"/>
              </w:rPr>
              <w:t>(2)</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109.10</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109.70</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Operating Margin,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29.00</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23.30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24%</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Operating Earnings</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60,455</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36,121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67%</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5" w:lineRule="exact"/>
        <w:rPr>
          <w:sz w:val="20"/>
          <w:szCs w:val="20"/>
          <w:color w:val="auto"/>
        </w:rPr>
      </w:pPr>
    </w:p>
    <w:p>
      <w:pPr>
        <w:ind w:left="148" w:hanging="148"/>
        <w:spacing w:after="0"/>
        <w:tabs>
          <w:tab w:leader="none" w:pos="148" w:val="left"/>
        </w:tabs>
        <w:numPr>
          <w:ilvl w:val="0"/>
          <w:numId w:val="7"/>
        </w:numPr>
        <w:rPr>
          <w:rFonts w:ascii="Arial" w:cs="Arial" w:eastAsia="Arial" w:hAnsi="Arial"/>
          <w:sz w:val="10"/>
          <w:szCs w:val="10"/>
          <w:color w:val="auto"/>
        </w:rPr>
      </w:pPr>
      <w:r>
        <w:rPr>
          <w:rFonts w:ascii="Arial" w:cs="Arial" w:eastAsia="Arial" w:hAnsi="Arial"/>
          <w:sz w:val="10"/>
          <w:szCs w:val="10"/>
          <w:color w:val="auto"/>
        </w:rPr>
        <w:t>Total of wholly owned subsidiaries and proportionately consolidated 50% interest of the Joint Venture’s results.</w:t>
      </w:r>
    </w:p>
    <w:p>
      <w:pPr>
        <w:spacing w:after="0" w:line="2" w:lineRule="exact"/>
        <w:rPr>
          <w:rFonts w:ascii="Arial" w:cs="Arial" w:eastAsia="Arial" w:hAnsi="Arial"/>
          <w:sz w:val="10"/>
          <w:szCs w:val="10"/>
          <w:color w:val="auto"/>
        </w:rPr>
      </w:pPr>
    </w:p>
    <w:p>
      <w:pPr>
        <w:ind w:left="148" w:hanging="148"/>
        <w:spacing w:after="0"/>
        <w:tabs>
          <w:tab w:leader="none" w:pos="14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of freight per ton, including Joint Venture.</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2"/>
          <w:szCs w:val="12"/>
          <w:color w:val="auto"/>
        </w:rPr>
        <w:t>Cement Revenue was $261.4 million, a 34% increase, for the three months ended June 30, 2020. Excluding $47.6 million of Revenue related to the Kosmos Acquisition, Revenue increased $18.5 million, or 10%.</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Excluding the Kosmos Acquisition, the increase was primarily due to higher gross sales prices and Sales Volume, which improved Cement Revenue by approximately $3.8 million and $14.7 million, respectively.</w:t>
      </w:r>
    </w:p>
    <w:p>
      <w:pPr>
        <w:spacing w:after="0" w:line="87" w:lineRule="exact"/>
        <w:rPr>
          <w:sz w:val="20"/>
          <w:szCs w:val="20"/>
          <w:color w:val="auto"/>
        </w:rPr>
      </w:pPr>
    </w:p>
    <w:p>
      <w:pPr>
        <w:ind w:left="8" w:right="80"/>
        <w:spacing w:after="0" w:line="268" w:lineRule="auto"/>
        <w:rPr>
          <w:sz w:val="20"/>
          <w:szCs w:val="20"/>
          <w:color w:val="auto"/>
        </w:rPr>
      </w:pPr>
      <w:r>
        <w:rPr>
          <w:rFonts w:ascii="Arial" w:cs="Arial" w:eastAsia="Arial" w:hAnsi="Arial"/>
          <w:sz w:val="12"/>
          <w:szCs w:val="12"/>
          <w:color w:val="auto"/>
        </w:rPr>
        <w:t>Cement Operating Earnings increased by 67% to $60.5 million for the three months ended June 30, 2020. Excluding $10.5 million of Operating Earnings related to the Kosmos Acquisition, Operating Earnings increased $13.9 million, or 39%. The increase was due to higher gross sales prices and Sales Volume, and lower operating costs, which positively affected Operating Earnings by approximately $3.8 million, $1.8 million, and $8.2 million, respectively. The decline in operating costs was primarily because of lower maintenance and energy costs of approximately $8.0 million and $2.2 million, respectively, partially offset by higher purchased raw materials costs of $2.5 million. Due to the uncertainty of the impact of the COVID-19 pandemic, we modified the timing and extent of our annual cement maintenance outages. Approximately $6.0 million of the anticipated maintenance costs have been deferred to the fiscal second and third quarters. The operating margin increased to 23% from 18%, primarily because of lower operating costs and higher gross sales prices.</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467"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CONCRETE AND AGGREGATES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20" w:type="dxa"/>
            <w:vAlign w:val="bottom"/>
            <w:tcBorders>
              <w:bottom w:val="single" w:sz="8" w:color="auto"/>
            </w:tcBorders>
            <w:shd w:val="clear" w:color="auto" w:fill="004483"/>
          </w:tcPr>
          <w:p>
            <w:pPr>
              <w:spacing w:after="0"/>
              <w:rPr>
                <w:sz w:val="13"/>
                <w:szCs w:val="13"/>
                <w:color w:val="auto"/>
              </w:rPr>
            </w:pPr>
          </w:p>
        </w:tc>
        <w:tc>
          <w:tcPr>
            <w:tcW w:w="1960" w:type="dxa"/>
            <w:vAlign w:val="bottom"/>
            <w:tcBorders>
              <w:bottom w:val="single" w:sz="8" w:color="auto"/>
            </w:tcBorders>
            <w:gridSpan w:val="4"/>
            <w:shd w:val="clear" w:color="auto" w:fill="004483"/>
          </w:tcPr>
          <w:p>
            <w:pPr>
              <w:jc w:val="right"/>
              <w:ind w:right="240"/>
              <w:spacing w:after="0"/>
              <w:rPr>
                <w:sz w:val="20"/>
                <w:szCs w:val="20"/>
                <w:color w:val="auto"/>
              </w:rPr>
            </w:pPr>
            <w:r>
              <w:rPr>
                <w:rFonts w:ascii="Arial" w:cs="Arial" w:eastAsia="Arial" w:hAnsi="Arial"/>
                <w:sz w:val="8"/>
                <w:szCs w:val="8"/>
                <w:b w:val="1"/>
                <w:bCs w:val="1"/>
                <w:color w:val="FFFFFF"/>
              </w:rPr>
              <w:t>For the Three Months Ended June 30,</w:t>
            </w:r>
          </w:p>
        </w:tc>
        <w:tc>
          <w:tcPr>
            <w:tcW w:w="54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20" w:type="dxa"/>
            <w:vAlign w:val="bottom"/>
            <w:tcBorders>
              <w:bottom w:val="single" w:sz="8" w:color="17385E"/>
            </w:tcBorders>
          </w:tcPr>
          <w:p>
            <w:pPr>
              <w:spacing w:after="0"/>
              <w:rPr>
                <w:sz w:val="8"/>
                <w:szCs w:val="8"/>
                <w:color w:val="auto"/>
              </w:rPr>
            </w:pPr>
          </w:p>
        </w:tc>
        <w:tc>
          <w:tcPr>
            <w:tcW w:w="1960" w:type="dxa"/>
            <w:vAlign w:val="bottom"/>
            <w:tcBorders>
              <w:bottom w:val="single" w:sz="8" w:color="17385E"/>
            </w:tcBorders>
            <w:gridSpan w:val="4"/>
          </w:tcPr>
          <w:p>
            <w:pPr>
              <w:jc w:val="right"/>
              <w:ind w:right="280"/>
              <w:spacing w:after="0"/>
              <w:rPr>
                <w:sz w:val="20"/>
                <w:szCs w:val="20"/>
                <w:color w:val="auto"/>
              </w:rPr>
            </w:pPr>
            <w:r>
              <w:rPr>
                <w:rFonts w:ascii="Arial" w:cs="Arial" w:eastAsia="Arial" w:hAnsi="Arial"/>
                <w:sz w:val="8"/>
                <w:szCs w:val="8"/>
                <w:color w:val="auto"/>
              </w:rPr>
              <w:t>(in thousands, except net sales prices)</w:t>
            </w:r>
          </w:p>
        </w:tc>
        <w:tc>
          <w:tcPr>
            <w:tcW w:w="54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Gross Revenue, including intersegment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44,190</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39,778</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Less intersegment Revenue</w:t>
            </w:r>
          </w:p>
        </w:tc>
        <w:tc>
          <w:tcPr>
            <w:tcW w:w="42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(106)</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(377)</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(72)%</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004483"/>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44,084</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39,401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12%</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2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Sales Volume -</w:t>
            </w:r>
          </w:p>
        </w:tc>
        <w:tc>
          <w:tcPr>
            <w:tcW w:w="42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auto"/>
              </w:rPr>
              <w:t>M Cubic Yards of Concrete</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348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12%</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auto"/>
              </w:rPr>
              <w:t>M Tons of Aggregate</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799</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(41)%</w:t>
            </w:r>
          </w:p>
        </w:tc>
      </w:tr>
      <w:tr>
        <w:trPr>
          <w:trHeight w:val="133"/>
        </w:trPr>
        <w:tc>
          <w:tcPr>
            <w:tcW w:w="66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Average Net Sales Price -</w:t>
            </w:r>
          </w:p>
        </w:tc>
        <w:tc>
          <w:tcPr>
            <w:tcW w:w="42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auto"/>
              </w:rPr>
              <w:t>Concrete - Per Cubic Yard</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113.61</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103.52</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10%</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auto"/>
              </w:rPr>
              <w:t>Aggregates - Per Ton</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9.77</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9.66</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r>
      <w:tr>
        <w:trPr>
          <w:trHeight w:val="144"/>
        </w:trPr>
        <w:tc>
          <w:tcPr>
            <w:tcW w:w="6640" w:type="dxa"/>
            <w:vAlign w:val="bottom"/>
            <w:tcBorders>
              <w:top w:val="single" w:sz="8" w:color="A6A6A6"/>
              <w:bottom w:val="single" w:sz="8" w:color="A6A6A6"/>
            </w:tcBorders>
          </w:tcPr>
          <w:p>
            <w:pPr>
              <w:spacing w:after="0"/>
              <w:rPr>
                <w:sz w:val="12"/>
                <w:szCs w:val="12"/>
                <w:color w:val="auto"/>
              </w:rPr>
            </w:pPr>
          </w:p>
        </w:tc>
        <w:tc>
          <w:tcPr>
            <w:tcW w:w="420" w:type="dxa"/>
            <w:vAlign w:val="bottom"/>
            <w:tcBorders>
              <w:top w:val="single" w:sz="8" w:color="A6A6A6"/>
              <w:bottom w:val="single" w:sz="8" w:color="A6A6A6"/>
            </w:tcBorders>
          </w:tcPr>
          <w:p>
            <w:pPr>
              <w:spacing w:after="0"/>
              <w:rPr>
                <w:sz w:val="12"/>
                <w:szCs w:val="12"/>
                <w:color w:val="auto"/>
              </w:rPr>
            </w:pPr>
          </w:p>
        </w:tc>
        <w:tc>
          <w:tcPr>
            <w:tcW w:w="90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6A6A6"/>
              <w:bottom w:val="single" w:sz="8" w:color="A6A6A6"/>
            </w:tcBorders>
          </w:tcPr>
          <w:p>
            <w:pPr>
              <w:spacing w:after="0"/>
              <w:rPr>
                <w:sz w:val="12"/>
                <w:szCs w:val="12"/>
                <w:color w:val="auto"/>
              </w:rPr>
            </w:pPr>
          </w:p>
        </w:tc>
        <w:tc>
          <w:tcPr>
            <w:tcW w:w="780" w:type="dxa"/>
            <w:vAlign w:val="bottom"/>
            <w:tcBorders>
              <w:top w:val="single" w:sz="8" w:color="A6A6A6"/>
              <w:bottom w:val="single" w:sz="8" w:color="A6A6A6"/>
            </w:tcBorders>
          </w:tcPr>
          <w:p>
            <w:pPr>
              <w:spacing w:after="0"/>
              <w:rPr>
                <w:sz w:val="12"/>
                <w:szCs w:val="12"/>
                <w:color w:val="auto"/>
              </w:rPr>
            </w:pPr>
          </w:p>
        </w:tc>
        <w:tc>
          <w:tcPr>
            <w:tcW w:w="540" w:type="dxa"/>
            <w:vAlign w:val="bottom"/>
            <w:tcBorders>
              <w:top w:val="single" w:sz="8" w:color="A6A6A6"/>
              <w:bottom w:val="single" w:sz="8" w:color="A6A6A6"/>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Operating Earnings</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5,418</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4,434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22%</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Concrete and Aggregates Revenue increased 11% to $44.2 million for the three months ended June 30, 2020. Excluding Revenue related to the ConAgg Acquisition in fiscal 2021, and Western and Mathews in fiscal 2021 and 2020, Revenue increased $0.7 million, or 2%. The primary reason for the increase in Revenue was higher gross sales prices, which increased Revenue by $1.9 million. This was partially offset by lower Sales Volume, which reduced Revenue by $1.2 million.</w:t>
      </w:r>
    </w:p>
    <w:p>
      <w:pPr>
        <w:spacing w:after="0" w:line="64"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Operating Earnings increased 22% to approximately $5.4 million. Excluding Operating Earnings related to the ConAgg Acquisition in fiscal 2021, and Western and Mathews in fiscal 2021 and 2020, Operating Earnings increased $1.1 million, or 32%. The increase was a result of higher gross sales prices, which positively affected Operating Earnings by approximately $1.9 million. This was partially offset by lower Sales Volume and higher operating costs of approximately $0.2 million and $0.6 million, respectively. The operating costs increase was primarily due to higher cost of materials of approximately $0.6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auto"/>
        </w:rPr>
        <w:t>Light Materials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GYPSUM WALLBOARD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360" w:type="dxa"/>
            <w:vAlign w:val="bottom"/>
            <w:tcBorders>
              <w:bottom w:val="single" w:sz="8" w:color="auto"/>
            </w:tcBorders>
            <w:shd w:val="clear" w:color="auto" w:fill="004483"/>
          </w:tcPr>
          <w:p>
            <w:pPr>
              <w:spacing w:after="0"/>
              <w:rPr>
                <w:sz w:val="13"/>
                <w:szCs w:val="13"/>
                <w:color w:val="auto"/>
              </w:rPr>
            </w:pPr>
          </w:p>
        </w:tc>
        <w:tc>
          <w:tcPr>
            <w:tcW w:w="2040" w:type="dxa"/>
            <w:vAlign w:val="bottom"/>
            <w:tcBorders>
              <w:bottom w:val="single" w:sz="8" w:color="auto"/>
            </w:tcBorders>
            <w:gridSpan w:val="4"/>
            <w:shd w:val="clear" w:color="auto" w:fill="004483"/>
          </w:tcPr>
          <w:p>
            <w:pPr>
              <w:jc w:val="right"/>
              <w:ind w:right="260"/>
              <w:spacing w:after="0"/>
              <w:rPr>
                <w:sz w:val="20"/>
                <w:szCs w:val="20"/>
                <w:color w:val="auto"/>
              </w:rPr>
            </w:pPr>
            <w:r>
              <w:rPr>
                <w:rFonts w:ascii="Arial" w:cs="Arial" w:eastAsia="Arial" w:hAnsi="Arial"/>
                <w:sz w:val="8"/>
                <w:szCs w:val="8"/>
                <w:b w:val="1"/>
                <w:bCs w:val="1"/>
                <w:color w:val="FFFFFF"/>
              </w:rPr>
              <w:t>For the Three Months Ended June 30,</w:t>
            </w:r>
          </w:p>
        </w:tc>
        <w:tc>
          <w:tcPr>
            <w:tcW w:w="52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360" w:type="dxa"/>
            <w:vAlign w:val="bottom"/>
            <w:tcBorders>
              <w:bottom w:val="single" w:sz="8" w:color="17385E"/>
            </w:tcBorders>
          </w:tcPr>
          <w:p>
            <w:pPr>
              <w:spacing w:after="0"/>
              <w:rPr>
                <w:sz w:val="8"/>
                <w:szCs w:val="8"/>
                <w:color w:val="auto"/>
              </w:rPr>
            </w:pPr>
          </w:p>
        </w:tc>
        <w:tc>
          <w:tcPr>
            <w:tcW w:w="2040" w:type="dxa"/>
            <w:vAlign w:val="bottom"/>
            <w:tcBorders>
              <w:bottom w:val="single" w:sz="8" w:color="17385E"/>
            </w:tcBorders>
            <w:gridSpan w:val="4"/>
          </w:tcPr>
          <w:p>
            <w:pPr>
              <w:jc w:val="right"/>
              <w:ind w:right="160"/>
              <w:spacing w:after="0"/>
              <w:rPr>
                <w:sz w:val="20"/>
                <w:szCs w:val="20"/>
                <w:color w:val="auto"/>
              </w:rPr>
            </w:pPr>
            <w:r>
              <w:rPr>
                <w:rFonts w:ascii="Arial" w:cs="Arial" w:eastAsia="Arial" w:hAnsi="Arial"/>
                <w:sz w:val="8"/>
                <w:szCs w:val="8"/>
                <w:color w:val="auto"/>
              </w:rPr>
              <w:t>(in thousands, except per MMSF information)</w:t>
            </w:r>
          </w:p>
        </w:tc>
        <w:tc>
          <w:tcPr>
            <w:tcW w:w="52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130,150</w:t>
            </w:r>
          </w:p>
        </w:tc>
        <w:tc>
          <w:tcPr>
            <w:tcW w:w="120" w:type="dxa"/>
            <w:vAlign w:val="bottom"/>
          </w:tcPr>
          <w:p>
            <w:pPr>
              <w:spacing w:after="0"/>
              <w:rPr>
                <w:sz w:val="11"/>
                <w:szCs w:val="11"/>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126,724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Freight and Delivery Costs billed to Customers</w:t>
            </w:r>
          </w:p>
        </w:tc>
        <w:tc>
          <w:tcPr>
            <w:tcW w:w="360" w:type="dxa"/>
            <w:vAlign w:val="bottom"/>
          </w:tcPr>
          <w:p>
            <w:pPr>
              <w:spacing w:after="0"/>
              <w:rPr>
                <w:sz w:val="11"/>
                <w:szCs w:val="1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1"/>
                <w:szCs w:val="11"/>
                <w:color w:val="auto"/>
              </w:rPr>
              <w:t>(27,122)</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(27,100)</w:t>
            </w:r>
          </w:p>
        </w:tc>
        <w:tc>
          <w:tcPr>
            <w:tcW w:w="1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004483"/>
          </w:tcPr>
          <w:p>
            <w:pPr>
              <w:spacing w:after="0" w:line="20" w:lineRule="exact"/>
              <w:rPr>
                <w:sz w:val="1"/>
                <w:szCs w:val="1"/>
                <w:color w:val="auto"/>
              </w:rPr>
            </w:pPr>
          </w:p>
        </w:tc>
        <w:tc>
          <w:tcPr>
            <w:tcW w:w="9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004483"/>
          </w:tcPr>
          <w:p>
            <w:pPr>
              <w:spacing w:after="0" w:line="20" w:lineRule="exact"/>
              <w:rPr>
                <w:sz w:val="1"/>
                <w:szCs w:val="1"/>
                <w:color w:val="auto"/>
              </w:rPr>
            </w:pPr>
          </w:p>
        </w:tc>
        <w:tc>
          <w:tcPr>
            <w:tcW w:w="5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Net Revenue</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103,028</w:t>
            </w:r>
          </w:p>
        </w:tc>
        <w:tc>
          <w:tcPr>
            <w:tcW w:w="120" w:type="dxa"/>
            <w:vAlign w:val="bottom"/>
          </w:tcPr>
          <w:p>
            <w:pPr>
              <w:spacing w:after="0"/>
              <w:rPr>
                <w:sz w:val="11"/>
                <w:szCs w:val="11"/>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99,624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360" w:type="dxa"/>
            <w:vAlign w:val="bottom"/>
            <w:tcBorders>
              <w:top w:val="single" w:sz="8" w:color="A6A6A6"/>
              <w:bottom w:val="single" w:sz="8" w:color="A6A6A6"/>
            </w:tcBorders>
          </w:tcPr>
          <w:p>
            <w:pPr>
              <w:spacing w:after="0"/>
              <w:rPr>
                <w:sz w:val="11"/>
                <w:szCs w:val="11"/>
                <w:color w:val="auto"/>
              </w:rPr>
            </w:pPr>
          </w:p>
        </w:tc>
        <w:tc>
          <w:tcPr>
            <w:tcW w:w="96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spacing w:after="0"/>
              <w:rPr>
                <w:sz w:val="11"/>
                <w:szCs w:val="11"/>
                <w:color w:val="auto"/>
              </w:rPr>
            </w:pPr>
          </w:p>
        </w:tc>
        <w:tc>
          <w:tcPr>
            <w:tcW w:w="52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Sales Volume (MMSF)</w:t>
            </w:r>
          </w:p>
        </w:tc>
        <w:tc>
          <w:tcPr>
            <w:tcW w:w="3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704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660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7%</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auto"/>
              </w:rPr>
              <w:t xml:space="preserve">Average Net Sales Price, per MMSF </w:t>
            </w:r>
            <w:r>
              <w:rPr>
                <w:rFonts w:ascii="Arial" w:cs="Arial" w:eastAsia="Arial" w:hAnsi="Arial"/>
                <w:sz w:val="15"/>
                <w:szCs w:val="15"/>
                <w:color w:val="auto"/>
                <w:vertAlign w:val="superscript"/>
              </w:rPr>
              <w:t>(1)</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146.28</w:t>
            </w:r>
          </w:p>
        </w:tc>
        <w:tc>
          <w:tcPr>
            <w:tcW w:w="120" w:type="dxa"/>
            <w:vAlign w:val="bottom"/>
          </w:tcPr>
          <w:p>
            <w:pPr>
              <w:spacing w:after="0"/>
              <w:rPr>
                <w:sz w:val="11"/>
                <w:szCs w:val="11"/>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150.96</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(3)%</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Freight, per MMSF</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38.53</w:t>
            </w:r>
          </w:p>
        </w:tc>
        <w:tc>
          <w:tcPr>
            <w:tcW w:w="120" w:type="dxa"/>
            <w:vAlign w:val="bottom"/>
          </w:tcPr>
          <w:p>
            <w:pPr>
              <w:spacing w:after="0"/>
              <w:rPr>
                <w:sz w:val="11"/>
                <w:szCs w:val="11"/>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41.06</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(6)%</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Operating Margin, per MMSF</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58.70</w:t>
            </w:r>
          </w:p>
        </w:tc>
        <w:tc>
          <w:tcPr>
            <w:tcW w:w="120" w:type="dxa"/>
            <w:vAlign w:val="bottom"/>
          </w:tcPr>
          <w:p>
            <w:pPr>
              <w:spacing w:after="0"/>
              <w:rPr>
                <w:sz w:val="11"/>
                <w:szCs w:val="11"/>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57.47</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Operating Earnings</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41,325</w:t>
            </w:r>
          </w:p>
        </w:tc>
        <w:tc>
          <w:tcPr>
            <w:tcW w:w="120" w:type="dxa"/>
            <w:vAlign w:val="bottom"/>
          </w:tcPr>
          <w:p>
            <w:pPr>
              <w:spacing w:after="0"/>
              <w:rPr>
                <w:sz w:val="11"/>
                <w:szCs w:val="11"/>
                <w:color w:val="auto"/>
              </w:rPr>
            </w:pPr>
          </w:p>
        </w:tc>
        <w:tc>
          <w:tcPr>
            <w:tcW w:w="96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37,932</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9%</w:t>
            </w:r>
          </w:p>
        </w:tc>
      </w:tr>
      <w:tr>
        <w:trPr>
          <w:trHeight w:val="20"/>
        </w:trPr>
        <w:tc>
          <w:tcPr>
            <w:tcW w:w="6640" w:type="dxa"/>
            <w:vAlign w:val="bottom"/>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9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(1) Net of freight per MMSF.</w:t>
      </w:r>
    </w:p>
    <w:p>
      <w:pPr>
        <w:spacing w:after="0" w:line="85"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Gypsum Wallboard Revenue increased 3% to $130.2 million for the three months ended June 30, 2020, primarily related to a 7% increase in Sales Volume. The increase in Sales Volume positively affected Revenue by approximately $8.5 million, partially offset by lower average gross sales prices, which adversely affected Revenue by $5.0 million. Our market share increased during the three months ended June 30, 2020, due to the minimal effect of COVID-19 shutdowns in our markets compared to the national average.</w:t>
      </w:r>
    </w:p>
    <w:p>
      <w:pPr>
        <w:spacing w:after="0" w:line="6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Operating Earnings increased 9% to $41.3 million, primarily due to higher Sales Volume and decrease in operating costs. The increase in Sales Volume and decrease in operating costs positively affected Operating Earnings by approximately $2.6 million and $5.9 million, respectively. This was partially offset by lower gross sales prices, which adversely affected Operating Earnings by approximately $5.0 million. The lower operating costs were primarily related to freight, energy, and paper costs which reduced operating costs by approximately $1.8 million, $1.1 million, and $1.2 million, respectively. The operating margin increased to 32% for the three months ended June 30, 2020, primarily related to lower operating costs, partially offset by lower gross sales prices.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6" w:right="31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RECYCLED PAPERBOARD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00" w:type="dxa"/>
            <w:vAlign w:val="bottom"/>
            <w:tcBorders>
              <w:bottom w:val="single" w:sz="8" w:color="auto"/>
            </w:tcBorders>
            <w:shd w:val="clear" w:color="auto" w:fill="004483"/>
          </w:tcPr>
          <w:p>
            <w:pPr>
              <w:spacing w:after="0"/>
              <w:rPr>
                <w:sz w:val="13"/>
                <w:szCs w:val="13"/>
                <w:color w:val="auto"/>
              </w:rPr>
            </w:pPr>
          </w:p>
        </w:tc>
        <w:tc>
          <w:tcPr>
            <w:tcW w:w="1980" w:type="dxa"/>
            <w:vAlign w:val="bottom"/>
            <w:tcBorders>
              <w:bottom w:val="single" w:sz="8" w:color="auto"/>
            </w:tcBorders>
            <w:gridSpan w:val="4"/>
            <w:shd w:val="clear" w:color="auto" w:fill="004483"/>
          </w:tcPr>
          <w:p>
            <w:pPr>
              <w:jc w:val="right"/>
              <w:ind w:right="240"/>
              <w:spacing w:after="0"/>
              <w:rPr>
                <w:sz w:val="20"/>
                <w:szCs w:val="20"/>
                <w:color w:val="auto"/>
              </w:rPr>
            </w:pPr>
            <w:r>
              <w:rPr>
                <w:rFonts w:ascii="Arial" w:cs="Arial" w:eastAsia="Arial" w:hAnsi="Arial"/>
                <w:sz w:val="8"/>
                <w:szCs w:val="8"/>
                <w:b w:val="1"/>
                <w:bCs w:val="1"/>
                <w:color w:val="FFFFFF"/>
              </w:rPr>
              <w:t>For the Three Months Ended June 30,</w:t>
            </w:r>
          </w:p>
        </w:tc>
        <w:tc>
          <w:tcPr>
            <w:tcW w:w="54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00" w:type="dxa"/>
            <w:vAlign w:val="bottom"/>
            <w:tcBorders>
              <w:bottom w:val="single" w:sz="8" w:color="17385E"/>
            </w:tcBorders>
          </w:tcPr>
          <w:p>
            <w:pPr>
              <w:spacing w:after="0"/>
              <w:rPr>
                <w:sz w:val="8"/>
                <w:szCs w:val="8"/>
                <w:color w:val="auto"/>
              </w:rPr>
            </w:pPr>
          </w:p>
        </w:tc>
        <w:tc>
          <w:tcPr>
            <w:tcW w:w="1980" w:type="dxa"/>
            <w:vAlign w:val="bottom"/>
            <w:tcBorders>
              <w:bottom w:val="single" w:sz="8" w:color="17385E"/>
            </w:tcBorders>
            <w:gridSpan w:val="4"/>
          </w:tcPr>
          <w:p>
            <w:pPr>
              <w:jc w:val="right"/>
              <w:ind w:right="220"/>
              <w:spacing w:after="0"/>
              <w:rPr>
                <w:sz w:val="20"/>
                <w:szCs w:val="20"/>
                <w:color w:val="auto"/>
              </w:rPr>
            </w:pPr>
            <w:r>
              <w:rPr>
                <w:rFonts w:ascii="Arial" w:cs="Arial" w:eastAsia="Arial" w:hAnsi="Arial"/>
                <w:sz w:val="8"/>
                <w:szCs w:val="8"/>
                <w:color w:val="auto"/>
              </w:rPr>
              <w:t>(in thousands, except per ton information)</w:t>
            </w:r>
          </w:p>
        </w:tc>
        <w:tc>
          <w:tcPr>
            <w:tcW w:w="54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Gross Revenue, including intersegment</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36,744</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42,700</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(14)%</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Less intersegment Revenue</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(14,069)</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(17,015)</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(17)%</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22,675</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25,685</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Freight and Delivery Costs billed to Customers</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(1,333)</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(1,205)</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Net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21,342</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24,480</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(13)%</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Sales Volume (M Tons)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(5)%</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auto"/>
              </w:rPr>
              <w:t xml:space="preserve">Average Net Sales Price, per ton </w:t>
            </w:r>
            <w:r>
              <w:rPr>
                <w:rFonts w:ascii="Arial" w:cs="Arial" w:eastAsia="Arial" w:hAnsi="Arial"/>
                <w:sz w:val="15"/>
                <w:szCs w:val="15"/>
                <w:color w:val="auto"/>
                <w:vertAlign w:val="superscript"/>
              </w:rPr>
              <w:t>(1)</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461.87</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510.32</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(9)%</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Freight,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17.31</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14.88</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16%</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Operating Margin,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37.60</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122.77</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(69)%</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Operating Earnings</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2,895</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9,944</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(71)%</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(1) Net of freight per ton.</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Recycled Paperboard Revenue declined 14% to $36.7 million during the three months ended June 30, 2020. The decrease in Revenue was due to lower gross sales prices and Sales Volume, which adversely affected Revenue by $3.5 million and $2.5 million, respectively. Lower gross sales prices were due to the pricing provisions in our long-term sales agreements.</w:t>
      </w:r>
    </w:p>
    <w:p>
      <w:pPr>
        <w:spacing w:after="0" w:line="59"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Operating Earnings declined 71% to $2.9 million, primarily because of the decrease in gross sales prices and Sales Volume, and an increase in operating costs, which adversely affected Operating Earnings by approximately $3.5 million, $0.5 million, and $3.0 million, respectively. The increase in operating costs was related to operating inefficiencies in April and May related to start-up of the papermill after the completion of the project to enhance and expand the mill, as well as higher input costs, namely fiber, which lowered Operating Earnings by approximately $2.1 million and $1.5 million. The increase in fiber cost was due primarily to the decline in generation of OCC due to the shelter-in-place orders issued to combat the COVID-19 pandemic. This was partially offset by lower energy costs of approximately $0.5 million. Operating margin decreased to 8% from 23%, primarily because of higher operating costs and lower gross sales prices.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OIL AND GAS PROPPANTS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20" w:type="dxa"/>
            <w:vAlign w:val="bottom"/>
            <w:tcBorders>
              <w:bottom w:val="single" w:sz="8" w:color="auto"/>
            </w:tcBorders>
            <w:shd w:val="clear" w:color="auto" w:fill="004483"/>
          </w:tcPr>
          <w:p>
            <w:pPr>
              <w:spacing w:after="0"/>
              <w:rPr>
                <w:sz w:val="13"/>
                <w:szCs w:val="13"/>
                <w:color w:val="auto"/>
              </w:rPr>
            </w:pPr>
          </w:p>
        </w:tc>
        <w:tc>
          <w:tcPr>
            <w:tcW w:w="1960" w:type="dxa"/>
            <w:vAlign w:val="bottom"/>
            <w:tcBorders>
              <w:bottom w:val="single" w:sz="8" w:color="auto"/>
            </w:tcBorders>
            <w:gridSpan w:val="2"/>
            <w:shd w:val="clear" w:color="auto" w:fill="004483"/>
          </w:tcPr>
          <w:p>
            <w:pPr>
              <w:jc w:val="right"/>
              <w:ind w:right="186"/>
              <w:spacing w:after="0"/>
              <w:rPr>
                <w:sz w:val="20"/>
                <w:szCs w:val="20"/>
                <w:color w:val="auto"/>
              </w:rPr>
            </w:pPr>
            <w:r>
              <w:rPr>
                <w:rFonts w:ascii="Arial" w:cs="Arial" w:eastAsia="Arial" w:hAnsi="Arial"/>
                <w:sz w:val="8"/>
                <w:szCs w:val="8"/>
                <w:b w:val="1"/>
                <w:bCs w:val="1"/>
                <w:color w:val="FFFFFF"/>
              </w:rPr>
              <w:t>For the Three Months Ended June 30,</w:t>
            </w:r>
          </w:p>
        </w:tc>
        <w:tc>
          <w:tcPr>
            <w:tcW w:w="54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jc w:val="right"/>
              <w:ind w:right="111"/>
              <w:spacing w:after="0" w:line="89" w:lineRule="exact"/>
              <w:rPr>
                <w:sz w:val="20"/>
                <w:szCs w:val="20"/>
                <w:color w:val="auto"/>
              </w:rPr>
            </w:pPr>
            <w:r>
              <w:rPr>
                <w:rFonts w:ascii="Arial" w:cs="Arial" w:eastAsia="Arial" w:hAnsi="Arial"/>
                <w:sz w:val="8"/>
                <w:szCs w:val="8"/>
                <w:b w:val="1"/>
                <w:bCs w:val="1"/>
                <w:color w:val="auto"/>
              </w:rPr>
              <w:t>2020</w:t>
            </w:r>
          </w:p>
        </w:tc>
        <w:tc>
          <w:tcPr>
            <w:tcW w:w="90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20" w:type="dxa"/>
            <w:vAlign w:val="bottom"/>
            <w:tcBorders>
              <w:bottom w:val="single" w:sz="8" w:color="17385E"/>
            </w:tcBorders>
          </w:tcPr>
          <w:p>
            <w:pPr>
              <w:spacing w:after="0"/>
              <w:rPr>
                <w:sz w:val="8"/>
                <w:szCs w:val="8"/>
                <w:color w:val="auto"/>
              </w:rPr>
            </w:pPr>
          </w:p>
        </w:tc>
        <w:tc>
          <w:tcPr>
            <w:tcW w:w="1960" w:type="dxa"/>
            <w:vAlign w:val="bottom"/>
            <w:tcBorders>
              <w:bottom w:val="single" w:sz="8" w:color="17385E"/>
            </w:tcBorders>
            <w:gridSpan w:val="2"/>
          </w:tcPr>
          <w:p>
            <w:pPr>
              <w:jc w:val="right"/>
              <w:ind w:right="226"/>
              <w:spacing w:after="0"/>
              <w:rPr>
                <w:sz w:val="20"/>
                <w:szCs w:val="20"/>
                <w:color w:val="auto"/>
              </w:rPr>
            </w:pPr>
            <w:r>
              <w:rPr>
                <w:rFonts w:ascii="Arial" w:cs="Arial" w:eastAsia="Arial" w:hAnsi="Arial"/>
                <w:sz w:val="8"/>
                <w:szCs w:val="8"/>
                <w:color w:val="auto"/>
              </w:rPr>
              <w:t>(in thousands, except net sales prices)</w:t>
            </w:r>
          </w:p>
        </w:tc>
        <w:tc>
          <w:tcPr>
            <w:tcW w:w="54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11"/>
              <w:spacing w:after="0"/>
              <w:rPr>
                <w:sz w:val="20"/>
                <w:szCs w:val="20"/>
                <w:color w:val="auto"/>
              </w:rPr>
            </w:pPr>
            <w:r>
              <w:rPr>
                <w:rFonts w:ascii="Arial" w:cs="Arial" w:eastAsia="Arial" w:hAnsi="Arial"/>
                <w:sz w:val="11"/>
                <w:szCs w:val="11"/>
                <w:color w:val="auto"/>
              </w:rPr>
              <w:t>1,031</w:t>
            </w:r>
          </w:p>
        </w:tc>
        <w:tc>
          <w:tcPr>
            <w:tcW w:w="900" w:type="dxa"/>
            <w:vAlign w:val="bottom"/>
          </w:tcPr>
          <w:p>
            <w:pPr>
              <w:jc w:val="right"/>
              <w:ind w:right="66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15,232</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(93)%</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20" w:type="dxa"/>
            <w:vAlign w:val="bottom"/>
            <w:tcBorders>
              <w:top w:val="single" w:sz="8" w:color="A6A6A6"/>
              <w:bottom w:val="single" w:sz="8" w:color="A6A6A6"/>
            </w:tcBorders>
          </w:tcPr>
          <w:p>
            <w:pPr>
              <w:spacing w:after="0"/>
              <w:rPr>
                <w:sz w:val="11"/>
                <w:szCs w:val="11"/>
                <w:color w:val="auto"/>
              </w:rPr>
            </w:pPr>
          </w:p>
        </w:tc>
        <w:tc>
          <w:tcPr>
            <w:tcW w:w="106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Sales Volume (M Tons)</w:t>
            </w:r>
          </w:p>
        </w:tc>
        <w:tc>
          <w:tcPr>
            <w:tcW w:w="420" w:type="dxa"/>
            <w:vAlign w:val="bottom"/>
          </w:tcPr>
          <w:p>
            <w:pPr>
              <w:spacing w:after="0"/>
              <w:rPr>
                <w:sz w:val="11"/>
                <w:szCs w:val="11"/>
                <w:color w:val="auto"/>
              </w:rPr>
            </w:pPr>
          </w:p>
        </w:tc>
        <w:tc>
          <w:tcPr>
            <w:tcW w:w="1060" w:type="dxa"/>
            <w:vAlign w:val="bottom"/>
          </w:tcPr>
          <w:p>
            <w:pPr>
              <w:jc w:val="right"/>
              <w:ind w:right="111"/>
              <w:spacing w:after="0"/>
              <w:rPr>
                <w:sz w:val="20"/>
                <w:szCs w:val="20"/>
                <w:color w:val="auto"/>
              </w:rPr>
            </w:pPr>
            <w:r>
              <w:rPr>
                <w:rFonts w:ascii="Arial" w:cs="Arial" w:eastAsia="Arial" w:hAnsi="Arial"/>
                <w:sz w:val="11"/>
                <w:szCs w:val="11"/>
                <w:color w:val="auto"/>
              </w:rPr>
              <w:t>45</w:t>
            </w:r>
          </w:p>
        </w:tc>
        <w:tc>
          <w:tcPr>
            <w:tcW w:w="9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407</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(89)%</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auto"/>
              </w:rPr>
              <w:t xml:space="preserve">Average Net Sales Price, per ton </w:t>
            </w:r>
            <w:r>
              <w:rPr>
                <w:rFonts w:ascii="Arial" w:cs="Arial" w:eastAsia="Arial" w:hAnsi="Arial"/>
                <w:sz w:val="15"/>
                <w:szCs w:val="15"/>
                <w:color w:val="auto"/>
                <w:vertAlign w:val="superscript"/>
              </w:rPr>
              <w:t>(1)</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11"/>
              <w:spacing w:after="0"/>
              <w:rPr>
                <w:sz w:val="20"/>
                <w:szCs w:val="20"/>
                <w:color w:val="auto"/>
              </w:rPr>
            </w:pPr>
            <w:r>
              <w:rPr>
                <w:rFonts w:ascii="Arial" w:cs="Arial" w:eastAsia="Arial" w:hAnsi="Arial"/>
                <w:sz w:val="11"/>
                <w:szCs w:val="11"/>
                <w:color w:val="auto"/>
              </w:rPr>
              <w:t>22.32</w:t>
            </w:r>
          </w:p>
        </w:tc>
        <w:tc>
          <w:tcPr>
            <w:tcW w:w="900" w:type="dxa"/>
            <w:vAlign w:val="bottom"/>
          </w:tcPr>
          <w:p>
            <w:pPr>
              <w:jc w:val="right"/>
              <w:ind w:right="66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31.80</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(30)%</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Operating Loss</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1"/>
              <w:spacing w:after="0"/>
              <w:rPr>
                <w:sz w:val="20"/>
                <w:szCs w:val="20"/>
                <w:color w:val="auto"/>
              </w:rPr>
            </w:pPr>
            <w:r>
              <w:rPr>
                <w:rFonts w:ascii="Arial" w:cs="Arial" w:eastAsia="Arial" w:hAnsi="Arial"/>
                <w:sz w:val="11"/>
                <w:szCs w:val="11"/>
                <w:color w:val="auto"/>
              </w:rPr>
              <w:t>(1,318)</w:t>
            </w:r>
          </w:p>
        </w:tc>
        <w:tc>
          <w:tcPr>
            <w:tcW w:w="900" w:type="dxa"/>
            <w:vAlign w:val="bottom"/>
          </w:tcPr>
          <w:p>
            <w:pPr>
              <w:jc w:val="right"/>
              <w:ind w:right="666"/>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(3,670)</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(64)%</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(1) Net of freight per ton.</w:t>
      </w:r>
    </w:p>
    <w:p>
      <w:pPr>
        <w:spacing w:after="0" w:line="85"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Revenue from our Oil and Gas Proppants segment declined 93% to approximately $1.0 million during the three months ended June 30, 2020. The decline in Revenue was due to lower Sales Volume and gross sales prices, which adversely affected Revenue by approximately $13.5 million and $0.7 million, respectively. During the quarter we significantly curtailed our operating activities and reduced our headcount at our fac sand facilities, as deteriorating market conditions in the oil and gas industry have resulted in sharp declines in pricing and slowdown in drilling and fracturing activity.</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2"/>
          <w:szCs w:val="12"/>
          <w:color w:val="auto"/>
        </w:rPr>
        <w:t>Operating Loss for the quarter decreased 64% to approximately $1.3 million. The decrease in Operating Loss was primarily related to the curtailment of operating activities and reduced headcount during the quarter, and lower fixed costs due to the impairment loss recognized during the third quarter of fiscal 2020.</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01" w:lineRule="exact"/>
        <w:rPr>
          <w:sz w:val="20"/>
          <w:szCs w:val="20"/>
          <w:color w:val="auto"/>
        </w:rPr>
      </w:pPr>
    </w:p>
    <w:p>
      <w:pPr>
        <w:ind w:right="260"/>
        <w:spacing w:after="0" w:line="269" w:lineRule="auto"/>
        <w:rPr>
          <w:sz w:val="20"/>
          <w:szCs w:val="20"/>
          <w:color w:val="auto"/>
        </w:rPr>
      </w:pPr>
      <w:r>
        <w:rPr>
          <w:rFonts w:ascii="Arial" w:cs="Arial" w:eastAsia="Arial" w:hAnsi="Arial"/>
          <w:sz w:val="12"/>
          <w:szCs w:val="12"/>
          <w:color w:val="auto"/>
        </w:rPr>
        <w:t>The preparation of financial statements in accordance with accounting principles generally accepted in the United States requires management to adopt accounting policies and make significant judgments and estimates to develop amounts reflected and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65"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relating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 Accounting Pronouncements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Refer to Footnote (A) in the Notes to Unaudited Consolidated Financial Statements of this Form 10-Q for information regarding recently issued accounting pronouncements that may affect our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92"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Notwithstanding the anticipated challenges associated with COVID-19, we believe at this time we have access to sufficient financial resources from our liquidity sources to fund our business and operations, including contractual obligations, capital expenditures and debt service obligations. We will continue to monitor the impact of COVID-19 on the economy, and on our operations and future liquidity needs, as a continued worldwide disruption of economic activity could materially affect our future access to these sources of liquidity. Please see the Debt Financing Activities section for a discussion of our cash position, credit facility and the amount of borrowings available to us in the next twelve-month period.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Cash Flow</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summary of our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80" w:type="dxa"/>
            <w:vAlign w:val="bottom"/>
            <w:gridSpan w:val="4"/>
            <w:shd w:val="clear" w:color="auto" w:fill="004483"/>
          </w:tcPr>
          <w:p>
            <w:pPr>
              <w:jc w:val="right"/>
              <w:ind w:right="313"/>
              <w:spacing w:after="0"/>
              <w:rPr>
                <w:sz w:val="20"/>
                <w:szCs w:val="20"/>
                <w:color w:val="auto"/>
              </w:rPr>
            </w:pPr>
            <w:r>
              <w:rPr>
                <w:rFonts w:ascii="Arial" w:cs="Arial" w:eastAsia="Arial" w:hAnsi="Arial"/>
                <w:sz w:val="8"/>
                <w:szCs w:val="8"/>
                <w:b w:val="1"/>
                <w:bCs w:val="1"/>
                <w:color w:val="FFFFFF"/>
              </w:rPr>
              <w:t>For the Three Months Ended June 30,</w:t>
            </w:r>
          </w:p>
        </w:tc>
        <w:tc>
          <w:tcPr>
            <w:tcW w:w="7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4"/>
          </w:tcPr>
          <w:p>
            <w:pPr>
              <w:jc w:val="right"/>
              <w:ind w:right="633"/>
              <w:spacing w:after="0"/>
              <w:rPr>
                <w:sz w:val="20"/>
                <w:szCs w:val="20"/>
                <w:color w:val="auto"/>
              </w:rPr>
            </w:pPr>
            <w:r>
              <w:rPr>
                <w:rFonts w:ascii="Arial" w:cs="Arial" w:eastAsia="Arial" w:hAnsi="Arial"/>
                <w:sz w:val="8"/>
                <w:szCs w:val="8"/>
                <w:color w:val="auto"/>
              </w:rPr>
              <w:t>(dollars in thousands)</w:t>
            </w:r>
          </w:p>
        </w:tc>
        <w:tc>
          <w:tcPr>
            <w:tcW w:w="7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95,313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93"/>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50,698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Investing Activities: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Additions to Property, Plant, and Equipment</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(25,991)</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(21,813)</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Sale of Property, Plant, and Equipment</w:t>
            </w:r>
          </w:p>
        </w:tc>
        <w:tc>
          <w:tcPr>
            <w:tcW w:w="560" w:type="dxa"/>
            <w:vAlign w:val="bottom"/>
            <w:tcBorders>
              <w:top w:val="single" w:sz="8" w:color="A6A6A6"/>
              <w:bottom w:val="single" w:sz="8" w:color="004483"/>
            </w:tcBorders>
          </w:tcPr>
          <w:p>
            <w:pPr>
              <w:spacing w:after="0"/>
              <w:rPr>
                <w:sz w:val="11"/>
                <w:szCs w:val="11"/>
                <w:color w:val="auto"/>
              </w:rPr>
            </w:pPr>
          </w:p>
        </w:tc>
        <w:tc>
          <w:tcPr>
            <w:tcW w:w="10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93,482</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004483"/>
            </w:tcBorders>
          </w:tcPr>
          <w:p>
            <w:pPr>
              <w:spacing w:after="0"/>
              <w:rPr>
                <w:sz w:val="11"/>
                <w:szCs w:val="11"/>
                <w:color w:val="auto"/>
              </w:rPr>
            </w:pPr>
          </w:p>
        </w:tc>
        <w:tc>
          <w:tcPr>
            <w:tcW w:w="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Net Cash Provided by (Used in) Investing Activities</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67,491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004483"/>
            </w:tcBorders>
          </w:tcPr>
          <w:p>
            <w:pPr>
              <w:spacing w:after="0"/>
              <w:rPr>
                <w:sz w:val="11"/>
                <w:szCs w:val="11"/>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(21,813)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Financing Activities: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Increase (Decrease) in Credit Facility</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(75,000)</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185,000</w:t>
            </w:r>
          </w:p>
        </w:tc>
        <w:tc>
          <w:tcPr>
            <w:tcW w:w="120" w:type="dxa"/>
            <w:vAlign w:val="bottom"/>
          </w:tcPr>
          <w:p>
            <w:pPr>
              <w:spacing w:after="0"/>
              <w:rPr>
                <w:sz w:val="11"/>
                <w:szCs w:val="11"/>
                <w:color w:val="auto"/>
              </w:rPr>
            </w:pP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Dividends Paid to Stockholders</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(4,160)</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(4,499)</w:t>
            </w: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Purchase and Retirement of Common Stock</w:t>
            </w:r>
          </w:p>
        </w:tc>
        <w:tc>
          <w:tcPr>
            <w:tcW w:w="5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(198,355)</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Stock Option Exercises</w:t>
            </w:r>
          </w:p>
        </w:tc>
        <w:tc>
          <w:tcPr>
            <w:tcW w:w="560" w:type="dxa"/>
            <w:vAlign w:val="bottom"/>
            <w:tcBorders>
              <w:top w:val="single" w:sz="8" w:color="A6A6A6"/>
              <w:bottom w:val="single" w:sz="8" w:color="A6A6A6"/>
            </w:tcBorders>
          </w:tcPr>
          <w:p>
            <w:pPr>
              <w:spacing w:after="0"/>
              <w:rPr>
                <w:sz w:val="11"/>
                <w:szCs w:val="11"/>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396</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Payment of Debt Issuance Costs</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(1,718)</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Shares Redeemed to Settle Employee Taxes on Stock Compensation</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(1,130)</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(866)</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Net Cash Used in Financing Activities</w:t>
            </w:r>
          </w:p>
        </w:tc>
        <w:tc>
          <w:tcPr>
            <w:tcW w:w="560" w:type="dxa"/>
            <w:vAlign w:val="bottom"/>
            <w:tcBorders>
              <w:top w:val="single" w:sz="8" w:color="004483"/>
              <w:bottom w:val="single" w:sz="8" w:color="004483"/>
            </w:tcBorders>
          </w:tcPr>
          <w:p>
            <w:pPr>
              <w:spacing w:after="0"/>
              <w:rPr>
                <w:sz w:val="11"/>
                <w:szCs w:val="11"/>
                <w:color w:val="auto"/>
              </w:rPr>
            </w:pP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(82,008)</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004483"/>
              <w:bottom w:val="single" w:sz="8" w:color="004483"/>
            </w:tcBorders>
          </w:tcPr>
          <w:p>
            <w:pPr>
              <w:spacing w:after="0"/>
              <w:rPr>
                <w:sz w:val="11"/>
                <w:szCs w:val="11"/>
                <w:color w:val="auto"/>
              </w:rPr>
            </w:pP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(18,324)</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1"/>
                <w:szCs w:val="11"/>
                <w:b w:val="1"/>
                <w:bCs w:val="1"/>
                <w:color w:val="auto"/>
              </w:rPr>
              <w:t>Net Increase in Cash, Cash Equivalents, and Restricted Cash</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80,796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004483"/>
            </w:tcBorders>
          </w:tcPr>
          <w:p>
            <w:pPr>
              <w:jc w:val="right"/>
              <w:ind w:right="793"/>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10,561</w:t>
            </w:r>
          </w:p>
        </w:tc>
        <w:tc>
          <w:tcPr>
            <w:tcW w:w="120" w:type="dxa"/>
            <w:vAlign w:val="bottom"/>
          </w:tcPr>
          <w:p>
            <w:pPr>
              <w:spacing w:after="0"/>
              <w:rPr>
                <w:sz w:val="12"/>
                <w:szCs w:val="12"/>
                <w:color w:val="auto"/>
              </w:rPr>
            </w:pPr>
          </w:p>
        </w:tc>
      </w:tr>
    </w:tbl>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2"/>
          <w:szCs w:val="12"/>
          <w:color w:val="auto"/>
        </w:rPr>
        <w:t>Net Cash Provided by Operating Activities increased by $44.6 million to $95.3 million during the three months ended June 30, 2020. This increase was primarily attributable to higher dividends from our Joint Venture, and a reduction in the change of working capital, which increased cash flows by approximately $6.5 million and $40.5 million, respectively.</w:t>
      </w:r>
    </w:p>
    <w:p>
      <w:pPr>
        <w:spacing w:after="0" w:line="59"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Working capital increased by $63.0 million to $571.6 million at June 30, 2020, primarily due to the increased Cash and Accounts and Notes Receivable of approximately $80.8 million and $42.8 million, respectively, and decreased Accounts Payable of approximately $4.2 million. This was partially offset by increased Accrued Expenses and Income Taxes Payable of approximately $2.2 million and $32.1 million, respectively, and decreased Inventory and Income Tax Receivables of approximately $29.4 million and $4.7 million, respectively. The reduction in Inventory is due to increased Revenue and lower production resulting from scheduled outages at our cement plants. The decrease in Accrued Liabilities and increase in Income Taxes Payable were both due primarily to timing.</w:t>
      </w:r>
    </w:p>
    <w:p>
      <w:pPr>
        <w:spacing w:after="0" w:line="6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increase in Accounts and Notes Receivable at June 30, 2020, was primarily related to higher Revenue during the three months ended June 30, 2020, compared with the three months ended March 31, 2020. As a percentage of quarterly sales generated for the respective quarter, Accounts Receivable was approximately 45% at June 30, 2020 and 48% at March 31, 2020.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June 30, 2020. Notes Receivable are monitored on an individual basis, and no significant deterioration in the collectability of our Notes Receivable was identified at June 30, 2020. We are closely monitoring the impact of COVID-19 on our customers’ ability to pay their outstanding balances.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40" w:right="299" w:bottom="1440" w:gutter="0" w:footer="0" w:header="0"/>
        </w:sectPr>
      </w:pPr>
    </w:p>
    <w:bookmarkStart w:id="38" w:name="page39"/>
    <w:bookmarkEnd w:id="38"/>
    <w:p>
      <w:pPr>
        <w:ind w:right="140"/>
        <w:spacing w:after="0" w:line="268" w:lineRule="auto"/>
        <w:rPr>
          <w:sz w:val="20"/>
          <w:szCs w:val="20"/>
          <w:color w:val="auto"/>
        </w:rPr>
      </w:pPr>
      <w:r>
        <w:rPr>
          <w:rFonts w:ascii="Arial" w:cs="Arial" w:eastAsia="Arial" w:hAnsi="Arial"/>
          <w:sz w:val="12"/>
          <w:szCs w:val="12"/>
          <w:color w:val="auto"/>
        </w:rPr>
        <w:t>Our Inventory balance at June 30, 2020 declined by approximately $29.4 million from our balance at March 31, 2020. Within Inventory, raw materials and materials-in-progress, finished cement, and aggregates decreased approximately $14.5 million, $9.9 million, and $4.8 million, respectively. The decline in raw materials and materials-in-progress was due primarily to the maintenance outages at all of our cement plants during the quarter. The decline in finished cement was due to both maintenance outages, and increased cement Sales Volume during the quarter. The reduction in aggregates inventory was primarily due to the sale of Western, which had approximately $5.1 million of aggregate inventory at the date of sale.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64" w:lineRule="exact"/>
        <w:rPr>
          <w:sz w:val="20"/>
          <w:szCs w:val="20"/>
          <w:color w:val="auto"/>
        </w:rPr>
      </w:pPr>
    </w:p>
    <w:p>
      <w:pPr>
        <w:ind w:right="40"/>
        <w:spacing w:after="0" w:line="307" w:lineRule="auto"/>
        <w:rPr>
          <w:sz w:val="20"/>
          <w:szCs w:val="20"/>
          <w:color w:val="auto"/>
        </w:rPr>
      </w:pPr>
      <w:r>
        <w:rPr>
          <w:rFonts w:ascii="Arial" w:cs="Arial" w:eastAsia="Arial" w:hAnsi="Arial"/>
          <w:sz w:val="11"/>
          <w:szCs w:val="11"/>
          <w:color w:val="auto"/>
        </w:rPr>
        <w:t>Net Cash Provided by Investing Activities during the three months ended June 30, 2020 was approximately $67.5 million, compared with Net Cash Used in Investing Activities of $21.8 million during the same period in 2019, an increase of approximately $89.3 million. The increase was primarily related to sale of Western and Mathews for approximately $93.5 million, partially offset by an increase of $4.2 million in capital spending. The increase in capital spending was primarily related to the $4.6 million increase in our Gypsum Wallboard business. This increase was primarily related to the acquisition of additional gypsum reserves.</w:t>
      </w:r>
    </w:p>
    <w:p>
      <w:pPr>
        <w:spacing w:after="0" w:line="46" w:lineRule="exact"/>
        <w:rPr>
          <w:sz w:val="20"/>
          <w:szCs w:val="20"/>
          <w:color w:val="auto"/>
        </w:rPr>
      </w:pPr>
    </w:p>
    <w:p>
      <w:pPr>
        <w:jc w:val="both"/>
        <w:ind w:right="140"/>
        <w:spacing w:after="0" w:line="271" w:lineRule="auto"/>
        <w:rPr>
          <w:sz w:val="20"/>
          <w:szCs w:val="20"/>
          <w:color w:val="auto"/>
        </w:rPr>
      </w:pPr>
      <w:r>
        <w:rPr>
          <w:rFonts w:ascii="Arial" w:cs="Arial" w:eastAsia="Arial" w:hAnsi="Arial"/>
          <w:sz w:val="12"/>
          <w:szCs w:val="12"/>
          <w:color w:val="auto"/>
        </w:rPr>
        <w:t>Net Cash Used in Financing Activities was approximately $82.0 million during the three months ended June 30, 2020, compared with $18.3 million in the first quarter of fiscal 2020. The $63.7 million increase was primarily due to the $75.0 million reduction in net borrowings compared with additional borrowings of $185.0 million in fiscal 2020, as well as a reduction of $198.4 million in repurchase and retirement of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Our debt-to-capitalization ratio and net-debt-to-capitalization ratio were 58.3% and 54.8%, respectively, at June 30, 2020, compared with 61.7% and 60.0%, respectively, at March 31, 2020.</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Debt Financing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Below is a summary of the Company’s debt facilities at June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6060" w:type="dxa"/>
            <w:vAlign w:val="bottom"/>
            <w:tcBorders>
              <w:bottom w:val="single" w:sz="8" w:color="004483"/>
            </w:tcBorders>
          </w:tcPr>
          <w:p>
            <w:pPr>
              <w:spacing w:after="0"/>
              <w:rPr>
                <w:sz w:val="8"/>
                <w:szCs w:val="8"/>
                <w:color w:val="auto"/>
              </w:rPr>
            </w:pPr>
          </w:p>
        </w:tc>
        <w:tc>
          <w:tcPr>
            <w:tcW w:w="524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Maturity</w:t>
            </w:r>
          </w:p>
        </w:tc>
      </w:tr>
      <w:tr>
        <w:trPr>
          <w:trHeight w:val="131"/>
        </w:trPr>
        <w:tc>
          <w:tcPr>
            <w:tcW w:w="60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Revolving Credit Facility</w:t>
            </w:r>
          </w:p>
        </w:tc>
        <w:tc>
          <w:tcPr>
            <w:tcW w:w="5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August 2022</w:t>
            </w:r>
          </w:p>
        </w:tc>
      </w:tr>
      <w:tr>
        <w:trPr>
          <w:trHeight w:val="133"/>
        </w:trPr>
        <w:tc>
          <w:tcPr>
            <w:tcW w:w="60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4.500% Senior Unsecured Notes</w:t>
            </w:r>
          </w:p>
        </w:tc>
        <w:tc>
          <w:tcPr>
            <w:tcW w:w="5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August 2026</w:t>
            </w:r>
          </w:p>
        </w:tc>
      </w:tr>
      <w:tr>
        <w:trPr>
          <w:trHeight w:val="133"/>
        </w:trPr>
        <w:tc>
          <w:tcPr>
            <w:tcW w:w="606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Term Loan</w:t>
            </w:r>
          </w:p>
        </w:tc>
        <w:tc>
          <w:tcPr>
            <w:tcW w:w="52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August 2022</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See Footnote (N) to the Unaudited Consolidated Financial Statements for further details on the Company’s debt facilities, including interest rate, and financial and other covenants and restrictions.</w:t>
      </w:r>
    </w:p>
    <w:p>
      <w:pPr>
        <w:spacing w:after="0" w:line="87"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The borrowing capacity or our Revolving Credit Facility is $750.0 million until August 2, 2021, after which the aggregate borrowing capacity will be reduced to $665.0 million. The Revolving Credit Facility also includes a swingline loan sublimit of $25.0 million, and a $40.0 million letter of credit facility. At June 30, 2020 we had $5.0 million of outstanding letter of credit. We previously provided an irrevocable stand-by letter of credit for any borrowings made by our Joint Venture under its credit facility; however, this credit facility was terminated and the letter of credit cancelled in July 2020. We are contingently liable for performance under $29.9 million in performance bonds relating primarily to our mining operations. We do not have any off-balance sheet debt, or any outstanding debt guarantees.</w:t>
      </w:r>
    </w:p>
    <w:p>
      <w:pPr>
        <w:spacing w:after="0" w:line="65"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We had $485.0 million of borrowing outstanding under the Revolving Credit Facility at June 30, 2020. We had $260.0 million of available borrowings under the Revolving Credit Facility, net of outstanding letters of credit, at June 30, 2020, all of which was available for future borrowings based on our current Leverage Ratio.</w:t>
      </w:r>
    </w:p>
    <w:p>
      <w:pPr>
        <w:spacing w:after="0" w:line="59"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In addition to the Revolving Credit Facility, we have $199.4 million of cash on hand at June 30, 2020, giving us total liquidity of approximately $459.0 million (cash on hand plus Revolving Credit Facility availability). During July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2"/>
          <w:szCs w:val="12"/>
          <w:color w:val="auto"/>
        </w:rPr>
        <w:t>2020, we received $103.7 million of the $123.7 million Income Tax Receivable that was recorded at June 30, 2020. We anticipate using these funds to reduce the outstanding amounts under the Revolving Credit Agreement.</w:t>
      </w:r>
    </w:p>
    <w:p>
      <w:pPr>
        <w:spacing w:after="0" w:line="59"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Other than the Revolving Credit Facility, we have no other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 Our Revolving Credit Facility is not rated by the rating agencies.</w:t>
      </w:r>
    </w:p>
    <w:p>
      <w:pPr>
        <w:spacing w:after="0" w:line="6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COVID-19. These and other developments could reduce our cash flow or require that we seek additional sources of funding. We cannot predict what effect these factors will have on our future liquidity. See Market Conditions and Outlook on page 28 for further discussion out the possible effects of COVID-19 on our business.</w:t>
      </w:r>
    </w:p>
    <w:p>
      <w:pPr>
        <w:spacing w:after="0" w:line="67" w:lineRule="exact"/>
        <w:rPr>
          <w:sz w:val="20"/>
          <w:szCs w:val="20"/>
          <w:color w:val="auto"/>
        </w:rPr>
      </w:pPr>
    </w:p>
    <w:p>
      <w:pPr>
        <w:ind w:right="140"/>
        <w:spacing w:after="0" w:line="269" w:lineRule="auto"/>
        <w:rPr>
          <w:sz w:val="20"/>
          <w:szCs w:val="20"/>
          <w:color w:val="auto"/>
        </w:rPr>
      </w:pPr>
      <w:r>
        <w:rPr>
          <w:rFonts w:ascii="Arial" w:cs="Arial" w:eastAsia="Arial" w:hAnsi="Arial"/>
          <w:sz w:val="12"/>
          <w:szCs w:val="12"/>
          <w:color w:val="auto"/>
        </w:rPr>
        <w:t>As market conditions warrant, the Company may from time to time seek to purchase or repay its outstanding debt securities or loans, including the Term Loan, 4.500% Senior Unsecured Notes,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65"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We lease one of our cement plants from the city of Sugar Creek, Missouri. The city of Sugar Creek issued industrial revenue bonds to partly finance improvements to the cement plant. The lease payments due to the city of Sugar Creek under the cement plant lease, which was entered into upon the sale of the industrial revenue bonds, are equal in amount to the payments required to be made by the city of Sugar Creek to the holders of the industrial revenue bonds. Because we hold all outstanding industrial revenue bonds, no debt is reflected on our financial statements in connection with our lease of the cement plant. At the expiration of the lease in fiscal 2021, we have the option to purchase the cement plant for a nominal amount. We also have approximately $57.9 million of lease liabilities at June 30, 2020 that have an average remaining life of approximately 9.1 years.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Dividends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Dividends paid were $4.2 million and $4.5 million, respectively, for the three months ended June 30, 2020 and 2019. On April 13, 2020, we announced the suspension of future quarterly dividends.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Share Repurchases</w:t>
      </w:r>
    </w:p>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On April 18, 2019, the Board of Directors authorized us to repurchase an additional 10.0 million shares. This authorization brought the cumulative total of Common Stock our Board has approved for repurchase in the open market to 48.4 million shares since we became publicly held in April 1994. Through June 30, 2020, we have repurchased approximately 41.1 million shares.</w:t>
      </w:r>
    </w:p>
    <w:p>
      <w:pPr>
        <w:spacing w:after="0" w:line="59"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82" w:right="31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2"/>
          <w:szCs w:val="12"/>
          <w:color w:val="auto"/>
        </w:rPr>
        <w:t>During the three months ended June 30, 2020, the Company withheld from employees 23,901 shares of stock upon the vesting of Restricted Shares that were granted under the Plan. We withheld these shares to satisfy the employees’ statutory tax withholding requirements, which is required once the Restricted Shares or Restricted Shares Units are vested.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Capital Expenditures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details capital expenditures by category: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20" w:type="dxa"/>
            <w:vAlign w:val="bottom"/>
            <w:gridSpan w:val="4"/>
            <w:shd w:val="clear" w:color="auto" w:fill="004483"/>
          </w:tcPr>
          <w:p>
            <w:pPr>
              <w:jc w:val="right"/>
              <w:ind w:right="353"/>
              <w:spacing w:after="0"/>
              <w:rPr>
                <w:sz w:val="20"/>
                <w:szCs w:val="20"/>
                <w:color w:val="auto"/>
              </w:rPr>
            </w:pPr>
            <w:r>
              <w:rPr>
                <w:rFonts w:ascii="Arial" w:cs="Arial" w:eastAsia="Arial" w:hAnsi="Arial"/>
                <w:sz w:val="8"/>
                <w:szCs w:val="8"/>
                <w:b w:val="1"/>
                <w:bCs w:val="1"/>
                <w:color w:val="FFFFFF"/>
              </w:rPr>
              <w:t>For the Three Months Ended June 30,</w:t>
            </w:r>
          </w:p>
        </w:tc>
        <w:tc>
          <w:tcPr>
            <w:tcW w:w="6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20" w:type="dxa"/>
            <w:vAlign w:val="bottom"/>
            <w:tcBorders>
              <w:bottom w:val="single" w:sz="8" w:color="004483"/>
            </w:tcBorders>
            <w:gridSpan w:val="4"/>
          </w:tcPr>
          <w:p>
            <w:pPr>
              <w:jc w:val="right"/>
              <w:ind w:right="673"/>
              <w:spacing w:after="0"/>
              <w:rPr>
                <w:sz w:val="20"/>
                <w:szCs w:val="20"/>
                <w:color w:val="auto"/>
              </w:rPr>
            </w:pPr>
            <w:r>
              <w:rPr>
                <w:rFonts w:ascii="Arial" w:cs="Arial" w:eastAsia="Arial" w:hAnsi="Arial"/>
                <w:sz w:val="8"/>
                <w:szCs w:val="8"/>
                <w:color w:val="auto"/>
              </w:rPr>
              <w:t>(dollars in thousands)</w:t>
            </w:r>
          </w:p>
        </w:tc>
        <w:tc>
          <w:tcPr>
            <w:tcW w:w="6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Land and Quarries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4,795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833"/>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Plants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17,216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23,885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Buildings, Machinery, and Equipment</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3,980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004483"/>
            </w:tcBorders>
          </w:tcPr>
          <w:p>
            <w:pPr>
              <w:spacing w:after="0"/>
              <w:rPr>
                <w:sz w:val="11"/>
                <w:szCs w:val="11"/>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1,397</w:t>
            </w:r>
          </w:p>
        </w:tc>
        <w:tc>
          <w:tcPr>
            <w:tcW w:w="120" w:type="dxa"/>
            <w:vAlign w:val="bottom"/>
          </w:tcPr>
          <w:p>
            <w:pPr>
              <w:spacing w:after="0"/>
              <w:rPr>
                <w:sz w:val="11"/>
                <w:szCs w:val="11"/>
                <w:color w:val="auto"/>
              </w:rPr>
            </w:pPr>
          </w:p>
        </w:tc>
      </w:tr>
      <w:tr>
        <w:trPr>
          <w:trHeight w:val="142"/>
        </w:trPr>
        <w:tc>
          <w:tcPr>
            <w:tcW w:w="7740" w:type="dxa"/>
            <w:vAlign w:val="bottom"/>
          </w:tcPr>
          <w:p>
            <w:pPr>
              <w:ind w:left="80"/>
              <w:spacing w:after="0"/>
              <w:rPr>
                <w:sz w:val="20"/>
                <w:szCs w:val="20"/>
                <w:color w:val="auto"/>
              </w:rPr>
            </w:pPr>
            <w:r>
              <w:rPr>
                <w:rFonts w:ascii="Arial" w:cs="Arial" w:eastAsia="Arial" w:hAnsi="Arial"/>
                <w:sz w:val="11"/>
                <w:szCs w:val="11"/>
                <w:b w:val="1"/>
                <w:bCs w:val="1"/>
                <w:color w:val="auto"/>
              </w:rPr>
              <w:t>Total Capital Expenditures</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25,991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004483"/>
            </w:tcBorders>
          </w:tcPr>
          <w:p>
            <w:pPr>
              <w:jc w:val="right"/>
              <w:ind w:right="83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25,488</w:t>
            </w:r>
          </w:p>
        </w:tc>
        <w:tc>
          <w:tcPr>
            <w:tcW w:w="120" w:type="dxa"/>
            <w:vAlign w:val="bottom"/>
          </w:tcPr>
          <w:p>
            <w:pPr>
              <w:spacing w:after="0"/>
              <w:rPr>
                <w:sz w:val="12"/>
                <w:szCs w:val="12"/>
                <w:color w:val="auto"/>
              </w:rPr>
            </w:pPr>
          </w:p>
        </w:tc>
      </w:tr>
    </w:tbl>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Capital expenditures for fiscal 2021 are expected to range from $60.0 million to $70.0 million and be allocated across the Heavy and Light Materials sectors. These estimated capital expenditures are limited to critical maintenance and safety and regulatory projects, as we manage our cash flow in response to the 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01"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We have a $750.0 million Revolving Credit Facility and an outstanding Term Loan at June 30, 2020, under which borrowings bear interest at a variable rate. A hypothetical 100 basis point increase in interest rates on the $1,150.0 million of borrowings under the Revolving Credit Facility and Term Loan at June 30, 2020 would increase interest expense by approximately $11.5 million on an annual basis. At present, we do not utilize derivative financial instruments.</w:t>
      </w:r>
    </w:p>
    <w:p>
      <w:pPr>
        <w:spacing w:after="0" w:line="65" w:lineRule="exact"/>
        <w:rPr>
          <w:sz w:val="20"/>
          <w:szCs w:val="20"/>
          <w:color w:val="auto"/>
        </w:rPr>
      </w:pPr>
    </w:p>
    <w:p>
      <w:pPr>
        <w:ind w:right="400"/>
        <w:spacing w:after="0" w:line="277" w:lineRule="auto"/>
        <w:rPr>
          <w:sz w:val="20"/>
          <w:szCs w:val="20"/>
          <w:color w:val="auto"/>
        </w:rPr>
      </w:pPr>
      <w:r>
        <w:rPr>
          <w:rFonts w:ascii="Arial" w:cs="Arial" w:eastAsia="Arial" w:hAnsi="Arial"/>
          <w:sz w:val="12"/>
          <w:szCs w:val="12"/>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0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and Chief Financial Officer,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PART II. OTHER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1"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of our operating units to monitor compliance. Any matters which are identified as potential exposures under these laws and regulations are carefully reviewed by management to determine our potential liability.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92" w:lineRule="exact"/>
        <w:rPr>
          <w:sz w:val="20"/>
          <w:szCs w:val="20"/>
          <w:color w:val="auto"/>
        </w:rPr>
      </w:pPr>
    </w:p>
    <w:p>
      <w:pPr>
        <w:ind w:right="80"/>
        <w:spacing w:after="0" w:line="246" w:lineRule="auto"/>
        <w:rPr>
          <w:sz w:val="20"/>
          <w:szCs w:val="20"/>
          <w:color w:val="auto"/>
        </w:rPr>
      </w:pPr>
      <w:r>
        <w:rPr>
          <w:rFonts w:ascii="Arial" w:cs="Arial" w:eastAsia="Arial" w:hAnsi="Arial"/>
          <w:sz w:val="12"/>
          <w:szCs w:val="12"/>
          <w:color w:val="auto"/>
        </w:rPr>
        <w:t>For additional information regarding factors that could impact our results of operations, financial condition, and liquidity, see Part 1. Item 1A. Risk Factors in our Form 10-K for the fiscal year ended March 31, 2020, filed with the Securities and Exchange Commission on May 22, 2020.</w:t>
      </w:r>
    </w:p>
    <w:p>
      <w:pPr>
        <w:spacing w:after="0" w:line="56" w:lineRule="exact"/>
        <w:rPr>
          <w:sz w:val="20"/>
          <w:szCs w:val="20"/>
          <w:color w:val="auto"/>
        </w:rPr>
      </w:pPr>
    </w:p>
    <w:p>
      <w:pPr>
        <w:ind w:right="220"/>
        <w:spacing w:after="0" w:line="298" w:lineRule="auto"/>
        <w:rPr>
          <w:sz w:val="20"/>
          <w:szCs w:val="20"/>
          <w:color w:val="auto"/>
        </w:rPr>
      </w:pPr>
      <w:r>
        <w:rPr>
          <w:rFonts w:ascii="Arial" w:cs="Arial" w:eastAsia="Arial" w:hAnsi="Arial"/>
          <w:sz w:val="12"/>
          <w:szCs w:val="12"/>
          <w:i w:val="1"/>
          <w:iCs w:val="1"/>
          <w:color w:val="004483"/>
        </w:rPr>
        <w:t>The COVID-19 pandemic has caused severe disruptions in the U.S. and global economies. Although the extent of its impact continues to be highly uncertain, we believe the pandemic and the response to it are likely to negatively affect demand for our products and could have a material adverse effect on our business, operations, financial condition and results of operations.</w:t>
      </w:r>
    </w:p>
    <w:p>
      <w:pPr>
        <w:spacing w:after="0" w:line="47"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On March 11, 2020, the World Health Organization declared the outbreak of COVID-19, which began spreading globally in late 2019, a global pandemic and recommended containment and mitigation measures worldwide. On March 13, 2020, the United States declared a national emergency arising from the COVID-19 pandemic, and several states and municipalities declared public health emergencies. Along with these declarations, international, federal, state, and local public health and governmental authorities have taken extraordinary and wide-ranging actions to contain and combat the outbreak and spread of COVID-19 in regions across the United States and the world, including quarantines, “shelter-in-place” orders, and mandates for individuals to substantially restrict daily activities and for many businesses to curtail or cease normal operations. Despite these actions, COVID-19 has continued to spread in many areas within the United States, and new cases have recently reached record levels in Arizona, California, Florida and Texas.</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To date, we have not been materially affected by governmental orders requiring businesses to curtail or cease normal operations. We are continuing to operate as an essential business in virtually all of the markets we serve. There can be no assurance, however, that new restrictions will not be adopted that would limit or restrict the scope of our operations. In addition, the COVID-19 pandemic and responses thereto designed to contain its spread and mitigate its public health effects could have a negative impact on several areas affecting our business, including the following:</w:t>
      </w:r>
    </w:p>
    <w:p>
      <w:pPr>
        <w:spacing w:after="0" w:line="64" w:lineRule="exact"/>
        <w:rPr>
          <w:sz w:val="20"/>
          <w:szCs w:val="20"/>
          <w:color w:val="auto"/>
        </w:rPr>
      </w:pPr>
    </w:p>
    <w:p>
      <w:pPr>
        <w:ind w:left="780" w:right="80" w:hanging="392"/>
        <w:spacing w:after="0" w:line="271" w:lineRule="auto"/>
        <w:tabs>
          <w:tab w:leader="none" w:pos="7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COVID-19 pandemic has resulted in adverse macroeconomic conditions that have the potential to affect demand for our products in the principal markets in which we operate. For example, the pandemic and responses thereto have resulted in significant job losses and substantial decreases in consumer confidence in many of the markets in which we operate. Consequently, it is likely that the COVID-19 pandemic will negatively affect demand for our products in current or future periods.</w:t>
      </w:r>
    </w:p>
    <w:p>
      <w:pPr>
        <w:spacing w:after="0" w:line="63" w:lineRule="exact"/>
        <w:rPr>
          <w:rFonts w:ascii="Arial" w:cs="Arial" w:eastAsia="Arial" w:hAnsi="Arial"/>
          <w:sz w:val="12"/>
          <w:szCs w:val="12"/>
          <w:color w:val="auto"/>
        </w:rPr>
      </w:pPr>
    </w:p>
    <w:p>
      <w:pPr>
        <w:ind w:left="780" w:hanging="392"/>
        <w:spacing w:after="0"/>
        <w:tabs>
          <w:tab w:leader="none" w:pos="7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pandemic is likely to have a significant effect on state and local government revenues and construction budgets, and may result in delays, cancellations or curtailment of construction projects.</w:t>
      </w:r>
    </w:p>
    <w:p>
      <w:pPr>
        <w:spacing w:after="0" w:line="87" w:lineRule="exact"/>
        <w:rPr>
          <w:rFonts w:ascii="Arial" w:cs="Arial" w:eastAsia="Arial" w:hAnsi="Arial"/>
          <w:sz w:val="12"/>
          <w:szCs w:val="12"/>
          <w:color w:val="auto"/>
        </w:rPr>
      </w:pPr>
    </w:p>
    <w:p>
      <w:pPr>
        <w:ind w:left="780" w:hanging="392"/>
        <w:spacing w:after="0"/>
        <w:tabs>
          <w:tab w:leader="none" w:pos="7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pandemic could result in delays in collecting on certain of our accounts receivable from our customers.</w:t>
      </w:r>
    </w:p>
    <w:p>
      <w:pPr>
        <w:spacing w:after="0" w:line="87" w:lineRule="exact"/>
        <w:rPr>
          <w:rFonts w:ascii="Arial" w:cs="Arial" w:eastAsia="Arial" w:hAnsi="Arial"/>
          <w:sz w:val="12"/>
          <w:szCs w:val="12"/>
          <w:color w:val="auto"/>
        </w:rPr>
      </w:pPr>
    </w:p>
    <w:p>
      <w:pPr>
        <w:ind w:left="780" w:hanging="392"/>
        <w:spacing w:after="0" w:line="277" w:lineRule="auto"/>
        <w:tabs>
          <w:tab w:leader="none" w:pos="7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pandemic could result in increased costs associated with compliance with new government regulations or restrictions, such as quarantines or social distancing mandates or new workplace safety measures, which may affect our operations in one or more of the markets in which we operate.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6" w:right="299" w:bottom="1440" w:gutter="0" w:footer="0" w:header="0"/>
        </w:sectPr>
      </w:pPr>
    </w:p>
    <w:bookmarkStart w:id="42" w:name="page43"/>
    <w:bookmarkEnd w:id="42"/>
    <w:p>
      <w:pPr>
        <w:ind w:left="780" w:right="160" w:hanging="392"/>
        <w:spacing w:after="0" w:line="277" w:lineRule="auto"/>
        <w:tabs>
          <w:tab w:leader="none" w:pos="7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pandemic has resulted, and may continue to result, in fluctuations in equity market prices (including that of our Common Stock), interest rates and credit spreads, which may limit our ability to raise or deploy capital and implement our future plans, including our planned separation of our Heavy Materials and Light Materials businesses.</w:t>
      </w:r>
    </w:p>
    <w:p>
      <w:pPr>
        <w:spacing w:after="0" w:line="59" w:lineRule="exact"/>
        <w:rPr>
          <w:rFonts w:ascii="Arial" w:cs="Arial" w:eastAsia="Arial" w:hAnsi="Arial"/>
          <w:sz w:val="12"/>
          <w:szCs w:val="12"/>
          <w:color w:val="auto"/>
        </w:rPr>
      </w:pPr>
    </w:p>
    <w:p>
      <w:pPr>
        <w:ind w:left="780" w:hanging="392"/>
        <w:spacing w:after="0"/>
        <w:tabs>
          <w:tab w:leader="none" w:pos="780" w:val="left"/>
        </w:tabs>
        <w:numPr>
          <w:ilvl w:val="0"/>
          <w:numId w:val="9"/>
        </w:numPr>
        <w:rPr>
          <w:rFonts w:ascii="Arial" w:cs="Arial" w:eastAsia="Arial" w:hAnsi="Arial"/>
          <w:sz w:val="12"/>
          <w:szCs w:val="12"/>
          <w:color w:val="auto"/>
        </w:rPr>
      </w:pPr>
      <w:r>
        <w:rPr>
          <w:rFonts w:ascii="Arial" w:cs="Arial" w:eastAsia="Arial" w:hAnsi="Arial"/>
          <w:sz w:val="12"/>
          <w:szCs w:val="12"/>
          <w:color w:val="auto"/>
        </w:rPr>
        <w:t>Finally, the pandemic may have other negative impacts on our operations, supply chain, transportation networks and customers, which we may not be able to anticipate or respond to effectively.</w:t>
      </w:r>
    </w:p>
    <w:p>
      <w:pPr>
        <w:spacing w:after="0" w:line="87"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We are continuing to monitor the COVID-19 pandemic and its likely effects. The extent to which the COVID-19 pandemic will ultimately impact our business, operations, financial condition and results of operations will depend on numerous factors, which are highly uncertain, rapidly changing and cannot be predicted. These factors include:</w:t>
      </w:r>
    </w:p>
    <w:p>
      <w:pPr>
        <w:spacing w:after="0" w:line="59" w:lineRule="exact"/>
        <w:rPr>
          <w:sz w:val="20"/>
          <w:szCs w:val="20"/>
          <w:color w:val="auto"/>
        </w:rPr>
      </w:pPr>
    </w:p>
    <w:p>
      <w:pPr>
        <w:ind w:left="780" w:hanging="392"/>
        <w:spacing w:after="0"/>
        <w:tabs>
          <w:tab w:leader="none" w:pos="7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duration and scope of the outbreak;</w:t>
      </w:r>
    </w:p>
    <w:p>
      <w:pPr>
        <w:spacing w:after="0" w:line="87" w:lineRule="exact"/>
        <w:rPr>
          <w:rFonts w:ascii="Arial" w:cs="Arial" w:eastAsia="Arial" w:hAnsi="Arial"/>
          <w:sz w:val="12"/>
          <w:szCs w:val="12"/>
          <w:color w:val="auto"/>
        </w:rPr>
      </w:pPr>
    </w:p>
    <w:p>
      <w:pPr>
        <w:ind w:left="780" w:hanging="392"/>
        <w:spacing w:after="0"/>
        <w:tabs>
          <w:tab w:leader="none" w:pos="7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governmental, business and individual actions that have been and continue to be taken in response to the outbreak;</w:t>
      </w:r>
    </w:p>
    <w:p>
      <w:pPr>
        <w:spacing w:after="0" w:line="87" w:lineRule="exact"/>
        <w:rPr>
          <w:rFonts w:ascii="Arial" w:cs="Arial" w:eastAsia="Arial" w:hAnsi="Arial"/>
          <w:sz w:val="12"/>
          <w:szCs w:val="12"/>
          <w:color w:val="auto"/>
        </w:rPr>
      </w:pPr>
    </w:p>
    <w:p>
      <w:pPr>
        <w:ind w:left="780" w:hanging="392"/>
        <w:spacing w:after="0"/>
        <w:tabs>
          <w:tab w:leader="none" w:pos="7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effect of the outbreak on our customers, suppliers, supply chain, and other business partners;</w:t>
      </w:r>
    </w:p>
    <w:p>
      <w:pPr>
        <w:spacing w:after="0" w:line="87" w:lineRule="exact"/>
        <w:rPr>
          <w:rFonts w:ascii="Arial" w:cs="Arial" w:eastAsia="Arial" w:hAnsi="Arial"/>
          <w:sz w:val="12"/>
          <w:szCs w:val="12"/>
          <w:color w:val="auto"/>
        </w:rPr>
      </w:pPr>
    </w:p>
    <w:p>
      <w:pPr>
        <w:ind w:left="780" w:hanging="392"/>
        <w:spacing w:after="0"/>
        <w:tabs>
          <w:tab w:leader="none" w:pos="7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during the outbreak to continue to carry out our manufacturing operations in an efficient manner, while taking measures to protect the health and well-being of our employees;</w:t>
      </w:r>
    </w:p>
    <w:p>
      <w:pPr>
        <w:spacing w:after="0" w:line="87" w:lineRule="exact"/>
        <w:rPr>
          <w:rFonts w:ascii="Arial" w:cs="Arial" w:eastAsia="Arial" w:hAnsi="Arial"/>
          <w:sz w:val="12"/>
          <w:szCs w:val="12"/>
          <w:color w:val="auto"/>
        </w:rPr>
      </w:pPr>
    </w:p>
    <w:p>
      <w:pPr>
        <w:ind w:left="780" w:hanging="392"/>
        <w:spacing w:after="0"/>
        <w:tabs>
          <w:tab w:leader="none" w:pos="7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willingness and ability of our customers to order and pay for our products during and following the outbreak; and</w:t>
      </w:r>
    </w:p>
    <w:p>
      <w:pPr>
        <w:spacing w:after="0" w:line="87" w:lineRule="exact"/>
        <w:rPr>
          <w:rFonts w:ascii="Arial" w:cs="Arial" w:eastAsia="Arial" w:hAnsi="Arial"/>
          <w:sz w:val="12"/>
          <w:szCs w:val="12"/>
          <w:color w:val="auto"/>
        </w:rPr>
      </w:pPr>
    </w:p>
    <w:p>
      <w:pPr>
        <w:ind w:left="780" w:hanging="392"/>
        <w:spacing w:after="0"/>
        <w:tabs>
          <w:tab w:leader="none" w:pos="7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impact of the outbreak on the financial markets and economic activity generally.</w:t>
      </w:r>
    </w:p>
    <w:p>
      <w:pPr>
        <w:spacing w:after="0" w:line="87"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The above uncertainties surrounding the COVID-19 pandemic also make it more challenging for our management to estimate the future performance of our business and develop strategies to generate growth or achieve our objectives for fiscal 2021 and future periods.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One key area we continue to closely monitor is the effect of the COVID-19 pandemic on our manufacturing operations. Although we are taking precautions to ensure the safety of our employees, in the event we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suffer an outbreak at one of our manufacturing facilities, we may be forced to suspend operations at such facility until the health conditions improve. Any such reduction in our production capacity could render us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unable to continue to produce our construction products or satisfy order placed by our customers. With respect to our Oil and Gas Proppants sector, demand for oil has significantly deteriorated as a result of the</w:t>
      </w:r>
    </w:p>
    <w:p>
      <w:pPr>
        <w:spacing w:after="0" w:line="15"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COVID-19 pandemic and responses thereto. At the same time, increases in production of oil by Saudi Arabia and Russia created a significant surplus in supply and resulted in sharp declines in oil and gas prices. These developments have led to significant reductions in drilling and well-completion activity beginning in March 2020. The reduction in drilling activity has negatively affected demand for our frac sand, and led to a significant reduction or cessation of new orders. In response to these market conditions, we have curtailed our operations and reduced headcount at our frac sand facilities and are focused on preserving the value of our operating assets for future use. We are continuing to explore strategic alternatives for our frac sand business.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1"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01"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382" w:right="339" w:bottom="1440" w:gutter="0" w:footer="0" w:header="0"/>
        </w:sectPr>
      </w:pPr>
    </w:p>
    <w:bookmarkStart w:id="43" w:name="page44"/>
    <w:bookmarkEnd w:id="43"/>
    <w:p>
      <w:pPr>
        <w:ind w:left="8"/>
        <w:spacing w:after="0"/>
        <w:rPr>
          <w:sz w:val="20"/>
          <w:szCs w:val="20"/>
          <w:color w:val="auto"/>
        </w:rPr>
      </w:pPr>
      <w:r>
        <w:rPr>
          <w:rFonts w:ascii="Arial" w:cs="Arial" w:eastAsia="Arial" w:hAnsi="Arial"/>
          <w:sz w:val="16"/>
          <w:szCs w:val="16"/>
          <w:b w:val="1"/>
          <w:bCs w:val="1"/>
          <w:color w:val="auto"/>
        </w:rPr>
        <w:t>Item 6. Exhibits</w:t>
      </w: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180" w:type="dxa"/>
            <w:vAlign w:val="bottom"/>
          </w:tcPr>
          <w:p>
            <w:pPr>
              <w:spacing w:after="0"/>
              <w:rPr>
                <w:sz w:val="20"/>
                <w:szCs w:val="20"/>
                <w:color w:val="auto"/>
              </w:rPr>
            </w:pPr>
            <w:r>
              <w:rPr>
                <w:rFonts w:ascii="Arial" w:cs="Arial" w:eastAsia="Arial" w:hAnsi="Arial"/>
                <w:sz w:val="12"/>
                <w:szCs w:val="12"/>
                <w:color w:val="auto"/>
              </w:rPr>
              <w:t>10.1</w:t>
            </w:r>
          </w:p>
        </w:tc>
        <w:tc>
          <w:tcPr>
            <w:tcW w:w="9480" w:type="dxa"/>
            <w:vAlign w:val="bottom"/>
            <w:tcBorders>
              <w:bottom w:val="single" w:sz="8" w:color="0000EE"/>
            </w:tcBorders>
            <w:gridSpan w:val="13"/>
          </w:tcPr>
          <w:p>
            <w:pPr>
              <w:spacing w:after="0"/>
              <w:rPr>
                <w:rFonts w:ascii="Arial" w:cs="Arial" w:eastAsia="Arial" w:hAnsi="Arial"/>
                <w:sz w:val="12"/>
                <w:szCs w:val="12"/>
                <w:color w:val="0000EE"/>
                <w:w w:val="99"/>
              </w:rPr>
            </w:pPr>
            <w:hyperlink r:id="rId95">
              <w:r>
                <w:rPr>
                  <w:rFonts w:ascii="Arial" w:cs="Arial" w:eastAsia="Arial" w:hAnsi="Arial"/>
                  <w:sz w:val="12"/>
                  <w:szCs w:val="12"/>
                  <w:color w:val="0000EE"/>
                  <w:w w:val="99"/>
                </w:rPr>
                <w:t>Eagle Materials Inc. Salaried Incentive Compensation Program for Fiscal Year 2021 (filed as Exhibit 10.1 to the Current Report on Form 8-K filed with the Securities and Exchange</w:t>
              </w:r>
            </w:hyperlink>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180" w:type="dxa"/>
            <w:vAlign w:val="bottom"/>
          </w:tcPr>
          <w:p>
            <w:pPr>
              <w:spacing w:after="0"/>
              <w:rPr>
                <w:sz w:val="9"/>
                <w:szCs w:val="9"/>
                <w:color w:val="auto"/>
              </w:rPr>
            </w:pPr>
          </w:p>
        </w:tc>
        <w:tc>
          <w:tcPr>
            <w:tcW w:w="4680" w:type="dxa"/>
            <w:vAlign w:val="bottom"/>
            <w:gridSpan w:val="11"/>
            <w:vMerge w:val="restart"/>
          </w:tcPr>
          <w:p>
            <w:pPr>
              <w:spacing w:after="0"/>
              <w:rPr>
                <w:rFonts w:ascii="Arial" w:cs="Arial" w:eastAsia="Arial" w:hAnsi="Arial"/>
                <w:sz w:val="12"/>
                <w:szCs w:val="12"/>
                <w:color w:val="0000EE"/>
              </w:rPr>
            </w:pPr>
            <w:hyperlink r:id="rId95">
              <w:r>
                <w:rPr>
                  <w:rFonts w:ascii="Arial" w:cs="Arial" w:eastAsia="Arial" w:hAnsi="Arial"/>
                  <w:sz w:val="12"/>
                  <w:szCs w:val="12"/>
                  <w:color w:val="0000EE"/>
                </w:rPr>
                <w:t>Commission (the Commission) on May 20, 2020 and incorporated herein by reference).</w:t>
              </w:r>
            </w:hyperlink>
          </w:p>
        </w:tc>
        <w:tc>
          <w:tcPr>
            <w:tcW w:w="120" w:type="dxa"/>
            <w:vAlign w:val="bottom"/>
            <w:tcBorders>
              <w:bottom w:val="single" w:sz="8" w:color="0000EE"/>
            </w:tcBorders>
          </w:tcPr>
          <w:p>
            <w:pPr>
              <w:jc w:val="right"/>
              <w:spacing w:after="0" w:line="97" w:lineRule="exact"/>
              <w:rPr>
                <w:rFonts w:ascii="Arial" w:cs="Arial" w:eastAsia="Arial" w:hAnsi="Arial"/>
                <w:sz w:val="10"/>
                <w:szCs w:val="10"/>
                <w:color w:val="0000EE"/>
                <w:w w:val="81"/>
              </w:rPr>
            </w:pPr>
            <w:hyperlink r:id="rId95">
              <w:r>
                <w:rPr>
                  <w:rFonts w:ascii="Arial" w:cs="Arial" w:eastAsia="Arial" w:hAnsi="Arial"/>
                  <w:sz w:val="10"/>
                  <w:szCs w:val="10"/>
                  <w:color w:val="0000EE"/>
                  <w:w w:val="81"/>
                </w:rPr>
                <w:t>(1)</w:t>
              </w:r>
            </w:hyperlink>
          </w:p>
        </w:tc>
        <w:tc>
          <w:tcPr>
            <w:tcW w:w="50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line="20" w:lineRule="exact"/>
              <w:rPr>
                <w:sz w:val="1"/>
                <w:szCs w:val="1"/>
                <w:color w:val="auto"/>
              </w:rPr>
            </w:pPr>
          </w:p>
        </w:tc>
        <w:tc>
          <w:tcPr>
            <w:tcW w:w="4680" w:type="dxa"/>
            <w:vAlign w:val="bottom"/>
            <w:tcBorders>
              <w:bottom w:val="single" w:sz="8" w:color="0000EE"/>
            </w:tcBorders>
            <w:gridSpan w:val="11"/>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80" w:type="dxa"/>
            <w:vAlign w:val="bottom"/>
          </w:tcPr>
          <w:p>
            <w:pPr>
              <w:spacing w:after="0"/>
              <w:rPr>
                <w:sz w:val="20"/>
                <w:szCs w:val="20"/>
                <w:color w:val="auto"/>
              </w:rPr>
            </w:pPr>
            <w:r>
              <w:rPr>
                <w:rFonts w:ascii="Arial" w:cs="Arial" w:eastAsia="Arial" w:hAnsi="Arial"/>
                <w:sz w:val="12"/>
                <w:szCs w:val="12"/>
                <w:color w:val="auto"/>
              </w:rPr>
              <w:t>10.2</w:t>
            </w:r>
          </w:p>
        </w:tc>
        <w:tc>
          <w:tcPr>
            <w:tcW w:w="9800" w:type="dxa"/>
            <w:vAlign w:val="bottom"/>
            <w:tcBorders>
              <w:bottom w:val="single" w:sz="8" w:color="0000EE"/>
            </w:tcBorders>
            <w:gridSpan w:val="14"/>
          </w:tcPr>
          <w:p>
            <w:pPr>
              <w:spacing w:after="0"/>
              <w:rPr>
                <w:rFonts w:ascii="Arial" w:cs="Arial" w:eastAsia="Arial" w:hAnsi="Arial"/>
                <w:sz w:val="12"/>
                <w:szCs w:val="12"/>
                <w:color w:val="0000EE"/>
                <w:w w:val="99"/>
              </w:rPr>
            </w:pPr>
            <w:hyperlink r:id="rId96">
              <w:r>
                <w:rPr>
                  <w:rFonts w:ascii="Arial" w:cs="Arial" w:eastAsia="Arial" w:hAnsi="Arial"/>
                  <w:sz w:val="12"/>
                  <w:szCs w:val="12"/>
                  <w:color w:val="0000EE"/>
                  <w:w w:val="99"/>
                </w:rPr>
                <w:t>Eagle Materials Inc. Special Situation Program for Fiscal Year 2021 (filed as Exhibit 10.2 to the Current Report on Form 8-K filed with the Commission on May 20, 2020 and incorporated</w:t>
              </w:r>
            </w:hyperlink>
          </w:p>
        </w:tc>
        <w:tc>
          <w:tcPr>
            <w:tcW w:w="0" w:type="dxa"/>
            <w:vAlign w:val="bottom"/>
          </w:tcPr>
          <w:p>
            <w:pPr>
              <w:spacing w:after="0"/>
              <w:rPr>
                <w:sz w:val="1"/>
                <w:szCs w:val="1"/>
                <w:color w:val="auto"/>
              </w:rPr>
            </w:pPr>
          </w:p>
        </w:tc>
      </w:tr>
      <w:tr>
        <w:trPr>
          <w:trHeight w:val="106"/>
        </w:trPr>
        <w:tc>
          <w:tcPr>
            <w:tcW w:w="1180" w:type="dxa"/>
            <w:vAlign w:val="bottom"/>
          </w:tcPr>
          <w:p>
            <w:pPr>
              <w:spacing w:after="0"/>
              <w:rPr>
                <w:sz w:val="9"/>
                <w:szCs w:val="9"/>
                <w:color w:val="auto"/>
              </w:rPr>
            </w:pPr>
          </w:p>
        </w:tc>
        <w:tc>
          <w:tcPr>
            <w:tcW w:w="1140" w:type="dxa"/>
            <w:vAlign w:val="bottom"/>
            <w:vMerge w:val="restart"/>
          </w:tcPr>
          <w:p>
            <w:pPr>
              <w:spacing w:after="0"/>
              <w:rPr>
                <w:rFonts w:ascii="Arial" w:cs="Arial" w:eastAsia="Arial" w:hAnsi="Arial"/>
                <w:sz w:val="12"/>
                <w:szCs w:val="12"/>
                <w:color w:val="0000EE"/>
              </w:rPr>
            </w:pPr>
            <w:hyperlink r:id="rId96">
              <w:r>
                <w:rPr>
                  <w:rFonts w:ascii="Arial" w:cs="Arial" w:eastAsia="Arial" w:hAnsi="Arial"/>
                  <w:sz w:val="12"/>
                  <w:szCs w:val="12"/>
                  <w:color w:val="0000EE"/>
                </w:rPr>
                <w:t>herein by reference).</w:t>
              </w:r>
            </w:hyperlink>
          </w:p>
        </w:tc>
        <w:tc>
          <w:tcPr>
            <w:tcW w:w="140" w:type="dxa"/>
            <w:vAlign w:val="bottom"/>
            <w:tcBorders>
              <w:bottom w:val="single" w:sz="8" w:color="0000EE"/>
            </w:tcBorders>
          </w:tcPr>
          <w:p>
            <w:pPr>
              <w:jc w:val="right"/>
              <w:spacing w:after="0" w:line="97" w:lineRule="exact"/>
              <w:rPr>
                <w:rFonts w:ascii="Arial" w:cs="Arial" w:eastAsia="Arial" w:hAnsi="Arial"/>
                <w:sz w:val="10"/>
                <w:szCs w:val="10"/>
                <w:color w:val="0000EE"/>
                <w:w w:val="97"/>
              </w:rPr>
            </w:pPr>
            <w:hyperlink r:id="rId96">
              <w:r>
                <w:rPr>
                  <w:rFonts w:ascii="Arial" w:cs="Arial" w:eastAsia="Arial" w:hAnsi="Arial"/>
                  <w:sz w:val="10"/>
                  <w:szCs w:val="10"/>
                  <w:color w:val="0000EE"/>
                  <w:w w:val="97"/>
                </w:rPr>
                <w:t>(1)</w:t>
              </w:r>
            </w:hyperlink>
          </w:p>
        </w:tc>
        <w:tc>
          <w:tcPr>
            <w:tcW w:w="21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880" w:type="dxa"/>
            <w:vAlign w:val="bottom"/>
            <w:gridSpan w:val="4"/>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line="20" w:lineRule="exact"/>
              <w:rPr>
                <w:sz w:val="1"/>
                <w:szCs w:val="1"/>
                <w:color w:val="auto"/>
              </w:rPr>
            </w:pPr>
          </w:p>
        </w:tc>
        <w:tc>
          <w:tcPr>
            <w:tcW w:w="1140" w:type="dxa"/>
            <w:vAlign w:val="bottom"/>
            <w:tcBorders>
              <w:bottom w:val="single" w:sz="8" w:color="0000EE"/>
            </w:tcBorders>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0000EE"/>
                <w:w w:val="81"/>
              </w:rPr>
              <w:t>(1)</w:t>
            </w:r>
          </w:p>
        </w:tc>
        <w:tc>
          <w:tcPr>
            <w:tcW w:w="58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80" w:type="dxa"/>
            <w:vAlign w:val="bottom"/>
            <w:vMerge w:val="restart"/>
          </w:tcPr>
          <w:p>
            <w:pPr>
              <w:spacing w:after="0"/>
              <w:rPr>
                <w:sz w:val="20"/>
                <w:szCs w:val="20"/>
                <w:color w:val="auto"/>
              </w:rPr>
            </w:pPr>
            <w:r>
              <w:rPr>
                <w:rFonts w:ascii="Arial" w:cs="Arial" w:eastAsia="Arial" w:hAnsi="Arial"/>
                <w:sz w:val="12"/>
                <w:szCs w:val="12"/>
                <w:color w:val="auto"/>
              </w:rPr>
              <w:t>10.3*</w:t>
            </w:r>
          </w:p>
        </w:tc>
        <w:tc>
          <w:tcPr>
            <w:tcW w:w="3800" w:type="dxa"/>
            <w:vAlign w:val="bottom"/>
            <w:gridSpan w:val="9"/>
            <w:vMerge w:val="restart"/>
          </w:tcPr>
          <w:p>
            <w:pPr>
              <w:spacing w:after="0"/>
              <w:rPr>
                <w:rFonts w:ascii="Arial" w:cs="Arial" w:eastAsia="Arial" w:hAnsi="Arial"/>
                <w:sz w:val="12"/>
                <w:szCs w:val="12"/>
                <w:u w:val="single" w:color="auto"/>
                <w:color w:val="0000EE"/>
              </w:rPr>
            </w:pPr>
            <w:hyperlink w:anchor="page46">
              <w:r>
                <w:rPr>
                  <w:rFonts w:ascii="Arial" w:cs="Arial" w:eastAsia="Arial" w:hAnsi="Arial"/>
                  <w:sz w:val="12"/>
                  <w:szCs w:val="12"/>
                  <w:u w:val="single" w:color="auto"/>
                  <w:color w:val="0000EE"/>
                </w:rPr>
                <w:t>Form of Management Non-Qualified Option Agreement (Performance).</w:t>
              </w:r>
            </w:hyperlink>
          </w:p>
        </w:tc>
        <w:tc>
          <w:tcPr>
            <w:tcW w:w="120" w:type="dxa"/>
            <w:vAlign w:val="bottom"/>
            <w:tcBorders>
              <w:bottom w:val="single" w:sz="8" w:color="0000EE"/>
            </w:tcBorders>
            <w:vMerge w:val="continue"/>
          </w:tcPr>
          <w:p>
            <w:pPr>
              <w:spacing w:after="0"/>
              <w:rPr>
                <w:sz w:val="14"/>
                <w:szCs w:val="14"/>
                <w:color w:val="auto"/>
              </w:rPr>
            </w:pPr>
          </w:p>
        </w:tc>
        <w:tc>
          <w:tcPr>
            <w:tcW w:w="58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80" w:type="dxa"/>
            <w:vAlign w:val="bottom"/>
            <w:vMerge w:val="continue"/>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120" w:type="dxa"/>
            <w:vAlign w:val="bottom"/>
          </w:tcPr>
          <w:p>
            <w:pPr>
              <w:spacing w:after="0"/>
              <w:rPr>
                <w:sz w:val="2"/>
                <w:szCs w:val="2"/>
                <w:color w:val="auto"/>
              </w:rPr>
            </w:pPr>
          </w:p>
        </w:tc>
        <w:tc>
          <w:tcPr>
            <w:tcW w:w="58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180" w:type="dxa"/>
            <w:vAlign w:val="bottom"/>
            <w:vMerge w:val="restart"/>
          </w:tcPr>
          <w:p>
            <w:pPr>
              <w:spacing w:after="0"/>
              <w:rPr>
                <w:sz w:val="20"/>
                <w:szCs w:val="20"/>
                <w:color w:val="auto"/>
              </w:rPr>
            </w:pPr>
            <w:r>
              <w:rPr>
                <w:rFonts w:ascii="Arial" w:cs="Arial" w:eastAsia="Arial" w:hAnsi="Arial"/>
                <w:sz w:val="12"/>
                <w:szCs w:val="12"/>
                <w:color w:val="auto"/>
              </w:rPr>
              <w:t>10.4*</w:t>
            </w:r>
          </w:p>
        </w:tc>
        <w:tc>
          <w:tcPr>
            <w:tcW w:w="3640" w:type="dxa"/>
            <w:vAlign w:val="bottom"/>
            <w:gridSpan w:val="6"/>
            <w:vMerge w:val="restart"/>
          </w:tcPr>
          <w:p>
            <w:pPr>
              <w:spacing w:after="0"/>
              <w:rPr>
                <w:rFonts w:ascii="Arial" w:cs="Arial" w:eastAsia="Arial" w:hAnsi="Arial"/>
                <w:sz w:val="12"/>
                <w:szCs w:val="12"/>
                <w:u w:val="single" w:color="auto"/>
                <w:color w:val="0000EE"/>
              </w:rPr>
            </w:pPr>
            <w:hyperlink w:anchor="page57">
              <w:r>
                <w:rPr>
                  <w:rFonts w:ascii="Arial" w:cs="Arial" w:eastAsia="Arial" w:hAnsi="Arial"/>
                  <w:sz w:val="12"/>
                  <w:szCs w:val="12"/>
                  <w:u w:val="single" w:color="auto"/>
                  <w:color w:val="0000EE"/>
                </w:rPr>
                <w:t>Form of Management Non-Qualified Option Agreement (Time Vest).</w:t>
              </w:r>
            </w:hyperlink>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81"/>
              </w:rPr>
              <w:t>(1)</w:t>
            </w:r>
          </w:p>
        </w:tc>
        <w:tc>
          <w:tcPr>
            <w:tcW w:w="604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80" w:type="dxa"/>
            <w:vAlign w:val="bottom"/>
            <w:vMerge w:val="continue"/>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180" w:type="dxa"/>
            <w:vAlign w:val="bottom"/>
            <w:vMerge w:val="restart"/>
          </w:tcPr>
          <w:p>
            <w:pPr>
              <w:spacing w:after="0"/>
              <w:rPr>
                <w:sz w:val="20"/>
                <w:szCs w:val="20"/>
                <w:color w:val="auto"/>
              </w:rPr>
            </w:pPr>
            <w:r>
              <w:rPr>
                <w:rFonts w:ascii="Arial" w:cs="Arial" w:eastAsia="Arial" w:hAnsi="Arial"/>
                <w:sz w:val="12"/>
                <w:szCs w:val="12"/>
                <w:color w:val="auto"/>
              </w:rPr>
              <w:t>10.5*</w:t>
            </w:r>
          </w:p>
        </w:tc>
        <w:tc>
          <w:tcPr>
            <w:tcW w:w="3540" w:type="dxa"/>
            <w:vAlign w:val="bottom"/>
            <w:gridSpan w:val="5"/>
            <w:vMerge w:val="restart"/>
          </w:tcPr>
          <w:p>
            <w:pPr>
              <w:spacing w:after="0"/>
              <w:rPr>
                <w:rFonts w:ascii="Arial" w:cs="Arial" w:eastAsia="Arial" w:hAnsi="Arial"/>
                <w:sz w:val="12"/>
                <w:szCs w:val="12"/>
                <w:u w:val="single" w:color="auto"/>
                <w:color w:val="0000EE"/>
              </w:rPr>
            </w:pPr>
            <w:hyperlink w:anchor="page67">
              <w:r>
                <w:rPr>
                  <w:rFonts w:ascii="Arial" w:cs="Arial" w:eastAsia="Arial" w:hAnsi="Arial"/>
                  <w:sz w:val="12"/>
                  <w:szCs w:val="12"/>
                  <w:u w:val="single" w:color="auto"/>
                  <w:color w:val="0000EE"/>
                </w:rPr>
                <w:t>Form of Management Restricted Stock Agreement (Performance).</w:t>
              </w:r>
            </w:hyperlink>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97"/>
              </w:rPr>
              <w:t>(1)</w:t>
            </w:r>
          </w:p>
        </w:tc>
        <w:tc>
          <w:tcPr>
            <w:tcW w:w="6120" w:type="dxa"/>
            <w:vAlign w:val="bottom"/>
            <w:gridSpan w:val="7"/>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80" w:type="dxa"/>
            <w:vAlign w:val="bottom"/>
            <w:vMerge w:val="continue"/>
          </w:tcPr>
          <w:p>
            <w:pPr>
              <w:spacing w:after="0"/>
              <w:rPr>
                <w:sz w:val="2"/>
                <w:szCs w:val="2"/>
                <w:color w:val="auto"/>
              </w:rPr>
            </w:pPr>
          </w:p>
        </w:tc>
        <w:tc>
          <w:tcPr>
            <w:tcW w:w="3540" w:type="dxa"/>
            <w:vAlign w:val="bottom"/>
            <w:gridSpan w:val="5"/>
            <w:vMerge w:val="continue"/>
          </w:tcPr>
          <w:p>
            <w:pPr>
              <w:spacing w:after="0"/>
              <w:rPr>
                <w:sz w:val="2"/>
                <w:szCs w:val="2"/>
                <w:color w:val="auto"/>
              </w:rPr>
            </w:pPr>
          </w:p>
        </w:tc>
        <w:tc>
          <w:tcPr>
            <w:tcW w:w="140" w:type="dxa"/>
            <w:vAlign w:val="bottom"/>
            <w:gridSpan w:val="2"/>
          </w:tcPr>
          <w:p>
            <w:pPr>
              <w:spacing w:after="0"/>
              <w:rPr>
                <w:sz w:val="2"/>
                <w:szCs w:val="2"/>
                <w:color w:val="auto"/>
              </w:rPr>
            </w:pPr>
          </w:p>
        </w:tc>
        <w:tc>
          <w:tcPr>
            <w:tcW w:w="61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180" w:type="dxa"/>
            <w:vAlign w:val="bottom"/>
            <w:vMerge w:val="restart"/>
          </w:tcPr>
          <w:p>
            <w:pPr>
              <w:spacing w:after="0"/>
              <w:rPr>
                <w:sz w:val="20"/>
                <w:szCs w:val="20"/>
                <w:color w:val="auto"/>
              </w:rPr>
            </w:pPr>
            <w:r>
              <w:rPr>
                <w:rFonts w:ascii="Arial" w:cs="Arial" w:eastAsia="Arial" w:hAnsi="Arial"/>
                <w:sz w:val="12"/>
                <w:szCs w:val="12"/>
                <w:color w:val="auto"/>
              </w:rPr>
              <w:t>10.6*</w:t>
            </w:r>
          </w:p>
        </w:tc>
        <w:tc>
          <w:tcPr>
            <w:tcW w:w="3400" w:type="dxa"/>
            <w:vAlign w:val="bottom"/>
            <w:gridSpan w:val="3"/>
            <w:vMerge w:val="restart"/>
          </w:tcPr>
          <w:p>
            <w:pPr>
              <w:spacing w:after="0"/>
              <w:rPr>
                <w:rFonts w:ascii="Arial" w:cs="Arial" w:eastAsia="Arial" w:hAnsi="Arial"/>
                <w:sz w:val="12"/>
                <w:szCs w:val="12"/>
                <w:u w:val="single" w:color="auto"/>
                <w:color w:val="0000EE"/>
              </w:rPr>
            </w:pPr>
            <w:hyperlink w:anchor="page75">
              <w:r>
                <w:rPr>
                  <w:rFonts w:ascii="Arial" w:cs="Arial" w:eastAsia="Arial" w:hAnsi="Arial"/>
                  <w:sz w:val="12"/>
                  <w:szCs w:val="12"/>
                  <w:u w:val="single" w:color="auto"/>
                  <w:color w:val="0000EE"/>
                </w:rPr>
                <w:t>Form of Management Restricted Stock Agreement (Time Vest).</w:t>
              </w:r>
            </w:hyperlink>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0000EE"/>
                <w:w w:val="81"/>
              </w:rPr>
              <w:t>(1)</w:t>
            </w:r>
          </w:p>
        </w:tc>
        <w:tc>
          <w:tcPr>
            <w:tcW w:w="6280" w:type="dxa"/>
            <w:vAlign w:val="bottom"/>
            <w:gridSpan w:val="10"/>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80" w:type="dxa"/>
            <w:vAlign w:val="bottom"/>
            <w:vMerge w:val="continue"/>
          </w:tcPr>
          <w:p>
            <w:pPr>
              <w:spacing w:after="0"/>
              <w:rPr>
                <w:sz w:val="2"/>
                <w:szCs w:val="2"/>
                <w:color w:val="auto"/>
              </w:rPr>
            </w:pPr>
          </w:p>
        </w:tc>
        <w:tc>
          <w:tcPr>
            <w:tcW w:w="34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280" w:type="dxa"/>
            <w:vAlign w:val="bottom"/>
            <w:gridSpan w:val="10"/>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31.1*</w:t>
            </w:r>
          </w:p>
        </w:tc>
        <w:tc>
          <w:tcPr>
            <w:tcW w:w="9800" w:type="dxa"/>
            <w:vAlign w:val="bottom"/>
            <w:gridSpan w:val="14"/>
          </w:tcPr>
          <w:p>
            <w:pPr>
              <w:spacing w:after="0"/>
              <w:rPr>
                <w:rFonts w:ascii="Arial" w:cs="Arial" w:eastAsia="Arial" w:hAnsi="Arial"/>
                <w:sz w:val="12"/>
                <w:szCs w:val="12"/>
                <w:u w:val="single" w:color="auto"/>
                <w:color w:val="0000EE"/>
              </w:rPr>
            </w:pPr>
            <w:hyperlink w:anchor="page82">
              <w:r>
                <w:rPr>
                  <w:rFonts w:ascii="Arial" w:cs="Arial" w:eastAsia="Arial" w:hAnsi="Arial"/>
                  <w:sz w:val="12"/>
                  <w:szCs w:val="12"/>
                  <w:u w:val="single" w:color="auto"/>
                  <w:color w:val="0000EE"/>
                </w:rPr>
                <w:t>Certification of the Chief Executive Officer of Eagle Materials Inc. pursuant to Rules 13a-14 and 15d-14 promulgated under the Securities Exchange Act of 1934, as amended.</w:t>
              </w:r>
            </w:hyperlink>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31.2*</w:t>
            </w:r>
          </w:p>
        </w:tc>
        <w:tc>
          <w:tcPr>
            <w:tcW w:w="9800" w:type="dxa"/>
            <w:vAlign w:val="bottom"/>
            <w:gridSpan w:val="14"/>
          </w:tcPr>
          <w:p>
            <w:pPr>
              <w:spacing w:after="0"/>
              <w:rPr>
                <w:rFonts w:ascii="Arial" w:cs="Arial" w:eastAsia="Arial" w:hAnsi="Arial"/>
                <w:sz w:val="12"/>
                <w:szCs w:val="12"/>
                <w:u w:val="single" w:color="auto"/>
                <w:color w:val="0000EE"/>
              </w:rPr>
            </w:pPr>
            <w:hyperlink w:anchor="page83">
              <w:r>
                <w:rPr>
                  <w:rFonts w:ascii="Arial" w:cs="Arial" w:eastAsia="Arial" w:hAnsi="Arial"/>
                  <w:sz w:val="12"/>
                  <w:szCs w:val="12"/>
                  <w:u w:val="single" w:color="auto"/>
                  <w:color w:val="0000EE"/>
                </w:rPr>
                <w:t>Certification of the Chief Financial Officer of Eagle Materials Inc. pursuant to Rules 13a-14 and 15d-14 promulgated under the Securities Exchange Act of 1934, as amended.</w:t>
              </w:r>
            </w:hyperlink>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32.1*</w:t>
            </w:r>
          </w:p>
        </w:tc>
        <w:tc>
          <w:tcPr>
            <w:tcW w:w="9800" w:type="dxa"/>
            <w:vAlign w:val="bottom"/>
            <w:gridSpan w:val="14"/>
          </w:tcPr>
          <w:p>
            <w:pPr>
              <w:spacing w:after="0"/>
              <w:rPr>
                <w:rFonts w:ascii="Arial" w:cs="Arial" w:eastAsia="Arial" w:hAnsi="Arial"/>
                <w:sz w:val="12"/>
                <w:szCs w:val="12"/>
                <w:color w:val="0000EE"/>
              </w:rPr>
            </w:pPr>
            <w:hyperlink w:anchor="page84">
              <w:r>
                <w:rPr>
                  <w:rFonts w:ascii="Arial" w:cs="Arial" w:eastAsia="Arial" w:hAnsi="Arial"/>
                  <w:sz w:val="12"/>
                  <w:szCs w:val="12"/>
                  <w:u w:val="single" w:color="auto"/>
                  <w:color w:val="0000EE"/>
                </w:rPr>
                <w:t>Certification of the Chief Executive Officer of Eagle Materials Inc. pursuant to 18 U.S.C. Section 1350, as adopted pursuant to Section 906 of the Sarbanes-Oxley Act of 2002</w:t>
              </w:r>
              <w:r>
                <w:rPr>
                  <w:rFonts w:ascii="Arial" w:cs="Arial" w:eastAsia="Arial" w:hAnsi="Arial"/>
                  <w:sz w:val="12"/>
                  <w:szCs w:val="12"/>
                  <w:color w:val="0000EE"/>
                </w:rPr>
                <w:t>.</w:t>
              </w:r>
            </w:hyperlink>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32.2*</w:t>
            </w:r>
          </w:p>
        </w:tc>
        <w:tc>
          <w:tcPr>
            <w:tcW w:w="9800" w:type="dxa"/>
            <w:vAlign w:val="bottom"/>
            <w:gridSpan w:val="14"/>
          </w:tcPr>
          <w:p>
            <w:pPr>
              <w:spacing w:after="0"/>
              <w:rPr>
                <w:rFonts w:ascii="Arial" w:cs="Arial" w:eastAsia="Arial" w:hAnsi="Arial"/>
                <w:sz w:val="12"/>
                <w:szCs w:val="12"/>
                <w:u w:val="single" w:color="auto"/>
                <w:color w:val="0000EE"/>
              </w:rPr>
            </w:pPr>
            <w:hyperlink w:anchor="page85">
              <w:r>
                <w:rPr>
                  <w:rFonts w:ascii="Arial" w:cs="Arial" w:eastAsia="Arial" w:hAnsi="Arial"/>
                  <w:sz w:val="12"/>
                  <w:szCs w:val="12"/>
                  <w:u w:val="single" w:color="auto"/>
                  <w:color w:val="0000EE"/>
                </w:rPr>
                <w:t>Certification of the Chief Financial Officer of Eagle Materials Inc.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95*</w:t>
            </w:r>
          </w:p>
        </w:tc>
        <w:tc>
          <w:tcPr>
            <w:tcW w:w="9800" w:type="dxa"/>
            <w:vAlign w:val="bottom"/>
            <w:gridSpan w:val="14"/>
          </w:tcPr>
          <w:p>
            <w:pPr>
              <w:spacing w:after="0"/>
              <w:rPr>
                <w:rFonts w:ascii="Arial" w:cs="Arial" w:eastAsia="Arial" w:hAnsi="Arial"/>
                <w:sz w:val="12"/>
                <w:szCs w:val="12"/>
                <w:u w:val="single" w:color="auto"/>
                <w:color w:val="0000EE"/>
              </w:rPr>
            </w:pPr>
            <w:hyperlink w:anchor="page86">
              <w:r>
                <w:rPr>
                  <w:rFonts w:ascii="Arial" w:cs="Arial" w:eastAsia="Arial" w:hAnsi="Arial"/>
                  <w:sz w:val="12"/>
                  <w:szCs w:val="12"/>
                  <w:u w:val="single" w:color="auto"/>
                  <w:color w:val="0000EE"/>
                </w:rPr>
                <w:t>Mine Safety Disclosure</w:t>
              </w:r>
            </w:hyperlink>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101.INS*</w:t>
            </w:r>
          </w:p>
        </w:tc>
        <w:tc>
          <w:tcPr>
            <w:tcW w:w="9800" w:type="dxa"/>
            <w:vAlign w:val="bottom"/>
            <w:gridSpan w:val="14"/>
          </w:tcPr>
          <w:p>
            <w:pPr>
              <w:spacing w:after="0"/>
              <w:rPr>
                <w:sz w:val="20"/>
                <w:szCs w:val="20"/>
                <w:color w:val="auto"/>
              </w:rPr>
            </w:pPr>
            <w:r>
              <w:rPr>
                <w:rFonts w:ascii="Arial" w:cs="Arial" w:eastAsia="Arial" w:hAnsi="Arial"/>
                <w:sz w:val="12"/>
                <w:szCs w:val="12"/>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101.SCH*</w:t>
            </w:r>
          </w:p>
        </w:tc>
        <w:tc>
          <w:tcPr>
            <w:tcW w:w="9800" w:type="dxa"/>
            <w:vAlign w:val="bottom"/>
            <w:gridSpan w:val="14"/>
          </w:tcPr>
          <w:p>
            <w:pPr>
              <w:spacing w:after="0"/>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101.CAL*</w:t>
            </w:r>
          </w:p>
        </w:tc>
        <w:tc>
          <w:tcPr>
            <w:tcW w:w="9800" w:type="dxa"/>
            <w:vAlign w:val="bottom"/>
            <w:gridSpan w:val="14"/>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101.DEF*</w:t>
            </w:r>
          </w:p>
        </w:tc>
        <w:tc>
          <w:tcPr>
            <w:tcW w:w="9800" w:type="dxa"/>
            <w:vAlign w:val="bottom"/>
            <w:gridSpan w:val="14"/>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101.LAB*</w:t>
            </w:r>
          </w:p>
        </w:tc>
        <w:tc>
          <w:tcPr>
            <w:tcW w:w="9800" w:type="dxa"/>
            <w:vAlign w:val="bottom"/>
            <w:gridSpan w:val="14"/>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101.PRE*</w:t>
            </w:r>
          </w:p>
        </w:tc>
        <w:tc>
          <w:tcPr>
            <w:tcW w:w="9800" w:type="dxa"/>
            <w:vAlign w:val="bottom"/>
            <w:gridSpan w:val="14"/>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9800" w:type="dxa"/>
            <w:vAlign w:val="bottom"/>
            <w:gridSpan w:val="14"/>
          </w:tcPr>
          <w:p>
            <w:pPr>
              <w:spacing w:after="0"/>
              <w:rPr>
                <w:sz w:val="20"/>
                <w:szCs w:val="20"/>
                <w:color w:val="auto"/>
              </w:rPr>
            </w:pPr>
            <w:r>
              <w:rPr>
                <w:rFonts w:ascii="Arial" w:cs="Arial" w:eastAsia="Arial" w:hAnsi="Arial"/>
                <w:sz w:val="12"/>
                <w:szCs w:val="12"/>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205168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105" w:lineRule="exact"/>
        <w:rPr>
          <w:sz w:val="20"/>
          <w:szCs w:val="20"/>
          <w:color w:val="auto"/>
        </w:rPr>
      </w:pPr>
    </w:p>
    <w:p>
      <w:pPr>
        <w:ind w:left="548" w:hanging="548"/>
        <w:spacing w:after="0"/>
        <w:tabs>
          <w:tab w:leader="none" w:pos="5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6" w:lineRule="exact"/>
        <w:rPr>
          <w:sz w:val="20"/>
          <w:szCs w:val="20"/>
          <w:color w:val="auto"/>
        </w:rPr>
      </w:pPr>
    </w:p>
    <w:p>
      <w:pPr>
        <w:ind w:left="548" w:hanging="548"/>
        <w:spacing w:after="0"/>
        <w:tabs>
          <w:tab w:leader="none" w:pos="548" w:val="left"/>
        </w:tabs>
        <w:numPr>
          <w:ilvl w:val="0"/>
          <w:numId w:val="12"/>
        </w:numPr>
        <w:rPr>
          <w:rFonts w:ascii="Arial" w:cs="Arial" w:eastAsia="Arial" w:hAnsi="Arial"/>
          <w:sz w:val="10"/>
          <w:szCs w:val="10"/>
          <w:color w:val="auto"/>
        </w:rPr>
      </w:pPr>
      <w:r>
        <w:rPr>
          <w:rFonts w:ascii="Arial" w:cs="Arial" w:eastAsia="Arial" w:hAnsi="Arial"/>
          <w:sz w:val="12"/>
          <w:szCs w:val="12"/>
          <w:color w:val="auto"/>
        </w:rPr>
        <w:t>Management contract or compensatory plan or arrangement.</w:t>
      </w:r>
    </w:p>
    <w:p>
      <w:pPr>
        <w:spacing w:after="0" w:line="200" w:lineRule="exact"/>
        <w:rPr>
          <w:sz w:val="20"/>
          <w:szCs w:val="20"/>
          <w:color w:val="auto"/>
        </w:rPr>
      </w:pPr>
    </w:p>
    <w:p>
      <w:pPr>
        <w:spacing w:after="0" w:line="251" w:lineRule="exact"/>
        <w:rPr>
          <w:sz w:val="20"/>
          <w:szCs w:val="20"/>
          <w:color w:val="auto"/>
        </w:rPr>
      </w:pPr>
    </w:p>
    <w:p>
      <w:pPr>
        <w:jc w:val="center"/>
        <w:ind w:right="-307"/>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988"/>
          </w:cols>
          <w:pgMar w:left="292" w:top="439" w:right="619" w:bottom="1440" w:gutter="0" w:footer="0" w:header="0"/>
        </w:sectPr>
      </w:pPr>
    </w:p>
    <w:bookmarkStart w:id="44" w:name="page45"/>
    <w:bookmarkEnd w:id="44"/>
    <w:p>
      <w:pPr>
        <w:ind w:left="5140"/>
        <w:spacing w:after="0"/>
        <w:rPr>
          <w:sz w:val="20"/>
          <w:szCs w:val="20"/>
          <w:color w:val="auto"/>
        </w:rPr>
      </w:pPr>
      <w:r>
        <w:rPr>
          <w:rFonts w:ascii="Arial" w:cs="Arial" w:eastAsia="Arial" w:hAnsi="Arial"/>
          <w:sz w:val="16"/>
          <w:szCs w:val="16"/>
          <w:b w:val="1"/>
          <w:bCs w:val="1"/>
          <w:color w:val="auto"/>
        </w:rPr>
        <w:t>SIGNATURES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ind w:left="6780"/>
        <w:spacing w:after="0"/>
        <w:rPr>
          <w:sz w:val="20"/>
          <w:szCs w:val="20"/>
          <w:color w:val="auto"/>
        </w:rPr>
      </w:pPr>
      <w:r>
        <w:rPr>
          <w:rFonts w:ascii="Arial" w:cs="Arial" w:eastAsia="Arial" w:hAnsi="Arial"/>
          <w:sz w:val="12"/>
          <w:szCs w:val="12"/>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Registrant</w:t>
      </w:r>
    </w:p>
    <w:p>
      <w:pPr>
        <w:spacing w:after="0" w:line="168" w:lineRule="exact"/>
        <w:rPr>
          <w:sz w:val="20"/>
          <w:szCs w:val="20"/>
          <w:color w:val="auto"/>
        </w:rPr>
      </w:pPr>
    </w:p>
    <w:p>
      <w:pPr>
        <w:spacing w:after="0"/>
        <w:tabs>
          <w:tab w:leader="none" w:pos="8380" w:val="left"/>
        </w:tabs>
        <w:rPr>
          <w:sz w:val="20"/>
          <w:szCs w:val="20"/>
          <w:color w:val="auto"/>
        </w:rPr>
      </w:pPr>
      <w:r>
        <w:rPr>
          <w:rFonts w:ascii="Arial" w:cs="Arial" w:eastAsia="Arial" w:hAnsi="Arial"/>
          <w:sz w:val="12"/>
          <w:szCs w:val="12"/>
          <w:color w:val="auto"/>
        </w:rPr>
        <w:t>July 30, 2020</w:t>
      </w:r>
      <w:r>
        <w:rPr>
          <w:sz w:val="20"/>
          <w:szCs w:val="20"/>
          <w:color w:val="auto"/>
        </w:rPr>
        <w:tab/>
      </w:r>
      <w:r>
        <w:rPr>
          <w:rFonts w:ascii="Arial" w:cs="Arial" w:eastAsia="Arial" w:hAnsi="Arial"/>
          <w:sz w:val="11"/>
          <w:szCs w:val="11"/>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Michael R. Haack</w:t>
      </w:r>
    </w:p>
    <w:p>
      <w:pPr>
        <w:jc w:val="center"/>
        <w:ind w:left="6780"/>
        <w:spacing w:after="0" w:line="234" w:lineRule="auto"/>
        <w:rPr>
          <w:sz w:val="20"/>
          <w:szCs w:val="20"/>
          <w:color w:val="auto"/>
        </w:rPr>
      </w:pPr>
      <w:r>
        <w:rPr>
          <w:rFonts w:ascii="Arial" w:cs="Arial" w:eastAsia="Arial" w:hAnsi="Arial"/>
          <w:sz w:val="12"/>
          <w:szCs w:val="12"/>
          <w:color w:val="auto"/>
        </w:rPr>
        <w:t>President and Chief Executive Officer</w:t>
      </w:r>
    </w:p>
    <w:p>
      <w:pPr>
        <w:jc w:val="center"/>
        <w:ind w:left="6780"/>
        <w:spacing w:after="0"/>
        <w:rPr>
          <w:sz w:val="20"/>
          <w:szCs w:val="20"/>
          <w:color w:val="auto"/>
        </w:rPr>
      </w:pPr>
      <w:r>
        <w:rPr>
          <w:rFonts w:ascii="Arial" w:cs="Arial" w:eastAsia="Arial" w:hAnsi="Arial"/>
          <w:sz w:val="12"/>
          <w:szCs w:val="12"/>
          <w:color w:val="auto"/>
        </w:rPr>
        <w:t>(principal executive officer)</w:t>
      </w:r>
    </w:p>
    <w:p>
      <w:pPr>
        <w:spacing w:after="0" w:line="17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July 30, 2020</w:t>
      </w:r>
      <w:r>
        <w:rPr>
          <w:sz w:val="20"/>
          <w:szCs w:val="20"/>
          <w:color w:val="auto"/>
        </w:rPr>
        <w:tab/>
      </w:r>
      <w:r>
        <w:rPr>
          <w:rFonts w:ascii="Arial" w:cs="Arial" w:eastAsia="Arial" w:hAnsi="Arial"/>
          <w:sz w:val="11"/>
          <w:szCs w:val="11"/>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D. Craig Kesler</w:t>
      </w:r>
    </w:p>
    <w:p>
      <w:pPr>
        <w:jc w:val="center"/>
        <w:ind w:left="6780"/>
        <w:spacing w:after="0" w:line="234" w:lineRule="auto"/>
        <w:rPr>
          <w:sz w:val="20"/>
          <w:szCs w:val="20"/>
          <w:color w:val="auto"/>
        </w:rPr>
      </w:pPr>
      <w:r>
        <w:rPr>
          <w:rFonts w:ascii="Arial" w:cs="Arial" w:eastAsia="Arial" w:hAnsi="Arial"/>
          <w:sz w:val="12"/>
          <w:szCs w:val="12"/>
          <w:color w:val="auto"/>
        </w:rPr>
        <w:t>Executive Vice President – Finance and</w:t>
      </w:r>
    </w:p>
    <w:p>
      <w:pPr>
        <w:jc w:val="center"/>
        <w:ind w:left="6780"/>
        <w:spacing w:after="0"/>
        <w:rPr>
          <w:sz w:val="20"/>
          <w:szCs w:val="20"/>
          <w:color w:val="auto"/>
        </w:rPr>
      </w:pPr>
      <w:r>
        <w:rPr>
          <w:rFonts w:ascii="Arial" w:cs="Arial" w:eastAsia="Arial" w:hAnsi="Arial"/>
          <w:sz w:val="11"/>
          <w:szCs w:val="11"/>
          <w:color w:val="auto"/>
        </w:rPr>
        <w:t>Administration and Chief Financial Officer</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2"/>
          <w:szCs w:val="12"/>
          <w:color w:val="auto"/>
        </w:rPr>
        <w:t>(principal financial officer)</w:t>
      </w:r>
    </w:p>
    <w:p>
      <w:pPr>
        <w:spacing w:after="0" w:line="168" w:lineRule="exact"/>
        <w:rPr>
          <w:sz w:val="20"/>
          <w:szCs w:val="20"/>
          <w:color w:val="auto"/>
        </w:rPr>
      </w:pPr>
    </w:p>
    <w:p>
      <w:pPr>
        <w:spacing w:after="0"/>
        <w:tabs>
          <w:tab w:leader="none" w:pos="8380" w:val="left"/>
        </w:tabs>
        <w:rPr>
          <w:sz w:val="20"/>
          <w:szCs w:val="20"/>
          <w:color w:val="auto"/>
        </w:rPr>
      </w:pPr>
      <w:r>
        <w:rPr>
          <w:rFonts w:ascii="Arial" w:cs="Arial" w:eastAsia="Arial" w:hAnsi="Arial"/>
          <w:sz w:val="12"/>
          <w:szCs w:val="12"/>
          <w:color w:val="auto"/>
        </w:rPr>
        <w:t>July 30, 2020</w:t>
      </w:r>
      <w:r>
        <w:rPr>
          <w:sz w:val="20"/>
          <w:szCs w:val="20"/>
          <w:color w:val="auto"/>
        </w:rPr>
        <w:tab/>
      </w:r>
      <w:r>
        <w:rPr>
          <w:rFonts w:ascii="Arial" w:cs="Arial" w:eastAsia="Arial" w:hAnsi="Arial"/>
          <w:sz w:val="12"/>
          <w:szCs w:val="12"/>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William R. Devlin</w:t>
      </w:r>
    </w:p>
    <w:p>
      <w:pPr>
        <w:jc w:val="center"/>
        <w:ind w:left="6780"/>
        <w:spacing w:after="0" w:line="234" w:lineRule="auto"/>
        <w:rPr>
          <w:sz w:val="20"/>
          <w:szCs w:val="20"/>
          <w:color w:val="auto"/>
        </w:rPr>
      </w:pPr>
      <w:r>
        <w:rPr>
          <w:rFonts w:ascii="Arial" w:cs="Arial" w:eastAsia="Arial" w:hAnsi="Arial"/>
          <w:sz w:val="12"/>
          <w:szCs w:val="12"/>
          <w:color w:val="auto"/>
        </w:rPr>
        <w:t>Senior Vice President – Controller and</w:t>
      </w:r>
    </w:p>
    <w:p>
      <w:pPr>
        <w:jc w:val="center"/>
        <w:ind w:left="6780"/>
        <w:spacing w:after="0" w:line="235" w:lineRule="auto"/>
        <w:rPr>
          <w:sz w:val="20"/>
          <w:szCs w:val="20"/>
          <w:color w:val="auto"/>
        </w:rPr>
      </w:pPr>
      <w:r>
        <w:rPr>
          <w:rFonts w:ascii="Arial" w:cs="Arial" w:eastAsia="Arial" w:hAnsi="Arial"/>
          <w:sz w:val="12"/>
          <w:szCs w:val="12"/>
          <w:color w:val="auto"/>
        </w:rPr>
        <w:t>Chief Accounting Officer</w:t>
      </w:r>
    </w:p>
    <w:p>
      <w:pPr>
        <w:jc w:val="center"/>
        <w:ind w:left="6780"/>
        <w:spacing w:after="0"/>
        <w:rPr>
          <w:sz w:val="20"/>
          <w:szCs w:val="20"/>
          <w:color w:val="auto"/>
        </w:rPr>
      </w:pPr>
      <w:r>
        <w:rPr>
          <w:rFonts w:ascii="Arial" w:cs="Arial" w:eastAsia="Arial" w:hAnsi="Arial"/>
          <w:sz w:val="12"/>
          <w:szCs w:val="12"/>
          <w:color w:val="auto"/>
        </w:rPr>
        <w:t>(principal accounting officer)</w:t>
      </w: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159"/>
          </w:cols>
          <w:pgMar w:left="300" w:top="286"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10.3</w:t>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EAGLE MATERIALS INC.</w:t>
      </w:r>
    </w:p>
    <w:p>
      <w:pPr>
        <w:spacing w:after="0" w:line="84" w:lineRule="exact"/>
        <w:rPr>
          <w:sz w:val="20"/>
          <w:szCs w:val="20"/>
          <w:color w:val="auto"/>
        </w:rPr>
      </w:pPr>
    </w:p>
    <w:p>
      <w:pPr>
        <w:ind w:left="4060"/>
        <w:spacing w:after="0"/>
        <w:rPr>
          <w:sz w:val="20"/>
          <w:szCs w:val="20"/>
          <w:color w:val="auto"/>
        </w:rPr>
      </w:pPr>
      <w:r>
        <w:rPr>
          <w:rFonts w:ascii="Arial" w:cs="Arial" w:eastAsia="Arial" w:hAnsi="Arial"/>
          <w:sz w:val="14"/>
          <w:szCs w:val="14"/>
          <w:b w:val="1"/>
          <w:bCs w:val="1"/>
          <w:u w:val="single" w:color="auto"/>
          <w:color w:val="auto"/>
        </w:rPr>
        <w:t>AMENDED AND RESTATED INCENTIVE PLAN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NON-QUALIFIED STOCK OPTION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(Performance Vesting)</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This option agreement (the “</w:t>
      </w:r>
      <w:r>
        <w:rPr>
          <w:rFonts w:ascii="Arial" w:cs="Arial" w:eastAsia="Arial" w:hAnsi="Arial"/>
          <w:sz w:val="13"/>
          <w:szCs w:val="13"/>
          <w:u w:val="single" w:color="auto"/>
          <w:color w:val="auto"/>
        </w:rPr>
        <w:t>Option Agreement</w:t>
      </w:r>
      <w:r>
        <w:rPr>
          <w:rFonts w:ascii="Arial" w:cs="Arial" w:eastAsia="Arial" w:hAnsi="Arial"/>
          <w:sz w:val="13"/>
          <w:szCs w:val="13"/>
          <w:color w:val="auto"/>
        </w:rPr>
        <w:t>” or “</w:t>
      </w:r>
      <w:r>
        <w:rPr>
          <w:rFonts w:ascii="Arial" w:cs="Arial" w:eastAsia="Arial" w:hAnsi="Arial"/>
          <w:sz w:val="13"/>
          <w:szCs w:val="13"/>
          <w:u w:val="single" w:color="auto"/>
          <w:color w:val="auto"/>
        </w:rPr>
        <w:t>Agreement</w:t>
      </w:r>
      <w:r>
        <w:rPr>
          <w:rFonts w:ascii="Arial" w:cs="Arial" w:eastAsia="Arial" w:hAnsi="Arial"/>
          <w:sz w:val="13"/>
          <w:szCs w:val="13"/>
          <w:color w:val="auto"/>
        </w:rPr>
        <w:t>”) entered into between E</w:t>
      </w:r>
      <w:r>
        <w:rPr>
          <w:rFonts w:ascii="Arial" w:cs="Arial" w:eastAsia="Arial" w:hAnsi="Arial"/>
          <w:sz w:val="8"/>
          <w:szCs w:val="8"/>
          <w:color w:val="auto"/>
        </w:rPr>
        <w:t>AGLE</w:t>
      </w:r>
      <w:r>
        <w:rPr>
          <w:rFonts w:ascii="Arial" w:cs="Arial" w:eastAsia="Arial" w:hAnsi="Arial"/>
          <w:sz w:val="13"/>
          <w:szCs w:val="13"/>
          <w:color w:val="auto"/>
        </w:rPr>
        <w:t xml:space="preserve"> M</w:t>
      </w:r>
      <w:r>
        <w:rPr>
          <w:rFonts w:ascii="Arial" w:cs="Arial" w:eastAsia="Arial" w:hAnsi="Arial"/>
          <w:sz w:val="8"/>
          <w:szCs w:val="8"/>
          <w:color w:val="auto"/>
        </w:rPr>
        <w:t>ATERIALS</w:t>
      </w:r>
      <w:r>
        <w:rPr>
          <w:rFonts w:ascii="Arial" w:cs="Arial" w:eastAsia="Arial" w:hAnsi="Arial"/>
          <w:sz w:val="13"/>
          <w:szCs w:val="13"/>
          <w:color w:val="auto"/>
        </w:rPr>
        <w:t xml:space="preserve"> I</w:t>
      </w:r>
      <w:r>
        <w:rPr>
          <w:rFonts w:ascii="Arial" w:cs="Arial" w:eastAsia="Arial" w:hAnsi="Arial"/>
          <w:sz w:val="8"/>
          <w:szCs w:val="8"/>
          <w:color w:val="auto"/>
        </w:rPr>
        <w:t>NC</w:t>
      </w:r>
      <w:r>
        <w:rPr>
          <w:rFonts w:ascii="Arial" w:cs="Arial" w:eastAsia="Arial" w:hAnsi="Arial"/>
          <w:sz w:val="13"/>
          <w:szCs w:val="13"/>
          <w:color w:val="auto"/>
        </w:rPr>
        <w:t>.,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_____________ (the</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Optionee</w:t>
      </w:r>
      <w:r>
        <w:rPr>
          <w:rFonts w:ascii="Arial" w:cs="Arial" w:eastAsia="Arial" w:hAnsi="Arial"/>
          <w:sz w:val="13"/>
          <w:szCs w:val="13"/>
          <w:color w:val="auto"/>
        </w:rPr>
        <w:t>”), an employee of the Company or its Affiliates, with respect to a right (the “Option”) awarded to the Optionee under the Eagle Materials Inc. Amended and Restated Incentive Plan (the “</w:t>
      </w:r>
      <w:r>
        <w:rPr>
          <w:rFonts w:ascii="Arial" w:cs="Arial" w:eastAsia="Arial" w:hAnsi="Arial"/>
          <w:sz w:val="13"/>
          <w:szCs w:val="13"/>
          <w:u w:val="single" w:color="auto"/>
          <w:color w:val="auto"/>
        </w:rPr>
        <w:t>Plan</w:t>
      </w:r>
      <w:r>
        <w:rPr>
          <w:rFonts w:ascii="Arial" w:cs="Arial" w:eastAsia="Arial" w:hAnsi="Arial"/>
          <w:sz w:val="13"/>
          <w:szCs w:val="13"/>
          <w:color w:val="auto"/>
        </w:rPr>
        <w:t>”), on May 19, 2020 (the “</w:t>
      </w:r>
      <w:r>
        <w:rPr>
          <w:rFonts w:ascii="Arial" w:cs="Arial" w:eastAsia="Arial" w:hAnsi="Arial"/>
          <w:sz w:val="13"/>
          <w:szCs w:val="13"/>
          <w:u w:val="single" w:color="auto"/>
          <w:color w:val="auto"/>
        </w:rPr>
        <w:t>Award Date</w:t>
      </w:r>
      <w:r>
        <w:rPr>
          <w:rFonts w:ascii="Arial" w:cs="Arial" w:eastAsia="Arial" w:hAnsi="Arial"/>
          <w:sz w:val="13"/>
          <w:szCs w:val="13"/>
          <w:color w:val="auto"/>
        </w:rPr>
        <w:t>”) to purchase from the Company up to but not exceeding in the aggregate ________ shares of the Company’s common stock, par value $0.01 per share</w:t>
      </w:r>
    </w:p>
    <w:p>
      <w:pPr>
        <w:ind w:right="20"/>
        <w:spacing w:after="0" w:line="255" w:lineRule="auto"/>
        <w:rPr>
          <w:sz w:val="20"/>
          <w:szCs w:val="20"/>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Common Stock</w:t>
      </w:r>
      <w:r>
        <w:rPr>
          <w:rFonts w:ascii="Arial" w:cs="Arial" w:eastAsia="Arial" w:hAnsi="Arial"/>
          <w:sz w:val="14"/>
          <w:szCs w:val="14"/>
          <w:color w:val="auto"/>
        </w:rPr>
        <w:t>”), at a price of $60.21 per share (the “</w:t>
      </w:r>
      <w:r>
        <w:rPr>
          <w:rFonts w:ascii="Arial" w:cs="Arial" w:eastAsia="Arial" w:hAnsi="Arial"/>
          <w:sz w:val="14"/>
          <w:szCs w:val="14"/>
          <w:u w:val="single" w:color="auto"/>
          <w:color w:val="auto"/>
        </w:rPr>
        <w:t>Exercise Price</w:t>
      </w:r>
      <w:r>
        <w:rPr>
          <w:rFonts w:ascii="Arial" w:cs="Arial" w:eastAsia="Arial" w:hAnsi="Arial"/>
          <w:sz w:val="14"/>
          <w:szCs w:val="14"/>
          <w:color w:val="auto"/>
        </w:rPr>
        <w:t>”), such number of shares and such price per share being subject to adjustment as provided in the Plan, and further subject to the following terms and conditions:</w:t>
      </w:r>
    </w:p>
    <w:p>
      <w:pPr>
        <w:spacing w:after="0" w:line="114"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w:t>
      </w:r>
      <w:r>
        <w:rPr>
          <w:sz w:val="20"/>
          <w:szCs w:val="20"/>
          <w:color w:val="auto"/>
        </w:rPr>
        <w:tab/>
      </w:r>
      <w:r>
        <w:rPr>
          <w:rFonts w:ascii="Arial" w:cs="Arial" w:eastAsia="Arial" w:hAnsi="Arial"/>
          <w:sz w:val="14"/>
          <w:szCs w:val="14"/>
          <w:b w:val="1"/>
          <w:bCs w:val="1"/>
          <w:i w:val="1"/>
          <w:iCs w:val="1"/>
          <w:u w:val="single" w:color="auto"/>
          <w:color w:val="auto"/>
        </w:rPr>
        <w:t>Relationship to Plan</w:t>
      </w:r>
    </w:p>
    <w:p>
      <w:pPr>
        <w:spacing w:after="0" w:line="145" w:lineRule="exact"/>
        <w:rPr>
          <w:sz w:val="20"/>
          <w:szCs w:val="20"/>
          <w:color w:val="auto"/>
        </w:rPr>
      </w:pPr>
    </w:p>
    <w:p>
      <w:pPr>
        <w:ind w:right="380" w:firstLine="432"/>
        <w:spacing w:after="0" w:line="257" w:lineRule="auto"/>
        <w:rPr>
          <w:sz w:val="20"/>
          <w:szCs w:val="20"/>
          <w:color w:val="auto"/>
        </w:rPr>
      </w:pPr>
      <w:r>
        <w:rPr>
          <w:rFonts w:ascii="Arial" w:cs="Arial" w:eastAsia="Arial" w:hAnsi="Arial"/>
          <w:sz w:val="14"/>
          <w:szCs w:val="14"/>
          <w:color w:val="auto"/>
        </w:rPr>
        <w:t>This Option is subject to all of the terms, conditions and provisions of the Plan and administrative interpretations thereunder, if any, which have been adopted by the Company’s Compensation Committee (“</w:t>
      </w:r>
      <w:r>
        <w:rPr>
          <w:rFonts w:ascii="Arial" w:cs="Arial" w:eastAsia="Arial" w:hAnsi="Arial"/>
          <w:sz w:val="14"/>
          <w:szCs w:val="14"/>
          <w:u w:val="single" w:color="auto"/>
          <w:color w:val="auto"/>
        </w:rPr>
        <w:t>Committee</w:t>
      </w:r>
      <w:r>
        <w:rPr>
          <w:rFonts w:ascii="Arial" w:cs="Arial" w:eastAsia="Arial" w:hAnsi="Arial"/>
          <w:sz w:val="14"/>
          <w:szCs w:val="14"/>
          <w:color w:val="auto"/>
        </w:rPr>
        <w:t>”) and are in effect on the date hereof. Except as defined herein, capitalized terms shall have the same meanings ascribed to them under the Plan. For purposes of this Option Agreement:</w:t>
      </w:r>
    </w:p>
    <w:p>
      <w:pPr>
        <w:spacing w:after="0" w:line="113" w:lineRule="exact"/>
        <w:rPr>
          <w:sz w:val="20"/>
          <w:szCs w:val="20"/>
          <w:color w:val="auto"/>
        </w:rPr>
      </w:pPr>
    </w:p>
    <w:p>
      <w:pPr>
        <w:ind w:left="2200" w:hanging="593"/>
        <w:spacing w:after="0"/>
        <w:tabs>
          <w:tab w:leader="none" w:pos="22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shall be determined by the Committee.</w:t>
      </w:r>
    </w:p>
    <w:p>
      <w:pPr>
        <w:spacing w:after="0" w:line="145" w:lineRule="exact"/>
        <w:rPr>
          <w:rFonts w:ascii="Arial" w:cs="Arial" w:eastAsia="Arial" w:hAnsi="Arial"/>
          <w:sz w:val="14"/>
          <w:szCs w:val="14"/>
          <w:color w:val="auto"/>
        </w:rPr>
      </w:pPr>
    </w:p>
    <w:p>
      <w:pPr>
        <w:ind w:firstLine="1607"/>
        <w:spacing w:after="0" w:line="273" w:lineRule="auto"/>
        <w:tabs>
          <w:tab w:leader="none" w:pos="2215" w:val="left"/>
        </w:tabs>
        <w:numPr>
          <w:ilvl w:val="1"/>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Return on Equity</w:t>
      </w:r>
      <w:r>
        <w:rPr>
          <w:rFonts w:ascii="Arial" w:cs="Arial" w:eastAsia="Arial" w:hAnsi="Arial"/>
          <w:sz w:val="14"/>
          <w:szCs w:val="14"/>
          <w:color w:val="auto"/>
        </w:rPr>
        <w:t>” for any fiscal year shall mean the following calculation (as determined by the Committee): (i) the net earnings of the Company for such fiscal year; divided by (ii) the Company’s Average Stockholders’ Equity for such fiscal year.</w:t>
      </w:r>
    </w:p>
    <w:p>
      <w:pPr>
        <w:spacing w:after="0" w:line="101" w:lineRule="exact"/>
        <w:rPr>
          <w:rFonts w:ascii="Arial" w:cs="Arial" w:eastAsia="Arial" w:hAnsi="Arial"/>
          <w:sz w:val="14"/>
          <w:szCs w:val="14"/>
          <w:color w:val="auto"/>
        </w:rPr>
      </w:pPr>
    </w:p>
    <w:p>
      <w:pPr>
        <w:ind w:firstLine="1607"/>
        <w:spacing w:after="0" w:line="273" w:lineRule="auto"/>
        <w:tabs>
          <w:tab w:leader="none" w:pos="2207" w:val="left"/>
        </w:tabs>
        <w:numPr>
          <w:ilvl w:val="1"/>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Average Stockholders’ Equity</w:t>
      </w:r>
      <w:r>
        <w:rPr>
          <w:rFonts w:ascii="Arial" w:cs="Arial" w:eastAsia="Arial" w:hAnsi="Arial"/>
          <w:sz w:val="14"/>
          <w:szCs w:val="14"/>
          <w:color w:val="auto"/>
        </w:rPr>
        <w:t>” for any period shall mean: (i) the Company’s total stockholders’ equity as of the beginning of such period plus the Company’s total stockholders’ equity at the end of such period; divided by (ii) 2.</w:t>
      </w:r>
    </w:p>
    <w:p>
      <w:pPr>
        <w:spacing w:after="0" w:line="101" w:lineRule="exact"/>
        <w:rPr>
          <w:rFonts w:ascii="Arial" w:cs="Arial" w:eastAsia="Arial" w:hAnsi="Arial"/>
          <w:sz w:val="14"/>
          <w:szCs w:val="14"/>
          <w:color w:val="auto"/>
        </w:rPr>
      </w:pPr>
    </w:p>
    <w:p>
      <w:pPr>
        <w:ind w:left="2200" w:hanging="593"/>
        <w:spacing w:after="0"/>
        <w:tabs>
          <w:tab w:leader="none" w:pos="22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Retirement</w:t>
      </w:r>
      <w:r>
        <w:rPr>
          <w:rFonts w:ascii="Arial" w:cs="Arial" w:eastAsia="Arial" w:hAnsi="Arial"/>
          <w:sz w:val="14"/>
          <w:szCs w:val="14"/>
          <w:color w:val="auto"/>
        </w:rPr>
        <w:t>” shall mean a retirement approved by the Board.</w:t>
      </w:r>
    </w:p>
    <w:p>
      <w:pPr>
        <w:spacing w:after="0" w:line="145" w:lineRule="exact"/>
        <w:rPr>
          <w:rFonts w:ascii="Arial" w:cs="Arial" w:eastAsia="Arial" w:hAnsi="Arial"/>
          <w:sz w:val="14"/>
          <w:szCs w:val="14"/>
          <w:color w:val="auto"/>
        </w:rPr>
      </w:pPr>
    </w:p>
    <w:p>
      <w:pPr>
        <w:ind w:left="2200" w:hanging="593"/>
        <w:spacing w:after="0"/>
        <w:tabs>
          <w:tab w:leader="none" w:pos="22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Service Vesting Date</w:t>
      </w:r>
      <w:r>
        <w:rPr>
          <w:rFonts w:ascii="Arial" w:cs="Arial" w:eastAsia="Arial" w:hAnsi="Arial"/>
          <w:sz w:val="14"/>
          <w:szCs w:val="14"/>
          <w:color w:val="auto"/>
        </w:rPr>
        <w:t>” means the first, second or third anniversary of the end of the Performance Period, as applicable.</w:t>
      </w:r>
    </w:p>
    <w:p>
      <w:pPr>
        <w:spacing w:after="0" w:line="145" w:lineRule="exact"/>
        <w:rPr>
          <w:rFonts w:ascii="Arial" w:cs="Arial" w:eastAsia="Arial" w:hAnsi="Arial"/>
          <w:sz w:val="14"/>
          <w:szCs w:val="14"/>
          <w:color w:val="auto"/>
        </w:rPr>
      </w:pPr>
    </w:p>
    <w:p>
      <w:pPr>
        <w:ind w:left="1800" w:hanging="569"/>
        <w:spacing w:after="0"/>
        <w:tabs>
          <w:tab w:leader="none" w:pos="1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Performance Period</w:t>
      </w:r>
      <w:r>
        <w:rPr>
          <w:rFonts w:ascii="Arial" w:cs="Arial" w:eastAsia="Arial" w:hAnsi="Arial"/>
          <w:sz w:val="14"/>
          <w:szCs w:val="14"/>
          <w:color w:val="auto"/>
        </w:rPr>
        <w:t>” means the period commencing on April 1, 2020 and ending on March 31, 2021.</w:t>
      </w:r>
    </w:p>
    <w:p>
      <w:pPr>
        <w:spacing w:after="0" w:line="145"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2.</w:t>
      </w:r>
      <w:r>
        <w:rPr>
          <w:sz w:val="20"/>
          <w:szCs w:val="20"/>
          <w:color w:val="auto"/>
        </w:rPr>
        <w:tab/>
      </w:r>
      <w:r>
        <w:rPr>
          <w:rFonts w:ascii="Arial" w:cs="Arial" w:eastAsia="Arial" w:hAnsi="Arial"/>
          <w:sz w:val="14"/>
          <w:szCs w:val="14"/>
          <w:b w:val="1"/>
          <w:bCs w:val="1"/>
          <w:i w:val="1"/>
          <w:iCs w:val="1"/>
          <w:u w:val="single" w:color="auto"/>
          <w:color w:val="auto"/>
        </w:rPr>
        <w:t>Vesting and Exercise Schedules</w:t>
      </w:r>
      <w:r>
        <w:rPr>
          <w:rFonts w:ascii="Arial" w:cs="Arial" w:eastAsia="Arial" w:hAnsi="Arial"/>
          <w:sz w:val="14"/>
          <w:szCs w:val="14"/>
          <w:i w:val="1"/>
          <w:iCs w:val="1"/>
          <w:color w:val="auto"/>
        </w:rPr>
        <w:t>.</w:t>
      </w:r>
    </w:p>
    <w:p>
      <w:pPr>
        <w:spacing w:after="0" w:line="145" w:lineRule="exact"/>
        <w:rPr>
          <w:sz w:val="20"/>
          <w:szCs w:val="20"/>
          <w:color w:val="auto"/>
        </w:rPr>
      </w:pPr>
    </w:p>
    <w:p>
      <w:pPr>
        <w:ind w:right="140" w:firstLine="1607"/>
        <w:spacing w:after="0" w:line="273" w:lineRule="auto"/>
        <w:tabs>
          <w:tab w:leader="none" w:pos="2207"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Vesting Criteria</w:t>
      </w:r>
      <w:r>
        <w:rPr>
          <w:rFonts w:ascii="Arial" w:cs="Arial" w:eastAsia="Arial" w:hAnsi="Arial"/>
          <w:sz w:val="14"/>
          <w:szCs w:val="14"/>
          <w:color w:val="auto"/>
        </w:rPr>
        <w:t>. The shares of Common Stock covered by this Option (“</w:t>
      </w:r>
      <w:r>
        <w:rPr>
          <w:rFonts w:ascii="Arial" w:cs="Arial" w:eastAsia="Arial" w:hAnsi="Arial"/>
          <w:sz w:val="14"/>
          <w:szCs w:val="14"/>
          <w:u w:val="single" w:color="auto"/>
          <w:color w:val="auto"/>
        </w:rPr>
        <w:t>Option Shares</w:t>
      </w:r>
      <w:r>
        <w:rPr>
          <w:rFonts w:ascii="Arial" w:cs="Arial" w:eastAsia="Arial" w:hAnsi="Arial"/>
          <w:sz w:val="14"/>
          <w:szCs w:val="14"/>
          <w:color w:val="auto"/>
        </w:rPr>
        <w:t>”) shall vest in accordance with the vesting schedule set forth below in this Section 2 (each such vesting date, a “</w:t>
      </w:r>
      <w:r>
        <w:rPr>
          <w:rFonts w:ascii="Arial" w:cs="Arial" w:eastAsia="Arial" w:hAnsi="Arial"/>
          <w:sz w:val="14"/>
          <w:szCs w:val="14"/>
          <w:u w:val="single" w:color="auto"/>
          <w:color w:val="auto"/>
        </w:rPr>
        <w:t>Vesting Date</w:t>
      </w:r>
      <w:r>
        <w:rPr>
          <w:rFonts w:ascii="Arial" w:cs="Arial" w:eastAsia="Arial" w:hAnsi="Arial"/>
          <w:sz w:val="14"/>
          <w:szCs w:val="14"/>
          <w:color w:val="auto"/>
        </w:rPr>
        <w:t>”) only if the Return on Equity for the fiscal year ending March 31, 2021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18947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6" w:right="299" w:bottom="1440" w:gutter="0" w:footer="0" w:header="0"/>
        </w:sectPr>
      </w:pPr>
    </w:p>
    <w:bookmarkStart w:id="46" w:name="page47"/>
    <w:bookmarkEnd w:id="46"/>
    <w:p>
      <w:pPr>
        <w:ind w:left="8"/>
        <w:spacing w:after="0"/>
        <w:rPr>
          <w:sz w:val="20"/>
          <w:szCs w:val="20"/>
          <w:color w:val="auto"/>
        </w:rPr>
      </w:pPr>
      <w:r>
        <w:rPr>
          <w:rFonts w:ascii="Arial" w:cs="Arial" w:eastAsia="Arial" w:hAnsi="Arial"/>
          <w:sz w:val="14"/>
          <w:szCs w:val="14"/>
          <w:color w:val="auto"/>
        </w:rPr>
        <w:t>at least 10.0% (the “</w:t>
      </w:r>
      <w:r>
        <w:rPr>
          <w:rFonts w:ascii="Arial" w:cs="Arial" w:eastAsia="Arial" w:hAnsi="Arial"/>
          <w:sz w:val="14"/>
          <w:szCs w:val="14"/>
          <w:u w:val="single" w:color="auto"/>
          <w:color w:val="auto"/>
        </w:rPr>
        <w:t>Performance Criteria</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that the percentage of Option Shares that will be earned shall be based on the following:</w:t>
      </w:r>
    </w:p>
    <w:p>
      <w:pPr>
        <w:spacing w:after="0" w:line="141" w:lineRule="exact"/>
        <w:rPr>
          <w:sz w:val="20"/>
          <w:szCs w:val="20"/>
          <w:color w:val="auto"/>
        </w:rPr>
      </w:pPr>
    </w:p>
    <w:tbl>
      <w:tblPr>
        <w:tblLayout w:type="fixed"/>
        <w:tblInd w:w="2428" w:type="dxa"/>
        <w:tblCellMar>
          <w:top w:w="0" w:type="dxa"/>
          <w:left w:w="0" w:type="dxa"/>
          <w:bottom w:w="0" w:type="dxa"/>
          <w:right w:w="0" w:type="dxa"/>
        </w:tblCellMar>
      </w:tblPr>
      <w:tr>
        <w:trPr>
          <w:trHeight w:val="162"/>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Performance</w:t>
            </w:r>
          </w:p>
        </w:tc>
        <w:tc>
          <w:tcPr>
            <w:tcW w:w="8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3"/>
        </w:trPr>
        <w:tc>
          <w:tcPr>
            <w:tcW w:w="5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w w:val="97"/>
              </w:rPr>
              <w:t>Criteria</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Options Earned</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2"/>
          </w:tcPr>
          <w:p>
            <w:pPr>
              <w:spacing w:after="0" w:line="142" w:lineRule="exact"/>
              <w:rPr>
                <w:sz w:val="20"/>
                <w:szCs w:val="20"/>
                <w:color w:val="auto"/>
              </w:rPr>
            </w:pPr>
            <w:r>
              <w:rPr>
                <w:rFonts w:ascii="Arial" w:cs="Arial" w:eastAsia="Arial" w:hAnsi="Arial"/>
                <w:sz w:val="14"/>
                <w:szCs w:val="14"/>
                <w:color w:val="auto"/>
                <w:w w:val="92"/>
              </w:rPr>
              <w:t>&gt; 20.0%</w:t>
            </w:r>
          </w:p>
        </w:tc>
        <w:tc>
          <w:tcPr>
            <w:tcW w:w="340" w:type="dxa"/>
            <w:vAlign w:val="bottom"/>
          </w:tcPr>
          <w:p>
            <w:pPr>
              <w:spacing w:after="0"/>
              <w:rPr>
                <w:sz w:val="12"/>
                <w:szCs w:val="12"/>
                <w:color w:val="auto"/>
              </w:rPr>
            </w:pPr>
          </w:p>
        </w:tc>
        <w:tc>
          <w:tcPr>
            <w:tcW w:w="106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vMerge w:val="restart"/>
          </w:tcPr>
          <w:p>
            <w:pPr>
              <w:jc w:val="right"/>
              <w:ind w:right="588"/>
              <w:spacing w:after="0"/>
              <w:rPr>
                <w:sz w:val="20"/>
                <w:szCs w:val="20"/>
                <w:color w:val="auto"/>
              </w:rPr>
            </w:pPr>
            <w:r>
              <w:rPr>
                <w:rFonts w:ascii="Arial" w:cs="Arial" w:eastAsia="Arial" w:hAnsi="Arial"/>
                <w:sz w:val="14"/>
                <w:szCs w:val="14"/>
                <w:color w:val="auto"/>
                <w:w w:val="95"/>
              </w:rPr>
              <w:t>83.3%</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 w:type="dxa"/>
            <w:vAlign w:val="bottom"/>
            <w:gridSpan w:val="2"/>
          </w:tcPr>
          <w:p>
            <w:pPr>
              <w:spacing w:after="0" w:line="155" w:lineRule="exact"/>
              <w:rPr>
                <w:sz w:val="20"/>
                <w:szCs w:val="20"/>
                <w:color w:val="auto"/>
              </w:rPr>
            </w:pPr>
            <w:r>
              <w:rPr>
                <w:rFonts w:ascii="Arial" w:cs="Arial" w:eastAsia="Arial" w:hAnsi="Arial"/>
                <w:sz w:val="14"/>
                <w:szCs w:val="14"/>
                <w:color w:val="auto"/>
              </w:rPr>
              <w:t>15.0%</w:t>
            </w:r>
          </w:p>
        </w:tc>
        <w:tc>
          <w:tcPr>
            <w:tcW w:w="3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0" w:type="dxa"/>
            <w:vAlign w:val="bottom"/>
            <w:gridSpan w:val="2"/>
          </w:tcPr>
          <w:p>
            <w:pPr>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15"/>
                <w:szCs w:val="15"/>
                <w:color w:val="auto"/>
              </w:rPr>
            </w:pPr>
          </w:p>
        </w:tc>
        <w:tc>
          <w:tcPr>
            <w:tcW w:w="1060" w:type="dxa"/>
            <w:vAlign w:val="bottom"/>
            <w:gridSpan w:val="2"/>
          </w:tcPr>
          <w:p>
            <w:pPr>
              <w:jc w:val="right"/>
              <w:ind w:right="588"/>
              <w:spacing w:after="0"/>
              <w:rPr>
                <w:sz w:val="20"/>
                <w:szCs w:val="20"/>
                <w:color w:val="auto"/>
              </w:rPr>
            </w:pPr>
            <w:r>
              <w:rPr>
                <w:rFonts w:ascii="Arial" w:cs="Arial" w:eastAsia="Arial" w:hAnsi="Arial"/>
                <w:sz w:val="14"/>
                <w:szCs w:val="14"/>
                <w:color w:val="auto"/>
                <w:w w:val="95"/>
              </w:rPr>
              <w:t>66.7%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 w:right="100" w:hanging="8"/>
        <w:spacing w:after="0" w:line="252" w:lineRule="auto"/>
        <w:tabs>
          <w:tab w:leader="none" w:pos="84"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the exact percentage of Option Shares earned shall be calculated based on straight-line interpolation between the points shown above with fractional points rounded up to the nearest tenth of a percent. After the end of the Performance Period, the Compensation Committee shall certify whether and to what extent the Performance Criteria has been satisfied (“</w:t>
      </w:r>
      <w:r>
        <w:rPr>
          <w:rFonts w:ascii="Arial" w:cs="Arial" w:eastAsia="Arial" w:hAnsi="Arial"/>
          <w:sz w:val="14"/>
          <w:szCs w:val="14"/>
          <w:u w:val="single" w:color="auto"/>
          <w:color w:val="auto"/>
        </w:rPr>
        <w:t>Certification Date</w:t>
      </w:r>
      <w:r>
        <w:rPr>
          <w:rFonts w:ascii="Arial" w:cs="Arial" w:eastAsia="Arial" w:hAnsi="Arial"/>
          <w:sz w:val="14"/>
          <w:szCs w:val="14"/>
          <w:color w:val="auto"/>
        </w:rPr>
        <w:t>”). If the Performance Criteria has not been satisfied then the Option Shares shall be immediately and automatically forfeited. Upon the Certification Date, any portion of the Option Shares that are not earned in accordance with the provisions above shall be forfeited.</w:t>
      </w:r>
    </w:p>
    <w:p>
      <w:pPr>
        <w:spacing w:after="0" w:line="115" w:lineRule="exact"/>
        <w:rPr>
          <w:rFonts w:ascii="Arial" w:cs="Arial" w:eastAsia="Arial" w:hAnsi="Arial"/>
          <w:sz w:val="14"/>
          <w:szCs w:val="14"/>
          <w:color w:val="auto"/>
        </w:rPr>
      </w:pPr>
    </w:p>
    <w:p>
      <w:pPr>
        <w:ind w:left="8" w:firstLine="1607"/>
        <w:spacing w:after="0" w:line="265" w:lineRule="auto"/>
        <w:tabs>
          <w:tab w:leader="none" w:pos="2223" w:val="left"/>
        </w:tabs>
        <w:numPr>
          <w:ilvl w:val="1"/>
          <w:numId w:val="16"/>
        </w:numPr>
        <w:rPr>
          <w:rFonts w:ascii="Arial" w:cs="Arial" w:eastAsia="Arial" w:hAnsi="Arial"/>
          <w:sz w:val="13"/>
          <w:szCs w:val="13"/>
          <w:color w:val="auto"/>
        </w:rPr>
      </w:pPr>
      <w:r>
        <w:rPr>
          <w:rFonts w:ascii="Arial" w:cs="Arial" w:eastAsia="Arial" w:hAnsi="Arial"/>
          <w:sz w:val="13"/>
          <w:szCs w:val="13"/>
          <w:u w:val="single" w:color="auto"/>
          <w:color w:val="auto"/>
        </w:rPr>
        <w:t>Exercisability</w:t>
      </w:r>
      <w:r>
        <w:rPr>
          <w:rFonts w:ascii="Arial" w:cs="Arial" w:eastAsia="Arial" w:hAnsi="Arial"/>
          <w:sz w:val="13"/>
          <w:szCs w:val="13"/>
          <w:i w:val="1"/>
          <w:iCs w:val="1"/>
          <w:color w:val="auto"/>
        </w:rPr>
        <w:t>.</w:t>
      </w:r>
      <w:r>
        <w:rPr>
          <w:rFonts w:ascii="Arial" w:cs="Arial" w:eastAsia="Arial" w:hAnsi="Arial"/>
          <w:sz w:val="13"/>
          <w:szCs w:val="13"/>
          <w:color w:val="auto"/>
        </w:rPr>
        <w:t xml:space="preserve"> The earned Option Shares shall vest and become exercisable one-fourth promptly following the Certification Date and then ratably on the next three Service Vesting Dates. The Optionee must be in continuous service as an employee of the Company or any of its Affiliates or as a Director from the Award Date through the applicable Vesting Date on which the portion of the Option Shares would otherwise become exercisable in order for the Option to become exercisable with respect to that portion of the Option Shares, otherwise such Option Shares shall be forfeited. Notwithstanding the foregoing, in the event the Optionee’s employment and, if applicable, service as a Director terminates by reason of death, Disability or Retirement following the end of the Performance Period and prior to any Vesting Date, any then exercisable Option Shares shall continue to be exercisable for a period of two years following such termination, and any earned but unexercisable Option Shares shall continue to become exercisable as if the Optionee had remained employed or continued to serve as a Director for a period of two years following such termination. In the event Optionee’s employment with the Company or any of its affiliates is terminated (other than a termination for “cause”) after the end of the Performance Period but before the Certification Date, then notwithstanding the restrictions set forth above in this Section 2, promptly following the Certification Date, one-fourth of any earned Option Shares shall vest and become exercisable for a period of 90 days following the Certification Date (or two years following the Certification Date in the case of the death, Disability or Retirement of the Optionee), and the remainder of the Option Shares shall be forfeited.</w:t>
      </w:r>
    </w:p>
    <w:p>
      <w:pPr>
        <w:spacing w:after="0" w:line="113" w:lineRule="exact"/>
        <w:rPr>
          <w:sz w:val="20"/>
          <w:szCs w:val="20"/>
          <w:color w:val="auto"/>
        </w:rPr>
      </w:pPr>
    </w:p>
    <w:p>
      <w:pPr>
        <w:ind w:left="8" w:right="20" w:firstLine="1615"/>
        <w:spacing w:after="0" w:line="273" w:lineRule="auto"/>
        <w:rPr>
          <w:sz w:val="20"/>
          <w:szCs w:val="20"/>
          <w:color w:val="auto"/>
        </w:rPr>
      </w:pPr>
      <w:r>
        <w:rPr>
          <w:rFonts w:ascii="Arial" w:cs="Arial" w:eastAsia="Arial" w:hAnsi="Arial"/>
          <w:sz w:val="14"/>
          <w:szCs w:val="14"/>
          <w:color w:val="auto"/>
        </w:rPr>
        <w:t>To the extent the Option becomes exercisable, such Option may be exercised in whole or in part (at any time or from time to time, except as otherwise provided herein) until expiration of the Option pursuant to the terms of this Agreement or the Plan.</w:t>
      </w:r>
    </w:p>
    <w:p>
      <w:pPr>
        <w:spacing w:after="0" w:line="102" w:lineRule="exact"/>
        <w:rPr>
          <w:sz w:val="20"/>
          <w:szCs w:val="20"/>
          <w:color w:val="auto"/>
        </w:rPr>
      </w:pPr>
    </w:p>
    <w:p>
      <w:pPr>
        <w:ind w:left="8" w:right="20" w:firstLine="1607"/>
        <w:spacing w:after="0" w:line="273" w:lineRule="auto"/>
        <w:tabs>
          <w:tab w:leader="none" w:pos="2215" w:val="left"/>
        </w:tabs>
        <w:numPr>
          <w:ilvl w:val="0"/>
          <w:numId w:val="17"/>
        </w:numPr>
        <w:rPr>
          <w:rFonts w:ascii="Arial" w:cs="Arial" w:eastAsia="Arial" w:hAnsi="Arial"/>
          <w:sz w:val="13"/>
          <w:szCs w:val="13"/>
          <w:color w:val="auto"/>
        </w:rPr>
      </w:pPr>
      <w:r>
        <w:rPr>
          <w:rFonts w:ascii="Arial" w:cs="Arial" w:eastAsia="Arial" w:hAnsi="Arial"/>
          <w:sz w:val="13"/>
          <w:szCs w:val="13"/>
          <w:u w:val="single" w:color="auto"/>
          <w:color w:val="auto"/>
        </w:rPr>
        <w:t>Calculations and Adjustments</w:t>
      </w:r>
      <w:r>
        <w:rPr>
          <w:rFonts w:ascii="Arial" w:cs="Arial" w:eastAsia="Arial" w:hAnsi="Arial"/>
          <w:sz w:val="13"/>
          <w:szCs w:val="13"/>
          <w:color w:val="auto"/>
        </w:rPr>
        <w:t xml:space="preserve">. The Committee shall have the authority to approve the calculations involving the "Return on Equity for the fiscal year ending March 31, 2021" for purposes of vesting, and its approval of such calculations shall be final, conclusive and binding on all parties; </w:t>
      </w:r>
      <w:r>
        <w:rPr>
          <w:rFonts w:ascii="Arial" w:cs="Arial" w:eastAsia="Arial" w:hAnsi="Arial"/>
          <w:sz w:val="13"/>
          <w:szCs w:val="13"/>
          <w:u w:val="single" w:color="auto"/>
          <w:color w:val="auto"/>
        </w:rPr>
        <w:t>provided</w:t>
      </w:r>
      <w:r>
        <w:rPr>
          <w:rFonts w:ascii="Arial" w:cs="Arial" w:eastAsia="Arial" w:hAnsi="Arial"/>
          <w:sz w:val="13"/>
          <w:szCs w:val="13"/>
          <w:color w:val="auto"/>
        </w:rPr>
        <w:t>, that the Performance Criteria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(including legal fees, settlements and adjustments); provided that the amount exceeds $5 million; and (iii) the impact of extraordinary items not related to the Company’s current or ongoing business</w:t>
      </w:r>
    </w:p>
    <w:p>
      <w:pPr>
        <w:spacing w:after="0" w:line="104"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8947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8"/>
          </w:cols>
          <w:pgMar w:left="292" w:top="269" w:right="31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3"/>
          <w:szCs w:val="13"/>
          <w:color w:val="auto"/>
        </w:rPr>
        <w:t>operations, including impairments, write-downs or other significant non-operational charges. Without limiting the generality of the foregoing, in the event the Company determines to effect a spin-off that will occur prior to the end of the Performance Period, the Committee shall have the discretion to determine the extent to which the Performance Criteria shall be deemed to have been satisfied through the effective date of such spin-off or earlier, as determined by the Committee and such determination date shall constitute the Certification Date hereunder; provided, the earned Option Shares so determined shall vest one-fourth on the first anniversary of the Award Date and then ratably on the next three fiscal year-ends.</w:t>
      </w:r>
    </w:p>
    <w:p>
      <w:pPr>
        <w:spacing w:after="0" w:line="102" w:lineRule="exact"/>
        <w:rPr>
          <w:sz w:val="20"/>
          <w:szCs w:val="20"/>
          <w:color w:val="auto"/>
        </w:rPr>
      </w:pPr>
    </w:p>
    <w:p>
      <w:pPr>
        <w:ind w:right="40" w:firstLine="1607"/>
        <w:spacing w:after="0" w:line="246" w:lineRule="auto"/>
        <w:tabs>
          <w:tab w:leader="none" w:pos="2215"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i w:val="1"/>
          <w:iCs w:val="1"/>
          <w:color w:val="auto"/>
        </w:rPr>
        <w:t>.</w:t>
      </w:r>
      <w:r>
        <w:rPr>
          <w:rFonts w:ascii="Arial" w:cs="Arial" w:eastAsia="Arial" w:hAnsi="Arial"/>
          <w:sz w:val="14"/>
          <w:szCs w:val="14"/>
          <w:color w:val="auto"/>
        </w:rPr>
        <w:t xml:space="preserve"> This Option shall become fully vested and exercisable, without regard to the limitations set forth in subparagraph (a) above, provided that the Optionee has been in continuous employment with the Company or any of its Affiliates or served as a Director from the Award Date through the occurrence of a Change in Control (as defined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this Agreement), unless either (i) the Committee determines that the terms of the transaction giving rise to the Change in Control provide that the Option is to be replaced within a reasonable time after the Change in Control with an option of equivalent value to purchase shares of the surviving parent corporation or (ii) the Option is to be settled in cash in accordance with the last sentence of this subparagraph (d). Upon a Change in Control, pursuant to Section 15 of the Plan, the Company may, in its discretion, settle the Option by a cash payment equal to the difference between the Fair Market Value per share of Common Stock on the settlement date and the Exercise Price for the Option, multiplied by the number of shares then subject to the Option.</w:t>
      </w:r>
    </w:p>
    <w:p>
      <w:pPr>
        <w:spacing w:after="0" w:line="122" w:lineRule="exact"/>
        <w:rPr>
          <w:rFonts w:ascii="Arial" w:cs="Arial" w:eastAsia="Arial" w:hAnsi="Arial"/>
          <w:sz w:val="14"/>
          <w:szCs w:val="14"/>
          <w:color w:val="auto"/>
        </w:rPr>
      </w:pPr>
    </w:p>
    <w:p>
      <w:pPr>
        <w:ind w:right="20" w:firstLine="1607"/>
        <w:spacing w:after="0" w:line="246" w:lineRule="auto"/>
        <w:tabs>
          <w:tab w:leader="none" w:pos="2207"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Capital Adjustments and Corporate Events</w:t>
      </w:r>
      <w:r>
        <w:rPr>
          <w:rFonts w:ascii="Arial" w:cs="Arial" w:eastAsia="Arial" w:hAnsi="Arial"/>
          <w:sz w:val="14"/>
          <w:szCs w:val="14"/>
          <w:color w:val="auto"/>
        </w:rPr>
        <w:t>. If, from time to time during the term of the Option prior to its exercise, there is any capital adjustment affecting the outstanding Common Stock as a class without the Company’s receipt of consideration, including as a result of a spin-off or business disposition, the Option Shares and other applicable terms of this Option shall be adjusted in accordance with the provisions of Section 15 of the Plan, which adjustment shall include (as may be applicable) without limitation, equitable adjustments to the number of Option Shares, exercise price and type of property or securities to which the Option relates and to the Performance Condition set forth above, in each case as determined by the Committee in its discretion and in accordance with Code Section 409A. Any and all new, substituted or additional securities to which the Optionee may be entitled by reason of this Option because of a capital adjustment shall be immediately subject to the Vesting Period and other terms set forth herein (as may be modified pursuant to this Agreement) and included thereafter as Option Shares for purposes of this Agreement.</w:t>
      </w:r>
    </w:p>
    <w:p>
      <w:pPr>
        <w:spacing w:after="0" w:line="123"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3.</w:t>
      </w:r>
      <w:r>
        <w:rPr>
          <w:sz w:val="20"/>
          <w:szCs w:val="20"/>
          <w:color w:val="auto"/>
        </w:rPr>
        <w:tab/>
      </w:r>
      <w:r>
        <w:rPr>
          <w:rFonts w:ascii="Arial" w:cs="Arial" w:eastAsia="Arial" w:hAnsi="Arial"/>
          <w:sz w:val="14"/>
          <w:szCs w:val="14"/>
          <w:b w:val="1"/>
          <w:bCs w:val="1"/>
          <w:i w:val="1"/>
          <w:iCs w:val="1"/>
          <w:u w:val="single" w:color="auto"/>
          <w:color w:val="auto"/>
        </w:rPr>
        <w:t>Termination of Option</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Option hereby granted shall terminate and be of no force and effect with respect to any Option Shares not previously purchased by the Optionee at the earliest time specified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133" w:lineRule="exact"/>
        <w:rPr>
          <w:sz w:val="20"/>
          <w:szCs w:val="20"/>
          <w:color w:val="auto"/>
        </w:rPr>
      </w:pPr>
    </w:p>
    <w:p>
      <w:pPr>
        <w:ind w:left="2640" w:hanging="1033"/>
        <w:spacing w:after="0"/>
        <w:tabs>
          <w:tab w:leader="none" w:pos="2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tenth anniversary of the Award Date;</w:t>
      </w:r>
    </w:p>
    <w:p>
      <w:pPr>
        <w:spacing w:after="0" w:line="145" w:lineRule="exact"/>
        <w:rPr>
          <w:rFonts w:ascii="Arial" w:cs="Arial" w:eastAsia="Arial" w:hAnsi="Arial"/>
          <w:sz w:val="14"/>
          <w:szCs w:val="14"/>
          <w:color w:val="auto"/>
        </w:rPr>
      </w:pPr>
    </w:p>
    <w:p>
      <w:pPr>
        <w:ind w:right="40" w:firstLine="1607"/>
        <w:spacing w:after="0" w:line="312" w:lineRule="auto"/>
        <w:tabs>
          <w:tab w:leader="none" w:pos="2647" w:val="left"/>
        </w:tabs>
        <w:numPr>
          <w:ilvl w:val="0"/>
          <w:numId w:val="19"/>
        </w:numPr>
        <w:rPr>
          <w:rFonts w:ascii="Arial" w:cs="Arial" w:eastAsia="Arial" w:hAnsi="Arial"/>
          <w:sz w:val="13"/>
          <w:szCs w:val="13"/>
          <w:color w:val="auto"/>
        </w:rPr>
      </w:pPr>
      <w:r>
        <w:rPr>
          <w:rFonts w:ascii="Arial" w:cs="Arial" w:eastAsia="Arial" w:hAnsi="Arial"/>
          <w:sz w:val="13"/>
          <w:szCs w:val="13"/>
          <w:color w:val="auto"/>
        </w:rPr>
        <w:t>if Optionee’s employment with the Company and its Affiliates or service as a Director is terminated by the Company or a Subsidiary for “cause” (as determined by the Committee) at any time after the Award Date, then the Option shall terminate immediately upon such termination of Optionee’s employment or service;</w:t>
      </w:r>
    </w:p>
    <w:p>
      <w:pPr>
        <w:spacing w:after="0" w:line="79" w:lineRule="exact"/>
        <w:rPr>
          <w:rFonts w:ascii="Arial" w:cs="Arial" w:eastAsia="Arial" w:hAnsi="Arial"/>
          <w:sz w:val="13"/>
          <w:szCs w:val="13"/>
          <w:color w:val="auto"/>
        </w:rPr>
      </w:pPr>
    </w:p>
    <w:p>
      <w:pPr>
        <w:ind w:left="2640" w:hanging="1033"/>
        <w:spacing w:after="0"/>
        <w:tabs>
          <w:tab w:leader="none" w:pos="2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if Optionee’s employment with the Company and its Affiliates and, if applicable, service as a Director is terminated for any reason other than death,</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Disability, Retirement or termination</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20"/>
          </w:cols>
          <w:pgMar w:left="300" w:top="269" w:right="37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for “cause,” then the Option shall terminate on the first business day following the expiration of the 90-day period beginning on such date of termination; or</w:t>
      </w:r>
    </w:p>
    <w:p>
      <w:pPr>
        <w:spacing w:after="0" w:line="145" w:lineRule="exact"/>
        <w:rPr>
          <w:sz w:val="20"/>
          <w:szCs w:val="20"/>
          <w:color w:val="auto"/>
        </w:rPr>
      </w:pPr>
    </w:p>
    <w:p>
      <w:pPr>
        <w:ind w:right="240" w:firstLine="1607"/>
        <w:spacing w:after="0" w:line="249" w:lineRule="auto"/>
        <w:tabs>
          <w:tab w:leader="none" w:pos="26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Optionee’s employment with the Company and its Affiliates and, if applicable, service as a Director is terminated due to the death, Disability or Retirement of the Optionee, and in any such case such termination is at any time after the Award Date, then the Option shall terminate on the later of (i) the first business day following the expiration of the two-year period following such termination and (ii) with respect to any Option Shares which become exercisable after such termination, the first business day following the expiration of the 90-day period beginning on the date the Options Shares first become exercisable; provided, the Committee in its discretion may extend such expiration date up to the full remaining term of the Option under such circumstances as it deems appropriate.</w:t>
      </w:r>
    </w:p>
    <w:p>
      <w:pPr>
        <w:spacing w:after="0" w:line="119"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4.</w:t>
      </w:r>
      <w:r>
        <w:rPr>
          <w:sz w:val="20"/>
          <w:szCs w:val="20"/>
          <w:color w:val="auto"/>
        </w:rPr>
        <w:tab/>
      </w:r>
      <w:r>
        <w:rPr>
          <w:rFonts w:ascii="Arial" w:cs="Arial" w:eastAsia="Arial" w:hAnsi="Arial"/>
          <w:sz w:val="14"/>
          <w:szCs w:val="14"/>
          <w:b w:val="1"/>
          <w:bCs w:val="1"/>
          <w:i w:val="1"/>
          <w:iCs w:val="1"/>
          <w:u w:val="single" w:color="auto"/>
          <w:color w:val="auto"/>
        </w:rPr>
        <w:t>Exercise of Option</w:t>
      </w:r>
      <w:r>
        <w:rPr>
          <w:rFonts w:ascii="Arial" w:cs="Arial" w:eastAsia="Arial" w:hAnsi="Arial"/>
          <w:sz w:val="14"/>
          <w:szCs w:val="14"/>
          <w:i w:val="1"/>
          <w:iCs w:val="1"/>
          <w:color w:val="auto"/>
        </w:rPr>
        <w:t>.</w:t>
      </w:r>
    </w:p>
    <w:p>
      <w:pPr>
        <w:spacing w:after="0" w:line="145" w:lineRule="exact"/>
        <w:rPr>
          <w:sz w:val="20"/>
          <w:szCs w:val="20"/>
          <w:color w:val="auto"/>
        </w:rPr>
      </w:pPr>
    </w:p>
    <w:p>
      <w:pPr>
        <w:ind w:right="20" w:firstLine="807"/>
        <w:spacing w:after="0" w:line="264" w:lineRule="auto"/>
        <w:rPr>
          <w:sz w:val="20"/>
          <w:szCs w:val="20"/>
          <w:color w:val="auto"/>
        </w:rPr>
      </w:pPr>
      <w:r>
        <w:rPr>
          <w:rFonts w:ascii="Arial" w:cs="Arial" w:eastAsia="Arial" w:hAnsi="Arial"/>
          <w:sz w:val="13"/>
          <w:szCs w:val="13"/>
          <w:color w:val="auto"/>
        </w:rPr>
        <w:t>Subject to the limitations set forth herein and in the Plan, this Option may be exercised by notice provided to the Company as set forth in Section 5. The payment of the Exercise Price for the Common Stock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 to time to the extent permitted by applicable law, or (f) by any combination thereof. Such notice shall be accompanied by cash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Section 8). Notwithstanding the foregoing, if the Exercise Price of the outstanding portion of the Option is less than the Fair Market Value of a share of Common Stock on the day the Option would otherwise expire as provided in Section 3(a), then the Option shall be automatically exercised in full pursuant to clause (d) above immediately prior to its expiration.</w:t>
      </w:r>
    </w:p>
    <w:p>
      <w:pPr>
        <w:spacing w:after="0" w:line="115" w:lineRule="exact"/>
        <w:rPr>
          <w:sz w:val="20"/>
          <w:szCs w:val="20"/>
          <w:color w:val="auto"/>
        </w:rPr>
      </w:pPr>
    </w:p>
    <w:p>
      <w:pPr>
        <w:ind w:right="40" w:firstLine="807"/>
        <w:spacing w:after="0" w:line="273" w:lineRule="auto"/>
        <w:rPr>
          <w:sz w:val="20"/>
          <w:szCs w:val="20"/>
          <w:color w:val="auto"/>
        </w:rPr>
      </w:pPr>
      <w:r>
        <w:rPr>
          <w:rFonts w:ascii="Arial" w:cs="Arial" w:eastAsia="Arial" w:hAnsi="Arial"/>
          <w:sz w:val="13"/>
          <w:szCs w:val="13"/>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04" w:lineRule="exact"/>
        <w:rPr>
          <w:sz w:val="20"/>
          <w:szCs w:val="20"/>
          <w:color w:val="auto"/>
        </w:rPr>
      </w:pPr>
    </w:p>
    <w:p>
      <w:pPr>
        <w:ind w:firstLine="807"/>
        <w:spacing w:after="0" w:line="273" w:lineRule="auto"/>
        <w:rPr>
          <w:sz w:val="20"/>
          <w:szCs w:val="20"/>
          <w:color w:val="auto"/>
        </w:rPr>
      </w:pPr>
      <w:r>
        <w:rPr>
          <w:rFonts w:ascii="Arial" w:cs="Arial" w:eastAsia="Arial" w:hAnsi="Arial"/>
          <w:sz w:val="14"/>
          <w:szCs w:val="14"/>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9" w:name="page50"/>
    <w:bookmarkEnd w:id="49"/>
    <w:p>
      <w:pPr>
        <w:ind w:right="80"/>
        <w:spacing w:after="0" w:line="252" w:lineRule="auto"/>
        <w:rPr>
          <w:sz w:val="20"/>
          <w:szCs w:val="20"/>
          <w:color w:val="auto"/>
        </w:rPr>
      </w:pPr>
      <w:r>
        <w:rPr>
          <w:rFonts w:ascii="Arial" w:cs="Arial" w:eastAsia="Arial" w:hAnsi="Arial"/>
          <w:sz w:val="14"/>
          <w:szCs w:val="14"/>
          <w:color w:val="auto"/>
        </w:rPr>
        <w:t>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16" w:lineRule="exact"/>
        <w:rPr>
          <w:sz w:val="20"/>
          <w:szCs w:val="20"/>
          <w:color w:val="auto"/>
        </w:rPr>
      </w:pPr>
    </w:p>
    <w:p>
      <w:pPr>
        <w:ind w:right="420" w:firstLine="807"/>
        <w:spacing w:after="0" w:line="273" w:lineRule="auto"/>
        <w:rPr>
          <w:sz w:val="20"/>
          <w:szCs w:val="20"/>
          <w:color w:val="auto"/>
        </w:rPr>
      </w:pPr>
      <w:r>
        <w:rPr>
          <w:rFonts w:ascii="Arial" w:cs="Arial" w:eastAsia="Arial" w:hAnsi="Arial"/>
          <w:sz w:val="14"/>
          <w:szCs w:val="14"/>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02"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5.</w:t>
      </w:r>
      <w:r>
        <w:rPr>
          <w:sz w:val="20"/>
          <w:szCs w:val="20"/>
          <w:color w:val="auto"/>
        </w:rPr>
        <w:tab/>
      </w:r>
      <w:r>
        <w:rPr>
          <w:rFonts w:ascii="Arial" w:cs="Arial" w:eastAsia="Arial" w:hAnsi="Arial"/>
          <w:sz w:val="14"/>
          <w:szCs w:val="14"/>
          <w:b w:val="1"/>
          <w:bCs w:val="1"/>
          <w:i w:val="1"/>
          <w:iCs w:val="1"/>
          <w:u w:val="single" w:color="auto"/>
          <w:color w:val="auto"/>
        </w:rPr>
        <w:t>Notices</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Notice of exercise of the Option must be made in the following manner, using such forms as the Company may from time to time provide:</w:t>
      </w:r>
    </w:p>
    <w:p>
      <w:pPr>
        <w:spacing w:after="0" w:line="145" w:lineRule="exact"/>
        <w:rPr>
          <w:sz w:val="20"/>
          <w:szCs w:val="20"/>
          <w:color w:val="auto"/>
        </w:rPr>
      </w:pPr>
    </w:p>
    <w:p>
      <w:pPr>
        <w:ind w:left="2640" w:hanging="1033"/>
        <w:spacing w:after="0"/>
        <w:tabs>
          <w:tab w:leader="none" w:pos="2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by electronic means as designated by the Committee, in which case the date of exercise shall be the date when receipt is acknowledged by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133" w:lineRule="exact"/>
        <w:rPr>
          <w:sz w:val="20"/>
          <w:szCs w:val="20"/>
          <w:color w:val="auto"/>
        </w:rPr>
      </w:pPr>
    </w:p>
    <w:p>
      <w:pPr>
        <w:ind w:right="220" w:firstLine="1607"/>
        <w:spacing w:after="0" w:line="273" w:lineRule="auto"/>
        <w:tabs>
          <w:tab w:leader="none" w:pos="26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01" w:lineRule="exact"/>
        <w:rPr>
          <w:rFonts w:ascii="Arial" w:cs="Arial" w:eastAsia="Arial" w:hAnsi="Arial"/>
          <w:sz w:val="14"/>
          <w:szCs w:val="14"/>
          <w:color w:val="auto"/>
        </w:rPr>
      </w:pPr>
    </w:p>
    <w:p>
      <w:pPr>
        <w:ind w:right="220" w:firstLine="1607"/>
        <w:spacing w:after="0" w:line="273" w:lineRule="auto"/>
        <w:tabs>
          <w:tab w:leader="none" w:pos="2639" w:val="left"/>
        </w:tabs>
        <w:numPr>
          <w:ilvl w:val="0"/>
          <w:numId w:val="22"/>
        </w:numPr>
        <w:rPr>
          <w:rFonts w:ascii="Arial" w:cs="Arial" w:eastAsia="Arial" w:hAnsi="Arial"/>
          <w:sz w:val="14"/>
          <w:szCs w:val="14"/>
          <w:color w:val="auto"/>
        </w:rPr>
      </w:pPr>
      <w:r>
        <w:rPr>
          <w:rFonts w:ascii="Arial" w:cs="Arial" w:eastAsia="Arial" w:hAnsi="Arial"/>
          <w:sz w:val="14"/>
          <w:szCs w:val="14"/>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02" w:lineRule="exact"/>
        <w:rPr>
          <w:sz w:val="20"/>
          <w:szCs w:val="20"/>
          <w:color w:val="auto"/>
        </w:rPr>
      </w:pPr>
    </w:p>
    <w:p>
      <w:pPr>
        <w:ind w:right="360" w:firstLine="807"/>
        <w:spacing w:after="0" w:line="273" w:lineRule="auto"/>
        <w:rPr>
          <w:sz w:val="20"/>
          <w:szCs w:val="20"/>
          <w:color w:val="auto"/>
        </w:rPr>
      </w:pPr>
      <w:r>
        <w:rPr>
          <w:rFonts w:ascii="Arial" w:cs="Arial" w:eastAsia="Arial" w:hAnsi="Arial"/>
          <w:sz w:val="14"/>
          <w:szCs w:val="14"/>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02" w:lineRule="exact"/>
        <w:rPr>
          <w:sz w:val="20"/>
          <w:szCs w:val="20"/>
          <w:color w:val="auto"/>
        </w:rPr>
      </w:pPr>
    </w:p>
    <w:p>
      <w:pPr>
        <w:jc w:val="both"/>
        <w:ind w:firstLine="807"/>
        <w:spacing w:after="0" w:line="286" w:lineRule="auto"/>
        <w:rPr>
          <w:sz w:val="20"/>
          <w:szCs w:val="20"/>
          <w:color w:val="auto"/>
        </w:rPr>
      </w:pPr>
      <w:r>
        <w:rPr>
          <w:rFonts w:ascii="Arial" w:cs="Arial" w:eastAsia="Arial" w:hAnsi="Arial"/>
          <w:sz w:val="13"/>
          <w:szCs w:val="13"/>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96"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6.</w:t>
      </w:r>
      <w:r>
        <w:rPr>
          <w:sz w:val="20"/>
          <w:szCs w:val="20"/>
          <w:color w:val="auto"/>
        </w:rPr>
        <w:tab/>
      </w:r>
      <w:r>
        <w:rPr>
          <w:rFonts w:ascii="Arial" w:cs="Arial" w:eastAsia="Arial" w:hAnsi="Arial"/>
          <w:sz w:val="14"/>
          <w:szCs w:val="14"/>
          <w:b w:val="1"/>
          <w:bCs w:val="1"/>
          <w:i w:val="1"/>
          <w:iCs w:val="1"/>
          <w:u w:val="single" w:color="auto"/>
          <w:color w:val="auto"/>
        </w:rPr>
        <w:t>Assignment of Option</w:t>
      </w:r>
      <w:r>
        <w:rPr>
          <w:rFonts w:ascii="Arial" w:cs="Arial" w:eastAsia="Arial" w:hAnsi="Arial"/>
          <w:sz w:val="14"/>
          <w:szCs w:val="14"/>
          <w:i w:val="1"/>
          <w:iCs w:val="1"/>
          <w:color w:val="auto"/>
        </w:rPr>
        <w:t>.</w:t>
      </w:r>
    </w:p>
    <w:p>
      <w:pPr>
        <w:spacing w:after="0" w:line="145" w:lineRule="exact"/>
        <w:rPr>
          <w:sz w:val="20"/>
          <w:szCs w:val="20"/>
          <w:color w:val="auto"/>
        </w:rPr>
      </w:pPr>
    </w:p>
    <w:p>
      <w:pPr>
        <w:jc w:val="both"/>
        <w:ind w:right="60" w:firstLine="807"/>
        <w:spacing w:after="0" w:line="257" w:lineRule="auto"/>
        <w:rPr>
          <w:sz w:val="20"/>
          <w:szCs w:val="20"/>
          <w:color w:val="auto"/>
        </w:rPr>
      </w:pPr>
      <w:r>
        <w:rPr>
          <w:rFonts w:ascii="Arial" w:cs="Arial" w:eastAsia="Arial" w:hAnsi="Arial"/>
          <w:sz w:val="14"/>
          <w:szCs w:val="14"/>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expressly provided in this Agreement.</w:t>
      </w:r>
    </w:p>
    <w:p>
      <w:pPr>
        <w:spacing w:after="0" w:line="113" w:lineRule="exact"/>
        <w:rPr>
          <w:sz w:val="20"/>
          <w:szCs w:val="20"/>
          <w:color w:val="auto"/>
        </w:rPr>
      </w:pPr>
    </w:p>
    <w:p>
      <w:pPr>
        <w:jc w:val="both"/>
        <w:ind w:right="40" w:firstLine="807"/>
        <w:spacing w:after="0" w:line="273" w:lineRule="auto"/>
        <w:rPr>
          <w:sz w:val="20"/>
          <w:szCs w:val="20"/>
          <w:color w:val="auto"/>
        </w:rPr>
      </w:pPr>
      <w:r>
        <w:rPr>
          <w:rFonts w:ascii="Arial" w:cs="Arial" w:eastAsia="Arial" w:hAnsi="Arial"/>
          <w:sz w:val="14"/>
          <w:szCs w:val="14"/>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assignment) to the extent that the Option is exercisable on or after the date of the Optionee’s death, as set forth in Sections 2(a) and 3(d) hereof.</w:t>
      </w:r>
    </w:p>
    <w:p>
      <w:pPr>
        <w:spacing w:after="0" w:line="145"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7.</w:t>
      </w:r>
      <w:r>
        <w:rPr>
          <w:sz w:val="20"/>
          <w:szCs w:val="20"/>
          <w:color w:val="auto"/>
        </w:rPr>
        <w:tab/>
      </w:r>
      <w:r>
        <w:rPr>
          <w:rFonts w:ascii="Arial" w:cs="Arial" w:eastAsia="Arial" w:hAnsi="Arial"/>
          <w:sz w:val="14"/>
          <w:szCs w:val="14"/>
          <w:b w:val="1"/>
          <w:bCs w:val="1"/>
          <w:i w:val="1"/>
          <w:iCs w:val="1"/>
          <w:u w:val="single" w:color="auto"/>
          <w:color w:val="auto"/>
        </w:rPr>
        <w:t>Stock Certificates</w:t>
      </w:r>
      <w:r>
        <w:rPr>
          <w:rFonts w:ascii="Arial" w:cs="Arial" w:eastAsia="Arial" w:hAnsi="Arial"/>
          <w:sz w:val="14"/>
          <w:szCs w:val="14"/>
          <w:i w:val="1"/>
          <w:iCs w:val="1"/>
          <w:color w:val="auto"/>
        </w:rPr>
        <w:t>.</w:t>
      </w:r>
    </w:p>
    <w:p>
      <w:pPr>
        <w:spacing w:after="0" w:line="145" w:lineRule="exact"/>
        <w:rPr>
          <w:sz w:val="20"/>
          <w:szCs w:val="20"/>
          <w:color w:val="auto"/>
        </w:rPr>
      </w:pPr>
    </w:p>
    <w:p>
      <w:pPr>
        <w:ind w:right="80" w:firstLine="807"/>
        <w:spacing w:after="0" w:line="273" w:lineRule="auto"/>
        <w:rPr>
          <w:sz w:val="20"/>
          <w:szCs w:val="20"/>
          <w:color w:val="auto"/>
        </w:rPr>
      </w:pPr>
      <w:r>
        <w:rPr>
          <w:rFonts w:ascii="Arial" w:cs="Arial" w:eastAsia="Arial" w:hAnsi="Arial"/>
          <w:sz w:val="14"/>
          <w:szCs w:val="14"/>
          <w:color w:val="auto"/>
        </w:rPr>
        <w:t>Certificates or other evidences of or representing the Common Stock issued pursuant to the exercise of the Option will bear all legends required by law and necessary or advisable to effectuate the provisions of the Plan and this Option.</w:t>
      </w:r>
    </w:p>
    <w:p>
      <w:pPr>
        <w:spacing w:after="0" w:line="102"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8.</w:t>
      </w:r>
      <w:r>
        <w:rPr>
          <w:sz w:val="20"/>
          <w:szCs w:val="20"/>
          <w:color w:val="auto"/>
        </w:rPr>
        <w:tab/>
      </w:r>
      <w:r>
        <w:rPr>
          <w:rFonts w:ascii="Arial" w:cs="Arial" w:eastAsia="Arial" w:hAnsi="Arial"/>
          <w:sz w:val="14"/>
          <w:szCs w:val="14"/>
          <w:b w:val="1"/>
          <w:bCs w:val="1"/>
          <w:i w:val="1"/>
          <w:iCs w:val="1"/>
          <w:u w:val="single" w:color="auto"/>
          <w:color w:val="auto"/>
        </w:rPr>
        <w:t>Withholding</w:t>
      </w:r>
      <w:r>
        <w:rPr>
          <w:rFonts w:ascii="Arial" w:cs="Arial" w:eastAsia="Arial" w:hAnsi="Arial"/>
          <w:sz w:val="14"/>
          <w:szCs w:val="14"/>
          <w:i w:val="1"/>
          <w:iCs w:val="1"/>
          <w:color w:val="auto"/>
        </w:rPr>
        <w:t>.</w:t>
      </w:r>
    </w:p>
    <w:p>
      <w:pPr>
        <w:spacing w:after="0" w:line="145" w:lineRule="exact"/>
        <w:rPr>
          <w:sz w:val="20"/>
          <w:szCs w:val="20"/>
          <w:color w:val="auto"/>
        </w:rPr>
      </w:pPr>
    </w:p>
    <w:p>
      <w:pPr>
        <w:ind w:firstLine="807"/>
        <w:spacing w:after="0" w:line="246" w:lineRule="auto"/>
        <w:rPr>
          <w:sz w:val="20"/>
          <w:szCs w:val="20"/>
          <w:color w:val="auto"/>
        </w:rPr>
      </w:pPr>
      <w:r>
        <w:rPr>
          <w:rFonts w:ascii="Arial" w:cs="Arial" w:eastAsia="Arial" w:hAnsi="Arial"/>
          <w:sz w:val="14"/>
          <w:szCs w:val="14"/>
          <w:color w:val="auto"/>
        </w:rPr>
        <w:t>No certificates representing shares of Common Stock purchased hereunder shall be delivered to or in respect of an Optionee unless the amount of all federal, state and other governmental withholding tax requirements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Option. The Optionee may pay all or any portion of the taxes required to be withheld by the Company or paid by the Optionee in connection with the exercise of all or any portion of this Option by delivering cash, or, pursuant to Committee-approved procedures, by electing to have the Company withhold shares of Common Stock, or by delivering previously owned shares of Common Stock sufficient to satisfy the tax withholding obligation. The Optionee must make the foregoing election on or before the date that the amount of tax to be withheld is determined.</w:t>
      </w:r>
    </w:p>
    <w:p>
      <w:pPr>
        <w:spacing w:after="0" w:line="123"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9.</w:t>
      </w:r>
      <w:r>
        <w:rPr>
          <w:sz w:val="20"/>
          <w:szCs w:val="20"/>
          <w:color w:val="auto"/>
        </w:rPr>
        <w:tab/>
      </w:r>
      <w:r>
        <w:rPr>
          <w:rFonts w:ascii="Arial" w:cs="Arial" w:eastAsia="Arial" w:hAnsi="Arial"/>
          <w:sz w:val="14"/>
          <w:szCs w:val="14"/>
          <w:b w:val="1"/>
          <w:bCs w:val="1"/>
          <w:i w:val="1"/>
          <w:iCs w:val="1"/>
          <w:u w:val="single" w:color="auto"/>
          <w:color w:val="auto"/>
        </w:rPr>
        <w:t>Shareholder Rights</w:t>
      </w:r>
      <w:r>
        <w:rPr>
          <w:rFonts w:ascii="Arial" w:cs="Arial" w:eastAsia="Arial" w:hAnsi="Arial"/>
          <w:sz w:val="14"/>
          <w:szCs w:val="14"/>
          <w:i w:val="1"/>
          <w:iCs w:val="1"/>
          <w:color w:val="auto"/>
        </w:rPr>
        <w:t>.</w:t>
      </w:r>
    </w:p>
    <w:p>
      <w:pPr>
        <w:spacing w:after="0" w:line="145" w:lineRule="exact"/>
        <w:rPr>
          <w:sz w:val="20"/>
          <w:szCs w:val="20"/>
          <w:color w:val="auto"/>
        </w:rPr>
      </w:pPr>
    </w:p>
    <w:p>
      <w:pPr>
        <w:ind w:right="280" w:firstLine="807"/>
        <w:spacing w:after="0" w:line="273" w:lineRule="auto"/>
        <w:rPr>
          <w:sz w:val="20"/>
          <w:szCs w:val="20"/>
          <w:color w:val="auto"/>
        </w:rPr>
      </w:pPr>
      <w:r>
        <w:rPr>
          <w:rFonts w:ascii="Arial" w:cs="Arial" w:eastAsia="Arial" w:hAnsi="Arial"/>
          <w:sz w:val="14"/>
          <w:szCs w:val="14"/>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02"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10.</w:t>
      </w:r>
      <w:r>
        <w:rPr>
          <w:sz w:val="20"/>
          <w:szCs w:val="20"/>
          <w:color w:val="auto"/>
        </w:rPr>
        <w:tab/>
      </w:r>
      <w:r>
        <w:rPr>
          <w:rFonts w:ascii="Arial" w:cs="Arial" w:eastAsia="Arial" w:hAnsi="Arial"/>
          <w:sz w:val="14"/>
          <w:szCs w:val="14"/>
          <w:b w:val="1"/>
          <w:bCs w:val="1"/>
          <w:i w:val="1"/>
          <w:iCs w:val="1"/>
          <w:u w:val="single" w:color="auto"/>
          <w:color w:val="auto"/>
        </w:rPr>
        <w:t>Successors and Assigns</w:t>
      </w:r>
      <w:r>
        <w:rPr>
          <w:rFonts w:ascii="Arial" w:cs="Arial" w:eastAsia="Arial" w:hAnsi="Arial"/>
          <w:sz w:val="14"/>
          <w:szCs w:val="14"/>
          <w:i w:val="1"/>
          <w:iCs w:val="1"/>
          <w:color w:val="auto"/>
        </w:rPr>
        <w:t>.</w:t>
      </w:r>
    </w:p>
    <w:p>
      <w:pPr>
        <w:spacing w:after="0" w:line="145" w:lineRule="exact"/>
        <w:rPr>
          <w:sz w:val="20"/>
          <w:szCs w:val="20"/>
          <w:color w:val="auto"/>
        </w:rPr>
      </w:pPr>
    </w:p>
    <w:p>
      <w:pPr>
        <w:ind w:right="280" w:firstLine="807"/>
        <w:spacing w:after="0" w:line="358" w:lineRule="auto"/>
        <w:rPr>
          <w:sz w:val="20"/>
          <w:szCs w:val="20"/>
          <w:color w:val="auto"/>
        </w:rPr>
      </w:pPr>
      <w:r>
        <w:rPr>
          <w:rFonts w:ascii="Arial" w:cs="Arial" w:eastAsia="Arial" w:hAnsi="Arial"/>
          <w:sz w:val="12"/>
          <w:szCs w:val="12"/>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56"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11.</w:t>
      </w:r>
      <w:r>
        <w:rPr>
          <w:sz w:val="20"/>
          <w:szCs w:val="20"/>
          <w:color w:val="auto"/>
        </w:rPr>
        <w:tab/>
      </w:r>
      <w:r>
        <w:rPr>
          <w:rFonts w:ascii="Arial" w:cs="Arial" w:eastAsia="Arial" w:hAnsi="Arial"/>
          <w:sz w:val="14"/>
          <w:szCs w:val="14"/>
          <w:b w:val="1"/>
          <w:bCs w:val="1"/>
          <w:i w:val="1"/>
          <w:iCs w:val="1"/>
          <w:u w:val="single" w:color="auto"/>
          <w:color w:val="auto"/>
        </w:rPr>
        <w:t>No Employment Guaranteed</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 provision of this Option Agreement shall confer any right upon the Optionee to continued employment with the Company or any Subsidiary.</w:t>
      </w:r>
    </w:p>
    <w:p>
      <w:pPr>
        <w:spacing w:after="0" w:line="145"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12.</w:t>
      </w:r>
      <w:r>
        <w:rPr>
          <w:sz w:val="20"/>
          <w:szCs w:val="20"/>
          <w:color w:val="auto"/>
        </w:rPr>
        <w:tab/>
      </w:r>
      <w:r>
        <w:rPr>
          <w:rFonts w:ascii="Arial" w:cs="Arial" w:eastAsia="Arial" w:hAnsi="Arial"/>
          <w:sz w:val="14"/>
          <w:szCs w:val="14"/>
          <w:b w:val="1"/>
          <w:bCs w:val="1"/>
          <w:i w:val="1"/>
          <w:iCs w:val="1"/>
          <w:u w:val="single" w:color="auto"/>
          <w:color w:val="auto"/>
        </w:rPr>
        <w:t>Governing Law</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This Option Agreement shall be governed by, construed and enforced in accordance with the laws of the State of Texas.</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1" w:name="page52"/>
    <w:bookmarkEnd w:id="51"/>
    <w:p>
      <w:pPr>
        <w:spacing w:after="0"/>
        <w:tabs>
          <w:tab w:leader="none" w:pos="1580" w:val="left"/>
        </w:tabs>
        <w:rPr>
          <w:sz w:val="20"/>
          <w:szCs w:val="20"/>
          <w:color w:val="auto"/>
        </w:rPr>
      </w:pPr>
      <w:r>
        <w:rPr>
          <w:rFonts w:ascii="Arial" w:cs="Arial" w:eastAsia="Arial" w:hAnsi="Arial"/>
          <w:sz w:val="14"/>
          <w:szCs w:val="14"/>
          <w:b w:val="1"/>
          <w:bCs w:val="1"/>
          <w:i w:val="1"/>
          <w:iCs w:val="1"/>
          <w:color w:val="auto"/>
        </w:rPr>
        <w:t>13.</w:t>
      </w:r>
      <w:r>
        <w:rPr>
          <w:sz w:val="20"/>
          <w:szCs w:val="20"/>
          <w:color w:val="auto"/>
        </w:rPr>
        <w:tab/>
      </w:r>
      <w:r>
        <w:rPr>
          <w:rFonts w:ascii="Arial" w:cs="Arial" w:eastAsia="Arial" w:hAnsi="Arial"/>
          <w:sz w:val="14"/>
          <w:szCs w:val="14"/>
          <w:b w:val="1"/>
          <w:bCs w:val="1"/>
          <w:i w:val="1"/>
          <w:iCs w:val="1"/>
          <w:u w:val="single" w:color="auto"/>
          <w:color w:val="auto"/>
        </w:rPr>
        <w:t>Amendment</w:t>
      </w:r>
      <w:r>
        <w:rPr>
          <w:rFonts w:ascii="Arial" w:cs="Arial" w:eastAsia="Arial" w:hAnsi="Arial"/>
          <w:sz w:val="14"/>
          <w:szCs w:val="14"/>
          <w:i w:val="1"/>
          <w:iCs w:val="1"/>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cannot be modified, altered or amended except by an agreement, in writing, signed by both the Company and the Optionee.</w:t>
      </w: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[REMAINDER OF PAGE INTENTIONALLY LEFT BLANK]</w:t>
      </w:r>
    </w:p>
    <w:p>
      <w:pPr>
        <w:spacing w:after="0" w:line="200" w:lineRule="exact"/>
        <w:rPr>
          <w:sz w:val="20"/>
          <w:szCs w:val="20"/>
          <w:color w:val="auto"/>
        </w:rPr>
      </w:pPr>
    </w:p>
    <w:p>
      <w:pPr>
        <w:spacing w:after="0" w:line="251"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55245</wp:posOffset>
            </wp:positionV>
            <wp:extent cx="718947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9359"/>
          </w:cols>
          <w:pgMar w:left="1100" w:top="269"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8240" w:type="dxa"/>
            <w:vAlign w:val="bottom"/>
            <w:gridSpan w:val="2"/>
          </w:tcPr>
          <w:p>
            <w:pPr>
              <w:ind w:left="1720"/>
              <w:spacing w:after="0"/>
              <w:rPr>
                <w:sz w:val="20"/>
                <w:szCs w:val="20"/>
                <w:color w:val="auto"/>
              </w:rPr>
            </w:pPr>
            <w:r>
              <w:rPr>
                <w:rFonts w:ascii="Arial" w:cs="Arial" w:eastAsia="Arial" w:hAnsi="Arial"/>
                <w:sz w:val="14"/>
                <w:szCs w:val="14"/>
                <w:b w:val="1"/>
                <w:bCs w:val="1"/>
                <w:color w:val="auto"/>
              </w:rPr>
              <w:t>EAGLE MATERIALS INC.</w:t>
            </w:r>
          </w:p>
        </w:tc>
      </w:tr>
      <w:tr>
        <w:trPr>
          <w:trHeight w:val="444"/>
        </w:trPr>
        <w:tc>
          <w:tcPr>
            <w:tcW w:w="3060" w:type="dxa"/>
            <w:vAlign w:val="bottom"/>
          </w:tcPr>
          <w:p>
            <w:pPr>
              <w:spacing w:after="0"/>
              <w:rPr>
                <w:sz w:val="20"/>
                <w:szCs w:val="20"/>
                <w:color w:val="auto"/>
              </w:rPr>
            </w:pPr>
            <w:r>
              <w:rPr>
                <w:rFonts w:ascii="Arial" w:cs="Arial" w:eastAsia="Arial" w:hAnsi="Arial"/>
                <w:sz w:val="14"/>
                <w:szCs w:val="14"/>
                <w:color w:val="auto"/>
              </w:rPr>
              <w:t>Dated: May ___, 2020</w:t>
            </w:r>
          </w:p>
        </w:tc>
        <w:tc>
          <w:tcPr>
            <w:tcW w:w="2940" w:type="dxa"/>
            <w:vAlign w:val="bottom"/>
          </w:tcPr>
          <w:p>
            <w:pPr>
              <w:ind w:left="1720"/>
              <w:spacing w:after="0"/>
              <w:rPr>
                <w:sz w:val="20"/>
                <w:szCs w:val="20"/>
                <w:color w:val="auto"/>
              </w:rPr>
            </w:pPr>
            <w:r>
              <w:rPr>
                <w:rFonts w:ascii="Arial" w:cs="Arial" w:eastAsia="Arial" w:hAnsi="Arial"/>
                <w:sz w:val="14"/>
                <w:szCs w:val="14"/>
                <w:color w:val="auto"/>
              </w:rPr>
              <w:t>By:</w:t>
            </w:r>
          </w:p>
        </w:tc>
        <w:tc>
          <w:tcPr>
            <w:tcW w:w="5300" w:type="dxa"/>
            <w:vAlign w:val="bottom"/>
            <w:tcBorders>
              <w:bottom w:val="single" w:sz="8" w:color="auto"/>
            </w:tcBorders>
          </w:tcPr>
          <w:p>
            <w:pPr>
              <w:spacing w:after="0"/>
              <w:rPr>
                <w:sz w:val="24"/>
                <w:szCs w:val="24"/>
                <w:color w:val="auto"/>
              </w:rPr>
            </w:pPr>
          </w:p>
        </w:tc>
      </w:tr>
      <w:tr>
        <w:trPr>
          <w:trHeight w:val="301"/>
        </w:trPr>
        <w:tc>
          <w:tcPr>
            <w:tcW w:w="3060" w:type="dxa"/>
            <w:vAlign w:val="bottom"/>
          </w:tcPr>
          <w:p>
            <w:pPr>
              <w:spacing w:after="0"/>
              <w:rPr>
                <w:sz w:val="24"/>
                <w:szCs w:val="24"/>
                <w:color w:val="auto"/>
              </w:rPr>
            </w:pPr>
          </w:p>
        </w:tc>
        <w:tc>
          <w:tcPr>
            <w:tcW w:w="2940" w:type="dxa"/>
            <w:vAlign w:val="bottom"/>
          </w:tcPr>
          <w:p>
            <w:pPr>
              <w:ind w:left="1720"/>
              <w:spacing w:after="0"/>
              <w:rPr>
                <w:sz w:val="20"/>
                <w:szCs w:val="20"/>
                <w:color w:val="auto"/>
              </w:rPr>
            </w:pPr>
            <w:r>
              <w:rPr>
                <w:rFonts w:ascii="Arial" w:cs="Arial" w:eastAsia="Arial" w:hAnsi="Arial"/>
                <w:sz w:val="14"/>
                <w:szCs w:val="14"/>
                <w:color w:val="auto"/>
              </w:rPr>
              <w:t>Name:</w:t>
            </w:r>
          </w:p>
        </w:tc>
        <w:tc>
          <w:tcPr>
            <w:tcW w:w="5300" w:type="dxa"/>
            <w:vAlign w:val="bottom"/>
          </w:tcPr>
          <w:p>
            <w:pPr>
              <w:spacing w:after="0"/>
              <w:rPr>
                <w:sz w:val="20"/>
                <w:szCs w:val="20"/>
                <w:color w:val="auto"/>
              </w:rPr>
            </w:pPr>
            <w:r>
              <w:rPr>
                <w:rFonts w:ascii="Arial" w:cs="Arial" w:eastAsia="Arial" w:hAnsi="Arial"/>
                <w:sz w:val="14"/>
                <w:szCs w:val="14"/>
                <w:color w:val="auto"/>
              </w:rPr>
              <w:t>Michael Haack</w:t>
            </w:r>
          </w:p>
        </w:tc>
      </w:tr>
      <w:tr>
        <w:trPr>
          <w:trHeight w:val="306"/>
        </w:trPr>
        <w:tc>
          <w:tcPr>
            <w:tcW w:w="3060" w:type="dxa"/>
            <w:vAlign w:val="bottom"/>
          </w:tcPr>
          <w:p>
            <w:pPr>
              <w:spacing w:after="0"/>
              <w:rPr>
                <w:sz w:val="24"/>
                <w:szCs w:val="24"/>
                <w:color w:val="auto"/>
              </w:rPr>
            </w:pPr>
          </w:p>
        </w:tc>
        <w:tc>
          <w:tcPr>
            <w:tcW w:w="2940" w:type="dxa"/>
            <w:vAlign w:val="bottom"/>
          </w:tcPr>
          <w:p>
            <w:pPr>
              <w:ind w:left="1720"/>
              <w:spacing w:after="0"/>
              <w:rPr>
                <w:sz w:val="20"/>
                <w:szCs w:val="20"/>
                <w:color w:val="auto"/>
              </w:rPr>
            </w:pPr>
            <w:r>
              <w:rPr>
                <w:rFonts w:ascii="Arial" w:cs="Arial" w:eastAsia="Arial" w:hAnsi="Arial"/>
                <w:sz w:val="14"/>
                <w:szCs w:val="14"/>
                <w:color w:val="auto"/>
              </w:rPr>
              <w:t>Its:</w:t>
            </w:r>
          </w:p>
        </w:tc>
        <w:tc>
          <w:tcPr>
            <w:tcW w:w="5300" w:type="dxa"/>
            <w:vAlign w:val="bottom"/>
          </w:tcPr>
          <w:p>
            <w:pPr>
              <w:spacing w:after="0"/>
              <w:rPr>
                <w:sz w:val="20"/>
                <w:szCs w:val="20"/>
                <w:color w:val="auto"/>
              </w:rPr>
            </w:pPr>
            <w:r>
              <w:rPr>
                <w:rFonts w:ascii="Arial" w:cs="Arial" w:eastAsia="Arial" w:hAnsi="Arial"/>
                <w:sz w:val="14"/>
                <w:szCs w:val="14"/>
                <w:color w:val="auto"/>
              </w:rPr>
              <w:t>President and CEO</w:t>
            </w:r>
          </w:p>
        </w:tc>
      </w:tr>
      <w:tr>
        <w:trPr>
          <w:trHeight w:val="286"/>
        </w:trPr>
        <w:tc>
          <w:tcPr>
            <w:tcW w:w="3060" w:type="dxa"/>
            <w:vAlign w:val="bottom"/>
          </w:tcPr>
          <w:p>
            <w:pPr>
              <w:spacing w:after="0"/>
              <w:rPr>
                <w:sz w:val="24"/>
                <w:szCs w:val="24"/>
                <w:color w:val="auto"/>
              </w:rPr>
            </w:pPr>
          </w:p>
        </w:tc>
        <w:tc>
          <w:tcPr>
            <w:tcW w:w="2940" w:type="dxa"/>
            <w:vAlign w:val="bottom"/>
          </w:tcPr>
          <w:p>
            <w:pPr>
              <w:ind w:left="1720"/>
              <w:spacing w:after="0"/>
              <w:rPr>
                <w:sz w:val="20"/>
                <w:szCs w:val="20"/>
                <w:color w:val="auto"/>
              </w:rPr>
            </w:pPr>
            <w:r>
              <w:rPr>
                <w:rFonts w:ascii="Arial" w:cs="Arial" w:eastAsia="Arial" w:hAnsi="Arial"/>
                <w:sz w:val="14"/>
                <w:szCs w:val="14"/>
                <w:color w:val="auto"/>
              </w:rPr>
              <w:t>Address:</w:t>
            </w:r>
          </w:p>
        </w:tc>
        <w:tc>
          <w:tcPr>
            <w:tcW w:w="5300" w:type="dxa"/>
            <w:vAlign w:val="bottom"/>
          </w:tcPr>
          <w:p>
            <w:pPr>
              <w:spacing w:after="0"/>
              <w:rPr>
                <w:sz w:val="20"/>
                <w:szCs w:val="20"/>
                <w:color w:val="auto"/>
              </w:rPr>
            </w:pPr>
            <w:r>
              <w:rPr>
                <w:rFonts w:ascii="Arial" w:cs="Arial" w:eastAsia="Arial" w:hAnsi="Arial"/>
                <w:sz w:val="14"/>
                <w:szCs w:val="14"/>
                <w:color w:val="auto"/>
              </w:rPr>
              <w:t>5960 Berkshire Ln., Suite 900</w:t>
            </w:r>
          </w:p>
        </w:tc>
      </w:tr>
      <w:tr>
        <w:trPr>
          <w:trHeight w:val="182"/>
        </w:trPr>
        <w:tc>
          <w:tcPr>
            <w:tcW w:w="30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Dallas, Texas 75225</w:t>
            </w:r>
          </w:p>
        </w:tc>
      </w:tr>
    </w:tbl>
    <w:p>
      <w:pPr>
        <w:spacing w:after="0" w:line="26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Optionee hereby accepts the foregoing Option Agreement, subject to the terms and provisions of the Plan and administrative interpretations thereof referred to above.</w:t>
      </w:r>
    </w:p>
    <w:p>
      <w:pPr>
        <w:spacing w:after="0" w:line="153"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OPTIONEE:</w:t>
      </w:r>
    </w:p>
    <w:p>
      <w:pPr>
        <w:spacing w:after="0" w:line="293" w:lineRule="exact"/>
        <w:rPr>
          <w:sz w:val="20"/>
          <w:szCs w:val="20"/>
          <w:color w:val="auto"/>
        </w:rPr>
      </w:pPr>
    </w:p>
    <w:p>
      <w:pPr>
        <w:spacing w:after="0"/>
        <w:tabs>
          <w:tab w:leader="none" w:pos="4700" w:val="left"/>
          <w:tab w:leader="none" w:pos="5920" w:val="left"/>
        </w:tabs>
        <w:rPr>
          <w:sz w:val="20"/>
          <w:szCs w:val="20"/>
          <w:color w:val="auto"/>
        </w:rPr>
      </w:pPr>
      <w:r>
        <w:rPr>
          <w:rFonts w:ascii="Arial" w:cs="Arial" w:eastAsia="Arial" w:hAnsi="Arial"/>
          <w:sz w:val="14"/>
          <w:szCs w:val="14"/>
          <w:color w:val="auto"/>
        </w:rPr>
        <w:t>Dated: , 2020</w:t>
      </w:r>
      <w:r>
        <w:rPr>
          <w:sz w:val="20"/>
          <w:szCs w:val="20"/>
          <w:color w:val="auto"/>
        </w:rPr>
        <w:tab/>
      </w:r>
      <w:r>
        <w:rPr>
          <w:rFonts w:ascii="Arial" w:cs="Arial" w:eastAsia="Arial" w:hAnsi="Arial"/>
          <w:sz w:val="14"/>
          <w:szCs w:val="14"/>
          <w:color w:val="auto"/>
        </w:rPr>
        <w:t>Signed:</w:t>
      </w:r>
      <w:r>
        <w:rPr>
          <w:sz w:val="20"/>
          <w:szCs w:val="20"/>
          <w:color w:val="auto"/>
        </w:rPr>
        <w:tab/>
      </w:r>
      <w:r>
        <w:rPr>
          <w:rFonts w:ascii="Arial" w:cs="Arial" w:eastAsia="Arial" w:hAnsi="Arial"/>
          <w:sz w:val="12"/>
          <w:szCs w:val="12"/>
          <w:color w:val="auto"/>
        </w:rPr>
        <w:t>_____________________________________</w:t>
      </w:r>
    </w:p>
    <w:p>
      <w:pPr>
        <w:spacing w:after="0" w:line="13"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NAME</w:t>
      </w:r>
    </w:p>
    <w:p>
      <w:pPr>
        <w:spacing w:after="0" w:line="5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Eagle Materials Inc.</w:t>
      </w:r>
    </w:p>
    <w:p>
      <w:pPr>
        <w:spacing w:after="0" w:line="13"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5960 Berkshire Ln., Suite 900</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Dallas, Texas 75225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CHANGE-IN-CONTROL</w:t>
      </w:r>
    </w:p>
    <w:p>
      <w:pPr>
        <w:spacing w:after="0" w:line="14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For the purpose of this Agreement, a “Change in Control” shall mean the occurrence of any of the following events:</w:t>
      </w:r>
    </w:p>
    <w:p>
      <w:pPr>
        <w:spacing w:after="0" w:line="145" w:lineRule="exact"/>
        <w:rPr>
          <w:sz w:val="20"/>
          <w:szCs w:val="20"/>
          <w:color w:val="auto"/>
        </w:rPr>
      </w:pPr>
    </w:p>
    <w:p>
      <w:pPr>
        <w:ind w:left="-20" w:right="60" w:firstLine="1607"/>
        <w:spacing w:after="0" w:line="249" w:lineRule="auto"/>
        <w:tabs>
          <w:tab w:leader="none" w:pos="2619"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118" w:lineRule="exact"/>
        <w:rPr>
          <w:rFonts w:ascii="Arial" w:cs="Arial" w:eastAsia="Arial" w:hAnsi="Arial"/>
          <w:sz w:val="14"/>
          <w:szCs w:val="14"/>
          <w:color w:val="auto"/>
        </w:rPr>
      </w:pPr>
    </w:p>
    <w:p>
      <w:pPr>
        <w:ind w:left="-20" w:firstLine="1607"/>
        <w:spacing w:after="0" w:line="247" w:lineRule="auto"/>
        <w:tabs>
          <w:tab w:leader="none" w:pos="26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121" w:lineRule="exact"/>
        <w:rPr>
          <w:rFonts w:ascii="Arial" w:cs="Arial" w:eastAsia="Arial" w:hAnsi="Arial"/>
          <w:sz w:val="14"/>
          <w:szCs w:val="14"/>
          <w:color w:val="auto"/>
        </w:rPr>
      </w:pPr>
    </w:p>
    <w:p>
      <w:pPr>
        <w:ind w:left="-20" w:right="100" w:firstLine="1607"/>
        <w:spacing w:after="0" w:line="245" w:lineRule="auto"/>
        <w:tabs>
          <w:tab w:leader="none" w:pos="2619"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122" w:lineRule="exact"/>
        <w:rPr>
          <w:rFonts w:ascii="Arial" w:cs="Arial" w:eastAsia="Arial" w:hAnsi="Arial"/>
          <w:sz w:val="14"/>
          <w:szCs w:val="14"/>
          <w:color w:val="auto"/>
        </w:rPr>
      </w:pPr>
    </w:p>
    <w:p>
      <w:pPr>
        <w:ind w:left="-20" w:right="480" w:firstLine="1607"/>
        <w:spacing w:after="0" w:line="273" w:lineRule="auto"/>
        <w:tabs>
          <w:tab w:leader="none" w:pos="26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Approval by the Board and the shareholders of the Company of (i) a complete liquidation or dissolution of the Company or (ii) a Major Asset Disposition (or, if there is no such approval by shareholders, consummation of such Major Asset Disposition) unless,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54610</wp:posOffset>
            </wp:positionV>
            <wp:extent cx="718947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54" w:name="page55"/>
    <w:bookmarkEnd w:id="54"/>
    <w:p>
      <w:pPr>
        <w:ind w:firstLine="1607"/>
        <w:spacing w:after="0" w:line="268" w:lineRule="auto"/>
        <w:tabs>
          <w:tab w:leader="none" w:pos="2675"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purposes of the foregoing,</w:t>
      </w:r>
    </w:p>
    <w:p>
      <w:pPr>
        <w:spacing w:after="0" w:line="145" w:lineRule="exact"/>
        <w:rPr>
          <w:sz w:val="20"/>
          <w:szCs w:val="20"/>
          <w:color w:val="auto"/>
        </w:rPr>
      </w:pPr>
    </w:p>
    <w:p>
      <w:pPr>
        <w:ind w:left="2400" w:hanging="797"/>
        <w:spacing w:after="0"/>
        <w:tabs>
          <w:tab w:leader="none" w:pos="2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term “Person” means an individual, entity or group;</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term “group” is used as it is defined for purposes of Section 13(d)(3) of the Exchange Act;</w:t>
      </w:r>
    </w:p>
    <w:p>
      <w:pPr>
        <w:spacing w:after="0" w:line="145" w:lineRule="exact"/>
        <w:rPr>
          <w:rFonts w:ascii="Arial" w:cs="Arial" w:eastAsia="Arial" w:hAnsi="Arial"/>
          <w:sz w:val="14"/>
          <w:szCs w:val="14"/>
          <w:color w:val="auto"/>
        </w:rPr>
      </w:pPr>
    </w:p>
    <w:p>
      <w:pPr>
        <w:ind w:left="2400" w:right="1160" w:hanging="797"/>
        <w:spacing w:after="0" w:line="273" w:lineRule="auto"/>
        <w:tabs>
          <w:tab w:leader="none" w:pos="2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terms “beneficial owner”, “beneficial ownership” and “beneficially own” are used as defined for purposes of Rule 13d-3 under the Exchange Act;</w:t>
      </w:r>
    </w:p>
    <w:p>
      <w:pPr>
        <w:spacing w:after="0" w:line="101" w:lineRule="exact"/>
        <w:rPr>
          <w:rFonts w:ascii="Arial" w:cs="Arial" w:eastAsia="Arial" w:hAnsi="Arial"/>
          <w:sz w:val="14"/>
          <w:szCs w:val="14"/>
          <w:color w:val="auto"/>
        </w:rPr>
      </w:pPr>
    </w:p>
    <w:p>
      <w:pPr>
        <w:ind w:left="2400" w:right="1300" w:hanging="797"/>
        <w:spacing w:after="0" w:line="273" w:lineRule="auto"/>
        <w:tabs>
          <w:tab w:leader="none" w:pos="2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term “Business Combination” means (x) a merger, consolidation or share exchange involving the Company or its stock or (y) an acquisition by the Company, directly or through one or more subsidiaries, of another entity or its stock or assets;</w:t>
      </w:r>
    </w:p>
    <w:p>
      <w:pPr>
        <w:spacing w:after="0" w:line="101" w:lineRule="exact"/>
        <w:rPr>
          <w:rFonts w:ascii="Arial" w:cs="Arial" w:eastAsia="Arial" w:hAnsi="Arial"/>
          <w:sz w:val="14"/>
          <w:szCs w:val="14"/>
          <w:color w:val="auto"/>
        </w:rPr>
      </w:pPr>
    </w:p>
    <w:p>
      <w:pPr>
        <w:ind w:left="2400" w:hanging="797"/>
        <w:spacing w:after="0"/>
        <w:tabs>
          <w:tab w:leader="none" w:pos="2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term “Company Common Stock” shall mean the Common Stock, par value $.01 per share, of the Company;</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term “Exchange Act” means the Securities Exchange Act of 1934, as amended.</w:t>
      </w:r>
    </w:p>
    <w:p>
      <w:pPr>
        <w:spacing w:after="0" w:line="145" w:lineRule="exact"/>
        <w:rPr>
          <w:rFonts w:ascii="Arial" w:cs="Arial" w:eastAsia="Arial" w:hAnsi="Arial"/>
          <w:sz w:val="14"/>
          <w:szCs w:val="14"/>
          <w:color w:val="auto"/>
        </w:rPr>
      </w:pPr>
    </w:p>
    <w:p>
      <w:pPr>
        <w:ind w:left="2400" w:right="940" w:hanging="797"/>
        <w:spacing w:after="0" w:line="257" w:lineRule="auto"/>
        <w:tabs>
          <w:tab w:leader="none" w:pos="2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phrase “parent corporation resulting from a Business Combination”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112" w:lineRule="exact"/>
        <w:rPr>
          <w:rFonts w:ascii="Arial" w:cs="Arial" w:eastAsia="Arial" w:hAnsi="Arial"/>
          <w:sz w:val="14"/>
          <w:szCs w:val="14"/>
          <w:color w:val="auto"/>
        </w:rPr>
      </w:pPr>
    </w:p>
    <w:p>
      <w:pPr>
        <w:ind w:left="2400" w:right="880" w:hanging="797"/>
        <w:spacing w:after="0" w:line="286" w:lineRule="auto"/>
        <w:tabs>
          <w:tab w:leader="none" w:pos="2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term “Major Asset Disposition”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8947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5" w:name="page56"/>
    <w:bookmarkEnd w:id="55"/>
    <w:p>
      <w:pPr>
        <w:jc w:val="both"/>
        <w:ind w:left="1260" w:right="60" w:hanging="797"/>
        <w:spacing w:after="0" w:line="257" w:lineRule="auto"/>
        <w:tabs>
          <w:tab w:leader="none" w:pos="1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term “Acquiring Entity”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112" w:lineRule="exact"/>
        <w:rPr>
          <w:rFonts w:ascii="Arial" w:cs="Arial" w:eastAsia="Arial" w:hAnsi="Arial"/>
          <w:sz w:val="14"/>
          <w:szCs w:val="14"/>
          <w:color w:val="auto"/>
        </w:rPr>
      </w:pPr>
    </w:p>
    <w:p>
      <w:pPr>
        <w:ind w:left="1260" w:hanging="797"/>
        <w:spacing w:after="0" w:line="273" w:lineRule="auto"/>
        <w:tabs>
          <w:tab w:leader="none" w:pos="1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phrase “substantially the same proportions,”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Exhibit A-3</w:t>
      </w:r>
    </w:p>
    <w:p>
      <w:pPr>
        <w:sectPr>
          <w:pgSz w:w="11900" w:h="16838" w:orient="portrait"/>
          <w:cols w:equalWidth="0" w:num="1">
            <w:col w:w="9240"/>
          </w:cols>
          <w:pgMar w:left="1440" w:top="269" w:right="121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b w:val="1"/>
          <w:bCs w:val="1"/>
          <w:color w:val="auto"/>
        </w:rPr>
        <w:t>EXHIBIT 10.4</w:t>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EAGLE MATERIALS INC.</w:t>
      </w:r>
    </w:p>
    <w:p>
      <w:pPr>
        <w:spacing w:after="0" w:line="84" w:lineRule="exact"/>
        <w:rPr>
          <w:sz w:val="20"/>
          <w:szCs w:val="20"/>
          <w:color w:val="auto"/>
        </w:rPr>
      </w:pPr>
    </w:p>
    <w:p>
      <w:pPr>
        <w:ind w:left="4060"/>
        <w:spacing w:after="0"/>
        <w:rPr>
          <w:sz w:val="20"/>
          <w:szCs w:val="20"/>
          <w:color w:val="auto"/>
        </w:rPr>
      </w:pPr>
      <w:r>
        <w:rPr>
          <w:rFonts w:ascii="Arial" w:cs="Arial" w:eastAsia="Arial" w:hAnsi="Arial"/>
          <w:sz w:val="14"/>
          <w:szCs w:val="14"/>
          <w:b w:val="1"/>
          <w:bCs w:val="1"/>
          <w:u w:val="single" w:color="auto"/>
          <w:color w:val="auto"/>
        </w:rPr>
        <w:t>AMENDED AND RESTATED INCENTIVE PLAN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NON-QUALIFIED STOCK OPTION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(Time Vesting)</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This option agreement (the “</w:t>
      </w:r>
      <w:r>
        <w:rPr>
          <w:rFonts w:ascii="Arial" w:cs="Arial" w:eastAsia="Arial" w:hAnsi="Arial"/>
          <w:sz w:val="14"/>
          <w:szCs w:val="14"/>
          <w:u w:val="single" w:color="auto"/>
          <w:color w:val="auto"/>
        </w:rPr>
        <w:t>Option Agreement</w:t>
      </w:r>
      <w:r>
        <w:rPr>
          <w:rFonts w:ascii="Arial" w:cs="Arial" w:eastAsia="Arial" w:hAnsi="Arial"/>
          <w:sz w:val="14"/>
          <w:szCs w:val="14"/>
          <w:color w:val="auto"/>
        </w:rPr>
        <w:t>” or “</w:t>
      </w:r>
      <w:r>
        <w:rPr>
          <w:rFonts w:ascii="Arial" w:cs="Arial" w:eastAsia="Arial" w:hAnsi="Arial"/>
          <w:sz w:val="14"/>
          <w:szCs w:val="14"/>
          <w:u w:val="single" w:color="auto"/>
          <w:color w:val="auto"/>
        </w:rPr>
        <w:t>Agreement</w:t>
      </w:r>
      <w:r>
        <w:rPr>
          <w:rFonts w:ascii="Arial" w:cs="Arial" w:eastAsia="Arial" w:hAnsi="Arial"/>
          <w:sz w:val="14"/>
          <w:szCs w:val="14"/>
          <w:color w:val="auto"/>
        </w:rPr>
        <w:t>”) entered into between E</w:t>
      </w:r>
      <w:r>
        <w:rPr>
          <w:rFonts w:ascii="Arial" w:cs="Arial" w:eastAsia="Arial" w:hAnsi="Arial"/>
          <w:sz w:val="9"/>
          <w:szCs w:val="9"/>
          <w:color w:val="auto"/>
        </w:rPr>
        <w:t>AGLE</w:t>
      </w:r>
      <w:r>
        <w:rPr>
          <w:rFonts w:ascii="Arial" w:cs="Arial" w:eastAsia="Arial" w:hAnsi="Arial"/>
          <w:sz w:val="14"/>
          <w:szCs w:val="14"/>
          <w:color w:val="auto"/>
        </w:rPr>
        <w:t xml:space="preserve"> M</w:t>
      </w:r>
      <w:r>
        <w:rPr>
          <w:rFonts w:ascii="Arial" w:cs="Arial" w:eastAsia="Arial" w:hAnsi="Arial"/>
          <w:sz w:val="9"/>
          <w:szCs w:val="9"/>
          <w:color w:val="auto"/>
        </w:rPr>
        <w:t>ATERIALS</w:t>
      </w:r>
      <w:r>
        <w:rPr>
          <w:rFonts w:ascii="Arial" w:cs="Arial" w:eastAsia="Arial" w:hAnsi="Arial"/>
          <w:sz w:val="14"/>
          <w:szCs w:val="14"/>
          <w:color w:val="auto"/>
        </w:rPr>
        <w:t xml:space="preserve"> I</w:t>
      </w:r>
      <w:r>
        <w:rPr>
          <w:rFonts w:ascii="Arial" w:cs="Arial" w:eastAsia="Arial" w:hAnsi="Arial"/>
          <w:sz w:val="9"/>
          <w:szCs w:val="9"/>
          <w:color w:val="auto"/>
        </w:rPr>
        <w:t>NC</w:t>
      </w:r>
      <w:r>
        <w:rPr>
          <w:rFonts w:ascii="Arial" w:cs="Arial" w:eastAsia="Arial" w:hAnsi="Arial"/>
          <w:sz w:val="14"/>
          <w:szCs w:val="14"/>
          <w:color w:val="auto"/>
        </w:rPr>
        <w:t>.,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_________ (the</w:t>
      </w:r>
    </w:p>
    <w:p>
      <w:pPr>
        <w:spacing w:after="0" w:line="13"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Optionee</w:t>
      </w:r>
      <w:r>
        <w:rPr>
          <w:rFonts w:ascii="Arial" w:cs="Arial" w:eastAsia="Arial" w:hAnsi="Arial"/>
          <w:sz w:val="13"/>
          <w:szCs w:val="13"/>
          <w:color w:val="auto"/>
        </w:rPr>
        <w:t>”), an employee of the Company or its Affiliates, with respect to a right (the “</w:t>
      </w:r>
      <w:r>
        <w:rPr>
          <w:rFonts w:ascii="Arial" w:cs="Arial" w:eastAsia="Arial" w:hAnsi="Arial"/>
          <w:sz w:val="13"/>
          <w:szCs w:val="13"/>
          <w:u w:val="single" w:color="auto"/>
          <w:color w:val="auto"/>
        </w:rPr>
        <w:t>Option</w:t>
      </w:r>
      <w:r>
        <w:rPr>
          <w:rFonts w:ascii="Arial" w:cs="Arial" w:eastAsia="Arial" w:hAnsi="Arial"/>
          <w:sz w:val="13"/>
          <w:szCs w:val="13"/>
          <w:color w:val="auto"/>
        </w:rPr>
        <w:t>”) awarded to the Optionee under the Eagle Materials Inc. Amended and Restated Incentive Plan (the “</w:t>
      </w:r>
      <w:r>
        <w:rPr>
          <w:rFonts w:ascii="Arial" w:cs="Arial" w:eastAsia="Arial" w:hAnsi="Arial"/>
          <w:sz w:val="13"/>
          <w:szCs w:val="13"/>
          <w:u w:val="single" w:color="auto"/>
          <w:color w:val="auto"/>
        </w:rPr>
        <w:t>Plan</w:t>
      </w:r>
      <w:r>
        <w:rPr>
          <w:rFonts w:ascii="Arial" w:cs="Arial" w:eastAsia="Arial" w:hAnsi="Arial"/>
          <w:sz w:val="13"/>
          <w:szCs w:val="13"/>
          <w:color w:val="auto"/>
        </w:rPr>
        <w:t>”), on May 19, 2020 (the “</w:t>
      </w:r>
      <w:r>
        <w:rPr>
          <w:rFonts w:ascii="Arial" w:cs="Arial" w:eastAsia="Arial" w:hAnsi="Arial"/>
          <w:sz w:val="13"/>
          <w:szCs w:val="13"/>
          <w:u w:val="single" w:color="auto"/>
          <w:color w:val="auto"/>
        </w:rPr>
        <w:t>Award Date</w:t>
      </w:r>
      <w:r>
        <w:rPr>
          <w:rFonts w:ascii="Arial" w:cs="Arial" w:eastAsia="Arial" w:hAnsi="Arial"/>
          <w:sz w:val="13"/>
          <w:szCs w:val="13"/>
          <w:color w:val="auto"/>
        </w:rPr>
        <w:t>”) to purchase from the Company up to but not exceeding in the aggregate _______ shares of the Company’s common stock, par value $0.01 per share</w:t>
      </w:r>
    </w:p>
    <w:p>
      <w:pPr>
        <w:ind w:right="20"/>
        <w:spacing w:after="0" w:line="255" w:lineRule="auto"/>
        <w:rPr>
          <w:sz w:val="20"/>
          <w:szCs w:val="20"/>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Common Stock</w:t>
      </w:r>
      <w:r>
        <w:rPr>
          <w:rFonts w:ascii="Arial" w:cs="Arial" w:eastAsia="Arial" w:hAnsi="Arial"/>
          <w:sz w:val="14"/>
          <w:szCs w:val="14"/>
          <w:color w:val="auto"/>
        </w:rPr>
        <w:t>”), at a price of $60.21 per share (the “</w:t>
      </w:r>
      <w:r>
        <w:rPr>
          <w:rFonts w:ascii="Arial" w:cs="Arial" w:eastAsia="Arial" w:hAnsi="Arial"/>
          <w:sz w:val="14"/>
          <w:szCs w:val="14"/>
          <w:u w:val="single" w:color="auto"/>
          <w:color w:val="auto"/>
        </w:rPr>
        <w:t>Exercise Price</w:t>
      </w:r>
      <w:r>
        <w:rPr>
          <w:rFonts w:ascii="Arial" w:cs="Arial" w:eastAsia="Arial" w:hAnsi="Arial"/>
          <w:sz w:val="14"/>
          <w:szCs w:val="14"/>
          <w:color w:val="auto"/>
        </w:rPr>
        <w:t>”), such number of shares and such price per share being subject to adjustment as provided in the Plan, and further subject to the following terms and conditions:</w:t>
      </w:r>
    </w:p>
    <w:p>
      <w:pPr>
        <w:spacing w:after="0" w:line="114"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w:t>
      </w:r>
      <w:r>
        <w:rPr>
          <w:sz w:val="20"/>
          <w:szCs w:val="20"/>
          <w:color w:val="auto"/>
        </w:rPr>
        <w:tab/>
      </w:r>
      <w:r>
        <w:rPr>
          <w:rFonts w:ascii="Arial" w:cs="Arial" w:eastAsia="Arial" w:hAnsi="Arial"/>
          <w:sz w:val="14"/>
          <w:szCs w:val="14"/>
          <w:b w:val="1"/>
          <w:bCs w:val="1"/>
          <w:i w:val="1"/>
          <w:iCs w:val="1"/>
          <w:u w:val="single" w:color="auto"/>
          <w:color w:val="auto"/>
        </w:rPr>
        <w:t>Relationship to Plan</w:t>
      </w:r>
    </w:p>
    <w:p>
      <w:pPr>
        <w:spacing w:after="0" w:line="145" w:lineRule="exact"/>
        <w:rPr>
          <w:sz w:val="20"/>
          <w:szCs w:val="20"/>
          <w:color w:val="auto"/>
        </w:rPr>
      </w:pPr>
    </w:p>
    <w:p>
      <w:pPr>
        <w:ind w:right="380" w:firstLine="432"/>
        <w:spacing w:after="0" w:line="257" w:lineRule="auto"/>
        <w:rPr>
          <w:sz w:val="20"/>
          <w:szCs w:val="20"/>
          <w:color w:val="auto"/>
        </w:rPr>
      </w:pPr>
      <w:r>
        <w:rPr>
          <w:rFonts w:ascii="Arial" w:cs="Arial" w:eastAsia="Arial" w:hAnsi="Arial"/>
          <w:sz w:val="14"/>
          <w:szCs w:val="14"/>
          <w:color w:val="auto"/>
        </w:rPr>
        <w:t>This Option is subject to all of the terms, conditions and provisions of the Plan and administrative interpretations thereunder, if any, which have been adopted by the Company’s Compensation Committee (“</w:t>
      </w:r>
      <w:r>
        <w:rPr>
          <w:rFonts w:ascii="Arial" w:cs="Arial" w:eastAsia="Arial" w:hAnsi="Arial"/>
          <w:sz w:val="14"/>
          <w:szCs w:val="14"/>
          <w:u w:val="single" w:color="auto"/>
          <w:color w:val="auto"/>
        </w:rPr>
        <w:t>Committee</w:t>
      </w:r>
      <w:r>
        <w:rPr>
          <w:rFonts w:ascii="Arial" w:cs="Arial" w:eastAsia="Arial" w:hAnsi="Arial"/>
          <w:sz w:val="14"/>
          <w:szCs w:val="14"/>
          <w:color w:val="auto"/>
        </w:rPr>
        <w:t>”) and are in effect on the date hereof. Except as defined herein, capitalized terms shall have the same meanings ascribed to them under the Plan. For purposes of this Option Agreement:</w:t>
      </w:r>
    </w:p>
    <w:p>
      <w:pPr>
        <w:spacing w:after="0" w:line="113" w:lineRule="exact"/>
        <w:rPr>
          <w:sz w:val="20"/>
          <w:szCs w:val="20"/>
          <w:color w:val="auto"/>
        </w:rPr>
      </w:pPr>
    </w:p>
    <w:p>
      <w:pPr>
        <w:ind w:left="2200" w:hanging="593"/>
        <w:spacing w:after="0"/>
        <w:tabs>
          <w:tab w:leader="none" w:pos="2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shall be determined by the Committee.</w:t>
      </w:r>
    </w:p>
    <w:p>
      <w:pPr>
        <w:spacing w:after="0" w:line="145" w:lineRule="exact"/>
        <w:rPr>
          <w:rFonts w:ascii="Arial" w:cs="Arial" w:eastAsia="Arial" w:hAnsi="Arial"/>
          <w:sz w:val="14"/>
          <w:szCs w:val="14"/>
          <w:color w:val="auto"/>
        </w:rPr>
      </w:pPr>
    </w:p>
    <w:p>
      <w:pPr>
        <w:ind w:left="2200" w:hanging="593"/>
        <w:spacing w:after="0"/>
        <w:tabs>
          <w:tab w:leader="none" w:pos="2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Retirement</w:t>
      </w:r>
      <w:r>
        <w:rPr>
          <w:rFonts w:ascii="Arial" w:cs="Arial" w:eastAsia="Arial" w:hAnsi="Arial"/>
          <w:sz w:val="14"/>
          <w:szCs w:val="14"/>
          <w:color w:val="auto"/>
        </w:rPr>
        <w:t>” shall mean a retirement approved by the Board.</w:t>
      </w:r>
    </w:p>
    <w:p>
      <w:pPr>
        <w:spacing w:after="0" w:line="145"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2.</w:t>
      </w:r>
      <w:r>
        <w:rPr>
          <w:sz w:val="20"/>
          <w:szCs w:val="20"/>
          <w:color w:val="auto"/>
        </w:rPr>
        <w:tab/>
      </w:r>
      <w:r>
        <w:rPr>
          <w:rFonts w:ascii="Arial" w:cs="Arial" w:eastAsia="Arial" w:hAnsi="Arial"/>
          <w:sz w:val="14"/>
          <w:szCs w:val="14"/>
          <w:b w:val="1"/>
          <w:bCs w:val="1"/>
          <w:i w:val="1"/>
          <w:iCs w:val="1"/>
          <w:u w:val="single" w:color="auto"/>
          <w:color w:val="auto"/>
        </w:rPr>
        <w:t>Vesting and Exercise Schedules</w:t>
      </w:r>
      <w:r>
        <w:rPr>
          <w:rFonts w:ascii="Arial" w:cs="Arial" w:eastAsia="Arial" w:hAnsi="Arial"/>
          <w:sz w:val="14"/>
          <w:szCs w:val="14"/>
          <w:i w:val="1"/>
          <w:iCs w:val="1"/>
          <w:color w:val="auto"/>
        </w:rPr>
        <w:t>.</w:t>
      </w:r>
    </w:p>
    <w:p>
      <w:pPr>
        <w:spacing w:after="0" w:line="145" w:lineRule="exact"/>
        <w:rPr>
          <w:sz w:val="20"/>
          <w:szCs w:val="20"/>
          <w:color w:val="auto"/>
        </w:rPr>
      </w:pPr>
    </w:p>
    <w:p>
      <w:pPr>
        <w:ind w:right="80" w:firstLine="1607"/>
        <w:spacing w:after="0" w:line="273" w:lineRule="auto"/>
        <w:tabs>
          <w:tab w:leader="none" w:pos="2207"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Exercisability</w:t>
      </w:r>
      <w:r>
        <w:rPr>
          <w:rFonts w:ascii="Arial" w:cs="Arial" w:eastAsia="Arial" w:hAnsi="Arial"/>
          <w:sz w:val="14"/>
          <w:szCs w:val="14"/>
          <w:i w:val="1"/>
          <w:iCs w:val="1"/>
          <w:color w:val="auto"/>
        </w:rPr>
        <w:t>.</w:t>
      </w:r>
      <w:r>
        <w:rPr>
          <w:rFonts w:ascii="Arial" w:cs="Arial" w:eastAsia="Arial" w:hAnsi="Arial"/>
          <w:sz w:val="14"/>
          <w:szCs w:val="14"/>
          <w:color w:val="auto"/>
        </w:rPr>
        <w:t xml:space="preserve"> The shares of Common Stock covered by this Option (“</w:t>
      </w:r>
      <w:r>
        <w:rPr>
          <w:rFonts w:ascii="Arial" w:cs="Arial" w:eastAsia="Arial" w:hAnsi="Arial"/>
          <w:sz w:val="14"/>
          <w:szCs w:val="14"/>
          <w:u w:val="single" w:color="auto"/>
          <w:color w:val="auto"/>
        </w:rPr>
        <w:t>Option Shares</w:t>
      </w:r>
      <w:r>
        <w:rPr>
          <w:rFonts w:ascii="Arial" w:cs="Arial" w:eastAsia="Arial" w:hAnsi="Arial"/>
          <w:sz w:val="14"/>
          <w:szCs w:val="14"/>
          <w:color w:val="auto"/>
        </w:rPr>
        <w:t>”) shall vest and become exercisable on the date designated (a "</w:t>
      </w:r>
      <w:r>
        <w:rPr>
          <w:rFonts w:ascii="Arial" w:cs="Arial" w:eastAsia="Arial" w:hAnsi="Arial"/>
          <w:sz w:val="14"/>
          <w:szCs w:val="14"/>
          <w:u w:val="single" w:color="auto"/>
          <w:color w:val="auto"/>
        </w:rPr>
        <w:t>Vesting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Date</w:t>
      </w:r>
      <w:r>
        <w:rPr>
          <w:rFonts w:ascii="Arial" w:cs="Arial" w:eastAsia="Arial" w:hAnsi="Arial"/>
          <w:sz w:val="14"/>
          <w:szCs w:val="14"/>
          <w:color w:val="auto"/>
        </w:rPr>
        <w:t>") in accordance with the following vesting schedule (the "</w:t>
      </w:r>
      <w:r>
        <w:rPr>
          <w:rFonts w:ascii="Arial" w:cs="Arial" w:eastAsia="Arial" w:hAnsi="Arial"/>
          <w:sz w:val="14"/>
          <w:szCs w:val="14"/>
          <w:u w:val="single" w:color="auto"/>
          <w:color w:val="auto"/>
        </w:rPr>
        <w:t>Vesting Schedule</w:t>
      </w:r>
      <w:r>
        <w:rPr>
          <w:rFonts w:ascii="Arial" w:cs="Arial" w:eastAsia="Arial" w:hAnsi="Arial"/>
          <w:sz w:val="14"/>
          <w:szCs w:val="14"/>
          <w:color w:val="auto"/>
        </w:rPr>
        <w:t>"):</w:t>
      </w:r>
    </w:p>
    <w:p>
      <w:pPr>
        <w:spacing w:after="0" w:line="171" w:lineRule="exact"/>
        <w:rPr>
          <w:sz w:val="20"/>
          <w:szCs w:val="20"/>
          <w:color w:val="auto"/>
        </w:rPr>
      </w:pPr>
    </w:p>
    <w:tbl>
      <w:tblPr>
        <w:tblLayout w:type="fixed"/>
        <w:tblInd w:w="45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134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Option Shares</w:t>
            </w:r>
          </w:p>
        </w:tc>
        <w:tc>
          <w:tcPr>
            <w:tcW w:w="0" w:type="dxa"/>
            <w:vAlign w:val="bottom"/>
          </w:tcPr>
          <w:p>
            <w:pPr>
              <w:spacing w:after="0"/>
              <w:rPr>
                <w:sz w:val="1"/>
                <w:szCs w:val="1"/>
                <w:color w:val="auto"/>
              </w:rPr>
            </w:pPr>
          </w:p>
        </w:tc>
      </w:tr>
      <w:tr>
        <w:trPr>
          <w:trHeight w:val="48"/>
        </w:trPr>
        <w:tc>
          <w:tcPr>
            <w:tcW w:w="780" w:type="dxa"/>
            <w:vAlign w:val="bottom"/>
            <w:tcBorders>
              <w:bottom w:val="single" w:sz="8" w:color="auto"/>
            </w:tcBorders>
            <w:vMerge w:val="continue"/>
          </w:tcPr>
          <w:p>
            <w:pPr>
              <w:spacing w:after="0"/>
              <w:rPr>
                <w:sz w:val="3"/>
                <w:szCs w:val="3"/>
                <w:color w:val="auto"/>
              </w:rPr>
            </w:pPr>
          </w:p>
        </w:tc>
        <w:tc>
          <w:tcPr>
            <w:tcW w:w="1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2021</w:t>
      </w:r>
    </w:p>
    <w:p>
      <w:pPr>
        <w:spacing w:after="0" w:line="5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2022</w:t>
      </w:r>
    </w:p>
    <w:p>
      <w:pPr>
        <w:spacing w:after="0" w:line="5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2023</w:t>
      </w:r>
    </w:p>
    <w:p>
      <w:pPr>
        <w:spacing w:after="0" w:line="5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2024</w:t>
      </w:r>
    </w:p>
    <w:p>
      <w:pPr>
        <w:spacing w:after="0" w:line="51"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Total</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The Optionee must be in continuous service as an employee of the Company or any of its Affiliates or as a Director from the Award Date through the applicable Vesting Date on which the portion of the Option Shares would otherwise become exercisable in order for the Option to become exercisable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18947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6" w:right="299" w:bottom="1440" w:gutter="0" w:footer="0" w:header="0"/>
        </w:sectPr>
      </w:pPr>
    </w:p>
    <w:bookmarkStart w:id="57" w:name="page58"/>
    <w:bookmarkEnd w:id="57"/>
    <w:p>
      <w:pPr>
        <w:jc w:val="both"/>
        <w:ind w:right="320"/>
        <w:spacing w:after="0" w:line="252" w:lineRule="auto"/>
        <w:rPr>
          <w:sz w:val="20"/>
          <w:szCs w:val="20"/>
          <w:color w:val="auto"/>
        </w:rPr>
      </w:pPr>
      <w:r>
        <w:rPr>
          <w:rFonts w:ascii="Arial" w:cs="Arial" w:eastAsia="Arial" w:hAnsi="Arial"/>
          <w:sz w:val="14"/>
          <w:szCs w:val="14"/>
          <w:color w:val="auto"/>
        </w:rPr>
        <w:t>to that portion of the Option Shares, otherwise such Option Shares shall be forfeited. Notwithstanding the foregoing, in the event the Optionee’s employment and, if applicable, service as a Director terminates by reason of death, Disability or Retirement, and in any such case such termination follows the Award Date and is prior to any Vesting Date, any then exercisable Option Shares shall continue to be exercisable for a period of two years following such termination, and any unexercisable Option Shares shall continue to become exercisable as if the Optionee had remained employed or continued to serve as a Director for a period of two years following such termination.</w:t>
      </w:r>
    </w:p>
    <w:p>
      <w:pPr>
        <w:spacing w:after="0" w:line="116" w:lineRule="exact"/>
        <w:rPr>
          <w:sz w:val="20"/>
          <w:szCs w:val="20"/>
          <w:color w:val="auto"/>
        </w:rPr>
      </w:pPr>
    </w:p>
    <w:p>
      <w:pPr>
        <w:ind w:firstLine="1615"/>
        <w:spacing w:after="0" w:line="273" w:lineRule="auto"/>
        <w:rPr>
          <w:sz w:val="20"/>
          <w:szCs w:val="20"/>
          <w:color w:val="auto"/>
        </w:rPr>
      </w:pPr>
      <w:r>
        <w:rPr>
          <w:rFonts w:ascii="Arial" w:cs="Arial" w:eastAsia="Arial" w:hAnsi="Arial"/>
          <w:sz w:val="14"/>
          <w:szCs w:val="14"/>
          <w:color w:val="auto"/>
        </w:rPr>
        <w:t>To the extent the Option becomes exercisable, such Option may be exercised in whole or in part (at any time or from time to time, except as otherwise provided herein) until expiration of the Option pursuant to the terms of this Agreement or the Plan.</w:t>
      </w:r>
    </w:p>
    <w:p>
      <w:pPr>
        <w:spacing w:after="0" w:line="102" w:lineRule="exact"/>
        <w:rPr>
          <w:sz w:val="20"/>
          <w:szCs w:val="20"/>
          <w:color w:val="auto"/>
        </w:rPr>
      </w:pPr>
    </w:p>
    <w:p>
      <w:pPr>
        <w:ind w:right="80" w:firstLine="1607"/>
        <w:spacing w:after="0" w:line="246" w:lineRule="auto"/>
        <w:tabs>
          <w:tab w:leader="none" w:pos="2215"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i w:val="1"/>
          <w:iCs w:val="1"/>
          <w:color w:val="auto"/>
        </w:rPr>
        <w:t>.</w:t>
      </w:r>
      <w:r>
        <w:rPr>
          <w:rFonts w:ascii="Arial" w:cs="Arial" w:eastAsia="Arial" w:hAnsi="Arial"/>
          <w:sz w:val="14"/>
          <w:szCs w:val="14"/>
          <w:color w:val="auto"/>
        </w:rPr>
        <w:t xml:space="preserve"> This Option shall become fully vested and exercisable, without regard to the limitations set forth in subparagraph (a) above, provided that the Optionee has been in continuous employment with the Company or any of its Affiliates or served as a Director from the Award Date through the occurrence of a Change in Control (as defined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this Agreement), unless either (i) the Committee determines that the terms of the transaction giving rise to the Change in Control provide that the Option is to be replaced within a reasonable time after the Change in Control with an option of equivalent value to purchase shares of the surviving parent corporation or (ii) the Option is to be settled in cash in accordance with the last sentence of this subparagraph (b). Upon a Change in Control, pursuant to Section 15 of the Plan, the Company may, in its discretion, settle the Option by a cash payment equal to the difference between the Fair Market Value per share of Common Stock on the settlement date and the Exercise Price for the Option, multiplied by the number of shares then subject to the Option.</w:t>
      </w:r>
    </w:p>
    <w:p>
      <w:pPr>
        <w:spacing w:after="0" w:line="122" w:lineRule="exact"/>
        <w:rPr>
          <w:rFonts w:ascii="Arial" w:cs="Arial" w:eastAsia="Arial" w:hAnsi="Arial"/>
          <w:sz w:val="14"/>
          <w:szCs w:val="14"/>
          <w:color w:val="auto"/>
        </w:rPr>
      </w:pPr>
    </w:p>
    <w:p>
      <w:pPr>
        <w:jc w:val="both"/>
        <w:ind w:right="60" w:firstLine="1607"/>
        <w:spacing w:after="0" w:line="270" w:lineRule="auto"/>
        <w:tabs>
          <w:tab w:leader="none" w:pos="2207"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Capital Adjustments and Corporate Events</w:t>
      </w:r>
      <w:r>
        <w:rPr>
          <w:rFonts w:ascii="Arial" w:cs="Arial" w:eastAsia="Arial" w:hAnsi="Arial"/>
          <w:sz w:val="13"/>
          <w:szCs w:val="13"/>
          <w:color w:val="auto"/>
        </w:rPr>
        <w:t>. If, from time to time during the term of the Option prior to its exercise, there is any capital adjustment affecting the outstanding Common Stock as a class without the Company’s receipt of consideration, including as a result of a spin-off or business disposition, the Option Shares and other applicable terms of this Option shall be adjusted in accordance with the provisions of Section 15 of the Plan, which adjustment shall include (as may be applicable) without limitation, equitable adjustments to the number of Option Shares, exercise price and type of property or securities to which the Option relates, in each case as determined by the Committee in its discretion and in accordance with Code Section 409A. Any and all new, substituted or additional securities to which the Optionee may be entitled by reason of this Option because of a capital adjustment shall be immediately subject to the Vesting Schedule and other terms set forth herein (as may be modified pursuant to this Agreement) and included thereafter as Option Shares for purposes of this Agreement.</w:t>
      </w:r>
    </w:p>
    <w:p>
      <w:pPr>
        <w:spacing w:after="0" w:line="107"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3.</w:t>
      </w:r>
      <w:r>
        <w:rPr>
          <w:sz w:val="20"/>
          <w:szCs w:val="20"/>
          <w:color w:val="auto"/>
        </w:rPr>
        <w:tab/>
      </w:r>
      <w:r>
        <w:rPr>
          <w:rFonts w:ascii="Arial" w:cs="Arial" w:eastAsia="Arial" w:hAnsi="Arial"/>
          <w:sz w:val="14"/>
          <w:szCs w:val="14"/>
          <w:b w:val="1"/>
          <w:bCs w:val="1"/>
          <w:i w:val="1"/>
          <w:iCs w:val="1"/>
          <w:u w:val="single" w:color="auto"/>
          <w:color w:val="auto"/>
        </w:rPr>
        <w:t>Termination of Option</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Option hereby granted shall terminate and be of no force and effect with respect to any Option Shares not previously purchased by the Optionee at the earliest time specified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133" w:lineRule="exact"/>
        <w:rPr>
          <w:sz w:val="20"/>
          <w:szCs w:val="20"/>
          <w:color w:val="auto"/>
        </w:rPr>
      </w:pPr>
    </w:p>
    <w:p>
      <w:pPr>
        <w:ind w:left="2640" w:hanging="1033"/>
        <w:spacing w:after="0"/>
        <w:tabs>
          <w:tab w:leader="none" w:pos="2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tenth anniversary of the Award Date;</w:t>
      </w:r>
    </w:p>
    <w:p>
      <w:pPr>
        <w:spacing w:after="0" w:line="145" w:lineRule="exact"/>
        <w:rPr>
          <w:rFonts w:ascii="Arial" w:cs="Arial" w:eastAsia="Arial" w:hAnsi="Arial"/>
          <w:sz w:val="14"/>
          <w:szCs w:val="14"/>
          <w:color w:val="auto"/>
        </w:rPr>
      </w:pPr>
    </w:p>
    <w:p>
      <w:pPr>
        <w:ind w:right="80" w:firstLine="1607"/>
        <w:spacing w:after="0" w:line="312" w:lineRule="auto"/>
        <w:tabs>
          <w:tab w:leader="none" w:pos="2647" w:val="left"/>
        </w:tabs>
        <w:numPr>
          <w:ilvl w:val="0"/>
          <w:numId w:val="30"/>
        </w:numPr>
        <w:rPr>
          <w:rFonts w:ascii="Arial" w:cs="Arial" w:eastAsia="Arial" w:hAnsi="Arial"/>
          <w:sz w:val="13"/>
          <w:szCs w:val="13"/>
          <w:color w:val="auto"/>
        </w:rPr>
      </w:pPr>
      <w:r>
        <w:rPr>
          <w:rFonts w:ascii="Arial" w:cs="Arial" w:eastAsia="Arial" w:hAnsi="Arial"/>
          <w:sz w:val="13"/>
          <w:szCs w:val="13"/>
          <w:color w:val="auto"/>
        </w:rPr>
        <w:t>if Optionee’s employment with the Company and its Affiliates or service as a Director is terminated by the Company or a Subsidiary for “cause” (as determined by the Committee) at any time after the Award Date, then the Option shall terminate immediately upon such termination of Optionee’s employment or service;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sectPr>
      </w:pPr>
    </w:p>
    <w:bookmarkStart w:id="58" w:name="page59"/>
    <w:bookmarkEnd w:id="58"/>
    <w:p>
      <w:pPr>
        <w:jc w:val="both"/>
        <w:ind w:right="120" w:firstLine="1607"/>
        <w:spacing w:after="0" w:line="312" w:lineRule="auto"/>
        <w:tabs>
          <w:tab w:leader="none" w:pos="2639" w:val="left"/>
        </w:tabs>
        <w:numPr>
          <w:ilvl w:val="0"/>
          <w:numId w:val="31"/>
        </w:numPr>
        <w:rPr>
          <w:rFonts w:ascii="Arial" w:cs="Arial" w:eastAsia="Arial" w:hAnsi="Arial"/>
          <w:sz w:val="13"/>
          <w:szCs w:val="13"/>
          <w:color w:val="auto"/>
        </w:rPr>
      </w:pPr>
      <w:r>
        <w:rPr>
          <w:rFonts w:ascii="Arial" w:cs="Arial" w:eastAsia="Arial" w:hAnsi="Arial"/>
          <w:sz w:val="13"/>
          <w:szCs w:val="13"/>
          <w:color w:val="auto"/>
        </w:rPr>
        <w:t>if Optionee’s employment with the Company and its Affiliates and, if applicable, service as a Director is terminated for any reason other than death, Disability, Retirement or termination for “cause,” then the Option shall terminate on the first business day following the expiration of the 90-day period beginning on such date of termination; or</w:t>
      </w:r>
    </w:p>
    <w:p>
      <w:pPr>
        <w:spacing w:after="0" w:line="79" w:lineRule="exact"/>
        <w:rPr>
          <w:rFonts w:ascii="Arial" w:cs="Arial" w:eastAsia="Arial" w:hAnsi="Arial"/>
          <w:sz w:val="13"/>
          <w:szCs w:val="13"/>
          <w:color w:val="auto"/>
        </w:rPr>
      </w:pPr>
    </w:p>
    <w:p>
      <w:pPr>
        <w:ind w:right="220" w:firstLine="1607"/>
        <w:spacing w:after="0" w:line="249" w:lineRule="auto"/>
        <w:tabs>
          <w:tab w:leader="none" w:pos="26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Optionee’s employment with the Company and its Affiliates and, if applicable, service as a Director is terminated due to the death, Disability or Retirement of the Optionee, and in any such case such termination is at any time after the Award Date, then the Option shall terminate on the later of (i) the first business day following the expiration of the two-year period following such termination and (ii) with respect to any Option Shares which become exercisable after such termination, the first business day following the expiration of the 90-day period beginning on the date the Options Shares first become exercisable; provided, the Committee in its discretion may extend such expiration date up to the full remaining term of the Option under such circumstances as it deems appropriate.</w:t>
      </w:r>
    </w:p>
    <w:p>
      <w:pPr>
        <w:spacing w:after="0" w:line="119"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4.</w:t>
      </w:r>
      <w:r>
        <w:rPr>
          <w:sz w:val="20"/>
          <w:szCs w:val="20"/>
          <w:color w:val="auto"/>
        </w:rPr>
        <w:tab/>
      </w:r>
      <w:r>
        <w:rPr>
          <w:rFonts w:ascii="Arial" w:cs="Arial" w:eastAsia="Arial" w:hAnsi="Arial"/>
          <w:sz w:val="14"/>
          <w:szCs w:val="14"/>
          <w:b w:val="1"/>
          <w:bCs w:val="1"/>
          <w:i w:val="1"/>
          <w:iCs w:val="1"/>
          <w:u w:val="single" w:color="auto"/>
          <w:color w:val="auto"/>
        </w:rPr>
        <w:t>Exercise of Option</w:t>
      </w:r>
      <w:r>
        <w:rPr>
          <w:rFonts w:ascii="Arial" w:cs="Arial" w:eastAsia="Arial" w:hAnsi="Arial"/>
          <w:sz w:val="14"/>
          <w:szCs w:val="14"/>
          <w:i w:val="1"/>
          <w:iCs w:val="1"/>
          <w:color w:val="auto"/>
        </w:rPr>
        <w:t>.</w:t>
      </w:r>
    </w:p>
    <w:p>
      <w:pPr>
        <w:spacing w:after="0" w:line="145" w:lineRule="exact"/>
        <w:rPr>
          <w:sz w:val="20"/>
          <w:szCs w:val="20"/>
          <w:color w:val="auto"/>
        </w:rPr>
      </w:pPr>
    </w:p>
    <w:p>
      <w:pPr>
        <w:ind w:firstLine="807"/>
        <w:spacing w:after="0" w:line="264" w:lineRule="auto"/>
        <w:rPr>
          <w:sz w:val="20"/>
          <w:szCs w:val="20"/>
          <w:color w:val="auto"/>
        </w:rPr>
      </w:pPr>
      <w:r>
        <w:rPr>
          <w:rFonts w:ascii="Arial" w:cs="Arial" w:eastAsia="Arial" w:hAnsi="Arial"/>
          <w:sz w:val="13"/>
          <w:szCs w:val="13"/>
          <w:color w:val="auto"/>
        </w:rPr>
        <w:t>Subject to the limitations set forth herein and in the Plan, this Option may be exercised by notice provided to the Company as set forth in Section 5. The payment of the Exercise Price for the Common Stock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 to time to the extent permitted by applicable law, or (f) by any combination thereof. Such notice shall be accompanied by cash or Common Stock in the full amount of all federal and state withholding or other employment taxes applicable to the taxable income of such Optionee resulting from such exercise (or instructions to satisfy such withholding obligation by withholding Option Shares in accordance with Section 8). Notwithstanding the foregoing, if the Exercise Price of the outstanding portion of the Option is less than the Fair Market Value of a share of Common Stock on the day the Option would otherwise expire as provided in Section 3(a), then the Option shall be automatically exercised in full pursuant to clause (d) above immediately prior to its expiration.</w:t>
      </w:r>
    </w:p>
    <w:p>
      <w:pPr>
        <w:spacing w:after="0" w:line="115" w:lineRule="exact"/>
        <w:rPr>
          <w:sz w:val="20"/>
          <w:szCs w:val="20"/>
          <w:color w:val="auto"/>
        </w:rPr>
      </w:pPr>
    </w:p>
    <w:p>
      <w:pPr>
        <w:ind w:right="20" w:firstLine="807"/>
        <w:spacing w:after="0" w:line="273" w:lineRule="auto"/>
        <w:rPr>
          <w:sz w:val="20"/>
          <w:szCs w:val="20"/>
          <w:color w:val="auto"/>
        </w:rPr>
      </w:pPr>
      <w:r>
        <w:rPr>
          <w:rFonts w:ascii="Arial" w:cs="Arial" w:eastAsia="Arial" w:hAnsi="Arial"/>
          <w:sz w:val="13"/>
          <w:szCs w:val="13"/>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59" w:name="page60"/>
    <w:bookmarkEnd w:id="59"/>
    <w:p>
      <w:pPr>
        <w:ind w:firstLine="807"/>
        <w:spacing w:after="0" w:line="247" w:lineRule="auto"/>
        <w:rPr>
          <w:sz w:val="20"/>
          <w:szCs w:val="20"/>
          <w:color w:val="auto"/>
        </w:rPr>
      </w:pPr>
      <w:r>
        <w:rPr>
          <w:rFonts w:ascii="Arial" w:cs="Arial" w:eastAsia="Arial" w:hAnsi="Arial"/>
          <w:sz w:val="14"/>
          <w:szCs w:val="14"/>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22" w:lineRule="exact"/>
        <w:rPr>
          <w:sz w:val="20"/>
          <w:szCs w:val="20"/>
          <w:color w:val="auto"/>
        </w:rPr>
      </w:pPr>
    </w:p>
    <w:p>
      <w:pPr>
        <w:ind w:right="460" w:firstLine="807"/>
        <w:spacing w:after="0" w:line="273" w:lineRule="auto"/>
        <w:rPr>
          <w:sz w:val="20"/>
          <w:szCs w:val="20"/>
          <w:color w:val="auto"/>
        </w:rPr>
      </w:pPr>
      <w:r>
        <w:rPr>
          <w:rFonts w:ascii="Arial" w:cs="Arial" w:eastAsia="Arial" w:hAnsi="Arial"/>
          <w:sz w:val="14"/>
          <w:szCs w:val="14"/>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02"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5.</w:t>
      </w:r>
      <w:r>
        <w:rPr>
          <w:sz w:val="20"/>
          <w:szCs w:val="20"/>
          <w:color w:val="auto"/>
        </w:rPr>
        <w:tab/>
      </w:r>
      <w:r>
        <w:rPr>
          <w:rFonts w:ascii="Arial" w:cs="Arial" w:eastAsia="Arial" w:hAnsi="Arial"/>
          <w:sz w:val="14"/>
          <w:szCs w:val="14"/>
          <w:b w:val="1"/>
          <w:bCs w:val="1"/>
          <w:i w:val="1"/>
          <w:iCs w:val="1"/>
          <w:u w:val="single" w:color="auto"/>
          <w:color w:val="auto"/>
        </w:rPr>
        <w:t>Notices</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Notice of exercise of the Option must be made in the following manner, using such forms as the Company may from time to time provide:</w:t>
      </w:r>
    </w:p>
    <w:p>
      <w:pPr>
        <w:spacing w:after="0" w:line="145" w:lineRule="exact"/>
        <w:rPr>
          <w:sz w:val="20"/>
          <w:szCs w:val="20"/>
          <w:color w:val="auto"/>
        </w:rPr>
      </w:pPr>
    </w:p>
    <w:p>
      <w:pPr>
        <w:ind w:left="2640" w:hanging="1033"/>
        <w:spacing w:after="0"/>
        <w:tabs>
          <w:tab w:leader="none" w:pos="2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by electronic means as designated by the Committee, in which case the date of exercise shall be the date when receipt is acknowledged by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133" w:lineRule="exact"/>
        <w:rPr>
          <w:sz w:val="20"/>
          <w:szCs w:val="20"/>
          <w:color w:val="auto"/>
        </w:rPr>
      </w:pPr>
    </w:p>
    <w:p>
      <w:pPr>
        <w:ind w:right="260" w:firstLine="1607"/>
        <w:spacing w:after="0" w:line="273" w:lineRule="auto"/>
        <w:tabs>
          <w:tab w:leader="none" w:pos="26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01" w:lineRule="exact"/>
        <w:rPr>
          <w:rFonts w:ascii="Arial" w:cs="Arial" w:eastAsia="Arial" w:hAnsi="Arial"/>
          <w:sz w:val="14"/>
          <w:szCs w:val="14"/>
          <w:color w:val="auto"/>
        </w:rPr>
      </w:pPr>
    </w:p>
    <w:p>
      <w:pPr>
        <w:ind w:right="260" w:firstLine="1607"/>
        <w:spacing w:after="0" w:line="273" w:lineRule="auto"/>
        <w:tabs>
          <w:tab w:leader="none" w:pos="2639" w:val="left"/>
        </w:tabs>
        <w:numPr>
          <w:ilvl w:val="0"/>
          <w:numId w:val="33"/>
        </w:numPr>
        <w:rPr>
          <w:rFonts w:ascii="Arial" w:cs="Arial" w:eastAsia="Arial" w:hAnsi="Arial"/>
          <w:sz w:val="14"/>
          <w:szCs w:val="14"/>
          <w:color w:val="auto"/>
        </w:rPr>
      </w:pPr>
      <w:r>
        <w:rPr>
          <w:rFonts w:ascii="Arial" w:cs="Arial" w:eastAsia="Arial" w:hAnsi="Arial"/>
          <w:sz w:val="14"/>
          <w:szCs w:val="14"/>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02" w:lineRule="exact"/>
        <w:rPr>
          <w:sz w:val="20"/>
          <w:szCs w:val="20"/>
          <w:color w:val="auto"/>
        </w:rPr>
      </w:pPr>
    </w:p>
    <w:p>
      <w:pPr>
        <w:ind w:right="400" w:firstLine="807"/>
        <w:spacing w:after="0" w:line="273" w:lineRule="auto"/>
        <w:rPr>
          <w:sz w:val="20"/>
          <w:szCs w:val="20"/>
          <w:color w:val="auto"/>
        </w:rPr>
      </w:pPr>
      <w:r>
        <w:rPr>
          <w:rFonts w:ascii="Arial" w:cs="Arial" w:eastAsia="Arial" w:hAnsi="Arial"/>
          <w:sz w:val="14"/>
          <w:szCs w:val="14"/>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02" w:lineRule="exact"/>
        <w:rPr>
          <w:sz w:val="20"/>
          <w:szCs w:val="20"/>
          <w:color w:val="auto"/>
        </w:rPr>
      </w:pPr>
    </w:p>
    <w:p>
      <w:pPr>
        <w:jc w:val="both"/>
        <w:ind w:right="40" w:firstLine="807"/>
        <w:spacing w:after="0" w:line="286" w:lineRule="auto"/>
        <w:rPr>
          <w:sz w:val="20"/>
          <w:szCs w:val="20"/>
          <w:color w:val="auto"/>
        </w:rPr>
      </w:pPr>
      <w:r>
        <w:rPr>
          <w:rFonts w:ascii="Arial" w:cs="Arial" w:eastAsia="Arial" w:hAnsi="Arial"/>
          <w:sz w:val="13"/>
          <w:szCs w:val="13"/>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96"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6.</w:t>
      </w:r>
      <w:r>
        <w:rPr>
          <w:sz w:val="20"/>
          <w:szCs w:val="20"/>
          <w:color w:val="auto"/>
        </w:rPr>
        <w:tab/>
      </w:r>
      <w:r>
        <w:rPr>
          <w:rFonts w:ascii="Arial" w:cs="Arial" w:eastAsia="Arial" w:hAnsi="Arial"/>
          <w:sz w:val="14"/>
          <w:szCs w:val="14"/>
          <w:b w:val="1"/>
          <w:bCs w:val="1"/>
          <w:i w:val="1"/>
          <w:iCs w:val="1"/>
          <w:u w:val="single" w:color="auto"/>
          <w:color w:val="auto"/>
        </w:rPr>
        <w:t>Assignment of Option</w:t>
      </w:r>
      <w:r>
        <w:rPr>
          <w:rFonts w:ascii="Arial" w:cs="Arial" w:eastAsia="Arial" w:hAnsi="Arial"/>
          <w:sz w:val="14"/>
          <w:szCs w:val="14"/>
          <w:i w:val="1"/>
          <w:iCs w:val="1"/>
          <w:color w:val="auto"/>
        </w:rPr>
        <w:t>.</w:t>
      </w:r>
    </w:p>
    <w:p>
      <w:pPr>
        <w:spacing w:after="0" w:line="145" w:lineRule="exact"/>
        <w:rPr>
          <w:sz w:val="20"/>
          <w:szCs w:val="20"/>
          <w:color w:val="auto"/>
        </w:rPr>
      </w:pPr>
    </w:p>
    <w:p>
      <w:pPr>
        <w:jc w:val="both"/>
        <w:ind w:right="100" w:firstLine="807"/>
        <w:spacing w:after="0" w:line="257" w:lineRule="auto"/>
        <w:rPr>
          <w:sz w:val="20"/>
          <w:szCs w:val="20"/>
          <w:color w:val="auto"/>
        </w:rPr>
      </w:pPr>
      <w:r>
        <w:rPr>
          <w:rFonts w:ascii="Arial" w:cs="Arial" w:eastAsia="Arial" w:hAnsi="Arial"/>
          <w:sz w:val="14"/>
          <w:szCs w:val="14"/>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expressly provided in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0" w:name="page61"/>
    <w:bookmarkEnd w:id="60"/>
    <w:p>
      <w:pPr>
        <w:ind w:right="80" w:firstLine="807"/>
        <w:spacing w:after="0" w:line="257" w:lineRule="auto"/>
        <w:rPr>
          <w:sz w:val="20"/>
          <w:szCs w:val="20"/>
          <w:color w:val="auto"/>
        </w:rPr>
      </w:pPr>
      <w:r>
        <w:rPr>
          <w:rFonts w:ascii="Arial" w:cs="Arial" w:eastAsia="Arial" w:hAnsi="Arial"/>
          <w:sz w:val="14"/>
          <w:szCs w:val="14"/>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 assignment) to the extent that the Option is exercisable on or after the date of the Optionee’s death, as set forth in Sections 2(a) and 3(d) hereof.</w:t>
      </w:r>
    </w:p>
    <w:p>
      <w:pPr>
        <w:spacing w:after="0" w:line="113"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7.</w:t>
      </w:r>
      <w:r>
        <w:rPr>
          <w:sz w:val="20"/>
          <w:szCs w:val="20"/>
          <w:color w:val="auto"/>
        </w:rPr>
        <w:tab/>
      </w:r>
      <w:r>
        <w:rPr>
          <w:rFonts w:ascii="Arial" w:cs="Arial" w:eastAsia="Arial" w:hAnsi="Arial"/>
          <w:sz w:val="14"/>
          <w:szCs w:val="14"/>
          <w:b w:val="1"/>
          <w:bCs w:val="1"/>
          <w:i w:val="1"/>
          <w:iCs w:val="1"/>
          <w:u w:val="single" w:color="auto"/>
          <w:color w:val="auto"/>
        </w:rPr>
        <w:t>Stock Certificates</w:t>
      </w:r>
      <w:r>
        <w:rPr>
          <w:rFonts w:ascii="Arial" w:cs="Arial" w:eastAsia="Arial" w:hAnsi="Arial"/>
          <w:sz w:val="14"/>
          <w:szCs w:val="14"/>
          <w:i w:val="1"/>
          <w:iCs w:val="1"/>
          <w:color w:val="auto"/>
        </w:rPr>
        <w:t>.</w:t>
      </w:r>
    </w:p>
    <w:p>
      <w:pPr>
        <w:spacing w:after="0" w:line="145" w:lineRule="exact"/>
        <w:rPr>
          <w:sz w:val="20"/>
          <w:szCs w:val="20"/>
          <w:color w:val="auto"/>
        </w:rPr>
      </w:pPr>
    </w:p>
    <w:p>
      <w:pPr>
        <w:ind w:right="80" w:firstLine="807"/>
        <w:spacing w:after="0" w:line="273" w:lineRule="auto"/>
        <w:rPr>
          <w:sz w:val="20"/>
          <w:szCs w:val="20"/>
          <w:color w:val="auto"/>
        </w:rPr>
      </w:pPr>
      <w:r>
        <w:rPr>
          <w:rFonts w:ascii="Arial" w:cs="Arial" w:eastAsia="Arial" w:hAnsi="Arial"/>
          <w:sz w:val="14"/>
          <w:szCs w:val="14"/>
          <w:color w:val="auto"/>
        </w:rPr>
        <w:t>Certificates or other evidences of or representing the Common Stock issued pursuant to the exercise of the Option will bear all legends required by law and necessary or advisable to effectuate the provisions of the Plan and this Option.</w:t>
      </w:r>
    </w:p>
    <w:p>
      <w:pPr>
        <w:spacing w:after="0" w:line="102"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8.</w:t>
      </w:r>
      <w:r>
        <w:rPr>
          <w:sz w:val="20"/>
          <w:szCs w:val="20"/>
          <w:color w:val="auto"/>
        </w:rPr>
        <w:tab/>
      </w:r>
      <w:r>
        <w:rPr>
          <w:rFonts w:ascii="Arial" w:cs="Arial" w:eastAsia="Arial" w:hAnsi="Arial"/>
          <w:sz w:val="14"/>
          <w:szCs w:val="14"/>
          <w:b w:val="1"/>
          <w:bCs w:val="1"/>
          <w:i w:val="1"/>
          <w:iCs w:val="1"/>
          <w:u w:val="single" w:color="auto"/>
          <w:color w:val="auto"/>
        </w:rPr>
        <w:t>Withholding</w:t>
      </w:r>
      <w:r>
        <w:rPr>
          <w:rFonts w:ascii="Arial" w:cs="Arial" w:eastAsia="Arial" w:hAnsi="Arial"/>
          <w:sz w:val="14"/>
          <w:szCs w:val="14"/>
          <w:i w:val="1"/>
          <w:iCs w:val="1"/>
          <w:color w:val="auto"/>
        </w:rPr>
        <w:t>.</w:t>
      </w:r>
    </w:p>
    <w:p>
      <w:pPr>
        <w:spacing w:after="0" w:line="145" w:lineRule="exact"/>
        <w:rPr>
          <w:sz w:val="20"/>
          <w:szCs w:val="20"/>
          <w:color w:val="auto"/>
        </w:rPr>
      </w:pPr>
    </w:p>
    <w:p>
      <w:pPr>
        <w:ind w:firstLine="807"/>
        <w:spacing w:after="0" w:line="246" w:lineRule="auto"/>
        <w:rPr>
          <w:sz w:val="20"/>
          <w:szCs w:val="20"/>
          <w:color w:val="auto"/>
        </w:rPr>
      </w:pPr>
      <w:r>
        <w:rPr>
          <w:rFonts w:ascii="Arial" w:cs="Arial" w:eastAsia="Arial" w:hAnsi="Arial"/>
          <w:sz w:val="14"/>
          <w:szCs w:val="14"/>
          <w:color w:val="auto"/>
        </w:rPr>
        <w:t>No certificates representing shares of Common Stock purchased hereunder shall be delivered to or in respect of an Optionee unless the amount of all federal, state and other governmental withholding tax requirements imposed upon the Company with respect to the issuance of such shares of Common Stock has been remitted to the Company or unless provisions to pay such withholding requirements have been made to the satisfaction of the Committee. The Committee may make such provisions as it may deem appropriate for the withholding of any taxes which it determines is required in connection with this Option. The Optionee may pay all or any portion of the taxes required to be withheld by the Company or paid by the Optionee in connection with the exercise of all or any portion of this Option by delivering cash, or, pursuant to Committee-approved procedures, by electing to have the Company withhold shares of Common Stock, or by delivering previously owned shares of Common Stock sufficient to satisfy the tax withholding obligation. The Optionee must make the foregoing election on or before the date that the amount of tax to be withheld is determined.</w:t>
      </w:r>
    </w:p>
    <w:p>
      <w:pPr>
        <w:spacing w:after="0" w:line="123"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9.</w:t>
      </w:r>
      <w:r>
        <w:rPr>
          <w:sz w:val="20"/>
          <w:szCs w:val="20"/>
          <w:color w:val="auto"/>
        </w:rPr>
        <w:tab/>
      </w:r>
      <w:r>
        <w:rPr>
          <w:rFonts w:ascii="Arial" w:cs="Arial" w:eastAsia="Arial" w:hAnsi="Arial"/>
          <w:sz w:val="14"/>
          <w:szCs w:val="14"/>
          <w:b w:val="1"/>
          <w:bCs w:val="1"/>
          <w:i w:val="1"/>
          <w:iCs w:val="1"/>
          <w:u w:val="single" w:color="auto"/>
          <w:color w:val="auto"/>
        </w:rPr>
        <w:t>Shareholder Rights</w:t>
      </w:r>
      <w:r>
        <w:rPr>
          <w:rFonts w:ascii="Arial" w:cs="Arial" w:eastAsia="Arial" w:hAnsi="Arial"/>
          <w:sz w:val="14"/>
          <w:szCs w:val="14"/>
          <w:i w:val="1"/>
          <w:iCs w:val="1"/>
          <w:color w:val="auto"/>
        </w:rPr>
        <w:t>.</w:t>
      </w:r>
    </w:p>
    <w:p>
      <w:pPr>
        <w:spacing w:after="0" w:line="145" w:lineRule="exact"/>
        <w:rPr>
          <w:sz w:val="20"/>
          <w:szCs w:val="20"/>
          <w:color w:val="auto"/>
        </w:rPr>
      </w:pPr>
    </w:p>
    <w:p>
      <w:pPr>
        <w:ind w:right="280" w:firstLine="807"/>
        <w:spacing w:after="0" w:line="273" w:lineRule="auto"/>
        <w:rPr>
          <w:sz w:val="20"/>
          <w:szCs w:val="20"/>
          <w:color w:val="auto"/>
        </w:rPr>
      </w:pPr>
      <w:r>
        <w:rPr>
          <w:rFonts w:ascii="Arial" w:cs="Arial" w:eastAsia="Arial" w:hAnsi="Arial"/>
          <w:sz w:val="14"/>
          <w:szCs w:val="14"/>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02"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10.</w:t>
      </w:r>
      <w:r>
        <w:rPr>
          <w:sz w:val="20"/>
          <w:szCs w:val="20"/>
          <w:color w:val="auto"/>
        </w:rPr>
        <w:tab/>
      </w:r>
      <w:r>
        <w:rPr>
          <w:rFonts w:ascii="Arial" w:cs="Arial" w:eastAsia="Arial" w:hAnsi="Arial"/>
          <w:sz w:val="14"/>
          <w:szCs w:val="14"/>
          <w:b w:val="1"/>
          <w:bCs w:val="1"/>
          <w:i w:val="1"/>
          <w:iCs w:val="1"/>
          <w:u w:val="single" w:color="auto"/>
          <w:color w:val="auto"/>
        </w:rPr>
        <w:t>Successors and Assigns</w:t>
      </w:r>
      <w:r>
        <w:rPr>
          <w:rFonts w:ascii="Arial" w:cs="Arial" w:eastAsia="Arial" w:hAnsi="Arial"/>
          <w:sz w:val="14"/>
          <w:szCs w:val="14"/>
          <w:i w:val="1"/>
          <w:iCs w:val="1"/>
          <w:color w:val="auto"/>
        </w:rPr>
        <w:t>.</w:t>
      </w:r>
    </w:p>
    <w:p>
      <w:pPr>
        <w:spacing w:after="0" w:line="145" w:lineRule="exact"/>
        <w:rPr>
          <w:sz w:val="20"/>
          <w:szCs w:val="20"/>
          <w:color w:val="auto"/>
        </w:rPr>
      </w:pPr>
    </w:p>
    <w:p>
      <w:pPr>
        <w:ind w:right="280" w:firstLine="807"/>
        <w:spacing w:after="0" w:line="358" w:lineRule="auto"/>
        <w:rPr>
          <w:sz w:val="20"/>
          <w:szCs w:val="20"/>
          <w:color w:val="auto"/>
        </w:rPr>
      </w:pPr>
      <w:r>
        <w:rPr>
          <w:rFonts w:ascii="Arial" w:cs="Arial" w:eastAsia="Arial" w:hAnsi="Arial"/>
          <w:sz w:val="12"/>
          <w:szCs w:val="12"/>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56"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11.</w:t>
      </w:r>
      <w:r>
        <w:rPr>
          <w:sz w:val="20"/>
          <w:szCs w:val="20"/>
          <w:color w:val="auto"/>
        </w:rPr>
        <w:tab/>
      </w:r>
      <w:r>
        <w:rPr>
          <w:rFonts w:ascii="Arial" w:cs="Arial" w:eastAsia="Arial" w:hAnsi="Arial"/>
          <w:sz w:val="14"/>
          <w:szCs w:val="14"/>
          <w:b w:val="1"/>
          <w:bCs w:val="1"/>
          <w:i w:val="1"/>
          <w:iCs w:val="1"/>
          <w:u w:val="single" w:color="auto"/>
          <w:color w:val="auto"/>
        </w:rPr>
        <w:t>No Employment Guaranteed</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 provision of this Option Agreement shall confer any right upon the Optionee to continued employment with the Company or any Subsidiary.</w:t>
      </w:r>
    </w:p>
    <w:p>
      <w:pPr>
        <w:spacing w:after="0" w:line="145" w:lineRule="exact"/>
        <w:rPr>
          <w:sz w:val="20"/>
          <w:szCs w:val="20"/>
          <w:color w:val="auto"/>
        </w:rPr>
      </w:pPr>
    </w:p>
    <w:p>
      <w:pPr>
        <w:ind w:left="800"/>
        <w:spacing w:after="0"/>
        <w:tabs>
          <w:tab w:leader="none" w:pos="2380" w:val="left"/>
        </w:tabs>
        <w:rPr>
          <w:sz w:val="20"/>
          <w:szCs w:val="20"/>
          <w:color w:val="auto"/>
        </w:rPr>
      </w:pPr>
      <w:r>
        <w:rPr>
          <w:rFonts w:ascii="Arial" w:cs="Arial" w:eastAsia="Arial" w:hAnsi="Arial"/>
          <w:sz w:val="14"/>
          <w:szCs w:val="14"/>
          <w:b w:val="1"/>
          <w:bCs w:val="1"/>
          <w:i w:val="1"/>
          <w:iCs w:val="1"/>
          <w:color w:val="auto"/>
        </w:rPr>
        <w:t>12.</w:t>
      </w:r>
      <w:r>
        <w:rPr>
          <w:sz w:val="20"/>
          <w:szCs w:val="20"/>
          <w:color w:val="auto"/>
        </w:rPr>
        <w:tab/>
      </w:r>
      <w:r>
        <w:rPr>
          <w:rFonts w:ascii="Arial" w:cs="Arial" w:eastAsia="Arial" w:hAnsi="Arial"/>
          <w:sz w:val="14"/>
          <w:szCs w:val="14"/>
          <w:b w:val="1"/>
          <w:bCs w:val="1"/>
          <w:i w:val="1"/>
          <w:iCs w:val="1"/>
          <w:u w:val="single" w:color="auto"/>
          <w:color w:val="auto"/>
        </w:rPr>
        <w:t>Governing Law</w:t>
      </w:r>
      <w:r>
        <w:rPr>
          <w:rFonts w:ascii="Arial" w:cs="Arial" w:eastAsia="Arial" w:hAnsi="Arial"/>
          <w:sz w:val="14"/>
          <w:szCs w:val="14"/>
          <w:i w:val="1"/>
          <w:iCs w:val="1"/>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This Option Agreement shall be governed by, construed and enforced in accordance with the laws of the State of Texas.</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1" w:name="page62"/>
    <w:bookmarkEnd w:id="61"/>
    <w:p>
      <w:pPr>
        <w:spacing w:after="0"/>
        <w:tabs>
          <w:tab w:leader="none" w:pos="1580" w:val="left"/>
        </w:tabs>
        <w:rPr>
          <w:sz w:val="20"/>
          <w:szCs w:val="20"/>
          <w:color w:val="auto"/>
        </w:rPr>
      </w:pPr>
      <w:r>
        <w:rPr>
          <w:rFonts w:ascii="Arial" w:cs="Arial" w:eastAsia="Arial" w:hAnsi="Arial"/>
          <w:sz w:val="14"/>
          <w:szCs w:val="14"/>
          <w:b w:val="1"/>
          <w:bCs w:val="1"/>
          <w:i w:val="1"/>
          <w:iCs w:val="1"/>
          <w:color w:val="auto"/>
        </w:rPr>
        <w:t>13.</w:t>
      </w:r>
      <w:r>
        <w:rPr>
          <w:sz w:val="20"/>
          <w:szCs w:val="20"/>
          <w:color w:val="auto"/>
        </w:rPr>
        <w:tab/>
      </w:r>
      <w:r>
        <w:rPr>
          <w:rFonts w:ascii="Arial" w:cs="Arial" w:eastAsia="Arial" w:hAnsi="Arial"/>
          <w:sz w:val="14"/>
          <w:szCs w:val="14"/>
          <w:b w:val="1"/>
          <w:bCs w:val="1"/>
          <w:i w:val="1"/>
          <w:iCs w:val="1"/>
          <w:u w:val="single" w:color="auto"/>
          <w:color w:val="auto"/>
        </w:rPr>
        <w:t>Amendment</w:t>
      </w:r>
      <w:r>
        <w:rPr>
          <w:rFonts w:ascii="Arial" w:cs="Arial" w:eastAsia="Arial" w:hAnsi="Arial"/>
          <w:sz w:val="14"/>
          <w:szCs w:val="14"/>
          <w:i w:val="1"/>
          <w:iCs w:val="1"/>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cannot be modified, altered or amended except by an agreement, in writing, signed by both the Company and the Optionee.</w:t>
      </w: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[REMAINDER OF PAGE INTENTIONALLY LEFT BLANK]</w:t>
      </w:r>
    </w:p>
    <w:p>
      <w:pPr>
        <w:spacing w:after="0" w:line="200" w:lineRule="exact"/>
        <w:rPr>
          <w:sz w:val="20"/>
          <w:szCs w:val="20"/>
          <w:color w:val="auto"/>
        </w:rPr>
      </w:pPr>
    </w:p>
    <w:p>
      <w:pPr>
        <w:spacing w:after="0" w:line="251"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55245</wp:posOffset>
            </wp:positionV>
            <wp:extent cx="718947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9359"/>
          </w:cols>
          <w:pgMar w:left="1100" w:top="269"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8240" w:type="dxa"/>
            <w:vAlign w:val="bottom"/>
            <w:gridSpan w:val="2"/>
          </w:tcPr>
          <w:p>
            <w:pPr>
              <w:ind w:left="1720"/>
              <w:spacing w:after="0"/>
              <w:rPr>
                <w:sz w:val="20"/>
                <w:szCs w:val="20"/>
                <w:color w:val="auto"/>
              </w:rPr>
            </w:pPr>
            <w:r>
              <w:rPr>
                <w:rFonts w:ascii="Arial" w:cs="Arial" w:eastAsia="Arial" w:hAnsi="Arial"/>
                <w:sz w:val="14"/>
                <w:szCs w:val="14"/>
                <w:b w:val="1"/>
                <w:bCs w:val="1"/>
                <w:color w:val="auto"/>
              </w:rPr>
              <w:t>EAGLE MATERIALS INC.</w:t>
            </w:r>
          </w:p>
        </w:tc>
      </w:tr>
      <w:tr>
        <w:trPr>
          <w:trHeight w:val="444"/>
        </w:trPr>
        <w:tc>
          <w:tcPr>
            <w:tcW w:w="3060" w:type="dxa"/>
            <w:vAlign w:val="bottom"/>
          </w:tcPr>
          <w:p>
            <w:pPr>
              <w:spacing w:after="0"/>
              <w:rPr>
                <w:sz w:val="20"/>
                <w:szCs w:val="20"/>
                <w:color w:val="auto"/>
              </w:rPr>
            </w:pPr>
            <w:r>
              <w:rPr>
                <w:rFonts w:ascii="Arial" w:cs="Arial" w:eastAsia="Arial" w:hAnsi="Arial"/>
                <w:sz w:val="14"/>
                <w:szCs w:val="14"/>
                <w:color w:val="auto"/>
              </w:rPr>
              <w:t>Dated: May ___, 2020</w:t>
            </w:r>
          </w:p>
        </w:tc>
        <w:tc>
          <w:tcPr>
            <w:tcW w:w="2940" w:type="dxa"/>
            <w:vAlign w:val="bottom"/>
          </w:tcPr>
          <w:p>
            <w:pPr>
              <w:ind w:left="1720"/>
              <w:spacing w:after="0"/>
              <w:rPr>
                <w:sz w:val="20"/>
                <w:szCs w:val="20"/>
                <w:color w:val="auto"/>
              </w:rPr>
            </w:pPr>
            <w:r>
              <w:rPr>
                <w:rFonts w:ascii="Arial" w:cs="Arial" w:eastAsia="Arial" w:hAnsi="Arial"/>
                <w:sz w:val="14"/>
                <w:szCs w:val="14"/>
                <w:color w:val="auto"/>
              </w:rPr>
              <w:t>By:</w:t>
            </w:r>
          </w:p>
        </w:tc>
        <w:tc>
          <w:tcPr>
            <w:tcW w:w="5300" w:type="dxa"/>
            <w:vAlign w:val="bottom"/>
            <w:tcBorders>
              <w:bottom w:val="single" w:sz="8" w:color="auto"/>
            </w:tcBorders>
          </w:tcPr>
          <w:p>
            <w:pPr>
              <w:spacing w:after="0"/>
              <w:rPr>
                <w:sz w:val="24"/>
                <w:szCs w:val="24"/>
                <w:color w:val="auto"/>
              </w:rPr>
            </w:pPr>
          </w:p>
        </w:tc>
      </w:tr>
      <w:tr>
        <w:trPr>
          <w:trHeight w:val="301"/>
        </w:trPr>
        <w:tc>
          <w:tcPr>
            <w:tcW w:w="3060" w:type="dxa"/>
            <w:vAlign w:val="bottom"/>
          </w:tcPr>
          <w:p>
            <w:pPr>
              <w:spacing w:after="0"/>
              <w:rPr>
                <w:sz w:val="24"/>
                <w:szCs w:val="24"/>
                <w:color w:val="auto"/>
              </w:rPr>
            </w:pPr>
          </w:p>
        </w:tc>
        <w:tc>
          <w:tcPr>
            <w:tcW w:w="2940" w:type="dxa"/>
            <w:vAlign w:val="bottom"/>
          </w:tcPr>
          <w:p>
            <w:pPr>
              <w:ind w:left="1720"/>
              <w:spacing w:after="0"/>
              <w:rPr>
                <w:sz w:val="20"/>
                <w:szCs w:val="20"/>
                <w:color w:val="auto"/>
              </w:rPr>
            </w:pPr>
            <w:r>
              <w:rPr>
                <w:rFonts w:ascii="Arial" w:cs="Arial" w:eastAsia="Arial" w:hAnsi="Arial"/>
                <w:sz w:val="14"/>
                <w:szCs w:val="14"/>
                <w:color w:val="auto"/>
              </w:rPr>
              <w:t>Name:</w:t>
            </w:r>
          </w:p>
        </w:tc>
        <w:tc>
          <w:tcPr>
            <w:tcW w:w="5300" w:type="dxa"/>
            <w:vAlign w:val="bottom"/>
          </w:tcPr>
          <w:p>
            <w:pPr>
              <w:spacing w:after="0"/>
              <w:rPr>
                <w:sz w:val="20"/>
                <w:szCs w:val="20"/>
                <w:color w:val="auto"/>
              </w:rPr>
            </w:pPr>
            <w:r>
              <w:rPr>
                <w:rFonts w:ascii="Arial" w:cs="Arial" w:eastAsia="Arial" w:hAnsi="Arial"/>
                <w:sz w:val="14"/>
                <w:szCs w:val="14"/>
                <w:color w:val="auto"/>
              </w:rPr>
              <w:t>Michael Haack</w:t>
            </w:r>
          </w:p>
        </w:tc>
      </w:tr>
      <w:tr>
        <w:trPr>
          <w:trHeight w:val="306"/>
        </w:trPr>
        <w:tc>
          <w:tcPr>
            <w:tcW w:w="3060" w:type="dxa"/>
            <w:vAlign w:val="bottom"/>
          </w:tcPr>
          <w:p>
            <w:pPr>
              <w:spacing w:after="0"/>
              <w:rPr>
                <w:sz w:val="24"/>
                <w:szCs w:val="24"/>
                <w:color w:val="auto"/>
              </w:rPr>
            </w:pPr>
          </w:p>
        </w:tc>
        <w:tc>
          <w:tcPr>
            <w:tcW w:w="2940" w:type="dxa"/>
            <w:vAlign w:val="bottom"/>
          </w:tcPr>
          <w:p>
            <w:pPr>
              <w:ind w:left="1720"/>
              <w:spacing w:after="0"/>
              <w:rPr>
                <w:sz w:val="20"/>
                <w:szCs w:val="20"/>
                <w:color w:val="auto"/>
              </w:rPr>
            </w:pPr>
            <w:r>
              <w:rPr>
                <w:rFonts w:ascii="Arial" w:cs="Arial" w:eastAsia="Arial" w:hAnsi="Arial"/>
                <w:sz w:val="14"/>
                <w:szCs w:val="14"/>
                <w:color w:val="auto"/>
              </w:rPr>
              <w:t>Its:</w:t>
            </w:r>
          </w:p>
        </w:tc>
        <w:tc>
          <w:tcPr>
            <w:tcW w:w="5300" w:type="dxa"/>
            <w:vAlign w:val="bottom"/>
          </w:tcPr>
          <w:p>
            <w:pPr>
              <w:spacing w:after="0"/>
              <w:rPr>
                <w:sz w:val="20"/>
                <w:szCs w:val="20"/>
                <w:color w:val="auto"/>
              </w:rPr>
            </w:pPr>
            <w:r>
              <w:rPr>
                <w:rFonts w:ascii="Arial" w:cs="Arial" w:eastAsia="Arial" w:hAnsi="Arial"/>
                <w:sz w:val="14"/>
                <w:szCs w:val="14"/>
                <w:color w:val="auto"/>
              </w:rPr>
              <w:t>President and CEO</w:t>
            </w:r>
          </w:p>
        </w:tc>
      </w:tr>
      <w:tr>
        <w:trPr>
          <w:trHeight w:val="286"/>
        </w:trPr>
        <w:tc>
          <w:tcPr>
            <w:tcW w:w="3060" w:type="dxa"/>
            <w:vAlign w:val="bottom"/>
          </w:tcPr>
          <w:p>
            <w:pPr>
              <w:spacing w:after="0"/>
              <w:rPr>
                <w:sz w:val="24"/>
                <w:szCs w:val="24"/>
                <w:color w:val="auto"/>
              </w:rPr>
            </w:pPr>
          </w:p>
        </w:tc>
        <w:tc>
          <w:tcPr>
            <w:tcW w:w="2940" w:type="dxa"/>
            <w:vAlign w:val="bottom"/>
          </w:tcPr>
          <w:p>
            <w:pPr>
              <w:ind w:left="1720"/>
              <w:spacing w:after="0"/>
              <w:rPr>
                <w:sz w:val="20"/>
                <w:szCs w:val="20"/>
                <w:color w:val="auto"/>
              </w:rPr>
            </w:pPr>
            <w:r>
              <w:rPr>
                <w:rFonts w:ascii="Arial" w:cs="Arial" w:eastAsia="Arial" w:hAnsi="Arial"/>
                <w:sz w:val="14"/>
                <w:szCs w:val="14"/>
                <w:color w:val="auto"/>
              </w:rPr>
              <w:t>Address:</w:t>
            </w:r>
          </w:p>
        </w:tc>
        <w:tc>
          <w:tcPr>
            <w:tcW w:w="5300" w:type="dxa"/>
            <w:vAlign w:val="bottom"/>
          </w:tcPr>
          <w:p>
            <w:pPr>
              <w:spacing w:after="0"/>
              <w:rPr>
                <w:sz w:val="20"/>
                <w:szCs w:val="20"/>
                <w:color w:val="auto"/>
              </w:rPr>
            </w:pPr>
            <w:r>
              <w:rPr>
                <w:rFonts w:ascii="Arial" w:cs="Arial" w:eastAsia="Arial" w:hAnsi="Arial"/>
                <w:sz w:val="14"/>
                <w:szCs w:val="14"/>
                <w:color w:val="auto"/>
              </w:rPr>
              <w:t>5960 Berkshire Ln., Suite 900</w:t>
            </w:r>
          </w:p>
        </w:tc>
      </w:tr>
      <w:tr>
        <w:trPr>
          <w:trHeight w:val="182"/>
        </w:trPr>
        <w:tc>
          <w:tcPr>
            <w:tcW w:w="30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Dallas, Texas 75225</w:t>
            </w:r>
          </w:p>
        </w:tc>
      </w:tr>
    </w:tbl>
    <w:p>
      <w:pPr>
        <w:spacing w:after="0" w:line="26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Optionee hereby accepts the foregoing Option Agreement, subject to the terms and provisions of the Plan and administrative interpretations thereof referred to above.</w:t>
      </w:r>
    </w:p>
    <w:p>
      <w:pPr>
        <w:spacing w:after="0" w:line="153"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OPTIONEE:</w:t>
      </w:r>
    </w:p>
    <w:p>
      <w:pPr>
        <w:spacing w:after="0" w:line="293" w:lineRule="exact"/>
        <w:rPr>
          <w:sz w:val="20"/>
          <w:szCs w:val="20"/>
          <w:color w:val="auto"/>
        </w:rPr>
      </w:pPr>
    </w:p>
    <w:p>
      <w:pPr>
        <w:spacing w:after="0"/>
        <w:tabs>
          <w:tab w:leader="none" w:pos="4700" w:val="left"/>
          <w:tab w:leader="none" w:pos="5920" w:val="left"/>
        </w:tabs>
        <w:rPr>
          <w:sz w:val="20"/>
          <w:szCs w:val="20"/>
          <w:color w:val="auto"/>
        </w:rPr>
      </w:pPr>
      <w:r>
        <w:rPr>
          <w:rFonts w:ascii="Arial" w:cs="Arial" w:eastAsia="Arial" w:hAnsi="Arial"/>
          <w:sz w:val="14"/>
          <w:szCs w:val="14"/>
          <w:color w:val="auto"/>
        </w:rPr>
        <w:t>Dated: , 2020</w:t>
      </w:r>
      <w:r>
        <w:rPr>
          <w:sz w:val="20"/>
          <w:szCs w:val="20"/>
          <w:color w:val="auto"/>
        </w:rPr>
        <w:tab/>
      </w:r>
      <w:r>
        <w:rPr>
          <w:rFonts w:ascii="Arial" w:cs="Arial" w:eastAsia="Arial" w:hAnsi="Arial"/>
          <w:sz w:val="14"/>
          <w:szCs w:val="14"/>
          <w:color w:val="auto"/>
        </w:rPr>
        <w:t>Signed:</w:t>
      </w:r>
      <w:r>
        <w:rPr>
          <w:sz w:val="20"/>
          <w:szCs w:val="20"/>
          <w:color w:val="auto"/>
        </w:rPr>
        <w:tab/>
      </w:r>
      <w:r>
        <w:rPr>
          <w:rFonts w:ascii="Arial" w:cs="Arial" w:eastAsia="Arial" w:hAnsi="Arial"/>
          <w:sz w:val="12"/>
          <w:szCs w:val="12"/>
          <w:color w:val="auto"/>
        </w:rPr>
        <w:t>_____________________________________</w:t>
      </w:r>
    </w:p>
    <w:p>
      <w:pPr>
        <w:spacing w:after="0" w:line="13"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NAME</w:t>
      </w:r>
    </w:p>
    <w:p>
      <w:pPr>
        <w:spacing w:after="0" w:line="52"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Eagle Materials Inc.</w:t>
      </w:r>
    </w:p>
    <w:p>
      <w:pPr>
        <w:spacing w:after="0" w:line="13"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5960 Berkshire Ln., Suite 900</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4"/>
          <w:szCs w:val="14"/>
          <w:color w:val="auto"/>
        </w:rPr>
        <w:t>Dallas, Texas 75225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63" w:name="page64"/>
    <w:bookmarkEnd w:id="63"/>
    <w:p>
      <w:pPr>
        <w:ind w:left="5240"/>
        <w:spacing w:after="0"/>
        <w:rPr>
          <w:sz w:val="20"/>
          <w:szCs w:val="20"/>
          <w:color w:val="auto"/>
        </w:rPr>
      </w:pPr>
      <w:r>
        <w:rPr>
          <w:rFonts w:ascii="Arial" w:cs="Arial" w:eastAsia="Arial" w:hAnsi="Arial"/>
          <w:sz w:val="14"/>
          <w:szCs w:val="14"/>
          <w:b w:val="1"/>
          <w:bCs w:val="1"/>
          <w:u w:val="single" w:color="auto"/>
          <w:color w:val="auto"/>
        </w:rPr>
        <w:t>EXHIBIT A</w:t>
      </w:r>
    </w:p>
    <w:p>
      <w:pPr>
        <w:spacing w:after="0" w:line="145"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Change in Control</w:t>
      </w:r>
    </w:p>
    <w:p>
      <w:pPr>
        <w:spacing w:after="0" w:line="14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For the purpose of this Agreement, a “Change in Control” shall mean the occurrence of any of the following events:</w:t>
      </w:r>
    </w:p>
    <w:p>
      <w:pPr>
        <w:spacing w:after="0" w:line="145" w:lineRule="exact"/>
        <w:rPr>
          <w:sz w:val="20"/>
          <w:szCs w:val="20"/>
          <w:color w:val="auto"/>
        </w:rPr>
      </w:pPr>
    </w:p>
    <w:p>
      <w:pPr>
        <w:ind w:left="-20" w:right="60" w:firstLine="1607"/>
        <w:spacing w:after="0" w:line="249" w:lineRule="auto"/>
        <w:tabs>
          <w:tab w:leader="none" w:pos="2619"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118" w:lineRule="exact"/>
        <w:rPr>
          <w:rFonts w:ascii="Arial" w:cs="Arial" w:eastAsia="Arial" w:hAnsi="Arial"/>
          <w:sz w:val="14"/>
          <w:szCs w:val="14"/>
          <w:color w:val="auto"/>
        </w:rPr>
      </w:pPr>
    </w:p>
    <w:p>
      <w:pPr>
        <w:ind w:left="-20" w:firstLine="1607"/>
        <w:spacing w:after="0" w:line="247" w:lineRule="auto"/>
        <w:tabs>
          <w:tab w:leader="none" w:pos="26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121" w:lineRule="exact"/>
        <w:rPr>
          <w:rFonts w:ascii="Arial" w:cs="Arial" w:eastAsia="Arial" w:hAnsi="Arial"/>
          <w:sz w:val="14"/>
          <w:szCs w:val="14"/>
          <w:color w:val="auto"/>
        </w:rPr>
      </w:pPr>
    </w:p>
    <w:p>
      <w:pPr>
        <w:ind w:left="-20" w:right="100" w:firstLine="1607"/>
        <w:spacing w:after="0" w:line="245" w:lineRule="auto"/>
        <w:tabs>
          <w:tab w:leader="none" w:pos="2619"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122" w:lineRule="exact"/>
        <w:rPr>
          <w:rFonts w:ascii="Arial" w:cs="Arial" w:eastAsia="Arial" w:hAnsi="Arial"/>
          <w:sz w:val="14"/>
          <w:szCs w:val="14"/>
          <w:color w:val="auto"/>
        </w:rPr>
      </w:pPr>
    </w:p>
    <w:p>
      <w:pPr>
        <w:ind w:left="-20" w:right="480" w:firstLine="1607"/>
        <w:spacing w:after="0" w:line="273" w:lineRule="auto"/>
        <w:tabs>
          <w:tab w:leader="none" w:pos="26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Approval by the Board and the shareholders of the Company of (i) a complete liquidation or dissolution of the Company or (ii) a Major Asset Disposition (or, if there is no such approval by shareholders, consummation of such Major Asset Disposition) unless,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54610</wp:posOffset>
            </wp:positionV>
            <wp:extent cx="718947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64" w:name="page65"/>
    <w:bookmarkEnd w:id="64"/>
    <w:p>
      <w:pPr>
        <w:ind w:firstLine="1607"/>
        <w:spacing w:after="0" w:line="268" w:lineRule="auto"/>
        <w:tabs>
          <w:tab w:leader="none" w:pos="2675" w:val="left"/>
        </w:tabs>
        <w:numPr>
          <w:ilvl w:val="0"/>
          <w:numId w:val="35"/>
        </w:numPr>
        <w:rPr>
          <w:rFonts w:ascii="Arial" w:cs="Arial" w:eastAsia="Arial" w:hAnsi="Arial"/>
          <w:sz w:val="13"/>
          <w:szCs w:val="13"/>
          <w:color w:val="auto"/>
        </w:rPr>
      </w:pPr>
      <w:r>
        <w:rPr>
          <w:rFonts w:ascii="Arial" w:cs="Arial" w:eastAsia="Arial" w:hAnsi="Arial"/>
          <w:sz w:val="13"/>
          <w:szCs w:val="13"/>
          <w:color w:val="auto"/>
        </w:rPr>
        <w:t>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purposes of the foregoing,</w:t>
      </w:r>
    </w:p>
    <w:p>
      <w:pPr>
        <w:spacing w:after="0" w:line="145" w:lineRule="exact"/>
        <w:rPr>
          <w:sz w:val="20"/>
          <w:szCs w:val="20"/>
          <w:color w:val="auto"/>
        </w:rPr>
      </w:pPr>
    </w:p>
    <w:p>
      <w:pPr>
        <w:ind w:left="2400" w:hanging="797"/>
        <w:spacing w:after="0"/>
        <w:tabs>
          <w:tab w:leader="none" w:pos="2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term “Person” means an individual, entity or group;</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term “group” is used as it is defined for purposes of Section 13(d)(3) of the Exchange Act;</w:t>
      </w:r>
    </w:p>
    <w:p>
      <w:pPr>
        <w:spacing w:after="0" w:line="145" w:lineRule="exact"/>
        <w:rPr>
          <w:rFonts w:ascii="Arial" w:cs="Arial" w:eastAsia="Arial" w:hAnsi="Arial"/>
          <w:sz w:val="14"/>
          <w:szCs w:val="14"/>
          <w:color w:val="auto"/>
        </w:rPr>
      </w:pPr>
    </w:p>
    <w:p>
      <w:pPr>
        <w:ind w:left="2400" w:right="1160" w:hanging="797"/>
        <w:spacing w:after="0" w:line="273" w:lineRule="auto"/>
        <w:tabs>
          <w:tab w:leader="none" w:pos="2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terms “beneficial owner”, “beneficial ownership” and “beneficially own” are used as defined for purposes of Rule 13d-3 under the Exchange Act;</w:t>
      </w:r>
    </w:p>
    <w:p>
      <w:pPr>
        <w:spacing w:after="0" w:line="101" w:lineRule="exact"/>
        <w:rPr>
          <w:rFonts w:ascii="Arial" w:cs="Arial" w:eastAsia="Arial" w:hAnsi="Arial"/>
          <w:sz w:val="14"/>
          <w:szCs w:val="14"/>
          <w:color w:val="auto"/>
        </w:rPr>
      </w:pPr>
    </w:p>
    <w:p>
      <w:pPr>
        <w:ind w:left="2400" w:right="1300" w:hanging="797"/>
        <w:spacing w:after="0" w:line="273" w:lineRule="auto"/>
        <w:tabs>
          <w:tab w:leader="none" w:pos="2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term “Business Combination” means (x) a merger, consolidation or share exchange involving the Company or its stock or (y) an acquisition by the Company, directly or through one or more subsidiaries, of another entity or its stock or assets;</w:t>
      </w:r>
    </w:p>
    <w:p>
      <w:pPr>
        <w:spacing w:after="0" w:line="101" w:lineRule="exact"/>
        <w:rPr>
          <w:rFonts w:ascii="Arial" w:cs="Arial" w:eastAsia="Arial" w:hAnsi="Arial"/>
          <w:sz w:val="14"/>
          <w:szCs w:val="14"/>
          <w:color w:val="auto"/>
        </w:rPr>
      </w:pPr>
    </w:p>
    <w:p>
      <w:pPr>
        <w:ind w:left="2400" w:hanging="797"/>
        <w:spacing w:after="0"/>
        <w:tabs>
          <w:tab w:leader="none" w:pos="2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term “Company Common Stock” shall mean the Common Stock, par value $.01 per share, of the Company;</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term “Exchange Act” means the Securities Exchange Act of 1934, as amended.</w:t>
      </w:r>
    </w:p>
    <w:p>
      <w:pPr>
        <w:spacing w:after="0" w:line="145" w:lineRule="exact"/>
        <w:rPr>
          <w:rFonts w:ascii="Arial" w:cs="Arial" w:eastAsia="Arial" w:hAnsi="Arial"/>
          <w:sz w:val="14"/>
          <w:szCs w:val="14"/>
          <w:color w:val="auto"/>
        </w:rPr>
      </w:pPr>
    </w:p>
    <w:p>
      <w:pPr>
        <w:ind w:left="2400" w:right="940" w:hanging="797"/>
        <w:spacing w:after="0" w:line="257" w:lineRule="auto"/>
        <w:tabs>
          <w:tab w:leader="none" w:pos="2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phrase “parent corporation resulting from a Business Combination”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112" w:lineRule="exact"/>
        <w:rPr>
          <w:rFonts w:ascii="Arial" w:cs="Arial" w:eastAsia="Arial" w:hAnsi="Arial"/>
          <w:sz w:val="14"/>
          <w:szCs w:val="14"/>
          <w:color w:val="auto"/>
        </w:rPr>
      </w:pPr>
    </w:p>
    <w:p>
      <w:pPr>
        <w:ind w:left="2400" w:right="880" w:hanging="797"/>
        <w:spacing w:after="0" w:line="286" w:lineRule="auto"/>
        <w:tabs>
          <w:tab w:leader="none" w:pos="2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term “Major Asset Disposition”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8947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65" w:name="page66"/>
    <w:bookmarkEnd w:id="65"/>
    <w:p>
      <w:pPr>
        <w:jc w:val="both"/>
        <w:ind w:left="1260" w:right="60" w:hanging="797"/>
        <w:spacing w:after="0" w:line="257" w:lineRule="auto"/>
        <w:tabs>
          <w:tab w:leader="none" w:pos="1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term “Acquiring Entity”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112" w:lineRule="exact"/>
        <w:rPr>
          <w:rFonts w:ascii="Arial" w:cs="Arial" w:eastAsia="Arial" w:hAnsi="Arial"/>
          <w:sz w:val="14"/>
          <w:szCs w:val="14"/>
          <w:color w:val="auto"/>
        </w:rPr>
      </w:pPr>
    </w:p>
    <w:p>
      <w:pPr>
        <w:ind w:left="1260" w:hanging="797"/>
        <w:spacing w:after="0" w:line="273" w:lineRule="auto"/>
        <w:tabs>
          <w:tab w:leader="none" w:pos="12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phrase “substantially the same proportions,”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Exhibit A-3</w:t>
      </w:r>
    </w:p>
    <w:p>
      <w:pPr>
        <w:sectPr>
          <w:pgSz w:w="11900" w:h="16838" w:orient="portrait"/>
          <w:cols w:equalWidth="0" w:num="1">
            <w:col w:w="9240"/>
          </w:cols>
          <w:pgMar w:left="1440" w:top="269" w:right="121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b w:val="1"/>
          <w:bCs w:val="1"/>
          <w:color w:val="auto"/>
        </w:rPr>
        <w:t>EXHIBIT 10.5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EAGLE MATERIALS INC</w:t>
      </w:r>
      <w:r>
        <w:rPr>
          <w:rFonts w:ascii="Arial" w:cs="Arial" w:eastAsia="Arial" w:hAnsi="Arial"/>
          <w:sz w:val="14"/>
          <w:szCs w:val="14"/>
          <w:b w:val="1"/>
          <w:bCs w:val="1"/>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INCENTIVE PLAN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(Performance Vesting)</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Eagle Materials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_____________ (the "</w:t>
      </w:r>
      <w:r>
        <w:rPr>
          <w:rFonts w:ascii="Arial" w:cs="Arial" w:eastAsia="Arial" w:hAnsi="Arial"/>
          <w:sz w:val="13"/>
          <w:szCs w:val="13"/>
          <w:u w:val="single" w:color="auto"/>
          <w:color w:val="auto"/>
        </w:rPr>
        <w:t>Grantee</w:t>
      </w:r>
      <w:r>
        <w:rPr>
          <w:rFonts w:ascii="Arial" w:cs="Arial" w:eastAsia="Arial" w:hAnsi="Arial"/>
          <w:sz w:val="13"/>
          <w:szCs w:val="13"/>
          <w:color w:val="auto"/>
        </w:rPr>
        <w:t>") hereby enter into this Restricted Stock Award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in</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order to set forth the terms and conditions of the Company’s award (the "</w:t>
      </w:r>
      <w:r>
        <w:rPr>
          <w:rFonts w:ascii="Arial" w:cs="Arial" w:eastAsia="Arial" w:hAnsi="Arial"/>
          <w:sz w:val="14"/>
          <w:szCs w:val="14"/>
          <w:u w:val="single" w:color="auto"/>
          <w:color w:val="auto"/>
        </w:rPr>
        <w:t>Award</w:t>
      </w:r>
      <w:r>
        <w:rPr>
          <w:rFonts w:ascii="Arial" w:cs="Arial" w:eastAsia="Arial" w:hAnsi="Arial"/>
          <w:sz w:val="14"/>
          <w:szCs w:val="14"/>
          <w:color w:val="auto"/>
        </w:rPr>
        <w:t>") to the Grantee of certain shares of Common Stock of the Company granted to the Grantee on May 19, 2020 (the "</w:t>
      </w:r>
      <w:r>
        <w:rPr>
          <w:rFonts w:ascii="Arial" w:cs="Arial" w:eastAsia="Arial" w:hAnsi="Arial"/>
          <w:sz w:val="14"/>
          <w:szCs w:val="14"/>
          <w:u w:val="single" w:color="auto"/>
          <w:color w:val="auto"/>
        </w:rPr>
        <w:t>Award Date</w:t>
      </w:r>
      <w:r>
        <w:rPr>
          <w:rFonts w:ascii="Arial" w:cs="Arial" w:eastAsia="Arial" w:hAnsi="Arial"/>
          <w:sz w:val="14"/>
          <w:szCs w:val="14"/>
          <w:color w:val="auto"/>
        </w:rPr>
        <w:t>").</w:t>
      </w:r>
    </w:p>
    <w:p>
      <w:pPr>
        <w:spacing w:after="0" w:line="114" w:lineRule="exact"/>
        <w:rPr>
          <w:sz w:val="20"/>
          <w:szCs w:val="20"/>
          <w:color w:val="auto"/>
        </w:rPr>
      </w:pPr>
    </w:p>
    <w:p>
      <w:pPr>
        <w:ind w:left="1780" w:hanging="981"/>
        <w:spacing w:after="0"/>
        <w:tabs>
          <w:tab w:leader="none" w:pos="1780"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Award</w:t>
      </w:r>
      <w:r>
        <w:rPr>
          <w:rFonts w:ascii="Arial" w:cs="Arial" w:eastAsia="Arial" w:hAnsi="Arial"/>
          <w:sz w:val="14"/>
          <w:szCs w:val="14"/>
          <w:color w:val="auto"/>
        </w:rPr>
        <w:t>. The Company hereby awards to the Grantee _______ shares of Common Stock of the Company (the "</w:t>
      </w:r>
      <w:r>
        <w:rPr>
          <w:rFonts w:ascii="Arial" w:cs="Arial" w:eastAsia="Arial" w:hAnsi="Arial"/>
          <w:sz w:val="14"/>
          <w:szCs w:val="14"/>
          <w:u w:val="single" w:color="auto"/>
          <w:color w:val="auto"/>
        </w:rPr>
        <w:t>Shares</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right="80" w:firstLine="799"/>
        <w:spacing w:after="0" w:line="257" w:lineRule="auto"/>
        <w:tabs>
          <w:tab w:leader="none" w:pos="1779"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Relationship to the Plan</w:t>
      </w:r>
      <w:r>
        <w:rPr>
          <w:rFonts w:ascii="Arial" w:cs="Arial" w:eastAsia="Arial" w:hAnsi="Arial"/>
          <w:sz w:val="14"/>
          <w:szCs w:val="14"/>
          <w:color w:val="auto"/>
        </w:rPr>
        <w:t>. The Award shall be subject to the terms and conditions of the Eagle Materials Inc. Amended and Restated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12" w:lineRule="exact"/>
        <w:rPr>
          <w:rFonts w:ascii="Arial" w:cs="Arial" w:eastAsia="Arial" w:hAnsi="Arial"/>
          <w:sz w:val="14"/>
          <w:szCs w:val="14"/>
          <w:color w:val="auto"/>
        </w:rPr>
      </w:pPr>
    </w:p>
    <w:p>
      <w:pPr>
        <w:ind w:left="2400" w:hanging="797"/>
        <w:spacing w:after="0"/>
        <w:tabs>
          <w:tab w:leader="none" w:pos="24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shall be determined by the Committee.</w:t>
      </w:r>
    </w:p>
    <w:p>
      <w:pPr>
        <w:spacing w:after="0" w:line="145" w:lineRule="exact"/>
        <w:rPr>
          <w:rFonts w:ascii="Arial" w:cs="Arial" w:eastAsia="Arial" w:hAnsi="Arial"/>
          <w:sz w:val="14"/>
          <w:szCs w:val="14"/>
          <w:color w:val="auto"/>
        </w:rPr>
      </w:pPr>
    </w:p>
    <w:p>
      <w:pPr>
        <w:ind w:left="2400" w:right="200" w:hanging="797"/>
        <w:spacing w:after="0" w:line="273" w:lineRule="auto"/>
        <w:tabs>
          <w:tab w:leader="none" w:pos="24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Return on Equity</w:t>
      </w:r>
      <w:r>
        <w:rPr>
          <w:rFonts w:ascii="Arial" w:cs="Arial" w:eastAsia="Arial" w:hAnsi="Arial"/>
          <w:sz w:val="14"/>
          <w:szCs w:val="14"/>
          <w:color w:val="auto"/>
        </w:rPr>
        <w:t>” for any fiscal year shall mean the following calculation (as determined by the Committee): (i) the net earnings of the Company for such fiscal year; divided by (ii) the Company’s Average Stockholders’ Equity for such fiscal year.</w:t>
      </w:r>
    </w:p>
    <w:p>
      <w:pPr>
        <w:spacing w:after="0" w:line="101" w:lineRule="exact"/>
        <w:rPr>
          <w:rFonts w:ascii="Arial" w:cs="Arial" w:eastAsia="Arial" w:hAnsi="Arial"/>
          <w:sz w:val="14"/>
          <w:szCs w:val="14"/>
          <w:color w:val="auto"/>
        </w:rPr>
      </w:pPr>
    </w:p>
    <w:p>
      <w:pPr>
        <w:ind w:left="2400" w:right="420" w:hanging="797"/>
        <w:spacing w:after="0" w:line="273" w:lineRule="auto"/>
        <w:tabs>
          <w:tab w:leader="none" w:pos="24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Average Stockholders’ Equity</w:t>
      </w:r>
      <w:r>
        <w:rPr>
          <w:rFonts w:ascii="Arial" w:cs="Arial" w:eastAsia="Arial" w:hAnsi="Arial"/>
          <w:sz w:val="14"/>
          <w:szCs w:val="14"/>
          <w:color w:val="auto"/>
        </w:rPr>
        <w:t>” for any period shall mean: (i) the Company’s total stockholders’ equity as of the beginning of such period plus the Company’s total stockholders’ equity at the end of such period; divided by (ii) 2.</w:t>
      </w:r>
    </w:p>
    <w:p>
      <w:pPr>
        <w:spacing w:after="0" w:line="101" w:lineRule="exact"/>
        <w:rPr>
          <w:rFonts w:ascii="Arial" w:cs="Arial" w:eastAsia="Arial" w:hAnsi="Arial"/>
          <w:sz w:val="14"/>
          <w:szCs w:val="14"/>
          <w:color w:val="auto"/>
        </w:rPr>
      </w:pPr>
    </w:p>
    <w:p>
      <w:pPr>
        <w:ind w:left="2400" w:hanging="797"/>
        <w:spacing w:after="0"/>
        <w:tabs>
          <w:tab w:leader="none" w:pos="24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Retirement</w:t>
      </w:r>
      <w:r>
        <w:rPr>
          <w:rFonts w:ascii="Arial" w:cs="Arial" w:eastAsia="Arial" w:hAnsi="Arial"/>
          <w:sz w:val="14"/>
          <w:szCs w:val="14"/>
          <w:color w:val="auto"/>
        </w:rPr>
        <w:t>” shall mean a retirement approved by the Board.</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Service Vesting Date</w:t>
      </w:r>
      <w:r>
        <w:rPr>
          <w:rFonts w:ascii="Arial" w:cs="Arial" w:eastAsia="Arial" w:hAnsi="Arial"/>
          <w:sz w:val="14"/>
          <w:szCs w:val="14"/>
          <w:color w:val="auto"/>
        </w:rPr>
        <w:t>” means the first, second or third anniversary of the end of the Performance Period, as applicable.</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Performance Period</w:t>
      </w:r>
      <w:r>
        <w:rPr>
          <w:rFonts w:ascii="Arial" w:cs="Arial" w:eastAsia="Arial" w:hAnsi="Arial"/>
          <w:sz w:val="14"/>
          <w:szCs w:val="14"/>
          <w:color w:val="auto"/>
        </w:rPr>
        <w:t>” shall mean the period commencing on April 1, 2020 and ending on March 31, 2021.</w:t>
      </w:r>
    </w:p>
    <w:p>
      <w:pPr>
        <w:spacing w:after="0" w:line="145" w:lineRule="exact"/>
        <w:rPr>
          <w:rFonts w:ascii="Arial" w:cs="Arial" w:eastAsia="Arial" w:hAnsi="Arial"/>
          <w:sz w:val="14"/>
          <w:szCs w:val="14"/>
          <w:color w:val="auto"/>
        </w:rPr>
      </w:pPr>
    </w:p>
    <w:p>
      <w:pPr>
        <w:ind w:left="1780" w:hanging="981"/>
        <w:spacing w:after="0"/>
        <w:tabs>
          <w:tab w:leader="none" w:pos="1780"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2400" w:right="260" w:hanging="797"/>
        <w:spacing w:after="0" w:line="257" w:lineRule="auto"/>
        <w:tabs>
          <w:tab w:leader="none" w:pos="2400" w:val="left"/>
        </w:tabs>
        <w:numPr>
          <w:ilvl w:val="1"/>
          <w:numId w:val="38"/>
        </w:numPr>
        <w:rPr>
          <w:rFonts w:ascii="Arial" w:cs="Arial" w:eastAsia="Arial" w:hAnsi="Arial"/>
          <w:sz w:val="14"/>
          <w:szCs w:val="14"/>
          <w:color w:val="auto"/>
        </w:rPr>
      </w:pPr>
      <w:r>
        <w:rPr>
          <w:rFonts w:ascii="Arial" w:cs="Arial" w:eastAsia="Arial" w:hAnsi="Arial"/>
          <w:sz w:val="14"/>
          <w:szCs w:val="14"/>
          <w:u w:val="single" w:color="auto"/>
          <w:color w:val="auto"/>
        </w:rPr>
        <w:t>Vesting Criteria</w:t>
      </w:r>
      <w:r>
        <w:rPr>
          <w:rFonts w:ascii="Arial" w:cs="Arial" w:eastAsia="Arial" w:hAnsi="Arial"/>
          <w:sz w:val="14"/>
          <w:szCs w:val="14"/>
          <w:color w:val="auto"/>
        </w:rPr>
        <w:t>. The Grantee’s interest in the Shares shall vest in accordance with the vesting schedule set forth below in this Section 3(a) (each such vesting date, a “</w:t>
      </w:r>
      <w:r>
        <w:rPr>
          <w:rFonts w:ascii="Arial" w:cs="Arial" w:eastAsia="Arial" w:hAnsi="Arial"/>
          <w:sz w:val="14"/>
          <w:szCs w:val="14"/>
          <w:u w:val="single" w:color="auto"/>
          <w:color w:val="auto"/>
        </w:rPr>
        <w:t>Vesting Date</w:t>
      </w:r>
      <w:r>
        <w:rPr>
          <w:rFonts w:ascii="Arial" w:cs="Arial" w:eastAsia="Arial" w:hAnsi="Arial"/>
          <w:sz w:val="14"/>
          <w:szCs w:val="14"/>
          <w:color w:val="auto"/>
        </w:rPr>
        <w:t>”) only if the Return on Equity for the fiscal year ending March 31, 2021 is at least 10.0% (the “</w:t>
      </w:r>
      <w:r>
        <w:rPr>
          <w:rFonts w:ascii="Arial" w:cs="Arial" w:eastAsia="Arial" w:hAnsi="Arial"/>
          <w:sz w:val="14"/>
          <w:szCs w:val="14"/>
          <w:u w:val="single" w:color="auto"/>
          <w:color w:val="auto"/>
        </w:rPr>
        <w:t>Performance Criteria</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that the percentage of Shares that will be earned shall be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718947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67" w:name="page68"/>
    <w:bookmarkEnd w:id="67"/>
    <w:tbl>
      <w:tblPr>
        <w:tblLayout w:type="fixed"/>
        <w:tblInd w:w="1280" w:type="dxa"/>
        <w:tblCellMar>
          <w:top w:w="0" w:type="dxa"/>
          <w:left w:w="0" w:type="dxa"/>
          <w:bottom w:w="0" w:type="dxa"/>
          <w:right w:w="0" w:type="dxa"/>
        </w:tblCellMar>
      </w:tblPr>
      <w:tr>
        <w:trPr>
          <w:trHeight w:val="162"/>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Performance</w:t>
            </w:r>
          </w:p>
        </w:tc>
        <w:tc>
          <w:tcPr>
            <w:tcW w:w="80" w:type="dxa"/>
            <w:vAlign w:val="bottom"/>
          </w:tcPr>
          <w:p>
            <w:pPr>
              <w:spacing w:after="0"/>
              <w:rPr>
                <w:sz w:val="14"/>
                <w:szCs w:val="14"/>
                <w:color w:val="auto"/>
              </w:rPr>
            </w:pPr>
          </w:p>
        </w:tc>
        <w:tc>
          <w:tcPr>
            <w:tcW w:w="1580" w:type="dxa"/>
            <w:vAlign w:val="bottom"/>
            <w:gridSpan w:val="2"/>
          </w:tcPr>
          <w:p>
            <w:pPr>
              <w:ind w:left="74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3"/>
        </w:trPr>
        <w:tc>
          <w:tcPr>
            <w:tcW w:w="5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w w:val="97"/>
              </w:rPr>
              <w:t>Criteria</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2"/>
          </w:tcPr>
          <w:p>
            <w:pPr>
              <w:spacing w:after="0" w:line="142" w:lineRule="exact"/>
              <w:rPr>
                <w:sz w:val="20"/>
                <w:szCs w:val="20"/>
                <w:color w:val="auto"/>
              </w:rPr>
            </w:pPr>
            <w:r>
              <w:rPr>
                <w:rFonts w:ascii="Arial" w:cs="Arial" w:eastAsia="Arial" w:hAnsi="Arial"/>
                <w:sz w:val="14"/>
                <w:szCs w:val="14"/>
                <w:color w:val="auto"/>
                <w:w w:val="92"/>
              </w:rPr>
              <w:t>&gt; 20.0%</w:t>
            </w:r>
          </w:p>
        </w:tc>
        <w:tc>
          <w:tcPr>
            <w:tcW w:w="34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100.0%</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vMerge w:val="restart"/>
          </w:tcPr>
          <w:p>
            <w:pPr>
              <w:jc w:val="right"/>
              <w:ind w:right="508"/>
              <w:spacing w:after="0"/>
              <w:rPr>
                <w:sz w:val="20"/>
                <w:szCs w:val="20"/>
                <w:color w:val="auto"/>
              </w:rPr>
            </w:pPr>
            <w:r>
              <w:rPr>
                <w:rFonts w:ascii="Arial" w:cs="Arial" w:eastAsia="Arial" w:hAnsi="Arial"/>
                <w:sz w:val="14"/>
                <w:szCs w:val="14"/>
                <w:color w:val="auto"/>
                <w:w w:val="95"/>
              </w:rPr>
              <w:t>83.3%</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 w:type="dxa"/>
            <w:vAlign w:val="bottom"/>
            <w:gridSpan w:val="2"/>
          </w:tcPr>
          <w:p>
            <w:pPr>
              <w:spacing w:after="0" w:line="155" w:lineRule="exact"/>
              <w:rPr>
                <w:sz w:val="20"/>
                <w:szCs w:val="20"/>
                <w:color w:val="auto"/>
              </w:rPr>
            </w:pPr>
            <w:r>
              <w:rPr>
                <w:rFonts w:ascii="Arial" w:cs="Arial" w:eastAsia="Arial" w:hAnsi="Arial"/>
                <w:sz w:val="14"/>
                <w:szCs w:val="14"/>
                <w:color w:val="auto"/>
              </w:rPr>
              <w:t>15.0%</w:t>
            </w:r>
          </w:p>
        </w:tc>
        <w:tc>
          <w:tcPr>
            <w:tcW w:w="3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0" w:type="dxa"/>
            <w:vAlign w:val="bottom"/>
            <w:gridSpan w:val="2"/>
          </w:tcPr>
          <w:p>
            <w:pPr>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15"/>
                <w:szCs w:val="15"/>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4"/>
                <w:szCs w:val="14"/>
                <w:color w:val="auto"/>
                <w:w w:val="95"/>
              </w:rPr>
              <w:t>66.7%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280" w:hanging="6"/>
        <w:spacing w:after="0" w:line="268" w:lineRule="auto"/>
        <w:tabs>
          <w:tab w:leader="none" w:pos="1356" w:val="left"/>
        </w:tabs>
        <w:numPr>
          <w:ilvl w:val="1"/>
          <w:numId w:val="39"/>
        </w:numPr>
        <w:rPr>
          <w:rFonts w:ascii="Arial" w:cs="Arial" w:eastAsia="Arial" w:hAnsi="Arial"/>
          <w:sz w:val="13"/>
          <w:szCs w:val="13"/>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exact percentage of Shares earned shall be calculated based on straight-line interpolation between the points shown above with fractional points rounded up to the nearest tenth of a percent. After the end of the Performance Period, the Compensation Committee shall certify whether and to what extent the Performance Criteria has been satisfied (“</w:t>
      </w:r>
      <w:r>
        <w:rPr>
          <w:rFonts w:ascii="Arial" w:cs="Arial" w:eastAsia="Arial" w:hAnsi="Arial"/>
          <w:sz w:val="13"/>
          <w:szCs w:val="13"/>
          <w:u w:val="single" w:color="auto"/>
          <w:color w:val="auto"/>
        </w:rPr>
        <w:t>Certification Date</w:t>
      </w:r>
      <w:r>
        <w:rPr>
          <w:rFonts w:ascii="Arial" w:cs="Arial" w:eastAsia="Arial" w:hAnsi="Arial"/>
          <w:sz w:val="13"/>
          <w:szCs w:val="13"/>
          <w:color w:val="auto"/>
        </w:rPr>
        <w:t>”) (such earned Shares shall then be considered “</w:t>
      </w:r>
      <w:r>
        <w:rPr>
          <w:rFonts w:ascii="Arial" w:cs="Arial" w:eastAsia="Arial" w:hAnsi="Arial"/>
          <w:sz w:val="13"/>
          <w:szCs w:val="13"/>
          <w:u w:val="single" w:color="auto"/>
          <w:color w:val="auto"/>
        </w:rPr>
        <w:t>Earned But</w:t>
      </w:r>
      <w:r>
        <w:rPr>
          <w:rFonts w:ascii="Arial" w:cs="Arial" w:eastAsia="Arial" w:hAnsi="Arial"/>
          <w:sz w:val="13"/>
          <w:szCs w:val="13"/>
          <w:color w:val="auto"/>
        </w:rPr>
        <w:t xml:space="preserve"> </w:t>
      </w:r>
      <w:r>
        <w:rPr>
          <w:rFonts w:ascii="Arial" w:cs="Arial" w:eastAsia="Arial" w:hAnsi="Arial"/>
          <w:sz w:val="13"/>
          <w:szCs w:val="13"/>
          <w:u w:val="single" w:color="auto"/>
          <w:color w:val="auto"/>
        </w:rPr>
        <w:t>Unvested Shares</w:t>
      </w:r>
      <w:r>
        <w:rPr>
          <w:rFonts w:ascii="Arial" w:cs="Arial" w:eastAsia="Arial" w:hAnsi="Arial"/>
          <w:sz w:val="13"/>
          <w:szCs w:val="13"/>
          <w:color w:val="auto"/>
        </w:rPr>
        <w:t>” hereunder). Such Earned But Unvested Shares shall vest one-fourth on the seventh business day following the Certification Date and then ratably on the next three Service Vesting Dates. Prior to the Certification Date, all Shares shall be considered “</w:t>
      </w:r>
      <w:r>
        <w:rPr>
          <w:rFonts w:ascii="Arial" w:cs="Arial" w:eastAsia="Arial" w:hAnsi="Arial"/>
          <w:sz w:val="13"/>
          <w:szCs w:val="13"/>
          <w:u w:val="single" w:color="auto"/>
          <w:color w:val="auto"/>
        </w:rPr>
        <w:t>unvested Shares</w:t>
      </w:r>
      <w:r>
        <w:rPr>
          <w:rFonts w:ascii="Arial" w:cs="Arial" w:eastAsia="Arial" w:hAnsi="Arial"/>
          <w:sz w:val="13"/>
          <w:szCs w:val="13"/>
          <w:color w:val="auto"/>
        </w:rPr>
        <w:t>.” If the Performance Criteria has not been satisfied then the Shares shall be immediately and automatically forfeited. Upon the Certification Date, any portion of the Shares that are not earned in accordance with the provisions above shall be forfeited.</w:t>
      </w:r>
    </w:p>
    <w:p>
      <w:pPr>
        <w:spacing w:after="0" w:line="109" w:lineRule="exact"/>
        <w:rPr>
          <w:rFonts w:ascii="Arial" w:cs="Arial" w:eastAsia="Arial" w:hAnsi="Arial"/>
          <w:sz w:val="13"/>
          <w:szCs w:val="13"/>
          <w:color w:val="auto"/>
        </w:rPr>
      </w:pPr>
    </w:p>
    <w:p>
      <w:pPr>
        <w:ind w:left="1260" w:right="100" w:hanging="797"/>
        <w:spacing w:after="0" w:line="252" w:lineRule="auto"/>
        <w:tabs>
          <w:tab w:leader="none" w:pos="1260"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Restrictions</w:t>
      </w:r>
      <w:r>
        <w:rPr>
          <w:rFonts w:ascii="Arial" w:cs="Arial" w:eastAsia="Arial" w:hAnsi="Arial"/>
          <w:sz w:val="14"/>
          <w:szCs w:val="14"/>
          <w:color w:val="auto"/>
        </w:rPr>
        <w:t>. The period beginning on the Award Date and ending on the date immediately preceding the Vesting Date for a Share shall be known as the restriction period (the “</w:t>
      </w:r>
      <w:r>
        <w:rPr>
          <w:rFonts w:ascii="Arial" w:cs="Arial" w:eastAsia="Arial" w:hAnsi="Arial"/>
          <w:sz w:val="14"/>
          <w:szCs w:val="14"/>
          <w:u w:val="single" w:color="auto"/>
          <w:color w:val="auto"/>
        </w:rPr>
        <w:t>Restriction Period</w:t>
      </w:r>
      <w:r>
        <w:rPr>
          <w:rFonts w:ascii="Arial" w:cs="Arial" w:eastAsia="Arial" w:hAnsi="Arial"/>
          <w:sz w:val="14"/>
          <w:szCs w:val="14"/>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15" w:lineRule="exact"/>
        <w:rPr>
          <w:rFonts w:ascii="Arial" w:cs="Arial" w:eastAsia="Arial" w:hAnsi="Arial"/>
          <w:sz w:val="14"/>
          <w:szCs w:val="14"/>
          <w:color w:val="auto"/>
        </w:rPr>
      </w:pPr>
    </w:p>
    <w:p>
      <w:pPr>
        <w:ind w:left="1260" w:right="140" w:hanging="797"/>
        <w:spacing w:after="0" w:line="252" w:lineRule="auto"/>
        <w:tabs>
          <w:tab w:leader="none" w:pos="1260"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Cancellation Right</w:t>
      </w:r>
      <w:r>
        <w:rPr>
          <w:rFonts w:ascii="Arial" w:cs="Arial" w:eastAsia="Arial" w:hAnsi="Arial"/>
          <w:sz w:val="14"/>
          <w:szCs w:val="14"/>
          <w:color w:val="auto"/>
        </w:rPr>
        <w:t>. Subject to Section 4, the Grantee must be in continuous service as an employee of the Company or any of its Affiliates or as a Director from the Award Date through the applicable Vesting Date for an unvested Share to become vested. Subject to Section 4, Grantee’s termination of employment and, if applicable, service as a Director prior to the Vesting Date shall cause the unvested Shares to be automatically forfeited as of such discontinuation of service date.</w:t>
      </w:r>
    </w:p>
    <w:p>
      <w:pPr>
        <w:spacing w:after="0" w:line="115" w:lineRule="exact"/>
        <w:rPr>
          <w:rFonts w:ascii="Arial" w:cs="Arial" w:eastAsia="Arial" w:hAnsi="Arial"/>
          <w:sz w:val="14"/>
          <w:szCs w:val="14"/>
          <w:color w:val="auto"/>
        </w:rPr>
      </w:pPr>
    </w:p>
    <w:p>
      <w:pPr>
        <w:ind w:left="1260" w:right="100" w:hanging="797"/>
        <w:spacing w:after="0" w:line="246" w:lineRule="auto"/>
        <w:tabs>
          <w:tab w:leader="none" w:pos="1260"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Calculations and Adjustments</w:t>
      </w:r>
      <w:r>
        <w:rPr>
          <w:rFonts w:ascii="Arial" w:cs="Arial" w:eastAsia="Arial" w:hAnsi="Arial"/>
          <w:sz w:val="14"/>
          <w:szCs w:val="14"/>
          <w:color w:val="auto"/>
        </w:rPr>
        <w:t xml:space="preserve">. The Committee shall have the authority to approve the calculations involving the "Return on Equity for the fiscal year ending March 31, 2021" for purposes of vesting, and its approval of such calculations shall be final, conclusive and binding on all parties; </w:t>
      </w:r>
      <w:r>
        <w:rPr>
          <w:rFonts w:ascii="Arial" w:cs="Arial" w:eastAsia="Arial" w:hAnsi="Arial"/>
          <w:sz w:val="14"/>
          <w:szCs w:val="14"/>
          <w:u w:val="single" w:color="auto"/>
          <w:color w:val="auto"/>
        </w:rPr>
        <w:t>provided</w:t>
      </w:r>
      <w:r>
        <w:rPr>
          <w:rFonts w:ascii="Arial" w:cs="Arial" w:eastAsia="Arial" w:hAnsi="Arial"/>
          <w:sz w:val="14"/>
          <w:szCs w:val="14"/>
          <w:color w:val="auto"/>
        </w:rPr>
        <w:t>, that the Performance Criteria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(including legal fees, settlements and adjustments); provided that the amount exceeds $5 million;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w:t>
      </w:r>
    </w:p>
    <w:p>
      <w:pPr>
        <w:spacing w:after="0" w:line="119" w:lineRule="exact"/>
        <w:rPr>
          <w:rFonts w:ascii="Arial" w:cs="Arial" w:eastAsia="Arial" w:hAnsi="Arial"/>
          <w:sz w:val="14"/>
          <w:szCs w:val="14"/>
          <w:color w:val="auto"/>
        </w:rPr>
      </w:pPr>
    </w:p>
    <w:p>
      <w:pPr>
        <w:ind w:left="4460" w:hanging="76"/>
        <w:spacing w:after="0"/>
        <w:tabs>
          <w:tab w:leader="none" w:pos="4460" w:val="left"/>
        </w:tabs>
        <w:numPr>
          <w:ilvl w:val="2"/>
          <w:numId w:val="39"/>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55245</wp:posOffset>
            </wp:positionV>
            <wp:extent cx="718947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140"/>
          </w:cols>
          <w:pgMar w:left="1440" w:top="265" w:right="319" w:bottom="1440" w:gutter="0" w:footer="0" w:header="0"/>
        </w:sectPr>
      </w:pPr>
    </w:p>
    <w:bookmarkStart w:id="68" w:name="page69"/>
    <w:bookmarkEnd w:id="68"/>
    <w:p>
      <w:pPr>
        <w:ind w:left="1601" w:right="100"/>
        <w:spacing w:after="0" w:line="252" w:lineRule="auto"/>
        <w:rPr>
          <w:sz w:val="20"/>
          <w:szCs w:val="20"/>
          <w:color w:val="auto"/>
        </w:rPr>
      </w:pPr>
      <w:r>
        <w:rPr>
          <w:rFonts w:ascii="Arial" w:cs="Arial" w:eastAsia="Arial" w:hAnsi="Arial"/>
          <w:sz w:val="14"/>
          <w:szCs w:val="14"/>
          <w:color w:val="auto"/>
        </w:rPr>
        <w:t>prior to the end of the Performance Period, the Committee shall have the discretion to determine the extent to which the Performance Criteria shall be deemed to have been satisfied through the effective date of such spin-off or earlier, as determined by the Committee and such determination date shall constitute the Certification Date hereunder; provided, the Earned But Unvested Shares so determined shall vest one-fourth on the first anniversary of the Award Date and then ratably on the next three fiscal year-ends.</w:t>
      </w:r>
    </w:p>
    <w:p>
      <w:pPr>
        <w:spacing w:after="0" w:line="116" w:lineRule="exact"/>
        <w:rPr>
          <w:sz w:val="20"/>
          <w:szCs w:val="20"/>
          <w:color w:val="auto"/>
        </w:rPr>
      </w:pPr>
    </w:p>
    <w:p>
      <w:pPr>
        <w:ind w:left="-799" w:firstLine="799"/>
        <w:spacing w:after="0" w:line="265" w:lineRule="auto"/>
        <w:tabs>
          <w:tab w:leader="none" w:pos="98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Change-in-Control; Death or Disability; Retirement</w:t>
      </w:r>
      <w:r>
        <w:rPr>
          <w:rFonts w:ascii="Arial" w:cs="Arial" w:eastAsia="Arial" w:hAnsi="Arial"/>
          <w:sz w:val="13"/>
          <w:szCs w:val="13"/>
          <w:color w:val="auto"/>
        </w:rPr>
        <w:t xml:space="preserve">. The restrictions set forth above in Section 3 shall lapse with respect to any Shares (in the case of a Change in Control) or Earned But Unvested Shares (in the case of termination of employment and, if applicable, discontinuation of service as a Director by reason of death, Disability or Retirement) not previously forfeited and the remaining shares of this Award shall become fully vested without regard to the limitations set forth in Section 3 above, provided that the Grantee has been in continuous employment with the Company or any of its Affiliates or has been in continuous service as a Director from the Award Date through: (A) the occurrence of a Change in Control (as defined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or (B) Grantee’s termination of employment and, if applicable, discontinuation of service as a Director by reason of death, Disability or Retirement. Upon a Change in Control, pursuant to Section 15 of the Plan, the Company may, in its discretion, settle the Award by a cash payment that the Committee shall determine in its sole discretion is equal to the fair market value of the Award on the date of such event. In the event Grantee’s employment with the Company or any of its affiliates is terminated (other than a termination for “cause”) after the end of the Performance Period but before the Certification Date, then notwithstanding the restrictions set forth above in Section 3, on the third business day following the Certification Date, one-fourth of the Earned But Unvested Shares shall vest, and the remainder of the Shares shall be forfeited.</w:t>
      </w:r>
    </w:p>
    <w:p>
      <w:pPr>
        <w:spacing w:after="0" w:line="110" w:lineRule="exact"/>
        <w:rPr>
          <w:rFonts w:ascii="Arial" w:cs="Arial" w:eastAsia="Arial" w:hAnsi="Arial"/>
          <w:sz w:val="13"/>
          <w:szCs w:val="13"/>
          <w:color w:val="auto"/>
        </w:rPr>
      </w:pPr>
    </w:p>
    <w:p>
      <w:pPr>
        <w:ind w:left="-799" w:right="60" w:firstLine="799"/>
        <w:spacing w:after="0" w:line="277" w:lineRule="auto"/>
        <w:tabs>
          <w:tab w:leader="none" w:pos="98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Stockholder Rights</w:t>
      </w:r>
      <w:r>
        <w:rPr>
          <w:rFonts w:ascii="Arial" w:cs="Arial" w:eastAsia="Arial" w:hAnsi="Arial"/>
          <w:sz w:val="13"/>
          <w:szCs w:val="13"/>
          <w:color w:val="auto"/>
        </w:rPr>
        <w:t>. The Grantee shall have the right to vote the Shares. On the first dividend payment date following the Certification Date, the Grantee shall be entitled to a cash dividend payment equal to: (i) the sum of per share dividends paid with respect to Common Stock during the period from the Award Date to the Certification Date; provided, the record date for such dividend payment is on or after the Award Date; times (ii) the number of Earned But Unvested Shares (once determined). The Grantee shall also have the right to receive any cash dividends paid on Earned But Unvested Shares after the Certification Date at the same time such amounts are paid with respect to all other shares of Common Stock.</w:t>
      </w:r>
    </w:p>
    <w:p>
      <w:pPr>
        <w:spacing w:after="0" w:line="101" w:lineRule="exact"/>
        <w:rPr>
          <w:rFonts w:ascii="Arial" w:cs="Arial" w:eastAsia="Arial" w:hAnsi="Arial"/>
          <w:sz w:val="13"/>
          <w:szCs w:val="13"/>
          <w:color w:val="auto"/>
        </w:rPr>
      </w:pPr>
    </w:p>
    <w:p>
      <w:pPr>
        <w:ind w:left="-799" w:right="100" w:firstLine="799"/>
        <w:spacing w:after="0" w:line="270" w:lineRule="auto"/>
        <w:tabs>
          <w:tab w:leader="none" w:pos="98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Capital Adjustments and Corporate Events</w:t>
      </w:r>
      <w:r>
        <w:rPr>
          <w:rFonts w:ascii="Arial" w:cs="Arial" w:eastAsia="Arial" w:hAnsi="Arial"/>
          <w:sz w:val="13"/>
          <w:szCs w:val="13"/>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and to the Performance Criteria set forth above,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06" w:lineRule="exact"/>
        <w:rPr>
          <w:rFonts w:ascii="Arial" w:cs="Arial" w:eastAsia="Arial" w:hAnsi="Arial"/>
          <w:sz w:val="13"/>
          <w:szCs w:val="13"/>
          <w:color w:val="auto"/>
        </w:rPr>
      </w:pPr>
    </w:p>
    <w:p>
      <w:pPr>
        <w:ind w:left="4801" w:hanging="76"/>
        <w:spacing w:after="0"/>
        <w:tabs>
          <w:tab w:leader="none" w:pos="4801" w:val="left"/>
        </w:tabs>
        <w:numPr>
          <w:ilvl w:val="1"/>
          <w:numId w:val="40"/>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718947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481"/>
          </w:cols>
          <w:pgMar w:left="1099" w:top="269" w:right="319" w:bottom="1440" w:gutter="0" w:footer="0" w:header="0"/>
        </w:sectPr>
      </w:pPr>
    </w:p>
    <w:bookmarkStart w:id="69" w:name="page70"/>
    <w:bookmarkEnd w:id="69"/>
    <w:p>
      <w:pPr>
        <w:jc w:val="right"/>
        <w:ind w:left="1" w:right="8340" w:hanging="1"/>
        <w:spacing w:after="0" w:line="491" w:lineRule="auto"/>
        <w:tabs>
          <w:tab w:leader="none" w:pos="973"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Refusal to Transfer</w:t>
      </w:r>
      <w:r>
        <w:rPr>
          <w:rFonts w:ascii="Arial" w:cs="Arial" w:eastAsia="Arial" w:hAnsi="Arial"/>
          <w:sz w:val="13"/>
          <w:szCs w:val="13"/>
          <w:color w:val="auto"/>
        </w:rPr>
        <w:t>. The Company shall not be required:</w:t>
      </w:r>
    </w:p>
    <w:p>
      <w:pPr>
        <w:ind w:left="1601" w:hanging="797"/>
        <w:spacing w:after="0"/>
        <w:tabs>
          <w:tab w:leader="none" w:pos="1601" w:val="left"/>
        </w:tabs>
        <w:numPr>
          <w:ilvl w:val="1"/>
          <w:numId w:val="41"/>
        </w:numPr>
        <w:rPr>
          <w:rFonts w:ascii="Arial" w:cs="Arial" w:eastAsia="Arial" w:hAnsi="Arial"/>
          <w:sz w:val="13"/>
          <w:szCs w:val="13"/>
          <w:color w:val="auto"/>
        </w:rPr>
      </w:pPr>
      <w:r>
        <w:rPr>
          <w:rFonts w:ascii="Arial" w:cs="Arial" w:eastAsia="Arial" w:hAnsi="Arial"/>
          <w:sz w:val="13"/>
          <w:szCs w:val="13"/>
          <w:color w:val="auto"/>
        </w:rPr>
        <w:t>to transfer on its books any Shares that have been sold or otherwise transferred in violation of any of the provisions of this Agreement or the Plan; or</w:t>
      </w:r>
    </w:p>
    <w:p>
      <w:pPr>
        <w:spacing w:after="0" w:line="156" w:lineRule="exact"/>
        <w:rPr>
          <w:rFonts w:ascii="Arial" w:cs="Arial" w:eastAsia="Arial" w:hAnsi="Arial"/>
          <w:sz w:val="13"/>
          <w:szCs w:val="13"/>
          <w:color w:val="auto"/>
        </w:rPr>
      </w:pPr>
    </w:p>
    <w:p>
      <w:pPr>
        <w:ind w:left="1601" w:right="20" w:hanging="797"/>
        <w:spacing w:after="0" w:line="273" w:lineRule="auto"/>
        <w:tabs>
          <w:tab w:leader="none" w:pos="1601" w:val="left"/>
        </w:tabs>
        <w:numPr>
          <w:ilvl w:val="1"/>
          <w:numId w:val="41"/>
        </w:numPr>
        <w:rPr>
          <w:rFonts w:ascii="Arial" w:cs="Arial" w:eastAsia="Arial" w:hAnsi="Arial"/>
          <w:sz w:val="14"/>
          <w:szCs w:val="14"/>
          <w:color w:val="auto"/>
        </w:rPr>
      </w:pPr>
      <w:r>
        <w:rPr>
          <w:rFonts w:ascii="Arial" w:cs="Arial" w:eastAsia="Arial" w:hAnsi="Arial"/>
          <w:sz w:val="14"/>
          <w:szCs w:val="14"/>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101" w:lineRule="exact"/>
        <w:rPr>
          <w:rFonts w:ascii="Arial" w:cs="Arial" w:eastAsia="Arial" w:hAnsi="Arial"/>
          <w:sz w:val="14"/>
          <w:szCs w:val="14"/>
          <w:color w:val="auto"/>
        </w:rPr>
      </w:pPr>
    </w:p>
    <w:p>
      <w:pPr>
        <w:ind w:left="981" w:hanging="981"/>
        <w:spacing w:after="0"/>
        <w:tabs>
          <w:tab w:leader="none" w:pos="981"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Legends</w:t>
      </w:r>
      <w:r>
        <w:rPr>
          <w:rFonts w:ascii="Arial" w:cs="Arial" w:eastAsia="Arial" w:hAnsi="Arial"/>
          <w:sz w:val="13"/>
          <w:szCs w:val="13"/>
          <w:color w:val="auto"/>
        </w:rPr>
        <w:t>. If the Shares are certificated, the certificate or certificates evidencing the Shares, if any, issued hereunder shall be endorsed with the following legend:</w:t>
      </w:r>
    </w:p>
    <w:p>
      <w:pPr>
        <w:spacing w:after="0" w:line="157" w:lineRule="exact"/>
        <w:rPr>
          <w:sz w:val="20"/>
          <w:szCs w:val="20"/>
          <w:color w:val="auto"/>
        </w:rPr>
      </w:pPr>
    </w:p>
    <w:p>
      <w:pPr>
        <w:ind w:left="801" w:right="1620"/>
        <w:spacing w:after="0" w:line="249" w:lineRule="auto"/>
        <w:rPr>
          <w:sz w:val="20"/>
          <w:szCs w:val="20"/>
          <w:color w:val="auto"/>
        </w:rPr>
      </w:pPr>
      <w:r>
        <w:rPr>
          <w:rFonts w:ascii="Arial" w:cs="Arial" w:eastAsia="Arial" w:hAnsi="Arial"/>
          <w:sz w:val="14"/>
          <w:szCs w:val="14"/>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19" w:lineRule="exact"/>
        <w:rPr>
          <w:sz w:val="20"/>
          <w:szCs w:val="20"/>
          <w:color w:val="auto"/>
        </w:rPr>
      </w:pPr>
    </w:p>
    <w:p>
      <w:pPr>
        <w:ind w:left="-799" w:right="100" w:firstLine="799"/>
        <w:spacing w:after="0" w:line="267" w:lineRule="auto"/>
        <w:tabs>
          <w:tab w:leader="none" w:pos="98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Tax Consequences</w:t>
      </w:r>
      <w:r>
        <w:rPr>
          <w:rFonts w:ascii="Arial" w:cs="Arial" w:eastAsia="Arial" w:hAnsi="Arial"/>
          <w:sz w:val="13"/>
          <w:szCs w:val="13"/>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09" w:lineRule="exact"/>
        <w:rPr>
          <w:rFonts w:ascii="Arial" w:cs="Arial" w:eastAsia="Arial" w:hAnsi="Arial"/>
          <w:sz w:val="13"/>
          <w:szCs w:val="13"/>
          <w:color w:val="auto"/>
        </w:rPr>
      </w:pPr>
    </w:p>
    <w:p>
      <w:pPr>
        <w:ind w:left="-799" w:firstLine="799"/>
        <w:spacing w:after="0" w:line="249" w:lineRule="auto"/>
        <w:tabs>
          <w:tab w:leader="none" w:pos="1052"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Withholding of Taxes</w:t>
      </w:r>
      <w:r>
        <w:rPr>
          <w:rFonts w:ascii="Arial" w:cs="Arial" w:eastAsia="Arial" w:hAnsi="Arial"/>
          <w:sz w:val="14"/>
          <w:szCs w:val="14"/>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 obligations. Further, any dividends paid to you pursuant to Section 5 above prior to the end of the Restriction Period will generally be subject to federal, state and local withholding, as appropriate, as additional compensation.</w:t>
      </w:r>
    </w:p>
    <w:p>
      <w:pPr>
        <w:spacing w:after="0" w:line="118" w:lineRule="exact"/>
        <w:rPr>
          <w:rFonts w:ascii="Arial" w:cs="Arial" w:eastAsia="Arial" w:hAnsi="Arial"/>
          <w:sz w:val="14"/>
          <w:szCs w:val="14"/>
          <w:color w:val="auto"/>
        </w:rPr>
      </w:pPr>
    </w:p>
    <w:p>
      <w:pPr>
        <w:ind w:left="-799" w:right="20" w:firstLine="799"/>
        <w:spacing w:after="0" w:line="273" w:lineRule="auto"/>
        <w:tabs>
          <w:tab w:leader="none" w:pos="1047"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Entire Agreement; Governing Law</w:t>
      </w:r>
      <w:r>
        <w:rPr>
          <w:rFonts w:ascii="Arial" w:cs="Arial" w:eastAsia="Arial" w:hAnsi="Arial"/>
          <w:sz w:val="14"/>
          <w:szCs w:val="14"/>
          <w:color w:val="auto"/>
        </w:rPr>
        <w:t>. The Plan and this Agreement constitute the entire agreement of the Company and the Grantee (collectively, the “</w:t>
      </w:r>
      <w:r>
        <w:rPr>
          <w:rFonts w:ascii="Arial" w:cs="Arial" w:eastAsia="Arial" w:hAnsi="Arial"/>
          <w:sz w:val="14"/>
          <w:szCs w:val="14"/>
          <w:u w:val="single" w:color="auto"/>
          <w:color w:val="auto"/>
        </w:rPr>
        <w:t>Parties</w:t>
      </w:r>
      <w:r>
        <w:rPr>
          <w:rFonts w:ascii="Arial" w:cs="Arial" w:eastAsia="Arial" w:hAnsi="Arial"/>
          <w:sz w:val="14"/>
          <w:szCs w:val="14"/>
          <w:color w:val="auto"/>
        </w:rPr>
        <w:t>”) with respect to the subject matter hereof and supersede in their entirety all prior undertakings and agreements of the Parties with</w:t>
      </w:r>
    </w:p>
    <w:p>
      <w:pPr>
        <w:spacing w:after="0" w:line="101" w:lineRule="exact"/>
        <w:rPr>
          <w:rFonts w:ascii="Arial" w:cs="Arial" w:eastAsia="Arial" w:hAnsi="Arial"/>
          <w:sz w:val="14"/>
          <w:szCs w:val="14"/>
          <w:color w:val="auto"/>
        </w:rPr>
      </w:pPr>
    </w:p>
    <w:p>
      <w:pPr>
        <w:ind w:left="4801" w:hanging="76"/>
        <w:spacing w:after="0"/>
        <w:tabs>
          <w:tab w:leader="none" w:pos="4801" w:val="left"/>
        </w:tabs>
        <w:numPr>
          <w:ilvl w:val="1"/>
          <w:numId w:val="42"/>
        </w:numPr>
        <w:rPr>
          <w:rFonts w:ascii="Arial" w:cs="Arial" w:eastAsia="Arial" w:hAnsi="Arial"/>
          <w:sz w:val="14"/>
          <w:szCs w:val="14"/>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718947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461"/>
          </w:cols>
          <w:pgMar w:left="1099" w:top="269" w:right="339" w:bottom="1440" w:gutter="0" w:footer="0" w:header="0"/>
        </w:sectPr>
      </w:pPr>
    </w:p>
    <w:bookmarkStart w:id="70" w:name="page71"/>
    <w:bookmarkEnd w:id="70"/>
    <w:p>
      <w:pPr>
        <w:ind w:right="140"/>
        <w:spacing w:after="0" w:line="273" w:lineRule="auto"/>
        <w:rPr>
          <w:sz w:val="20"/>
          <w:szCs w:val="20"/>
          <w:color w:val="auto"/>
        </w:rPr>
      </w:pPr>
      <w:r>
        <w:rPr>
          <w:rFonts w:ascii="Arial" w:cs="Arial" w:eastAsia="Arial" w:hAnsi="Arial"/>
          <w:sz w:val="13"/>
          <w:szCs w:val="13"/>
          <w:color w:val="auto"/>
        </w:rPr>
        <w:t>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04" w:lineRule="exact"/>
        <w:rPr>
          <w:sz w:val="20"/>
          <w:szCs w:val="20"/>
          <w:color w:val="auto"/>
        </w:rPr>
      </w:pPr>
    </w:p>
    <w:p>
      <w:pPr>
        <w:ind w:firstLine="799"/>
        <w:spacing w:after="0" w:line="252" w:lineRule="auto"/>
        <w:tabs>
          <w:tab w:leader="none" w:pos="1851"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Interpretive Matters</w:t>
      </w:r>
      <w:r>
        <w:rPr>
          <w:rFonts w:ascii="Arial" w:cs="Arial" w:eastAsia="Arial" w:hAnsi="Arial"/>
          <w:sz w:val="14"/>
          <w:szCs w:val="14"/>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15" w:lineRule="exact"/>
        <w:rPr>
          <w:rFonts w:ascii="Arial" w:cs="Arial" w:eastAsia="Arial" w:hAnsi="Arial"/>
          <w:sz w:val="14"/>
          <w:szCs w:val="14"/>
          <w:color w:val="auto"/>
        </w:rPr>
      </w:pPr>
    </w:p>
    <w:p>
      <w:pPr>
        <w:ind w:right="60" w:firstLine="799"/>
        <w:spacing w:after="0" w:line="252" w:lineRule="auto"/>
        <w:tabs>
          <w:tab w:leader="none" w:pos="1851"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15" w:lineRule="exact"/>
        <w:rPr>
          <w:rFonts w:ascii="Arial" w:cs="Arial" w:eastAsia="Arial" w:hAnsi="Arial"/>
          <w:sz w:val="14"/>
          <w:szCs w:val="14"/>
          <w:color w:val="auto"/>
        </w:rPr>
      </w:pPr>
    </w:p>
    <w:p>
      <w:pPr>
        <w:ind w:right="20" w:firstLine="799"/>
        <w:spacing w:after="0" w:line="257" w:lineRule="auto"/>
        <w:tabs>
          <w:tab w:leader="none" w:pos="1851"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1" w:name="page72"/>
    <w:bookmarkEnd w:id="71"/>
    <w:p>
      <w:pPr>
        <w:jc w:val="center"/>
        <w:ind w:right="480"/>
        <w:spacing w:after="0"/>
        <w:rPr>
          <w:sz w:val="20"/>
          <w:szCs w:val="20"/>
          <w:color w:val="auto"/>
        </w:rPr>
      </w:pPr>
      <w:r>
        <w:rPr>
          <w:rFonts w:ascii="Arial" w:cs="Arial" w:eastAsia="Arial" w:hAnsi="Arial"/>
          <w:sz w:val="14"/>
          <w:szCs w:val="14"/>
          <w:b w:val="1"/>
          <w:bCs w:val="1"/>
          <w:color w:val="auto"/>
        </w:rPr>
        <w:t>EAGLE MATERIALS INC</w:t>
      </w:r>
      <w:r>
        <w:rPr>
          <w:rFonts w:ascii="Arial" w:cs="Arial" w:eastAsia="Arial" w:hAnsi="Arial"/>
          <w:sz w:val="14"/>
          <w:szCs w:val="14"/>
          <w:color w:val="auto"/>
        </w:rPr>
        <w:t>.</w:t>
      </w:r>
    </w:p>
    <w:p>
      <w:pPr>
        <w:spacing w:after="0" w:line="311" w:lineRule="exact"/>
        <w:rPr>
          <w:sz w:val="20"/>
          <w:szCs w:val="20"/>
          <w:color w:val="auto"/>
        </w:rPr>
      </w:pPr>
    </w:p>
    <w:p>
      <w:pPr>
        <w:spacing w:after="0"/>
        <w:tabs>
          <w:tab w:leader="none" w:pos="2580" w:val="left"/>
        </w:tabs>
        <w:rPr>
          <w:sz w:val="20"/>
          <w:szCs w:val="20"/>
          <w:color w:val="auto"/>
        </w:rPr>
      </w:pPr>
      <w:r>
        <w:rPr>
          <w:rFonts w:ascii="Arial" w:cs="Arial" w:eastAsia="Arial" w:hAnsi="Arial"/>
          <w:sz w:val="14"/>
          <w:szCs w:val="14"/>
          <w:color w:val="auto"/>
        </w:rPr>
        <w:t>Dated: May ____, 2020</w:t>
      </w:r>
      <w:r>
        <w:rPr>
          <w:sz w:val="20"/>
          <w:szCs w:val="20"/>
          <w:color w:val="auto"/>
        </w:rPr>
        <w:tab/>
      </w: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9525</wp:posOffset>
            </wp:positionV>
            <wp:extent cx="181737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817370" cy="5715"/>
                    </a:xfrm>
                    <a:prstGeom prst="rect">
                      <a:avLst/>
                    </a:prstGeom>
                    <a:noFill/>
                  </pic:spPr>
                </pic:pic>
              </a:graphicData>
            </a:graphic>
          </wp:anchor>
        </w:drawing>
      </w:r>
    </w:p>
    <w:p>
      <w:pPr>
        <w:spacing w:after="0" w:line="1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Michael Haack</w:t>
      </w:r>
    </w:p>
    <w:p>
      <w:pPr>
        <w:spacing w:after="0" w:line="145"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Its:</w:t>
      </w:r>
      <w:r>
        <w:rPr>
          <w:sz w:val="20"/>
          <w:szCs w:val="20"/>
          <w:color w:val="auto"/>
        </w:rPr>
        <w:tab/>
      </w:r>
      <w:r>
        <w:rPr>
          <w:rFonts w:ascii="Arial" w:cs="Arial" w:eastAsia="Arial" w:hAnsi="Arial"/>
          <w:sz w:val="14"/>
          <w:szCs w:val="14"/>
          <w:color w:val="auto"/>
        </w:rPr>
        <w:t>President and CEO</w:t>
      </w:r>
    </w:p>
    <w:p>
      <w:pPr>
        <w:spacing w:after="0" w:line="145"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3"/>
          <w:szCs w:val="13"/>
          <w:color w:val="auto"/>
        </w:rPr>
        <w:t>5960 Berkshire Ln. Suite 900</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Dallas, Texas 75225</w:t>
      </w:r>
    </w:p>
    <w:p>
      <w:pPr>
        <w:spacing w:after="0" w:line="133" w:lineRule="exact"/>
        <w:rPr>
          <w:sz w:val="20"/>
          <w:szCs w:val="20"/>
          <w:color w:val="auto"/>
        </w:rPr>
      </w:pPr>
    </w:p>
    <w:p>
      <w:pPr>
        <w:ind w:right="80" w:firstLine="807"/>
        <w:spacing w:after="0" w:line="252" w:lineRule="auto"/>
        <w:rPr>
          <w:sz w:val="20"/>
          <w:szCs w:val="20"/>
          <w:color w:val="auto"/>
        </w:rPr>
      </w:pPr>
      <w:r>
        <w:rPr>
          <w:rFonts w:ascii="Arial" w:cs="Arial" w:eastAsia="Arial" w:hAnsi="Arial"/>
          <w:sz w:val="14"/>
          <w:szCs w:val="14"/>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Dated: , 2020</w:t>
            </w:r>
          </w:p>
        </w:tc>
        <w:tc>
          <w:tcPr>
            <w:tcW w:w="1480" w:type="dxa"/>
            <w:vAlign w:val="bottom"/>
          </w:tcPr>
          <w:p>
            <w:pPr>
              <w:ind w:left="900"/>
              <w:spacing w:after="0"/>
              <w:rPr>
                <w:sz w:val="20"/>
                <w:szCs w:val="20"/>
                <w:color w:val="auto"/>
              </w:rPr>
            </w:pPr>
            <w:r>
              <w:rPr>
                <w:rFonts w:ascii="Arial" w:cs="Arial" w:eastAsia="Arial" w:hAnsi="Arial"/>
                <w:sz w:val="14"/>
                <w:szCs w:val="14"/>
                <w:color w:val="auto"/>
              </w:rPr>
              <w:t>Signed:</w:t>
            </w:r>
          </w:p>
        </w:tc>
        <w:tc>
          <w:tcPr>
            <w:tcW w:w="8140" w:type="dxa"/>
            <w:vAlign w:val="bottom"/>
          </w:tcPr>
          <w:p>
            <w:pPr>
              <w:ind w:left="60"/>
              <w:spacing w:after="0"/>
              <w:rPr>
                <w:sz w:val="20"/>
                <w:szCs w:val="20"/>
                <w:color w:val="auto"/>
              </w:rPr>
            </w:pPr>
            <w:r>
              <w:rPr>
                <w:rFonts w:ascii="Arial" w:cs="Arial" w:eastAsia="Arial" w:hAnsi="Arial"/>
                <w:sz w:val="14"/>
                <w:szCs w:val="14"/>
                <w:color w:val="auto"/>
              </w:rPr>
              <w:t>_____________________________________</w:t>
            </w:r>
          </w:p>
        </w:tc>
      </w:tr>
      <w:tr>
        <w:trPr>
          <w:trHeight w:val="306"/>
        </w:trPr>
        <w:tc>
          <w:tcPr>
            <w:tcW w:w="1700" w:type="dxa"/>
            <w:vAlign w:val="bottom"/>
          </w:tcPr>
          <w:p>
            <w:pPr>
              <w:spacing w:after="0"/>
              <w:rPr>
                <w:sz w:val="24"/>
                <w:szCs w:val="24"/>
                <w:color w:val="auto"/>
              </w:rPr>
            </w:pPr>
          </w:p>
        </w:tc>
        <w:tc>
          <w:tcPr>
            <w:tcW w:w="1480" w:type="dxa"/>
            <w:vAlign w:val="bottom"/>
          </w:tcPr>
          <w:p>
            <w:pPr>
              <w:ind w:left="900"/>
              <w:spacing w:after="0"/>
              <w:rPr>
                <w:sz w:val="20"/>
                <w:szCs w:val="20"/>
                <w:color w:val="auto"/>
              </w:rPr>
            </w:pPr>
            <w:r>
              <w:rPr>
                <w:rFonts w:ascii="Arial" w:cs="Arial" w:eastAsia="Arial" w:hAnsi="Arial"/>
                <w:sz w:val="14"/>
                <w:szCs w:val="14"/>
                <w:color w:val="auto"/>
              </w:rPr>
              <w:t>Name:</w:t>
            </w:r>
          </w:p>
        </w:tc>
        <w:tc>
          <w:tcPr>
            <w:tcW w:w="8140" w:type="dxa"/>
            <w:vAlign w:val="bottom"/>
          </w:tcPr>
          <w:p>
            <w:pPr>
              <w:ind w:left="60"/>
              <w:spacing w:after="0"/>
              <w:rPr>
                <w:sz w:val="20"/>
                <w:szCs w:val="20"/>
                <w:color w:val="auto"/>
              </w:rPr>
            </w:pPr>
            <w:r>
              <w:rPr>
                <w:rFonts w:ascii="Arial" w:cs="Arial" w:eastAsia="Arial" w:hAnsi="Arial"/>
                <w:sz w:val="14"/>
                <w:szCs w:val="14"/>
                <w:color w:val="auto"/>
              </w:rPr>
              <w:t>__________</w:t>
            </w:r>
          </w:p>
        </w:tc>
      </w:tr>
      <w:tr>
        <w:trPr>
          <w:trHeight w:val="450"/>
        </w:trPr>
        <w:tc>
          <w:tcPr>
            <w:tcW w:w="1700" w:type="dxa"/>
            <w:vAlign w:val="bottom"/>
          </w:tcPr>
          <w:p>
            <w:pPr>
              <w:spacing w:after="0"/>
              <w:rPr>
                <w:sz w:val="24"/>
                <w:szCs w:val="24"/>
                <w:color w:val="auto"/>
              </w:rPr>
            </w:pPr>
          </w:p>
        </w:tc>
        <w:tc>
          <w:tcPr>
            <w:tcW w:w="1480" w:type="dxa"/>
            <w:vAlign w:val="bottom"/>
          </w:tcPr>
          <w:p>
            <w:pPr>
              <w:ind w:left="900"/>
              <w:spacing w:after="0"/>
              <w:rPr>
                <w:sz w:val="20"/>
                <w:szCs w:val="20"/>
                <w:color w:val="auto"/>
              </w:rPr>
            </w:pPr>
            <w:r>
              <w:rPr>
                <w:rFonts w:ascii="Arial" w:cs="Arial" w:eastAsia="Arial" w:hAnsi="Arial"/>
                <w:sz w:val="14"/>
                <w:szCs w:val="14"/>
                <w:color w:val="auto"/>
              </w:rPr>
              <w:t>Address:</w:t>
            </w:r>
          </w:p>
        </w:tc>
        <w:tc>
          <w:tcPr>
            <w:tcW w:w="8140" w:type="dxa"/>
            <w:vAlign w:val="bottom"/>
          </w:tcPr>
          <w:p>
            <w:pPr>
              <w:ind w:left="60"/>
              <w:spacing w:after="0"/>
              <w:rPr>
                <w:sz w:val="20"/>
                <w:szCs w:val="20"/>
                <w:color w:val="auto"/>
              </w:rPr>
            </w:pPr>
            <w:r>
              <w:rPr>
                <w:rFonts w:ascii="Arial" w:cs="Arial" w:eastAsia="Arial" w:hAnsi="Arial"/>
                <w:sz w:val="14"/>
                <w:szCs w:val="14"/>
                <w:color w:val="auto"/>
              </w:rPr>
              <w:t>Eagle Materials Inc.</w:t>
            </w:r>
          </w:p>
        </w:tc>
      </w:tr>
      <w:tr>
        <w:trPr>
          <w:trHeight w:val="234"/>
        </w:trPr>
        <w:tc>
          <w:tcPr>
            <w:tcW w:w="1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140" w:type="dxa"/>
            <w:vAlign w:val="bottom"/>
          </w:tcPr>
          <w:p>
            <w:pPr>
              <w:ind w:left="60"/>
              <w:spacing w:after="0"/>
              <w:rPr>
                <w:sz w:val="20"/>
                <w:szCs w:val="20"/>
                <w:color w:val="auto"/>
              </w:rPr>
            </w:pPr>
            <w:r>
              <w:rPr>
                <w:rFonts w:ascii="Arial" w:cs="Arial" w:eastAsia="Arial" w:hAnsi="Arial"/>
                <w:sz w:val="14"/>
                <w:szCs w:val="14"/>
                <w:color w:val="auto"/>
              </w:rPr>
              <w:t>5960 Berkshire Ln., Suite 900</w:t>
            </w:r>
          </w:p>
        </w:tc>
      </w:tr>
      <w:tr>
        <w:trPr>
          <w:trHeight w:val="234"/>
        </w:trPr>
        <w:tc>
          <w:tcPr>
            <w:tcW w:w="1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140" w:type="dxa"/>
            <w:vAlign w:val="bottom"/>
          </w:tcPr>
          <w:p>
            <w:pPr>
              <w:ind w:left="60"/>
              <w:spacing w:after="0"/>
              <w:rPr>
                <w:sz w:val="20"/>
                <w:szCs w:val="20"/>
                <w:color w:val="auto"/>
              </w:rPr>
            </w:pPr>
            <w:r>
              <w:rPr>
                <w:rFonts w:ascii="Arial" w:cs="Arial" w:eastAsia="Arial" w:hAnsi="Arial"/>
                <w:sz w:val="14"/>
                <w:szCs w:val="14"/>
                <w:color w:val="auto"/>
              </w:rPr>
              <w:t>Dallas, Texas 75225</w:t>
            </w:r>
          </w:p>
        </w:tc>
      </w:tr>
      <w:tr>
        <w:trPr>
          <w:trHeight w:val="666"/>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140" w:type="dxa"/>
            <w:vAlign w:val="bottom"/>
          </w:tcPr>
          <w:p>
            <w:pPr>
              <w:ind w:left="2340"/>
              <w:spacing w:after="0"/>
              <w:rPr>
                <w:sz w:val="20"/>
                <w:szCs w:val="20"/>
                <w:color w:val="auto"/>
              </w:rPr>
            </w:pPr>
            <w:r>
              <w:rPr>
                <w:rFonts w:ascii="Arial" w:cs="Arial" w:eastAsia="Arial" w:hAnsi="Arial"/>
                <w:sz w:val="14"/>
                <w:szCs w:val="14"/>
                <w:color w:val="auto"/>
              </w:rPr>
              <w:t>- 6 -</w:t>
            </w:r>
          </w:p>
        </w:tc>
      </w:tr>
      <w:tr>
        <w:trPr>
          <w:trHeight w:val="66"/>
        </w:trPr>
        <w:tc>
          <w:tcPr>
            <w:tcW w:w="1700" w:type="dxa"/>
            <w:vAlign w:val="bottom"/>
            <w:tcBorders>
              <w:bottom w:val="single" w:sz="8" w:color="9A9A9A"/>
            </w:tcBorders>
          </w:tcPr>
          <w:p>
            <w:pPr>
              <w:spacing w:after="0"/>
              <w:rPr>
                <w:sz w:val="5"/>
                <w:szCs w:val="5"/>
                <w:color w:val="auto"/>
              </w:rPr>
            </w:pPr>
          </w:p>
        </w:tc>
        <w:tc>
          <w:tcPr>
            <w:tcW w:w="1480" w:type="dxa"/>
            <w:vAlign w:val="bottom"/>
            <w:tcBorders>
              <w:bottom w:val="single" w:sz="8" w:color="9A9A9A"/>
            </w:tcBorders>
          </w:tcPr>
          <w:p>
            <w:pPr>
              <w:spacing w:after="0"/>
              <w:rPr>
                <w:sz w:val="5"/>
                <w:szCs w:val="5"/>
                <w:color w:val="auto"/>
              </w:rPr>
            </w:pPr>
          </w:p>
        </w:tc>
        <w:tc>
          <w:tcPr>
            <w:tcW w:w="81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65" w:right="27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CHANGE-IN-CONTROL</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the purpose of this Agreement, a "Change in Control" shall mean the occurrence of any of the following events:</w:t>
      </w:r>
    </w:p>
    <w:p>
      <w:pPr>
        <w:spacing w:after="0" w:line="73" w:lineRule="exact"/>
        <w:rPr>
          <w:sz w:val="20"/>
          <w:szCs w:val="20"/>
          <w:color w:val="auto"/>
        </w:rPr>
      </w:pPr>
    </w:p>
    <w:p>
      <w:pPr>
        <w:ind w:right="100" w:firstLine="807"/>
        <w:spacing w:after="0" w:line="249" w:lineRule="auto"/>
        <w:rPr>
          <w:sz w:val="20"/>
          <w:szCs w:val="20"/>
          <w:color w:val="auto"/>
        </w:rPr>
      </w:pPr>
      <w:r>
        <w:rPr>
          <w:rFonts w:ascii="Arial" w:cs="Arial" w:eastAsia="Arial" w:hAnsi="Arial"/>
          <w:sz w:val="14"/>
          <w:szCs w:val="14"/>
          <w:color w:val="auto"/>
        </w:rPr>
        <w:t>(a)The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47" w:lineRule="exact"/>
        <w:rPr>
          <w:sz w:val="20"/>
          <w:szCs w:val="20"/>
          <w:color w:val="auto"/>
        </w:rPr>
      </w:pPr>
    </w:p>
    <w:p>
      <w:pPr>
        <w:ind w:right="20" w:firstLine="807"/>
        <w:spacing w:after="0" w:line="247" w:lineRule="auto"/>
        <w:rPr>
          <w:sz w:val="20"/>
          <w:szCs w:val="20"/>
          <w:color w:val="auto"/>
        </w:rPr>
      </w:pPr>
      <w:r>
        <w:rPr>
          <w:rFonts w:ascii="Arial" w:cs="Arial" w:eastAsia="Arial" w:hAnsi="Arial"/>
          <w:sz w:val="14"/>
          <w:szCs w:val="14"/>
          <w:color w:val="auto"/>
        </w:rPr>
        <w:t>(b)Individuals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50" w:lineRule="exact"/>
        <w:rPr>
          <w:sz w:val="20"/>
          <w:szCs w:val="20"/>
          <w:color w:val="auto"/>
        </w:rPr>
      </w:pPr>
    </w:p>
    <w:p>
      <w:pPr>
        <w:ind w:right="80" w:firstLine="807"/>
        <w:spacing w:after="0" w:line="245" w:lineRule="auto"/>
        <w:rPr>
          <w:sz w:val="20"/>
          <w:szCs w:val="20"/>
          <w:color w:val="auto"/>
        </w:rPr>
      </w:pPr>
      <w:r>
        <w:rPr>
          <w:rFonts w:ascii="Arial" w:cs="Arial" w:eastAsia="Arial" w:hAnsi="Arial"/>
          <w:sz w:val="14"/>
          <w:szCs w:val="14"/>
          <w:color w:val="auto"/>
        </w:rPr>
        <w:t>(c)The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51" w:lineRule="exact"/>
        <w:rPr>
          <w:sz w:val="20"/>
          <w:szCs w:val="20"/>
          <w:color w:val="auto"/>
        </w:rPr>
      </w:pPr>
    </w:p>
    <w:p>
      <w:pPr>
        <w:ind w:firstLine="807"/>
        <w:spacing w:after="0" w:line="252" w:lineRule="auto"/>
        <w:rPr>
          <w:sz w:val="20"/>
          <w:szCs w:val="20"/>
          <w:color w:val="auto"/>
        </w:rPr>
      </w:pPr>
      <w:r>
        <w:rPr>
          <w:rFonts w:ascii="Arial" w:cs="Arial" w:eastAsia="Arial" w:hAnsi="Arial"/>
          <w:sz w:val="14"/>
          <w:szCs w:val="14"/>
          <w:color w:val="auto"/>
        </w:rPr>
        <w:t>(d)Approval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718947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73" w:name="page74"/>
    <w:bookmarkEnd w:id="73"/>
    <w:p>
      <w:pPr>
        <w:ind w:right="40"/>
        <w:spacing w:after="0" w:line="249" w:lineRule="auto"/>
        <w:rPr>
          <w:sz w:val="20"/>
          <w:szCs w:val="20"/>
          <w:color w:val="auto"/>
        </w:rPr>
      </w:pPr>
      <w:r>
        <w:rPr>
          <w:rFonts w:ascii="Arial" w:cs="Arial" w:eastAsia="Arial" w:hAnsi="Arial"/>
          <w:sz w:val="14"/>
          <w:szCs w:val="14"/>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purposes of the foregoing,</w:t>
      </w:r>
    </w:p>
    <w:p>
      <w:pPr>
        <w:spacing w:after="0" w:line="73" w:lineRule="exact"/>
        <w:rPr>
          <w:sz w:val="20"/>
          <w:szCs w:val="20"/>
          <w:color w:val="auto"/>
        </w:rPr>
      </w:pPr>
    </w:p>
    <w:p>
      <w:pPr>
        <w:ind w:left="1600" w:hanging="807"/>
        <w:spacing w:after="0"/>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Person</w:t>
      </w:r>
      <w:r>
        <w:rPr>
          <w:rFonts w:ascii="Arial" w:cs="Arial" w:eastAsia="Arial" w:hAnsi="Arial"/>
          <w:sz w:val="14"/>
          <w:szCs w:val="14"/>
          <w:color w:val="auto"/>
        </w:rPr>
        <w:t>" means an individual, entity or group;</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group</w:t>
      </w:r>
      <w:r>
        <w:rPr>
          <w:rFonts w:ascii="Arial" w:cs="Arial" w:eastAsia="Arial" w:hAnsi="Arial"/>
          <w:sz w:val="14"/>
          <w:szCs w:val="14"/>
          <w:color w:val="auto"/>
        </w:rPr>
        <w:t>" is used as it is defined for purposes of Section 13(d)(3) of the Exchange Act;</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terms "</w:t>
      </w:r>
      <w:r>
        <w:rPr>
          <w:rFonts w:ascii="Arial" w:cs="Arial" w:eastAsia="Arial" w:hAnsi="Arial"/>
          <w:sz w:val="14"/>
          <w:szCs w:val="14"/>
          <w:i w:val="1"/>
          <w:iCs w:val="1"/>
          <w:color w:val="auto"/>
        </w:rPr>
        <w:t>beneficial owner</w:t>
      </w:r>
      <w:r>
        <w:rPr>
          <w:rFonts w:ascii="Arial" w:cs="Arial" w:eastAsia="Arial" w:hAnsi="Arial"/>
          <w:sz w:val="14"/>
          <w:szCs w:val="14"/>
          <w:color w:val="auto"/>
        </w:rPr>
        <w:t>", "</w:t>
      </w:r>
      <w:r>
        <w:rPr>
          <w:rFonts w:ascii="Arial" w:cs="Arial" w:eastAsia="Arial" w:hAnsi="Arial"/>
          <w:sz w:val="14"/>
          <w:szCs w:val="14"/>
          <w:i w:val="1"/>
          <w:iCs w:val="1"/>
          <w:color w:val="auto"/>
        </w:rPr>
        <w:t>beneficial ownership</w:t>
      </w:r>
      <w:r>
        <w:rPr>
          <w:rFonts w:ascii="Arial" w:cs="Arial" w:eastAsia="Arial" w:hAnsi="Arial"/>
          <w:sz w:val="14"/>
          <w:szCs w:val="14"/>
          <w:color w:val="auto"/>
        </w:rPr>
        <w:t>" and "</w:t>
      </w:r>
      <w:r>
        <w:rPr>
          <w:rFonts w:ascii="Arial" w:cs="Arial" w:eastAsia="Arial" w:hAnsi="Arial"/>
          <w:sz w:val="14"/>
          <w:szCs w:val="14"/>
          <w:i w:val="1"/>
          <w:iCs w:val="1"/>
          <w:color w:val="auto"/>
        </w:rPr>
        <w:t>beneficially own</w:t>
      </w:r>
      <w:r>
        <w:rPr>
          <w:rFonts w:ascii="Arial" w:cs="Arial" w:eastAsia="Arial" w:hAnsi="Arial"/>
          <w:sz w:val="14"/>
          <w:szCs w:val="14"/>
          <w:color w:val="auto"/>
        </w:rPr>
        <w:t>" are used as defined for purposes of Rule 13d-3 under the Exchange Act;</w:t>
      </w:r>
    </w:p>
    <w:p>
      <w:pPr>
        <w:spacing w:after="0" w:line="73" w:lineRule="exact"/>
        <w:rPr>
          <w:rFonts w:ascii="Arial" w:cs="Arial" w:eastAsia="Arial" w:hAnsi="Arial"/>
          <w:sz w:val="14"/>
          <w:szCs w:val="14"/>
          <w:color w:val="auto"/>
        </w:rPr>
      </w:pPr>
    </w:p>
    <w:p>
      <w:pPr>
        <w:ind w:left="1600" w:right="440" w:hanging="807"/>
        <w:spacing w:after="0" w:line="273"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Business Combination</w:t>
      </w:r>
      <w:r>
        <w:rPr>
          <w:rFonts w:ascii="Arial" w:cs="Arial" w:eastAsia="Arial" w:hAnsi="Arial"/>
          <w:sz w:val="14"/>
          <w:szCs w:val="14"/>
          <w:color w:val="auto"/>
        </w:rPr>
        <w:t>" means (x) a merger, consolidation or share exchange involving the Company or its stock or (y) an acquisition by the Company, directly or through one or more subsidiaries, of another entity or its stock or assets;</w:t>
      </w:r>
    </w:p>
    <w:p>
      <w:pPr>
        <w:spacing w:after="0" w:line="29" w:lineRule="exact"/>
        <w:rPr>
          <w:rFonts w:ascii="Arial" w:cs="Arial" w:eastAsia="Arial" w:hAnsi="Arial"/>
          <w:sz w:val="14"/>
          <w:szCs w:val="14"/>
          <w:color w:val="auto"/>
        </w:rPr>
      </w:pPr>
    </w:p>
    <w:p>
      <w:pPr>
        <w:ind w:left="1600" w:hanging="807"/>
        <w:spacing w:after="0"/>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Company Common Stock</w:t>
      </w:r>
      <w:r>
        <w:rPr>
          <w:rFonts w:ascii="Arial" w:cs="Arial" w:eastAsia="Arial" w:hAnsi="Arial"/>
          <w:sz w:val="14"/>
          <w:szCs w:val="14"/>
          <w:color w:val="auto"/>
        </w:rPr>
        <w:t>" shall mean the Common Stock, par value $.01 per share, of the Company;</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Exchange Act</w:t>
      </w:r>
      <w:r>
        <w:rPr>
          <w:rFonts w:ascii="Arial" w:cs="Arial" w:eastAsia="Arial" w:hAnsi="Arial"/>
          <w:sz w:val="14"/>
          <w:szCs w:val="14"/>
          <w:color w:val="auto"/>
        </w:rPr>
        <w:t>" means the Securities Exchange Act of 1934, as amended;</w:t>
      </w:r>
    </w:p>
    <w:p>
      <w:pPr>
        <w:spacing w:after="0" w:line="73" w:lineRule="exact"/>
        <w:rPr>
          <w:rFonts w:ascii="Arial" w:cs="Arial" w:eastAsia="Arial" w:hAnsi="Arial"/>
          <w:sz w:val="14"/>
          <w:szCs w:val="14"/>
          <w:color w:val="auto"/>
        </w:rPr>
      </w:pPr>
    </w:p>
    <w:p>
      <w:pPr>
        <w:ind w:left="1600" w:right="160" w:hanging="807"/>
        <w:spacing w:after="0" w:line="257"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phrase "</w:t>
      </w:r>
      <w:r>
        <w:rPr>
          <w:rFonts w:ascii="Arial" w:cs="Arial" w:eastAsia="Arial" w:hAnsi="Arial"/>
          <w:sz w:val="14"/>
          <w:szCs w:val="14"/>
          <w:i w:val="1"/>
          <w:iCs w:val="1"/>
          <w:color w:val="auto"/>
        </w:rPr>
        <w:t>parent corporation resulting from a Business Combination</w:t>
      </w:r>
      <w:r>
        <w:rPr>
          <w:rFonts w:ascii="Arial" w:cs="Arial" w:eastAsia="Arial" w:hAnsi="Arial"/>
          <w:sz w:val="14"/>
          <w:szCs w:val="14"/>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40" w:lineRule="exact"/>
        <w:rPr>
          <w:rFonts w:ascii="Arial" w:cs="Arial" w:eastAsia="Arial" w:hAnsi="Arial"/>
          <w:sz w:val="14"/>
          <w:szCs w:val="14"/>
          <w:color w:val="auto"/>
        </w:rPr>
      </w:pPr>
    </w:p>
    <w:p>
      <w:pPr>
        <w:ind w:left="1600" w:hanging="807"/>
        <w:spacing w:after="0" w:line="257"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Major Asset Disposition</w:t>
      </w:r>
      <w:r>
        <w:rPr>
          <w:rFonts w:ascii="Arial" w:cs="Arial" w:eastAsia="Arial" w:hAnsi="Arial"/>
          <w:sz w:val="14"/>
          <w:szCs w:val="14"/>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40" w:lineRule="exact"/>
        <w:rPr>
          <w:rFonts w:ascii="Arial" w:cs="Arial" w:eastAsia="Arial" w:hAnsi="Arial"/>
          <w:sz w:val="14"/>
          <w:szCs w:val="14"/>
          <w:color w:val="auto"/>
        </w:rPr>
      </w:pPr>
    </w:p>
    <w:p>
      <w:pPr>
        <w:ind w:left="1600" w:right="200" w:hanging="807"/>
        <w:spacing w:after="0" w:line="257"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Acquiring Entity</w:t>
      </w:r>
      <w:r>
        <w:rPr>
          <w:rFonts w:ascii="Arial" w:cs="Arial" w:eastAsia="Arial" w:hAnsi="Arial"/>
          <w:sz w:val="14"/>
          <w:szCs w:val="14"/>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40" w:lineRule="exact"/>
        <w:rPr>
          <w:rFonts w:ascii="Arial" w:cs="Arial" w:eastAsia="Arial" w:hAnsi="Arial"/>
          <w:sz w:val="14"/>
          <w:szCs w:val="14"/>
          <w:color w:val="auto"/>
        </w:rPr>
      </w:pPr>
    </w:p>
    <w:p>
      <w:pPr>
        <w:jc w:val="both"/>
        <w:ind w:left="1600" w:right="80" w:hanging="807"/>
        <w:spacing w:after="0" w:line="277" w:lineRule="auto"/>
        <w:tabs>
          <w:tab w:leader="none" w:pos="16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phrase "</w:t>
      </w:r>
      <w:r>
        <w:rPr>
          <w:rFonts w:ascii="Arial" w:cs="Arial" w:eastAsia="Arial" w:hAnsi="Arial"/>
          <w:sz w:val="13"/>
          <w:szCs w:val="13"/>
          <w:i w:val="1"/>
          <w:iCs w:val="1"/>
          <w:color w:val="auto"/>
        </w:rPr>
        <w:t>substantially the same proportions</w:t>
      </w:r>
      <w:r>
        <w:rPr>
          <w:rFonts w:ascii="Arial" w:cs="Arial" w:eastAsia="Arial" w:hAnsi="Arial"/>
          <w:sz w:val="13"/>
          <w:szCs w:val="13"/>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174" w:lineRule="exact"/>
        <w:rPr>
          <w:sz w:val="20"/>
          <w:szCs w:val="20"/>
          <w:color w:val="auto"/>
        </w:rPr>
      </w:pPr>
    </w:p>
    <w:p>
      <w:pPr>
        <w:jc w:val="center"/>
        <w:ind w:left="400"/>
        <w:spacing w:after="0"/>
        <w:rPr>
          <w:sz w:val="20"/>
          <w:szCs w:val="20"/>
          <w:color w:val="auto"/>
        </w:rPr>
      </w:pPr>
      <w:r>
        <w:rPr>
          <w:rFonts w:ascii="Arial" w:cs="Arial" w:eastAsia="Arial" w:hAnsi="Arial"/>
          <w:sz w:val="14"/>
          <w:szCs w:val="14"/>
          <w:color w:val="auto"/>
        </w:rPr>
        <w:t>EXHIBIT A - 2</w:t>
      </w:r>
    </w:p>
    <w:p>
      <w:pPr>
        <w:sectPr>
          <w:pgSz w:w="11900" w:h="16838" w:orient="portrait"/>
          <w:cols w:equalWidth="0" w:num="1">
            <w:col w:w="11300"/>
          </w:cols>
          <w:pgMar w:left="300" w:top="269" w:right="299" w:bottom="1440" w:gutter="0" w:footer="0" w:header="0"/>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EXHIBIT 10.6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EAGLE MATERIALS INC</w:t>
      </w:r>
      <w:r>
        <w:rPr>
          <w:rFonts w:ascii="Arial" w:cs="Arial" w:eastAsia="Arial" w:hAnsi="Arial"/>
          <w:sz w:val="14"/>
          <w:szCs w:val="14"/>
          <w:b w:val="1"/>
          <w:bCs w:val="1"/>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INCENTIVE PLAN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(Time Vesting)</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AGLE</w:t>
      </w:r>
      <w:r>
        <w:rPr>
          <w:rFonts w:ascii="Arial" w:cs="Arial" w:eastAsia="Arial" w:hAnsi="Arial"/>
          <w:sz w:val="13"/>
          <w:szCs w:val="13"/>
          <w:color w:val="auto"/>
        </w:rPr>
        <w:t xml:space="preserve"> M</w:t>
      </w:r>
      <w:r>
        <w:rPr>
          <w:rFonts w:ascii="Arial" w:cs="Arial" w:eastAsia="Arial" w:hAnsi="Arial"/>
          <w:sz w:val="8"/>
          <w:szCs w:val="8"/>
          <w:color w:val="auto"/>
        </w:rPr>
        <w:t>ATERIALS</w:t>
      </w:r>
      <w:r>
        <w:rPr>
          <w:rFonts w:ascii="Arial" w:cs="Arial" w:eastAsia="Arial" w:hAnsi="Arial"/>
          <w:sz w:val="13"/>
          <w:szCs w:val="13"/>
          <w:color w:val="auto"/>
        </w:rPr>
        <w:t xml:space="preserve"> I</w:t>
      </w:r>
      <w:r>
        <w:rPr>
          <w:rFonts w:ascii="Arial" w:cs="Arial" w:eastAsia="Arial" w:hAnsi="Arial"/>
          <w:sz w:val="8"/>
          <w:szCs w:val="8"/>
          <w:color w:val="auto"/>
        </w:rPr>
        <w:t>NC</w:t>
      </w:r>
      <w:r>
        <w:rPr>
          <w:rFonts w:ascii="Arial" w:cs="Arial" w:eastAsia="Arial" w:hAnsi="Arial"/>
          <w:sz w:val="13"/>
          <w:szCs w:val="13"/>
          <w:color w:val="auto"/>
        </w:rPr>
        <w:t>.,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________________ (the "</w:t>
      </w:r>
      <w:r>
        <w:rPr>
          <w:rFonts w:ascii="Arial" w:cs="Arial" w:eastAsia="Arial" w:hAnsi="Arial"/>
          <w:sz w:val="13"/>
          <w:szCs w:val="13"/>
          <w:u w:val="single" w:color="auto"/>
          <w:color w:val="auto"/>
        </w:rPr>
        <w:t>Grantee</w:t>
      </w:r>
      <w:r>
        <w:rPr>
          <w:rFonts w:ascii="Arial" w:cs="Arial" w:eastAsia="Arial" w:hAnsi="Arial"/>
          <w:sz w:val="13"/>
          <w:szCs w:val="13"/>
          <w:color w:val="auto"/>
        </w:rPr>
        <w:t>") hereby enter into this Restricted Stock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in</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order to set forth the terms and conditions of the Company’s award (the "</w:t>
      </w:r>
      <w:r>
        <w:rPr>
          <w:rFonts w:ascii="Arial" w:cs="Arial" w:eastAsia="Arial" w:hAnsi="Arial"/>
          <w:sz w:val="14"/>
          <w:szCs w:val="14"/>
          <w:u w:val="single" w:color="auto"/>
          <w:color w:val="auto"/>
        </w:rPr>
        <w:t>Award</w:t>
      </w:r>
      <w:r>
        <w:rPr>
          <w:rFonts w:ascii="Arial" w:cs="Arial" w:eastAsia="Arial" w:hAnsi="Arial"/>
          <w:sz w:val="14"/>
          <w:szCs w:val="14"/>
          <w:color w:val="auto"/>
        </w:rPr>
        <w:t>") to the Grantee of certain shares of Common Stock of the Company granted to the Grantee on May 19, 2020 (the "</w:t>
      </w:r>
      <w:r>
        <w:rPr>
          <w:rFonts w:ascii="Arial" w:cs="Arial" w:eastAsia="Arial" w:hAnsi="Arial"/>
          <w:sz w:val="14"/>
          <w:szCs w:val="14"/>
          <w:u w:val="single" w:color="auto"/>
          <w:color w:val="auto"/>
        </w:rPr>
        <w:t>Award Date</w:t>
      </w:r>
      <w:r>
        <w:rPr>
          <w:rFonts w:ascii="Arial" w:cs="Arial" w:eastAsia="Arial" w:hAnsi="Arial"/>
          <w:sz w:val="14"/>
          <w:szCs w:val="14"/>
          <w:color w:val="auto"/>
        </w:rPr>
        <w:t>").</w:t>
      </w:r>
    </w:p>
    <w:p>
      <w:pPr>
        <w:spacing w:after="0" w:line="114" w:lineRule="exact"/>
        <w:rPr>
          <w:sz w:val="20"/>
          <w:szCs w:val="20"/>
          <w:color w:val="auto"/>
        </w:rPr>
      </w:pPr>
    </w:p>
    <w:p>
      <w:pPr>
        <w:ind w:left="1780" w:hanging="981"/>
        <w:spacing w:after="0"/>
        <w:tabs>
          <w:tab w:leader="none" w:pos="178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Award</w:t>
      </w:r>
      <w:r>
        <w:rPr>
          <w:rFonts w:ascii="Arial" w:cs="Arial" w:eastAsia="Arial" w:hAnsi="Arial"/>
          <w:sz w:val="14"/>
          <w:szCs w:val="14"/>
          <w:color w:val="auto"/>
        </w:rPr>
        <w:t>. The Company hereby awards to the Grantee _________ shares of Common Stock of the Company (the "</w:t>
      </w:r>
      <w:r>
        <w:rPr>
          <w:rFonts w:ascii="Arial" w:cs="Arial" w:eastAsia="Arial" w:hAnsi="Arial"/>
          <w:sz w:val="14"/>
          <w:szCs w:val="14"/>
          <w:u w:val="single" w:color="auto"/>
          <w:color w:val="auto"/>
        </w:rPr>
        <w:t>Shares</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right="80" w:firstLine="799"/>
        <w:spacing w:after="0" w:line="257" w:lineRule="auto"/>
        <w:tabs>
          <w:tab w:leader="none" w:pos="1779"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Relationship to the Plan</w:t>
      </w:r>
      <w:r>
        <w:rPr>
          <w:rFonts w:ascii="Arial" w:cs="Arial" w:eastAsia="Arial" w:hAnsi="Arial"/>
          <w:sz w:val="14"/>
          <w:szCs w:val="14"/>
          <w:color w:val="auto"/>
        </w:rPr>
        <w:t>. The Award shall be subject to the terms and conditions of the Eagle Materials Inc. Amended and Restated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12" w:lineRule="exact"/>
        <w:rPr>
          <w:rFonts w:ascii="Arial" w:cs="Arial" w:eastAsia="Arial" w:hAnsi="Arial"/>
          <w:sz w:val="14"/>
          <w:szCs w:val="14"/>
          <w:color w:val="auto"/>
        </w:rPr>
      </w:pPr>
    </w:p>
    <w:p>
      <w:pPr>
        <w:ind w:left="2400" w:hanging="797"/>
        <w:spacing w:after="0"/>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shall be determined by the Committee.</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Retirement</w:t>
      </w:r>
      <w:r>
        <w:rPr>
          <w:rFonts w:ascii="Arial" w:cs="Arial" w:eastAsia="Arial" w:hAnsi="Arial"/>
          <w:sz w:val="14"/>
          <w:szCs w:val="14"/>
          <w:color w:val="auto"/>
        </w:rPr>
        <w:t>” shall mean a retirement approved by the Board.</w:t>
      </w:r>
    </w:p>
    <w:p>
      <w:pPr>
        <w:spacing w:after="0" w:line="145" w:lineRule="exact"/>
        <w:rPr>
          <w:rFonts w:ascii="Arial" w:cs="Arial" w:eastAsia="Arial" w:hAnsi="Arial"/>
          <w:sz w:val="14"/>
          <w:szCs w:val="14"/>
          <w:color w:val="auto"/>
        </w:rPr>
      </w:pPr>
    </w:p>
    <w:p>
      <w:pPr>
        <w:ind w:left="1780" w:hanging="981"/>
        <w:spacing w:after="0"/>
        <w:tabs>
          <w:tab w:leader="none" w:pos="178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2400" w:right="460" w:hanging="797"/>
        <w:spacing w:after="0" w:line="273" w:lineRule="auto"/>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u w:val="single" w:color="auto"/>
          <w:color w:val="auto"/>
        </w:rPr>
        <w:t>Vesting Criteria</w:t>
      </w:r>
      <w:r>
        <w:rPr>
          <w:rFonts w:ascii="Arial" w:cs="Arial" w:eastAsia="Arial" w:hAnsi="Arial"/>
          <w:sz w:val="14"/>
          <w:szCs w:val="14"/>
          <w:color w:val="auto"/>
        </w:rPr>
        <w:t>. The Grantee’s interest in the Shares shall vest on the date designated (a "</w:t>
      </w:r>
      <w:r>
        <w:rPr>
          <w:rFonts w:ascii="Arial" w:cs="Arial" w:eastAsia="Arial" w:hAnsi="Arial"/>
          <w:sz w:val="14"/>
          <w:szCs w:val="14"/>
          <w:u w:val="single" w:color="auto"/>
          <w:color w:val="auto"/>
        </w:rPr>
        <w:t>Vesting Date</w:t>
      </w:r>
      <w:r>
        <w:rPr>
          <w:rFonts w:ascii="Arial" w:cs="Arial" w:eastAsia="Arial" w:hAnsi="Arial"/>
          <w:sz w:val="14"/>
          <w:szCs w:val="14"/>
          <w:color w:val="auto"/>
        </w:rPr>
        <w:t>") in accordance with the following vesting schedule (the "</w:t>
      </w:r>
      <w:r>
        <w:rPr>
          <w:rFonts w:ascii="Arial" w:cs="Arial" w:eastAsia="Arial" w:hAnsi="Arial"/>
          <w:sz w:val="14"/>
          <w:szCs w:val="14"/>
          <w:u w:val="single" w:color="auto"/>
          <w:color w:val="auto"/>
        </w:rPr>
        <w:t>Vesting Schedule</w:t>
      </w:r>
      <w:r>
        <w:rPr>
          <w:rFonts w:ascii="Arial" w:cs="Arial" w:eastAsia="Arial" w:hAnsi="Arial"/>
          <w:sz w:val="14"/>
          <w:szCs w:val="14"/>
          <w:color w:val="auto"/>
        </w:rPr>
        <w:t>"):</w:t>
      </w:r>
    </w:p>
    <w:p>
      <w:pPr>
        <w:spacing w:after="0" w:line="98" w:lineRule="exact"/>
        <w:rPr>
          <w:sz w:val="20"/>
          <w:szCs w:val="20"/>
          <w:color w:val="auto"/>
        </w:rPr>
      </w:pPr>
    </w:p>
    <w:p>
      <w:pPr>
        <w:ind w:left="4520"/>
        <w:spacing w:after="0"/>
        <w:tabs>
          <w:tab w:leader="none" w:pos="6840" w:val="left"/>
        </w:tabs>
        <w:rPr>
          <w:sz w:val="20"/>
          <w:szCs w:val="20"/>
          <w:color w:val="auto"/>
        </w:rPr>
      </w:pPr>
      <w:r>
        <w:rPr>
          <w:rFonts w:ascii="Arial" w:cs="Arial" w:eastAsia="Arial" w:hAnsi="Arial"/>
          <w:sz w:val="14"/>
          <w:szCs w:val="14"/>
          <w:b w:val="1"/>
          <w:bCs w:val="1"/>
          <w:u w:val="single" w:color="auto"/>
          <w:color w:val="auto"/>
        </w:rPr>
        <w:t>Vesting Date</w:t>
      </w:r>
      <w:r>
        <w:rPr>
          <w:sz w:val="20"/>
          <w:szCs w:val="20"/>
          <w:color w:val="auto"/>
        </w:rPr>
        <w:tab/>
      </w:r>
      <w:r>
        <w:rPr>
          <w:rFonts w:ascii="Arial" w:cs="Arial" w:eastAsia="Arial" w:hAnsi="Arial"/>
          <w:sz w:val="17"/>
          <w:szCs w:val="17"/>
          <w:b w:val="1"/>
          <w:bCs w:val="1"/>
          <w:u w:val="single" w:color="auto"/>
          <w:color w:val="auto"/>
          <w:vertAlign w:val="superscript"/>
        </w:rPr>
        <w:t>Shares</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2021</w:t>
      </w:r>
    </w:p>
    <w:p>
      <w:pPr>
        <w:spacing w:after="0" w:line="4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2022</w:t>
      </w:r>
    </w:p>
    <w:p>
      <w:pPr>
        <w:spacing w:after="0" w:line="5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2023</w:t>
      </w:r>
    </w:p>
    <w:p>
      <w:pPr>
        <w:spacing w:after="0" w:line="5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2024</w:t>
      </w:r>
    </w:p>
    <w:p>
      <w:pPr>
        <w:spacing w:after="0" w:line="51"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Total</w:t>
      </w:r>
    </w:p>
    <w:p>
      <w:pPr>
        <w:spacing w:after="0" w:line="176" w:lineRule="exact"/>
        <w:rPr>
          <w:sz w:val="20"/>
          <w:szCs w:val="20"/>
          <w:color w:val="auto"/>
        </w:rPr>
      </w:pPr>
    </w:p>
    <w:p>
      <w:pPr>
        <w:ind w:left="2400" w:right="120" w:hanging="797"/>
        <w:spacing w:after="0" w:line="252" w:lineRule="auto"/>
        <w:tabs>
          <w:tab w:leader="none" w:pos="2400"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Restrictions</w:t>
      </w:r>
      <w:r>
        <w:rPr>
          <w:rFonts w:ascii="Arial" w:cs="Arial" w:eastAsia="Arial" w:hAnsi="Arial"/>
          <w:sz w:val="14"/>
          <w:szCs w:val="14"/>
          <w:color w:val="auto"/>
        </w:rPr>
        <w:t>. The period beginning on the Award Date and ending on the date immediately preceding the Vesting Date for a Share shall be known as the restriction period (the “</w:t>
      </w:r>
      <w:r>
        <w:rPr>
          <w:rFonts w:ascii="Arial" w:cs="Arial" w:eastAsia="Arial" w:hAnsi="Arial"/>
          <w:sz w:val="14"/>
          <w:szCs w:val="14"/>
          <w:u w:val="single" w:color="auto"/>
          <w:color w:val="auto"/>
        </w:rPr>
        <w:t>Restriction Period</w:t>
      </w:r>
      <w:r>
        <w:rPr>
          <w:rFonts w:ascii="Arial" w:cs="Arial" w:eastAsia="Arial" w:hAnsi="Arial"/>
          <w:sz w:val="14"/>
          <w:szCs w:val="14"/>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311150</wp:posOffset>
            </wp:positionV>
            <wp:extent cx="718947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75" w:name="page76"/>
    <w:bookmarkEnd w:id="75"/>
    <w:p>
      <w:pPr>
        <w:ind w:left="1601" w:right="120" w:hanging="797"/>
        <w:spacing w:after="0" w:line="286" w:lineRule="auto"/>
        <w:tabs>
          <w:tab w:leader="none" w:pos="1601" w:val="left"/>
        </w:tabs>
        <w:numPr>
          <w:ilvl w:val="1"/>
          <w:numId w:val="47"/>
        </w:numPr>
        <w:rPr>
          <w:rFonts w:ascii="Arial" w:cs="Arial" w:eastAsia="Arial" w:hAnsi="Arial"/>
          <w:sz w:val="13"/>
          <w:szCs w:val="13"/>
          <w:color w:val="auto"/>
        </w:rPr>
      </w:pPr>
      <w:r>
        <w:rPr>
          <w:rFonts w:ascii="Arial" w:cs="Arial" w:eastAsia="Arial" w:hAnsi="Arial"/>
          <w:sz w:val="13"/>
          <w:szCs w:val="13"/>
          <w:u w:val="single" w:color="auto"/>
          <w:color w:val="auto"/>
        </w:rPr>
        <w:t>Cancellation Right</w:t>
      </w:r>
      <w:r>
        <w:rPr>
          <w:rFonts w:ascii="Arial" w:cs="Arial" w:eastAsia="Arial" w:hAnsi="Arial"/>
          <w:sz w:val="13"/>
          <w:szCs w:val="13"/>
          <w:color w:val="auto"/>
        </w:rPr>
        <w:t>. The Grantee must be in continuous service as an employee of the Company or any of its Affiliates or as a Director from the Award Date through the applicable Vesting Date for a Share to become vested. Subject to Section 4, Grantee’s termination of employment and, if applicable, service as a Director prior to the vesting of any Shares shall cause any unvested Shares to be automatically forfeited.</w:t>
      </w:r>
    </w:p>
    <w:p>
      <w:pPr>
        <w:spacing w:after="0" w:line="95" w:lineRule="exact"/>
        <w:rPr>
          <w:rFonts w:ascii="Arial" w:cs="Arial" w:eastAsia="Arial" w:hAnsi="Arial"/>
          <w:sz w:val="13"/>
          <w:szCs w:val="13"/>
          <w:color w:val="auto"/>
        </w:rPr>
      </w:pPr>
    </w:p>
    <w:p>
      <w:pPr>
        <w:ind w:left="-799" w:right="40" w:firstLine="799"/>
        <w:spacing w:after="0" w:line="246" w:lineRule="auto"/>
        <w:tabs>
          <w:tab w:leader="none" w:pos="98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Change-in-Control; Death or Disability; Retirement</w:t>
      </w:r>
      <w:r>
        <w:rPr>
          <w:rFonts w:ascii="Arial" w:cs="Arial" w:eastAsia="Arial" w:hAnsi="Arial"/>
          <w:sz w:val="14"/>
          <w:szCs w:val="14"/>
          <w:color w:val="auto"/>
        </w:rPr>
        <w:t xml:space="preserve">. The restrictions set forth above in Section 3 shall lapse with respect to any unvested Shares not previously forfeited and the remaining shares of this Award shall become fully vested without regard to the limitations set forth in Section 3 above, provided that the Grantee has been in continuous employment with the Company or any of its Affiliates or has been in continuous service as a Director from the Award Date through: (A) the occurrence of a Change in Control (as defined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or (B) Grantee’s termination of employment and, if applicable, discontinuation of service as a Director, by reason of death, Disability or Retirement. Upon a Change in Control, pursuant to Section 15 of the Plan, the Company may, in its discretion, settle the Award by a cash payment that the Committee shall determine in its sole discretion is equal to the fair market value of the Award on the date of such event.</w:t>
      </w:r>
    </w:p>
    <w:p>
      <w:pPr>
        <w:spacing w:after="0" w:line="119" w:lineRule="exact"/>
        <w:rPr>
          <w:rFonts w:ascii="Arial" w:cs="Arial" w:eastAsia="Arial" w:hAnsi="Arial"/>
          <w:sz w:val="14"/>
          <w:szCs w:val="14"/>
          <w:color w:val="auto"/>
        </w:rPr>
      </w:pPr>
    </w:p>
    <w:p>
      <w:pPr>
        <w:ind w:left="-799" w:right="100" w:firstLine="799"/>
        <w:spacing w:after="0" w:line="312" w:lineRule="auto"/>
        <w:tabs>
          <w:tab w:leader="none" w:pos="980"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Stockholder Rights</w:t>
      </w:r>
      <w:r>
        <w:rPr>
          <w:rFonts w:ascii="Arial" w:cs="Arial" w:eastAsia="Arial" w:hAnsi="Arial"/>
          <w:sz w:val="13"/>
          <w:szCs w:val="13"/>
          <w:color w:val="auto"/>
        </w:rPr>
        <w:t>. Until such time as any of the unvested Shares are forfeited, the Grantee shall have the right to vote any Shares, and the Grantee shall have the right to receive any cash dividends declared and paid on unvested Shares after the date hereof at the same time such amounts are paid with respect to all other shares of Common Stock.</w:t>
      </w:r>
    </w:p>
    <w:p>
      <w:pPr>
        <w:spacing w:after="0" w:line="79" w:lineRule="exact"/>
        <w:rPr>
          <w:rFonts w:ascii="Arial" w:cs="Arial" w:eastAsia="Arial" w:hAnsi="Arial"/>
          <w:sz w:val="13"/>
          <w:szCs w:val="13"/>
          <w:color w:val="auto"/>
        </w:rPr>
      </w:pPr>
    </w:p>
    <w:p>
      <w:pPr>
        <w:ind w:left="-799" w:right="60" w:firstLine="799"/>
        <w:spacing w:after="0" w:line="247" w:lineRule="auto"/>
        <w:tabs>
          <w:tab w:leader="none" w:pos="98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Capital Adjustments and Corporate Events</w:t>
      </w:r>
      <w:r>
        <w:rPr>
          <w:rFonts w:ascii="Arial" w:cs="Arial" w:eastAsia="Arial" w:hAnsi="Arial"/>
          <w:sz w:val="14"/>
          <w:szCs w:val="14"/>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21" w:lineRule="exact"/>
        <w:rPr>
          <w:rFonts w:ascii="Arial" w:cs="Arial" w:eastAsia="Arial" w:hAnsi="Arial"/>
          <w:sz w:val="14"/>
          <w:szCs w:val="14"/>
          <w:color w:val="auto"/>
        </w:rPr>
      </w:pPr>
    </w:p>
    <w:p>
      <w:pPr>
        <w:ind w:left="981" w:hanging="981"/>
        <w:spacing w:after="0"/>
        <w:tabs>
          <w:tab w:leader="none" w:pos="981"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Refusal to Transfer</w:t>
      </w:r>
      <w:r>
        <w:rPr>
          <w:rFonts w:ascii="Arial" w:cs="Arial" w:eastAsia="Arial" w:hAnsi="Arial"/>
          <w:sz w:val="14"/>
          <w:szCs w:val="14"/>
          <w:color w:val="auto"/>
        </w:rPr>
        <w:t>.</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Company shall not be required:</w:t>
      </w:r>
    </w:p>
    <w:p>
      <w:pPr>
        <w:spacing w:after="0" w:line="145" w:lineRule="exact"/>
        <w:rPr>
          <w:sz w:val="20"/>
          <w:szCs w:val="20"/>
          <w:color w:val="auto"/>
        </w:rPr>
      </w:pPr>
    </w:p>
    <w:p>
      <w:pPr>
        <w:ind w:left="1601" w:hanging="797"/>
        <w:spacing w:after="0"/>
        <w:tabs>
          <w:tab w:leader="none" w:pos="160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to transfer on its books any Shares that have been sold or otherwise transferred in violation of any of the provisions of this Agreement or the Plan; or</w:t>
      </w:r>
    </w:p>
    <w:p>
      <w:pPr>
        <w:spacing w:after="0" w:line="156" w:lineRule="exact"/>
        <w:rPr>
          <w:rFonts w:ascii="Arial" w:cs="Arial" w:eastAsia="Arial" w:hAnsi="Arial"/>
          <w:sz w:val="13"/>
          <w:szCs w:val="13"/>
          <w:color w:val="auto"/>
        </w:rPr>
      </w:pPr>
    </w:p>
    <w:p>
      <w:pPr>
        <w:ind w:left="1601" w:hanging="797"/>
        <w:spacing w:after="0" w:line="273" w:lineRule="auto"/>
        <w:tabs>
          <w:tab w:leader="none" w:pos="160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245" w:lineRule="exact"/>
        <w:rPr>
          <w:rFonts w:ascii="Arial" w:cs="Arial" w:eastAsia="Arial" w:hAnsi="Arial"/>
          <w:sz w:val="14"/>
          <w:szCs w:val="14"/>
          <w:color w:val="auto"/>
        </w:rPr>
      </w:pPr>
    </w:p>
    <w:p>
      <w:pPr>
        <w:ind w:left="4801" w:hanging="76"/>
        <w:spacing w:after="0"/>
        <w:tabs>
          <w:tab w:leader="none" w:pos="4801" w:val="left"/>
        </w:tabs>
        <w:numPr>
          <w:ilvl w:val="1"/>
          <w:numId w:val="49"/>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718947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441"/>
          </w:cols>
          <w:pgMar w:left="1099" w:top="269" w:right="359" w:bottom="1440" w:gutter="0" w:footer="0" w:header="0"/>
        </w:sectPr>
      </w:pPr>
    </w:p>
    <w:bookmarkStart w:id="76" w:name="page77"/>
    <w:bookmarkEnd w:id="76"/>
    <w:p>
      <w:pPr>
        <w:ind w:left="981" w:hanging="981"/>
        <w:spacing w:after="0"/>
        <w:tabs>
          <w:tab w:leader="none" w:pos="981"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Legends</w:t>
      </w:r>
      <w:r>
        <w:rPr>
          <w:rFonts w:ascii="Arial" w:cs="Arial" w:eastAsia="Arial" w:hAnsi="Arial"/>
          <w:sz w:val="13"/>
          <w:szCs w:val="13"/>
          <w:color w:val="auto"/>
        </w:rPr>
        <w:t>. If the Shares are certificated, the certificate or certificates evidencing the Shares, if any, issued hereunder shall be endorsed with the following legend:</w:t>
      </w:r>
    </w:p>
    <w:p>
      <w:pPr>
        <w:spacing w:after="0" w:line="157" w:lineRule="exact"/>
        <w:rPr>
          <w:sz w:val="20"/>
          <w:szCs w:val="20"/>
          <w:color w:val="auto"/>
        </w:rPr>
      </w:pPr>
    </w:p>
    <w:p>
      <w:pPr>
        <w:ind w:left="801" w:right="1640"/>
        <w:spacing w:after="0" w:line="249" w:lineRule="auto"/>
        <w:rPr>
          <w:sz w:val="20"/>
          <w:szCs w:val="20"/>
          <w:color w:val="auto"/>
        </w:rPr>
      </w:pPr>
      <w:r>
        <w:rPr>
          <w:rFonts w:ascii="Arial" w:cs="Arial" w:eastAsia="Arial" w:hAnsi="Arial"/>
          <w:sz w:val="14"/>
          <w:szCs w:val="14"/>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19" w:lineRule="exact"/>
        <w:rPr>
          <w:sz w:val="20"/>
          <w:szCs w:val="20"/>
          <w:color w:val="auto"/>
        </w:rPr>
      </w:pPr>
    </w:p>
    <w:p>
      <w:pPr>
        <w:ind w:left="-799" w:right="120" w:firstLine="799"/>
        <w:spacing w:after="0" w:line="267" w:lineRule="auto"/>
        <w:tabs>
          <w:tab w:leader="none" w:pos="980"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Tax Consequences</w:t>
      </w:r>
      <w:r>
        <w:rPr>
          <w:rFonts w:ascii="Arial" w:cs="Arial" w:eastAsia="Arial" w:hAnsi="Arial"/>
          <w:sz w:val="13"/>
          <w:szCs w:val="13"/>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09" w:lineRule="exact"/>
        <w:rPr>
          <w:rFonts w:ascii="Arial" w:cs="Arial" w:eastAsia="Arial" w:hAnsi="Arial"/>
          <w:sz w:val="13"/>
          <w:szCs w:val="13"/>
          <w:color w:val="auto"/>
        </w:rPr>
      </w:pPr>
    </w:p>
    <w:p>
      <w:pPr>
        <w:ind w:left="-799" w:right="20" w:firstLine="799"/>
        <w:spacing w:after="0" w:line="249" w:lineRule="auto"/>
        <w:tabs>
          <w:tab w:leader="none" w:pos="1052"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Withholding of Taxes</w:t>
      </w:r>
      <w:r>
        <w:rPr>
          <w:rFonts w:ascii="Arial" w:cs="Arial" w:eastAsia="Arial" w:hAnsi="Arial"/>
          <w:sz w:val="14"/>
          <w:szCs w:val="14"/>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 obligations. Further, any dividends paid to you pursuant to Section 5 above prior to the end of the Restriction Period will generally be subject to federal, state and local withholding, as appropriate, as additional compensation.</w:t>
      </w:r>
    </w:p>
    <w:p>
      <w:pPr>
        <w:spacing w:after="0" w:line="118" w:lineRule="exact"/>
        <w:rPr>
          <w:rFonts w:ascii="Arial" w:cs="Arial" w:eastAsia="Arial" w:hAnsi="Arial"/>
          <w:sz w:val="14"/>
          <w:szCs w:val="14"/>
          <w:color w:val="auto"/>
        </w:rPr>
      </w:pPr>
    </w:p>
    <w:p>
      <w:pPr>
        <w:ind w:left="-799" w:firstLine="799"/>
        <w:spacing w:after="0" w:line="246" w:lineRule="auto"/>
        <w:tabs>
          <w:tab w:leader="none" w:pos="1047"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Entire Agreement; Governing Law</w:t>
      </w:r>
      <w:r>
        <w:rPr>
          <w:rFonts w:ascii="Arial" w:cs="Arial" w:eastAsia="Arial" w:hAnsi="Arial"/>
          <w:sz w:val="14"/>
          <w:szCs w:val="14"/>
          <w:color w:val="auto"/>
        </w:rPr>
        <w:t>. The Plan and this Agreement constitute the entire agreement of the Company and the Grantee (collectively, the “</w:t>
      </w:r>
      <w:r>
        <w:rPr>
          <w:rFonts w:ascii="Arial" w:cs="Arial" w:eastAsia="Arial" w:hAnsi="Arial"/>
          <w:sz w:val="14"/>
          <w:szCs w:val="14"/>
          <w:u w:val="single" w:color="auto"/>
          <w:color w:val="auto"/>
        </w:rPr>
        <w:t>Parties</w:t>
      </w:r>
      <w:r>
        <w:rPr>
          <w:rFonts w:ascii="Arial" w:cs="Arial" w:eastAsia="Arial" w:hAnsi="Arial"/>
          <w:sz w:val="14"/>
          <w:szCs w:val="14"/>
          <w:color w:val="auto"/>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22" w:lineRule="exact"/>
        <w:rPr>
          <w:rFonts w:ascii="Arial" w:cs="Arial" w:eastAsia="Arial" w:hAnsi="Arial"/>
          <w:sz w:val="14"/>
          <w:szCs w:val="14"/>
          <w:color w:val="auto"/>
        </w:rPr>
      </w:pPr>
    </w:p>
    <w:p>
      <w:pPr>
        <w:ind w:left="4801" w:hanging="76"/>
        <w:spacing w:after="0"/>
        <w:tabs>
          <w:tab w:leader="none" w:pos="4801" w:val="left"/>
        </w:tabs>
        <w:numPr>
          <w:ilvl w:val="1"/>
          <w:numId w:val="51"/>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55245</wp:posOffset>
            </wp:positionV>
            <wp:extent cx="718947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0481"/>
          </w:cols>
          <w:pgMar w:left="1099" w:top="269" w:right="319" w:bottom="1440" w:gutter="0" w:footer="0" w:header="0"/>
        </w:sectPr>
      </w:pPr>
    </w:p>
    <w:bookmarkStart w:id="77" w:name="page78"/>
    <w:bookmarkEnd w:id="77"/>
    <w:p>
      <w:pPr>
        <w:ind w:firstLine="799"/>
        <w:spacing w:after="0" w:line="252" w:lineRule="auto"/>
        <w:tabs>
          <w:tab w:leader="none" w:pos="1851"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Interpretive Matters</w:t>
      </w:r>
      <w:r>
        <w:rPr>
          <w:rFonts w:ascii="Arial" w:cs="Arial" w:eastAsia="Arial" w:hAnsi="Arial"/>
          <w:sz w:val="14"/>
          <w:szCs w:val="14"/>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15" w:lineRule="exact"/>
        <w:rPr>
          <w:rFonts w:ascii="Arial" w:cs="Arial" w:eastAsia="Arial" w:hAnsi="Arial"/>
          <w:sz w:val="14"/>
          <w:szCs w:val="14"/>
          <w:color w:val="auto"/>
        </w:rPr>
      </w:pPr>
    </w:p>
    <w:p>
      <w:pPr>
        <w:ind w:right="60" w:firstLine="799"/>
        <w:spacing w:after="0" w:line="252" w:lineRule="auto"/>
        <w:tabs>
          <w:tab w:leader="none" w:pos="1851"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15" w:lineRule="exact"/>
        <w:rPr>
          <w:rFonts w:ascii="Arial" w:cs="Arial" w:eastAsia="Arial" w:hAnsi="Arial"/>
          <w:sz w:val="14"/>
          <w:szCs w:val="14"/>
          <w:color w:val="auto"/>
        </w:rPr>
      </w:pPr>
    </w:p>
    <w:p>
      <w:pPr>
        <w:ind w:right="20" w:firstLine="799"/>
        <w:spacing w:after="0" w:line="257" w:lineRule="auto"/>
        <w:tabs>
          <w:tab w:leader="none" w:pos="1851"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8" w:name="page79"/>
    <w:bookmarkEnd w:id="78"/>
    <w:p>
      <w:pPr>
        <w:jc w:val="center"/>
        <w:ind w:right="400"/>
        <w:spacing w:after="0"/>
        <w:rPr>
          <w:sz w:val="20"/>
          <w:szCs w:val="20"/>
          <w:color w:val="auto"/>
        </w:rPr>
      </w:pPr>
      <w:r>
        <w:rPr>
          <w:rFonts w:ascii="Arial" w:cs="Arial" w:eastAsia="Arial" w:hAnsi="Arial"/>
          <w:sz w:val="14"/>
          <w:szCs w:val="14"/>
          <w:b w:val="1"/>
          <w:bCs w:val="1"/>
          <w:color w:val="auto"/>
        </w:rPr>
        <w:t>EAGLE MATERIALS INC</w:t>
      </w:r>
      <w:r>
        <w:rPr>
          <w:rFonts w:ascii="Arial" w:cs="Arial" w:eastAsia="Arial" w:hAnsi="Arial"/>
          <w:sz w:val="14"/>
          <w:szCs w:val="14"/>
          <w:color w:val="auto"/>
        </w:rPr>
        <w:t>.</w:t>
      </w:r>
    </w:p>
    <w:p>
      <w:pPr>
        <w:spacing w:after="0" w:line="311" w:lineRule="exact"/>
        <w:rPr>
          <w:sz w:val="20"/>
          <w:szCs w:val="20"/>
          <w:color w:val="auto"/>
        </w:rPr>
      </w:pPr>
    </w:p>
    <w:p>
      <w:pPr>
        <w:spacing w:after="0"/>
        <w:tabs>
          <w:tab w:leader="none" w:pos="2580" w:val="left"/>
        </w:tabs>
        <w:rPr>
          <w:sz w:val="20"/>
          <w:szCs w:val="20"/>
          <w:color w:val="auto"/>
        </w:rPr>
      </w:pPr>
      <w:r>
        <w:rPr>
          <w:rFonts w:ascii="Arial" w:cs="Arial" w:eastAsia="Arial" w:hAnsi="Arial"/>
          <w:sz w:val="14"/>
          <w:szCs w:val="14"/>
          <w:color w:val="auto"/>
        </w:rPr>
        <w:t>Dated: May ___, 2020</w:t>
      </w:r>
      <w:r>
        <w:rPr>
          <w:sz w:val="20"/>
          <w:szCs w:val="20"/>
          <w:color w:val="auto"/>
        </w:rPr>
        <w:tab/>
      </w: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9525</wp:posOffset>
            </wp:positionV>
            <wp:extent cx="18173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817370" cy="5715"/>
                    </a:xfrm>
                    <a:prstGeom prst="rect">
                      <a:avLst/>
                    </a:prstGeom>
                    <a:noFill/>
                  </pic:spPr>
                </pic:pic>
              </a:graphicData>
            </a:graphic>
          </wp:anchor>
        </w:drawing>
      </w:r>
    </w:p>
    <w:p>
      <w:pPr>
        <w:spacing w:after="0" w:line="1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Michael Haack</w:t>
      </w:r>
    </w:p>
    <w:p>
      <w:pPr>
        <w:spacing w:after="0" w:line="145"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Its:</w:t>
      </w:r>
      <w:r>
        <w:rPr>
          <w:sz w:val="20"/>
          <w:szCs w:val="20"/>
          <w:color w:val="auto"/>
        </w:rPr>
        <w:tab/>
      </w:r>
      <w:r>
        <w:rPr>
          <w:rFonts w:ascii="Arial" w:cs="Arial" w:eastAsia="Arial" w:hAnsi="Arial"/>
          <w:sz w:val="14"/>
          <w:szCs w:val="14"/>
          <w:color w:val="auto"/>
        </w:rPr>
        <w:t>President and CEO</w:t>
      </w:r>
    </w:p>
    <w:p>
      <w:pPr>
        <w:spacing w:after="0" w:line="145"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3"/>
          <w:szCs w:val="13"/>
          <w:color w:val="auto"/>
        </w:rPr>
        <w:t>5960 Berkshire Ln., Suite 900</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Dallas, Texas 75225</w:t>
      </w:r>
    </w:p>
    <w:p>
      <w:pPr>
        <w:spacing w:after="0" w:line="133" w:lineRule="exact"/>
        <w:rPr>
          <w:sz w:val="20"/>
          <w:szCs w:val="20"/>
          <w:color w:val="auto"/>
        </w:rPr>
      </w:pPr>
    </w:p>
    <w:p>
      <w:pPr>
        <w:ind w:firstLine="807"/>
        <w:spacing w:after="0" w:line="252" w:lineRule="auto"/>
        <w:rPr>
          <w:sz w:val="20"/>
          <w:szCs w:val="20"/>
          <w:color w:val="auto"/>
        </w:rPr>
      </w:pPr>
      <w:r>
        <w:rPr>
          <w:rFonts w:ascii="Arial" w:cs="Arial" w:eastAsia="Arial" w:hAnsi="Arial"/>
          <w:sz w:val="14"/>
          <w:szCs w:val="14"/>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GRANTEE:</w:t>
      </w:r>
    </w:p>
    <w:p>
      <w:pPr>
        <w:sectPr>
          <w:pgSz w:w="11900" w:h="16838" w:orient="portrait"/>
          <w:cols w:equalWidth="0" w:num="1">
            <w:col w:w="11240"/>
          </w:cols>
          <w:pgMar w:left="300" w:top="265" w:right="35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Dated: , 2020</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Signed: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w:t>
      </w:r>
    </w:p>
    <w:p>
      <w:pPr>
        <w:spacing w:after="0" w:line="168" w:lineRule="exact"/>
        <w:rPr>
          <w:sz w:val="20"/>
          <w:szCs w:val="20"/>
          <w:color w:val="auto"/>
        </w:rPr>
      </w:pPr>
    </w:p>
    <w:p>
      <w:pPr>
        <w:sectPr>
          <w:pgSz w:w="11900" w:h="16838" w:orient="portrait"/>
          <w:cols w:equalWidth="0" w:num="3">
            <w:col w:w="1880" w:space="720"/>
            <w:col w:w="440" w:space="200"/>
            <w:col w:w="8000"/>
          </w:cols>
          <w:pgMar w:left="300" w:top="265" w:right="359" w:bottom="1440" w:gutter="0" w:footer="0" w:header="0"/>
          <w:type w:val="continuous"/>
        </w:sectPr>
      </w:pPr>
    </w:p>
    <w:p>
      <w:pPr>
        <w:ind w:left="2600"/>
        <w:spacing w:after="0"/>
        <w:rPr>
          <w:sz w:val="20"/>
          <w:szCs w:val="20"/>
          <w:color w:val="auto"/>
        </w:rPr>
      </w:pPr>
      <w:r>
        <w:rPr>
          <w:rFonts w:ascii="Arial" w:cs="Arial" w:eastAsia="Arial" w:hAnsi="Arial"/>
          <w:sz w:val="12"/>
          <w:szCs w:val="12"/>
          <w:color w:val="auto"/>
        </w:rPr>
        <w:t>Name:</w:t>
      </w:r>
    </w:p>
    <w:p>
      <w:pPr>
        <w:sectPr>
          <w:pgSz w:w="11900" w:h="16838" w:orient="portrait"/>
          <w:cols w:equalWidth="0" w:num="1">
            <w:col w:w="11240"/>
          </w:cols>
          <w:pgMar w:left="300" w:top="265" w:right="359" w:bottom="1440" w:gutter="0" w:footer="0" w:header="0"/>
          <w:type w:val="continuous"/>
        </w:sectPr>
      </w:pPr>
    </w:p>
    <w:p>
      <w:pPr>
        <w:spacing w:after="0" w:line="312"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Eagle Materials Inc.</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5960 Berkshire Ln., Suite 900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Dallas, Texas 75225</w:t>
      </w:r>
    </w:p>
    <w:p>
      <w:pPr>
        <w:spacing w:after="0" w:line="200" w:lineRule="exact"/>
        <w:rPr>
          <w:sz w:val="20"/>
          <w:szCs w:val="20"/>
          <w:color w:val="auto"/>
        </w:rPr>
      </w:pPr>
    </w:p>
    <w:p>
      <w:pPr>
        <w:sectPr>
          <w:pgSz w:w="11900" w:h="16838" w:orient="portrait"/>
          <w:cols w:equalWidth="0" w:num="2">
            <w:col w:w="3100" w:space="140"/>
            <w:col w:w="8000"/>
          </w:cols>
          <w:pgMar w:left="300" w:top="26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18947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65" w:right="35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CHANGE-IN-CONTROL</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the purpose of this Agreement, a "Change in Control" shall mean the occurrence of any of the following events:</w:t>
      </w:r>
    </w:p>
    <w:p>
      <w:pPr>
        <w:spacing w:after="0" w:line="73" w:lineRule="exact"/>
        <w:rPr>
          <w:sz w:val="20"/>
          <w:szCs w:val="20"/>
          <w:color w:val="auto"/>
        </w:rPr>
      </w:pPr>
    </w:p>
    <w:p>
      <w:pPr>
        <w:ind w:right="100" w:firstLine="807"/>
        <w:spacing w:after="0" w:line="249" w:lineRule="auto"/>
        <w:rPr>
          <w:sz w:val="20"/>
          <w:szCs w:val="20"/>
          <w:color w:val="auto"/>
        </w:rPr>
      </w:pPr>
      <w:r>
        <w:rPr>
          <w:rFonts w:ascii="Arial" w:cs="Arial" w:eastAsia="Arial" w:hAnsi="Arial"/>
          <w:sz w:val="14"/>
          <w:szCs w:val="14"/>
          <w:color w:val="auto"/>
        </w:rPr>
        <w:t>(a)The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47" w:lineRule="exact"/>
        <w:rPr>
          <w:sz w:val="20"/>
          <w:szCs w:val="20"/>
          <w:color w:val="auto"/>
        </w:rPr>
      </w:pPr>
    </w:p>
    <w:p>
      <w:pPr>
        <w:ind w:right="20" w:firstLine="807"/>
        <w:spacing w:after="0" w:line="247" w:lineRule="auto"/>
        <w:rPr>
          <w:sz w:val="20"/>
          <w:szCs w:val="20"/>
          <w:color w:val="auto"/>
        </w:rPr>
      </w:pPr>
      <w:r>
        <w:rPr>
          <w:rFonts w:ascii="Arial" w:cs="Arial" w:eastAsia="Arial" w:hAnsi="Arial"/>
          <w:sz w:val="14"/>
          <w:szCs w:val="14"/>
          <w:color w:val="auto"/>
        </w:rPr>
        <w:t>(b)Individuals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50" w:lineRule="exact"/>
        <w:rPr>
          <w:sz w:val="20"/>
          <w:szCs w:val="20"/>
          <w:color w:val="auto"/>
        </w:rPr>
      </w:pPr>
    </w:p>
    <w:p>
      <w:pPr>
        <w:ind w:right="80" w:firstLine="807"/>
        <w:spacing w:after="0" w:line="245" w:lineRule="auto"/>
        <w:rPr>
          <w:sz w:val="20"/>
          <w:szCs w:val="20"/>
          <w:color w:val="auto"/>
        </w:rPr>
      </w:pPr>
      <w:r>
        <w:rPr>
          <w:rFonts w:ascii="Arial" w:cs="Arial" w:eastAsia="Arial" w:hAnsi="Arial"/>
          <w:sz w:val="14"/>
          <w:szCs w:val="14"/>
          <w:color w:val="auto"/>
        </w:rPr>
        <w:t>(c)The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51" w:lineRule="exact"/>
        <w:rPr>
          <w:sz w:val="20"/>
          <w:szCs w:val="20"/>
          <w:color w:val="auto"/>
        </w:rPr>
      </w:pPr>
    </w:p>
    <w:p>
      <w:pPr>
        <w:ind w:firstLine="807"/>
        <w:spacing w:after="0" w:line="252" w:lineRule="auto"/>
        <w:rPr>
          <w:sz w:val="20"/>
          <w:szCs w:val="20"/>
          <w:color w:val="auto"/>
        </w:rPr>
      </w:pPr>
      <w:r>
        <w:rPr>
          <w:rFonts w:ascii="Arial" w:cs="Arial" w:eastAsia="Arial" w:hAnsi="Arial"/>
          <w:sz w:val="14"/>
          <w:szCs w:val="14"/>
          <w:color w:val="auto"/>
        </w:rPr>
        <w:t>(d)Approval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718947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80" w:name="page81"/>
    <w:bookmarkEnd w:id="80"/>
    <w:p>
      <w:pPr>
        <w:ind w:right="40"/>
        <w:spacing w:after="0" w:line="249" w:lineRule="auto"/>
        <w:rPr>
          <w:sz w:val="20"/>
          <w:szCs w:val="20"/>
          <w:color w:val="auto"/>
        </w:rPr>
      </w:pPr>
      <w:r>
        <w:rPr>
          <w:rFonts w:ascii="Arial" w:cs="Arial" w:eastAsia="Arial" w:hAnsi="Arial"/>
          <w:sz w:val="14"/>
          <w:szCs w:val="14"/>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purposes of the foregoing,</w:t>
      </w:r>
    </w:p>
    <w:p>
      <w:pPr>
        <w:spacing w:after="0" w:line="73" w:lineRule="exact"/>
        <w:rPr>
          <w:sz w:val="20"/>
          <w:szCs w:val="20"/>
          <w:color w:val="auto"/>
        </w:rPr>
      </w:pPr>
    </w:p>
    <w:p>
      <w:pPr>
        <w:ind w:left="1600" w:hanging="807"/>
        <w:spacing w:after="0"/>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Person</w:t>
      </w:r>
      <w:r>
        <w:rPr>
          <w:rFonts w:ascii="Arial" w:cs="Arial" w:eastAsia="Arial" w:hAnsi="Arial"/>
          <w:sz w:val="14"/>
          <w:szCs w:val="14"/>
          <w:color w:val="auto"/>
        </w:rPr>
        <w:t>" means an individual, entity or group;</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group</w:t>
      </w:r>
      <w:r>
        <w:rPr>
          <w:rFonts w:ascii="Arial" w:cs="Arial" w:eastAsia="Arial" w:hAnsi="Arial"/>
          <w:sz w:val="14"/>
          <w:szCs w:val="14"/>
          <w:color w:val="auto"/>
        </w:rPr>
        <w:t>" is used as it is defined for purposes of Section 13(d)(3) of the Exchange Act;</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terms "</w:t>
      </w:r>
      <w:r>
        <w:rPr>
          <w:rFonts w:ascii="Arial" w:cs="Arial" w:eastAsia="Arial" w:hAnsi="Arial"/>
          <w:sz w:val="14"/>
          <w:szCs w:val="14"/>
          <w:i w:val="1"/>
          <w:iCs w:val="1"/>
          <w:color w:val="auto"/>
        </w:rPr>
        <w:t>beneficial owner</w:t>
      </w:r>
      <w:r>
        <w:rPr>
          <w:rFonts w:ascii="Arial" w:cs="Arial" w:eastAsia="Arial" w:hAnsi="Arial"/>
          <w:sz w:val="14"/>
          <w:szCs w:val="14"/>
          <w:color w:val="auto"/>
        </w:rPr>
        <w:t>", "</w:t>
      </w:r>
      <w:r>
        <w:rPr>
          <w:rFonts w:ascii="Arial" w:cs="Arial" w:eastAsia="Arial" w:hAnsi="Arial"/>
          <w:sz w:val="14"/>
          <w:szCs w:val="14"/>
          <w:i w:val="1"/>
          <w:iCs w:val="1"/>
          <w:color w:val="auto"/>
        </w:rPr>
        <w:t>beneficial ownership</w:t>
      </w:r>
      <w:r>
        <w:rPr>
          <w:rFonts w:ascii="Arial" w:cs="Arial" w:eastAsia="Arial" w:hAnsi="Arial"/>
          <w:sz w:val="14"/>
          <w:szCs w:val="14"/>
          <w:color w:val="auto"/>
        </w:rPr>
        <w:t>" and "</w:t>
      </w:r>
      <w:r>
        <w:rPr>
          <w:rFonts w:ascii="Arial" w:cs="Arial" w:eastAsia="Arial" w:hAnsi="Arial"/>
          <w:sz w:val="14"/>
          <w:szCs w:val="14"/>
          <w:i w:val="1"/>
          <w:iCs w:val="1"/>
          <w:color w:val="auto"/>
        </w:rPr>
        <w:t>beneficially own</w:t>
      </w:r>
      <w:r>
        <w:rPr>
          <w:rFonts w:ascii="Arial" w:cs="Arial" w:eastAsia="Arial" w:hAnsi="Arial"/>
          <w:sz w:val="14"/>
          <w:szCs w:val="14"/>
          <w:color w:val="auto"/>
        </w:rPr>
        <w:t>" are used as defined for purposes of Rule 13d-3 under the Exchange Act;</w:t>
      </w:r>
    </w:p>
    <w:p>
      <w:pPr>
        <w:spacing w:after="0" w:line="73" w:lineRule="exact"/>
        <w:rPr>
          <w:rFonts w:ascii="Arial" w:cs="Arial" w:eastAsia="Arial" w:hAnsi="Arial"/>
          <w:sz w:val="14"/>
          <w:szCs w:val="14"/>
          <w:color w:val="auto"/>
        </w:rPr>
      </w:pPr>
    </w:p>
    <w:p>
      <w:pPr>
        <w:ind w:left="1600" w:right="440" w:hanging="807"/>
        <w:spacing w:after="0" w:line="273" w:lineRule="auto"/>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Business Combination</w:t>
      </w:r>
      <w:r>
        <w:rPr>
          <w:rFonts w:ascii="Arial" w:cs="Arial" w:eastAsia="Arial" w:hAnsi="Arial"/>
          <w:sz w:val="14"/>
          <w:szCs w:val="14"/>
          <w:color w:val="auto"/>
        </w:rPr>
        <w:t>" means (x) a merger, consolidation or share exchange involving the Company or its stock or (y) an acquisition by the Company, directly or through one or more subsidiaries, of another entity or its stock or assets;</w:t>
      </w:r>
    </w:p>
    <w:p>
      <w:pPr>
        <w:spacing w:after="0" w:line="29" w:lineRule="exact"/>
        <w:rPr>
          <w:rFonts w:ascii="Arial" w:cs="Arial" w:eastAsia="Arial" w:hAnsi="Arial"/>
          <w:sz w:val="14"/>
          <w:szCs w:val="14"/>
          <w:color w:val="auto"/>
        </w:rPr>
      </w:pPr>
    </w:p>
    <w:p>
      <w:pPr>
        <w:ind w:left="1600" w:hanging="807"/>
        <w:spacing w:after="0"/>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Company Common Stock</w:t>
      </w:r>
      <w:r>
        <w:rPr>
          <w:rFonts w:ascii="Arial" w:cs="Arial" w:eastAsia="Arial" w:hAnsi="Arial"/>
          <w:sz w:val="14"/>
          <w:szCs w:val="14"/>
          <w:color w:val="auto"/>
        </w:rPr>
        <w:t>" shall mean the Common Stock, par value $.01 per share, of the Company;</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Exchange Act</w:t>
      </w:r>
      <w:r>
        <w:rPr>
          <w:rFonts w:ascii="Arial" w:cs="Arial" w:eastAsia="Arial" w:hAnsi="Arial"/>
          <w:sz w:val="14"/>
          <w:szCs w:val="14"/>
          <w:color w:val="auto"/>
        </w:rPr>
        <w:t>" means the Securities Exchange Act of 1934, as amended;</w:t>
      </w:r>
    </w:p>
    <w:p>
      <w:pPr>
        <w:spacing w:after="0" w:line="73" w:lineRule="exact"/>
        <w:rPr>
          <w:rFonts w:ascii="Arial" w:cs="Arial" w:eastAsia="Arial" w:hAnsi="Arial"/>
          <w:sz w:val="14"/>
          <w:szCs w:val="14"/>
          <w:color w:val="auto"/>
        </w:rPr>
      </w:pPr>
    </w:p>
    <w:p>
      <w:pPr>
        <w:ind w:left="1600" w:right="160" w:hanging="807"/>
        <w:spacing w:after="0" w:line="257" w:lineRule="auto"/>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phrase "</w:t>
      </w:r>
      <w:r>
        <w:rPr>
          <w:rFonts w:ascii="Arial" w:cs="Arial" w:eastAsia="Arial" w:hAnsi="Arial"/>
          <w:sz w:val="14"/>
          <w:szCs w:val="14"/>
          <w:i w:val="1"/>
          <w:iCs w:val="1"/>
          <w:color w:val="auto"/>
        </w:rPr>
        <w:t>parent corporation resulting from a Business Combination</w:t>
      </w:r>
      <w:r>
        <w:rPr>
          <w:rFonts w:ascii="Arial" w:cs="Arial" w:eastAsia="Arial" w:hAnsi="Arial"/>
          <w:sz w:val="14"/>
          <w:szCs w:val="14"/>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40" w:lineRule="exact"/>
        <w:rPr>
          <w:rFonts w:ascii="Arial" w:cs="Arial" w:eastAsia="Arial" w:hAnsi="Arial"/>
          <w:sz w:val="14"/>
          <w:szCs w:val="14"/>
          <w:color w:val="auto"/>
        </w:rPr>
      </w:pPr>
    </w:p>
    <w:p>
      <w:pPr>
        <w:ind w:left="1600" w:hanging="807"/>
        <w:spacing w:after="0" w:line="257" w:lineRule="auto"/>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Major Asset Disposition</w:t>
      </w:r>
      <w:r>
        <w:rPr>
          <w:rFonts w:ascii="Arial" w:cs="Arial" w:eastAsia="Arial" w:hAnsi="Arial"/>
          <w:sz w:val="14"/>
          <w:szCs w:val="14"/>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40" w:lineRule="exact"/>
        <w:rPr>
          <w:rFonts w:ascii="Arial" w:cs="Arial" w:eastAsia="Arial" w:hAnsi="Arial"/>
          <w:sz w:val="14"/>
          <w:szCs w:val="14"/>
          <w:color w:val="auto"/>
        </w:rPr>
      </w:pPr>
    </w:p>
    <w:p>
      <w:pPr>
        <w:ind w:left="1600" w:right="200" w:hanging="807"/>
        <w:spacing w:after="0" w:line="257" w:lineRule="auto"/>
        <w:tabs>
          <w:tab w:leader="none" w:pos="1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Acquiring Entity</w:t>
      </w:r>
      <w:r>
        <w:rPr>
          <w:rFonts w:ascii="Arial" w:cs="Arial" w:eastAsia="Arial" w:hAnsi="Arial"/>
          <w:sz w:val="14"/>
          <w:szCs w:val="14"/>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40" w:lineRule="exact"/>
        <w:rPr>
          <w:rFonts w:ascii="Arial" w:cs="Arial" w:eastAsia="Arial" w:hAnsi="Arial"/>
          <w:sz w:val="14"/>
          <w:szCs w:val="14"/>
          <w:color w:val="auto"/>
        </w:rPr>
      </w:pPr>
    </w:p>
    <w:p>
      <w:pPr>
        <w:jc w:val="both"/>
        <w:ind w:left="1600" w:right="80" w:hanging="807"/>
        <w:spacing w:after="0" w:line="277" w:lineRule="auto"/>
        <w:tabs>
          <w:tab w:leader="none" w:pos="1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phrase "</w:t>
      </w:r>
      <w:r>
        <w:rPr>
          <w:rFonts w:ascii="Arial" w:cs="Arial" w:eastAsia="Arial" w:hAnsi="Arial"/>
          <w:sz w:val="13"/>
          <w:szCs w:val="13"/>
          <w:i w:val="1"/>
          <w:iCs w:val="1"/>
          <w:color w:val="auto"/>
        </w:rPr>
        <w:t>substantially the same proportions</w:t>
      </w:r>
      <w:r>
        <w:rPr>
          <w:rFonts w:ascii="Arial" w:cs="Arial" w:eastAsia="Arial" w:hAnsi="Arial"/>
          <w:sz w:val="13"/>
          <w:szCs w:val="13"/>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 - 2</w:t>
      </w:r>
    </w:p>
    <w:p>
      <w:pPr>
        <w:sectPr>
          <w:pgSz w:w="11900" w:h="16838" w:orient="portrait"/>
          <w:cols w:equalWidth="0" w:num="1">
            <w:col w:w="11300"/>
          </w:cols>
          <w:pgMar w:left="300" w:top="269" w:right="299" w:bottom="1440" w:gutter="0" w:footer="0" w:header="0"/>
        </w:sectPr>
      </w:pPr>
    </w:p>
    <w:bookmarkStart w:id="81" w:name="page82"/>
    <w:bookmarkEnd w:id="81"/>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Periodic Report Pursuant to Section 302 of the Sarbanes-Oxley Act of 2002</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R. Haack, certify that:</w:t>
      </w:r>
    </w:p>
    <w:p>
      <w:pPr>
        <w:spacing w:after="0" w:line="78" w:lineRule="exact"/>
        <w:rPr>
          <w:sz w:val="20"/>
          <w:szCs w:val="20"/>
          <w:color w:val="auto"/>
        </w:rPr>
      </w:pPr>
    </w:p>
    <w:p>
      <w:pPr>
        <w:ind w:left="128" w:hanging="128"/>
        <w:spacing w:after="0"/>
        <w:tabs>
          <w:tab w:leader="none" w:pos="1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I have reviewed this report on Form 10-Q of Eagle Materials Inc.;</w:t>
      </w:r>
    </w:p>
    <w:p>
      <w:pPr>
        <w:spacing w:after="0" w:line="78" w:lineRule="exact"/>
        <w:rPr>
          <w:rFonts w:ascii="Arial" w:cs="Arial" w:eastAsia="Arial" w:hAnsi="Arial"/>
          <w:sz w:val="12"/>
          <w:szCs w:val="12"/>
          <w:color w:val="auto"/>
        </w:rPr>
      </w:pPr>
    </w:p>
    <w:p>
      <w:pPr>
        <w:ind w:left="8" w:right="20" w:hanging="8"/>
        <w:spacing w:after="0" w:line="276" w:lineRule="auto"/>
        <w:tabs>
          <w:tab w:leader="none" w:pos="135"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 w:hanging="8"/>
        <w:spacing w:after="0" w:line="276" w:lineRule="auto"/>
        <w:tabs>
          <w:tab w:leader="none" w:pos="133"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 w:right="20" w:hanging="8"/>
        <w:spacing w:after="0" w:line="276" w:lineRule="auto"/>
        <w:tabs>
          <w:tab w:leader="none" w:pos="141"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8" w:right="20" w:hanging="8"/>
        <w:spacing w:after="0" w:line="276" w:lineRule="auto"/>
        <w:tabs>
          <w:tab w:leader="none" w:pos="142" w:val="left"/>
        </w:tabs>
        <w:numPr>
          <w:ilvl w:val="0"/>
          <w:numId w:val="5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hanging="8"/>
        <w:spacing w:after="0" w:line="276" w:lineRule="auto"/>
        <w:tabs>
          <w:tab w:leader="none" w:pos="137" w:val="left"/>
        </w:tabs>
        <w:numPr>
          <w:ilvl w:val="0"/>
          <w:numId w:val="5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8" w:hanging="8"/>
        <w:spacing w:after="0" w:line="276" w:lineRule="auto"/>
        <w:tabs>
          <w:tab w:leader="none" w:pos="131"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3" w:lineRule="exact"/>
        <w:rPr>
          <w:sz w:val="20"/>
          <w:szCs w:val="20"/>
          <w:color w:val="auto"/>
        </w:rPr>
      </w:pPr>
    </w:p>
    <w:p>
      <w:pPr>
        <w:ind w:left="8" w:hanging="8"/>
        <w:spacing w:after="0" w:line="276" w:lineRule="auto"/>
        <w:tabs>
          <w:tab w:leader="none" w:pos="132" w:val="left"/>
        </w:tabs>
        <w:numPr>
          <w:ilvl w:val="0"/>
          <w:numId w:val="5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28" w:hanging="128"/>
        <w:spacing w:after="0"/>
        <w:tabs>
          <w:tab w:leader="none" w:pos="1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July 30, 2020</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R. Haack</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Michael R. Haack</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308"/>
          </w:cols>
          <w:pgMar w:left="292" w:top="127" w:right="29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Periodic Report Pursuant to Section 302 of the Sarbanes-Oxley Act of 2002</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 Craig Kesler, certify that:</w:t>
      </w:r>
    </w:p>
    <w:p>
      <w:pPr>
        <w:spacing w:after="0" w:line="78" w:lineRule="exact"/>
        <w:rPr>
          <w:sz w:val="20"/>
          <w:szCs w:val="20"/>
          <w:color w:val="auto"/>
        </w:rPr>
      </w:pPr>
    </w:p>
    <w:p>
      <w:pPr>
        <w:ind w:left="128" w:hanging="128"/>
        <w:spacing w:after="0"/>
        <w:tabs>
          <w:tab w:leader="none" w:pos="1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 have reviewed this report on Form 10-Q of Eagle Materials Inc.;</w:t>
      </w:r>
    </w:p>
    <w:p>
      <w:pPr>
        <w:spacing w:after="0" w:line="78" w:lineRule="exact"/>
        <w:rPr>
          <w:rFonts w:ascii="Arial" w:cs="Arial" w:eastAsia="Arial" w:hAnsi="Arial"/>
          <w:sz w:val="12"/>
          <w:szCs w:val="12"/>
          <w:color w:val="auto"/>
        </w:rPr>
      </w:pPr>
    </w:p>
    <w:p>
      <w:pPr>
        <w:ind w:left="8" w:right="20" w:hanging="8"/>
        <w:spacing w:after="0" w:line="276" w:lineRule="auto"/>
        <w:tabs>
          <w:tab w:leader="none" w:pos="135"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 w:hanging="8"/>
        <w:spacing w:after="0" w:line="276" w:lineRule="auto"/>
        <w:tabs>
          <w:tab w:leader="none" w:pos="133"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 w:right="20" w:hanging="8"/>
        <w:spacing w:after="0" w:line="276" w:lineRule="auto"/>
        <w:tabs>
          <w:tab w:leader="none" w:pos="141"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8" w:right="20" w:hanging="8"/>
        <w:spacing w:after="0" w:line="276" w:lineRule="auto"/>
        <w:tabs>
          <w:tab w:leader="none" w:pos="142" w:val="left"/>
        </w:tabs>
        <w:numPr>
          <w:ilvl w:val="0"/>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5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hanging="8"/>
        <w:spacing w:after="0" w:line="276" w:lineRule="auto"/>
        <w:tabs>
          <w:tab w:leader="none" w:pos="137" w:val="left"/>
        </w:tabs>
        <w:numPr>
          <w:ilvl w:val="0"/>
          <w:numId w:val="5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5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8" w:hanging="8"/>
        <w:spacing w:after="0" w:line="276" w:lineRule="auto"/>
        <w:tabs>
          <w:tab w:leader="none" w:pos="131"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3" w:lineRule="exact"/>
        <w:rPr>
          <w:sz w:val="20"/>
          <w:szCs w:val="20"/>
          <w:color w:val="auto"/>
        </w:rPr>
      </w:pPr>
    </w:p>
    <w:p>
      <w:pPr>
        <w:ind w:left="8" w:hanging="8"/>
        <w:spacing w:after="0" w:line="276" w:lineRule="auto"/>
        <w:tabs>
          <w:tab w:leader="none" w:pos="132" w:val="left"/>
        </w:tabs>
        <w:numPr>
          <w:ilvl w:val="0"/>
          <w:numId w:val="6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28" w:hanging="128"/>
        <w:spacing w:after="0"/>
        <w:tabs>
          <w:tab w:leader="none" w:pos="1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July 30, 2020</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 Craig Kesler</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D. Craig Kesler</w:t>
            </w:r>
          </w:p>
        </w:tc>
      </w:tr>
      <w:tr>
        <w:trPr>
          <w:trHeight w:val="144"/>
        </w:trPr>
        <w:tc>
          <w:tcPr>
            <w:tcW w:w="40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308"/>
          </w:cols>
          <w:pgMar w:left="292" w:top="127" w:right="299" w:bottom="1440" w:gutter="0" w:footer="0" w:header="0"/>
        </w:sectPr>
      </w:pPr>
    </w:p>
    <w:bookmarkStart w:id="83" w:name="page84"/>
    <w:bookmarkEnd w:id="83"/>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 Pursuant to Section 906 of the Sarbanes-Oxley Act of 2002</w:t>
      </w:r>
    </w:p>
    <w:p>
      <w:pPr>
        <w:spacing w:after="0" w:line="154" w:lineRule="exact"/>
        <w:rPr>
          <w:sz w:val="20"/>
          <w:szCs w:val="20"/>
          <w:color w:val="auto"/>
        </w:rPr>
      </w:pPr>
    </w:p>
    <w:p>
      <w:pPr>
        <w:jc w:val="both"/>
        <w:ind w:firstLine="256"/>
        <w:spacing w:after="0" w:line="263" w:lineRule="auto"/>
        <w:rPr>
          <w:sz w:val="20"/>
          <w:szCs w:val="20"/>
          <w:color w:val="auto"/>
        </w:rPr>
      </w:pPr>
      <w:r>
        <w:rPr>
          <w:rFonts w:ascii="Arial" w:cs="Arial" w:eastAsia="Arial" w:hAnsi="Arial"/>
          <w:sz w:val="12"/>
          <w:szCs w:val="12"/>
          <w:color w:val="auto"/>
        </w:rPr>
        <w:t>In connection with the Quarterly Report of Eagle Materials Inc. and subsidiaries (the “Company”) on Form 10-Q for the period ended June 30, 2020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50" w:lineRule="exact"/>
        <w:rPr>
          <w:sz w:val="20"/>
          <w:szCs w:val="20"/>
          <w:color w:val="auto"/>
        </w:rPr>
      </w:pPr>
    </w:p>
    <w:p>
      <w:pPr>
        <w:ind w:left="620" w:hanging="376"/>
        <w:spacing w:after="0"/>
        <w:tabs>
          <w:tab w:leader="none" w:pos="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620" w:hanging="376"/>
        <w:spacing w:after="0"/>
        <w:tabs>
          <w:tab w:leader="none" w:pos="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Dated: July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R. Haack</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Michael R. Haack</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300"/>
          </w:cols>
          <w:pgMar w:left="300" w:top="127" w:right="299" w:bottom="1440" w:gutter="0" w:footer="0" w:header="0"/>
        </w:sectPr>
      </w:pPr>
    </w:p>
    <w:bookmarkStart w:id="84" w:name="page85"/>
    <w:bookmarkEnd w:id="84"/>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 Pursuant to Section 906 of the Sarbanes-Oxley Act of 2002</w:t>
      </w:r>
    </w:p>
    <w:p>
      <w:pPr>
        <w:spacing w:after="0" w:line="154" w:lineRule="exact"/>
        <w:rPr>
          <w:sz w:val="20"/>
          <w:szCs w:val="20"/>
          <w:color w:val="auto"/>
        </w:rPr>
      </w:pPr>
    </w:p>
    <w:p>
      <w:pPr>
        <w:ind w:firstLine="256"/>
        <w:spacing w:after="0" w:line="323" w:lineRule="auto"/>
        <w:rPr>
          <w:sz w:val="20"/>
          <w:szCs w:val="20"/>
          <w:color w:val="auto"/>
        </w:rPr>
      </w:pPr>
      <w:r>
        <w:rPr>
          <w:rFonts w:ascii="Arial" w:cs="Arial" w:eastAsia="Arial" w:hAnsi="Arial"/>
          <w:sz w:val="11"/>
          <w:szCs w:val="11"/>
          <w:color w:val="auto"/>
        </w:rPr>
        <w:t>In connection with the Quarterly Report of Eagle Materials Inc. and subsidiaries (the “Company”) on Form 10-Q for the period ended June 30, 2020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20" w:lineRule="exact"/>
        <w:rPr>
          <w:sz w:val="20"/>
          <w:szCs w:val="20"/>
          <w:color w:val="auto"/>
        </w:rPr>
      </w:pPr>
    </w:p>
    <w:p>
      <w:pPr>
        <w:ind w:left="620" w:hanging="376"/>
        <w:spacing w:after="0"/>
        <w:tabs>
          <w:tab w:leader="none" w:pos="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620" w:hanging="376"/>
        <w:spacing w:after="0"/>
        <w:tabs>
          <w:tab w:leader="none" w:pos="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Dated: July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 Craig Kesler</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D. Craig Kesler</w:t>
            </w:r>
          </w:p>
        </w:tc>
      </w:tr>
      <w:tr>
        <w:trPr>
          <w:trHeight w:val="144"/>
        </w:trPr>
        <w:tc>
          <w:tcPr>
            <w:tcW w:w="40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300"/>
          </w:cols>
          <w:pgMar w:left="300" w:top="127" w:right="299" w:bottom="1440" w:gutter="0" w:footer="0" w:header="0"/>
        </w:sectPr>
      </w:pPr>
    </w:p>
    <w:bookmarkStart w:id="85" w:name="page86"/>
    <w:bookmarkEnd w:id="85"/>
    <w:p>
      <w:pPr>
        <w:ind w:left="6200"/>
        <w:spacing w:after="0"/>
        <w:rPr>
          <w:sz w:val="20"/>
          <w:szCs w:val="20"/>
          <w:color w:val="auto"/>
        </w:rPr>
      </w:pPr>
      <w:r>
        <w:rPr>
          <w:rFonts w:ascii="Arial" w:cs="Arial" w:eastAsia="Arial" w:hAnsi="Arial"/>
          <w:sz w:val="12"/>
          <w:szCs w:val="12"/>
          <w:b w:val="1"/>
          <w:bCs w:val="1"/>
          <w:i w:val="1"/>
          <w:iCs w:val="1"/>
          <w:color w:val="auto"/>
        </w:rPr>
        <w:t>MINE SAFETY DISCLOSURE</w:t>
      </w:r>
    </w:p>
    <w:p>
      <w:pPr>
        <w:spacing w:after="0" w:line="109" w:lineRule="exact"/>
        <w:rPr>
          <w:sz w:val="20"/>
          <w:szCs w:val="20"/>
          <w:color w:val="auto"/>
        </w:rPr>
      </w:pPr>
    </w:p>
    <w:p>
      <w:pPr>
        <w:jc w:val="both"/>
        <w:spacing w:after="0" w:line="351" w:lineRule="auto"/>
        <w:rPr>
          <w:sz w:val="20"/>
          <w:szCs w:val="20"/>
          <w:color w:val="auto"/>
        </w:rPr>
      </w:pPr>
      <w:r>
        <w:rPr>
          <w:rFonts w:ascii="Arial" w:cs="Arial" w:eastAsia="Arial" w:hAnsi="Arial"/>
          <w:sz w:val="9"/>
          <w:szCs w:val="9"/>
          <w:color w:val="auto"/>
        </w:rPr>
        <w:t>Section 1503 of the Dodd-Frank Wall Street Reform and Consumer Protection Act contains reporting requirements regarding mine safety. The operation of our quarries is subject to regulation by the federal Mine Safety and Health Administration, or MSHA, unde Mine Act. Set forth below is the required information regarding certain mining safety and health matters for the three-month period ended June 30, 2020 for our facilities. In evaluating this information, consideration should be given to factors such as: (i) the num of the quarry, (ii) the number of citations issued will vary from inspector-to-inspector and mine-to-mine, and (iii) citations and orders can be contested and appealed, and in that process, may be reduced in severity and amount, and are sometimes dismissed.</w:t>
      </w:r>
    </w:p>
    <w:p>
      <w:pPr>
        <w:sectPr>
          <w:pgSz w:w="11900" w:h="16838" w:orient="portrait"/>
          <w:cols w:equalWidth="0" w:num="1">
            <w:col w:w="11360"/>
          </w:cols>
          <w:pgMar w:left="300" w:top="3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8"/>
          <w:szCs w:val="8"/>
          <w:color w:val="auto"/>
        </w:rPr>
        <w:t>Mine or Operating Name/MSHA</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Identification Number</w:t>
      </w:r>
    </w:p>
    <w:p>
      <w:pPr>
        <w:spacing w:after="0" w:line="206" w:lineRule="auto"/>
        <w:rPr>
          <w:sz w:val="20"/>
          <w:szCs w:val="20"/>
          <w:color w:val="auto"/>
        </w:rPr>
      </w:pPr>
      <w:r>
        <w:rPr>
          <w:rFonts w:ascii="Arial" w:cs="Arial" w:eastAsia="Arial" w:hAnsi="Arial"/>
          <w:sz w:val="10"/>
          <w:szCs w:val="10"/>
          <w:color w:val="auto"/>
        </w:rPr>
        <w:t>3D Concrete LLC</w:t>
      </w:r>
    </w:p>
    <w:p>
      <w:pPr>
        <w:spacing w:after="0" w:line="237" w:lineRule="auto"/>
        <w:rPr>
          <w:sz w:val="20"/>
          <w:szCs w:val="20"/>
          <w:color w:val="auto"/>
        </w:rPr>
      </w:pPr>
      <w:r>
        <w:rPr>
          <w:rFonts w:ascii="Arial" w:cs="Arial" w:eastAsia="Arial" w:hAnsi="Arial"/>
          <w:sz w:val="10"/>
          <w:szCs w:val="10"/>
          <w:color w:val="auto"/>
        </w:rPr>
        <w:t>Lander, NV (2602434)</w:t>
      </w:r>
    </w:p>
    <w:p>
      <w:pPr>
        <w:spacing w:after="0" w:line="214" w:lineRule="auto"/>
        <w:rPr>
          <w:sz w:val="20"/>
          <w:szCs w:val="20"/>
          <w:color w:val="auto"/>
        </w:rPr>
      </w:pPr>
      <w:r>
        <w:rPr>
          <w:rFonts w:ascii="Arial" w:cs="Arial" w:eastAsia="Arial" w:hAnsi="Arial"/>
          <w:sz w:val="10"/>
          <w:szCs w:val="10"/>
          <w:color w:val="auto"/>
        </w:rPr>
        <w:t>3D Concrete LLC</w:t>
      </w:r>
    </w:p>
    <w:p>
      <w:pPr>
        <w:spacing w:after="0" w:line="237" w:lineRule="auto"/>
        <w:rPr>
          <w:sz w:val="20"/>
          <w:szCs w:val="20"/>
          <w:color w:val="auto"/>
        </w:rPr>
      </w:pPr>
      <w:r>
        <w:rPr>
          <w:rFonts w:ascii="Arial" w:cs="Arial" w:eastAsia="Arial" w:hAnsi="Arial"/>
          <w:sz w:val="10"/>
          <w:szCs w:val="10"/>
          <w:color w:val="auto"/>
        </w:rPr>
        <w:t>Lyon, Nevada (2602412)</w:t>
      </w:r>
    </w:p>
    <w:p>
      <w:pPr>
        <w:spacing w:after="0"/>
        <w:rPr>
          <w:sz w:val="20"/>
          <w:szCs w:val="20"/>
          <w:color w:val="auto"/>
        </w:rPr>
      </w:pPr>
      <w:r>
        <w:rPr>
          <w:rFonts w:ascii="Arial" w:cs="Arial" w:eastAsia="Arial" w:hAnsi="Arial"/>
          <w:sz w:val="8"/>
          <w:szCs w:val="8"/>
          <w:color w:val="auto"/>
        </w:rPr>
        <w:t>American Gypsum Company LLC</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Albuquerque, NM (2900181)</w:t>
      </w:r>
    </w:p>
    <w:p>
      <w:pPr>
        <w:spacing w:after="0"/>
        <w:rPr>
          <w:sz w:val="20"/>
          <w:szCs w:val="20"/>
          <w:color w:val="auto"/>
        </w:rPr>
      </w:pPr>
      <w:r>
        <w:rPr>
          <w:rFonts w:ascii="Arial" w:cs="Arial" w:eastAsia="Arial" w:hAnsi="Arial"/>
          <w:sz w:val="8"/>
          <w:szCs w:val="8"/>
          <w:color w:val="auto"/>
        </w:rPr>
        <w:t>American Gypsum Company LLC</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Duke, OK (3400256)</w:t>
      </w:r>
    </w:p>
    <w:p>
      <w:pPr>
        <w:spacing w:after="0"/>
        <w:rPr>
          <w:sz w:val="20"/>
          <w:szCs w:val="20"/>
          <w:color w:val="auto"/>
        </w:rPr>
      </w:pPr>
      <w:r>
        <w:rPr>
          <w:rFonts w:ascii="Arial" w:cs="Arial" w:eastAsia="Arial" w:hAnsi="Arial"/>
          <w:sz w:val="8"/>
          <w:szCs w:val="8"/>
          <w:color w:val="auto"/>
        </w:rPr>
        <w:t>American Gypsum Company LLC</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Eagle, CO (0503997)</w:t>
      </w:r>
    </w:p>
    <w:p>
      <w:pPr>
        <w:spacing w:after="0" w:line="213" w:lineRule="auto"/>
        <w:rPr>
          <w:sz w:val="20"/>
          <w:szCs w:val="20"/>
          <w:color w:val="auto"/>
        </w:rPr>
      </w:pPr>
      <w:r>
        <w:rPr>
          <w:rFonts w:ascii="Arial" w:cs="Arial" w:eastAsia="Arial" w:hAnsi="Arial"/>
          <w:sz w:val="10"/>
          <w:szCs w:val="10"/>
          <w:color w:val="auto"/>
        </w:rPr>
        <w:t>Centex Materials LLC</w:t>
      </w:r>
    </w:p>
    <w:p>
      <w:pPr>
        <w:spacing w:after="0" w:line="237" w:lineRule="auto"/>
        <w:rPr>
          <w:sz w:val="20"/>
          <w:szCs w:val="20"/>
          <w:color w:val="auto"/>
        </w:rPr>
      </w:pPr>
      <w:r>
        <w:rPr>
          <w:rFonts w:ascii="Arial" w:cs="Arial" w:eastAsia="Arial" w:hAnsi="Arial"/>
          <w:sz w:val="10"/>
          <w:szCs w:val="10"/>
          <w:color w:val="auto"/>
        </w:rPr>
        <w:t>Buda, TX (4102241)</w:t>
      </w:r>
    </w:p>
    <w:p>
      <w:pPr>
        <w:spacing w:after="0"/>
        <w:rPr>
          <w:sz w:val="20"/>
          <w:szCs w:val="20"/>
          <w:color w:val="auto"/>
        </w:rPr>
      </w:pPr>
      <w:r>
        <w:rPr>
          <w:rFonts w:ascii="Arial" w:cs="Arial" w:eastAsia="Arial" w:hAnsi="Arial"/>
          <w:sz w:val="8"/>
          <w:szCs w:val="8"/>
          <w:color w:val="auto"/>
        </w:rPr>
        <w:t>Central Plains Cement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Sugar Creek, MO (2302171)</w:t>
      </w:r>
    </w:p>
    <w:p>
      <w:pPr>
        <w:spacing w:after="0"/>
        <w:rPr>
          <w:sz w:val="20"/>
          <w:szCs w:val="20"/>
          <w:color w:val="auto"/>
        </w:rPr>
      </w:pPr>
      <w:r>
        <w:rPr>
          <w:rFonts w:ascii="Arial" w:cs="Arial" w:eastAsia="Arial" w:hAnsi="Arial"/>
          <w:sz w:val="8"/>
          <w:szCs w:val="8"/>
          <w:color w:val="auto"/>
        </w:rPr>
        <w:t>Central Plains Cement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Tulsa, OK (3400026)</w:t>
      </w:r>
    </w:p>
    <w:p>
      <w:pPr>
        <w:spacing w:after="0"/>
        <w:rPr>
          <w:sz w:val="20"/>
          <w:szCs w:val="20"/>
          <w:color w:val="auto"/>
        </w:rPr>
      </w:pPr>
      <w:r>
        <w:rPr>
          <w:rFonts w:ascii="Arial" w:cs="Arial" w:eastAsia="Arial" w:hAnsi="Arial"/>
          <w:sz w:val="8"/>
          <w:szCs w:val="8"/>
          <w:color w:val="auto"/>
        </w:rPr>
        <w:t>Fairborn Cement Company LLC</w:t>
      </w:r>
    </w:p>
    <w:p>
      <w:pPr>
        <w:spacing w:after="0" w:line="11" w:lineRule="exact"/>
        <w:rPr>
          <w:sz w:val="20"/>
          <w:szCs w:val="20"/>
          <w:color w:val="auto"/>
        </w:rPr>
      </w:pPr>
    </w:p>
    <w:p>
      <w:pPr>
        <w:spacing w:after="0"/>
        <w:rPr>
          <w:sz w:val="20"/>
          <w:szCs w:val="20"/>
          <w:color w:val="auto"/>
        </w:rPr>
      </w:pPr>
      <w:r>
        <w:rPr>
          <w:rFonts w:ascii="Arial" w:cs="Arial" w:eastAsia="Arial" w:hAnsi="Arial"/>
          <w:sz w:val="8"/>
          <w:szCs w:val="8"/>
          <w:color w:val="auto"/>
        </w:rPr>
        <w:t>Greene County, OH (3300161)</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Great Northern Sand LLC</w:t>
      </w:r>
    </w:p>
    <w:p>
      <w:pPr>
        <w:spacing w:after="0" w:line="236" w:lineRule="auto"/>
        <w:rPr>
          <w:sz w:val="20"/>
          <w:szCs w:val="20"/>
          <w:color w:val="auto"/>
        </w:rPr>
      </w:pPr>
      <w:r>
        <w:rPr>
          <w:rFonts w:ascii="Arial" w:cs="Arial" w:eastAsia="Arial" w:hAnsi="Arial"/>
          <w:sz w:val="10"/>
          <w:szCs w:val="10"/>
          <w:color w:val="auto"/>
        </w:rPr>
        <w:t>Barron Co., WI (4703646)</w:t>
      </w:r>
    </w:p>
    <w:p>
      <w:pPr>
        <w:spacing w:after="0" w:line="214" w:lineRule="auto"/>
        <w:rPr>
          <w:sz w:val="20"/>
          <w:szCs w:val="20"/>
          <w:color w:val="auto"/>
        </w:rPr>
      </w:pPr>
      <w:r>
        <w:rPr>
          <w:rFonts w:ascii="Arial" w:cs="Arial" w:eastAsia="Arial" w:hAnsi="Arial"/>
          <w:sz w:val="10"/>
          <w:szCs w:val="10"/>
          <w:color w:val="auto"/>
        </w:rPr>
        <w:t>Great Northern Sand LLC</w:t>
      </w:r>
    </w:p>
    <w:p>
      <w:pPr>
        <w:spacing w:after="0" w:line="237" w:lineRule="auto"/>
        <w:rPr>
          <w:sz w:val="20"/>
          <w:szCs w:val="20"/>
          <w:color w:val="auto"/>
        </w:rPr>
      </w:pPr>
      <w:r>
        <w:rPr>
          <w:rFonts w:ascii="Arial" w:cs="Arial" w:eastAsia="Arial" w:hAnsi="Arial"/>
          <w:sz w:val="10"/>
          <w:szCs w:val="10"/>
          <w:color w:val="auto"/>
        </w:rPr>
        <w:t>Barron Co., WI (4703740)</w:t>
      </w:r>
    </w:p>
    <w:p>
      <w:pPr>
        <w:spacing w:after="0" w:line="214" w:lineRule="auto"/>
        <w:rPr>
          <w:sz w:val="20"/>
          <w:szCs w:val="20"/>
          <w:color w:val="auto"/>
        </w:rPr>
      </w:pPr>
      <w:r>
        <w:rPr>
          <w:rFonts w:ascii="Arial" w:cs="Arial" w:eastAsia="Arial" w:hAnsi="Arial"/>
          <w:sz w:val="10"/>
          <w:szCs w:val="10"/>
          <w:color w:val="auto"/>
        </w:rPr>
        <w:t>Illinois Cement Company</w:t>
      </w:r>
    </w:p>
    <w:p>
      <w:pPr>
        <w:spacing w:after="0" w:line="237" w:lineRule="auto"/>
        <w:rPr>
          <w:sz w:val="20"/>
          <w:szCs w:val="20"/>
          <w:color w:val="auto"/>
        </w:rPr>
      </w:pPr>
      <w:r>
        <w:rPr>
          <w:rFonts w:ascii="Arial" w:cs="Arial" w:eastAsia="Arial" w:hAnsi="Arial"/>
          <w:sz w:val="10"/>
          <w:szCs w:val="10"/>
          <w:color w:val="auto"/>
        </w:rPr>
        <w:t>LaSalle, IL (1100003)</w:t>
      </w:r>
    </w:p>
    <w:p>
      <w:pPr>
        <w:spacing w:after="0"/>
        <w:rPr>
          <w:sz w:val="20"/>
          <w:szCs w:val="20"/>
          <w:color w:val="auto"/>
        </w:rPr>
      </w:pPr>
      <w:r>
        <w:rPr>
          <w:rFonts w:ascii="Arial" w:cs="Arial" w:eastAsia="Arial" w:hAnsi="Arial"/>
          <w:sz w:val="8"/>
          <w:szCs w:val="8"/>
          <w:color w:val="auto"/>
        </w:rPr>
        <w:t>Kosmos Cement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Jefferson, KY (1504469)</w:t>
      </w:r>
    </w:p>
    <w:p>
      <w:pPr>
        <w:spacing w:after="0"/>
        <w:rPr>
          <w:sz w:val="20"/>
          <w:szCs w:val="20"/>
          <w:color w:val="auto"/>
        </w:rPr>
      </w:pPr>
      <w:r>
        <w:rPr>
          <w:rFonts w:ascii="Arial" w:cs="Arial" w:eastAsia="Arial" w:hAnsi="Arial"/>
          <w:sz w:val="8"/>
          <w:szCs w:val="8"/>
          <w:color w:val="auto"/>
        </w:rPr>
        <w:t>Mountain Cement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Laramie, WY (4800007)</w:t>
      </w:r>
    </w:p>
    <w:p>
      <w:pPr>
        <w:spacing w:after="0"/>
        <w:rPr>
          <w:sz w:val="20"/>
          <w:szCs w:val="20"/>
          <w:color w:val="auto"/>
        </w:rPr>
      </w:pPr>
      <w:r>
        <w:rPr>
          <w:rFonts w:ascii="Arial" w:cs="Arial" w:eastAsia="Arial" w:hAnsi="Arial"/>
          <w:sz w:val="8"/>
          <w:szCs w:val="8"/>
          <w:color w:val="auto"/>
        </w:rPr>
        <w:t>Nevada Cement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color w:val="auto"/>
        </w:rPr>
        <w:t>Fernley, NV (2600015)</w:t>
      </w:r>
    </w:p>
    <w:p>
      <w:pPr>
        <w:spacing w:after="0" w:line="213" w:lineRule="auto"/>
        <w:rPr>
          <w:sz w:val="20"/>
          <w:szCs w:val="20"/>
          <w:color w:val="auto"/>
        </w:rPr>
      </w:pPr>
      <w:r>
        <w:rPr>
          <w:rFonts w:ascii="Arial" w:cs="Arial" w:eastAsia="Arial" w:hAnsi="Arial"/>
          <w:sz w:val="10"/>
          <w:szCs w:val="10"/>
          <w:color w:val="auto"/>
        </w:rPr>
        <w:t>Northern White Sand LLC</w:t>
      </w:r>
    </w:p>
    <w:p>
      <w:pPr>
        <w:spacing w:after="0" w:line="237" w:lineRule="auto"/>
        <w:rPr>
          <w:sz w:val="20"/>
          <w:szCs w:val="20"/>
          <w:color w:val="auto"/>
        </w:rPr>
      </w:pPr>
      <w:r>
        <w:rPr>
          <w:rFonts w:ascii="Arial" w:cs="Arial" w:eastAsia="Arial" w:hAnsi="Arial"/>
          <w:sz w:val="10"/>
          <w:szCs w:val="10"/>
          <w:color w:val="auto"/>
        </w:rPr>
        <w:t>Utica, IL (1103253)</w:t>
      </w:r>
    </w:p>
    <w:p>
      <w:pPr>
        <w:spacing w:after="0" w:line="214" w:lineRule="auto"/>
        <w:rPr>
          <w:sz w:val="20"/>
          <w:szCs w:val="20"/>
          <w:color w:val="auto"/>
        </w:rPr>
      </w:pPr>
      <w:r>
        <w:rPr>
          <w:rFonts w:ascii="Arial" w:cs="Arial" w:eastAsia="Arial" w:hAnsi="Arial"/>
          <w:sz w:val="10"/>
          <w:szCs w:val="10"/>
          <w:color w:val="auto"/>
        </w:rPr>
        <w:t>Western Aggregates LLC (2)</w:t>
      </w:r>
    </w:p>
    <w:p>
      <w:pPr>
        <w:spacing w:after="0" w:line="237" w:lineRule="auto"/>
        <w:rPr>
          <w:sz w:val="20"/>
          <w:szCs w:val="20"/>
          <w:color w:val="auto"/>
        </w:rPr>
      </w:pPr>
      <w:r>
        <w:rPr>
          <w:rFonts w:ascii="Arial" w:cs="Arial" w:eastAsia="Arial" w:hAnsi="Arial"/>
          <w:sz w:val="10"/>
          <w:szCs w:val="10"/>
          <w:color w:val="auto"/>
        </w:rPr>
        <w:t>Yuba, CA (0404950)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9"/>
              </w:rPr>
              <w:t>Section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9"/>
              </w:rPr>
              <w:t>Section</w:t>
            </w:r>
          </w:p>
        </w:tc>
        <w:tc>
          <w:tcPr>
            <w:tcW w:w="1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color w:val="auto"/>
                <w:w w:val="87"/>
              </w:rPr>
              <w:t>Received Notice of Pattern of</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7"/>
              </w:rPr>
              <w:t>Received Notice of Potential to Have</w:t>
            </w:r>
          </w:p>
        </w:tc>
        <w:tc>
          <w:tcPr>
            <w:tcW w:w="340" w:type="dxa"/>
            <w:vAlign w:val="bottom"/>
          </w:tcPr>
          <w:p>
            <w:pPr>
              <w:spacing w:after="0"/>
              <w:rPr>
                <w:sz w:val="10"/>
                <w:szCs w:val="10"/>
                <w:color w:val="auto"/>
              </w:rPr>
            </w:pPr>
          </w:p>
        </w:tc>
      </w:tr>
      <w:tr>
        <w:trPr>
          <w:trHeight w:val="99"/>
        </w:trPr>
        <w:tc>
          <w:tcPr>
            <w:tcW w:w="640" w:type="dxa"/>
            <w:vAlign w:val="bottom"/>
          </w:tcPr>
          <w:p>
            <w:pPr>
              <w:jc w:val="center"/>
              <w:ind w:right="12"/>
              <w:spacing w:after="0" w:line="99" w:lineRule="exact"/>
              <w:rPr>
                <w:sz w:val="20"/>
                <w:szCs w:val="20"/>
                <w:color w:val="auto"/>
              </w:rPr>
            </w:pPr>
            <w:r>
              <w:rPr>
                <w:rFonts w:ascii="Arial" w:cs="Arial" w:eastAsia="Arial" w:hAnsi="Arial"/>
                <w:sz w:val="10"/>
                <w:szCs w:val="10"/>
                <w:color w:val="auto"/>
                <w:w w:val="87"/>
              </w:rPr>
              <w:t>Section 104</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9"/>
              </w:rPr>
              <w:t>104(b)</w:t>
            </w:r>
          </w:p>
        </w:tc>
        <w:tc>
          <w:tcPr>
            <w:tcW w:w="900" w:type="dxa"/>
            <w:vAlign w:val="bottom"/>
          </w:tcPr>
          <w:p>
            <w:pPr>
              <w:jc w:val="center"/>
              <w:spacing w:after="0" w:line="99" w:lineRule="exact"/>
              <w:rPr>
                <w:sz w:val="20"/>
                <w:szCs w:val="20"/>
                <w:color w:val="auto"/>
              </w:rPr>
            </w:pPr>
            <w:r>
              <w:rPr>
                <w:rFonts w:ascii="Arial" w:cs="Arial" w:eastAsia="Arial" w:hAnsi="Arial"/>
                <w:sz w:val="10"/>
                <w:szCs w:val="10"/>
                <w:color w:val="auto"/>
                <w:w w:val="86"/>
              </w:rPr>
              <w:t>Section 104(d)</w:t>
            </w:r>
          </w:p>
        </w:tc>
        <w:tc>
          <w:tcPr>
            <w:tcW w:w="660" w:type="dxa"/>
            <w:vAlign w:val="bottom"/>
          </w:tcPr>
          <w:p>
            <w:pPr>
              <w:jc w:val="center"/>
              <w:ind w:right="12"/>
              <w:spacing w:after="0" w:line="99" w:lineRule="exact"/>
              <w:rPr>
                <w:sz w:val="20"/>
                <w:szCs w:val="20"/>
                <w:color w:val="auto"/>
              </w:rPr>
            </w:pPr>
            <w:r>
              <w:rPr>
                <w:rFonts w:ascii="Arial" w:cs="Arial" w:eastAsia="Arial" w:hAnsi="Arial"/>
                <w:sz w:val="10"/>
                <w:szCs w:val="10"/>
                <w:color w:val="auto"/>
                <w:w w:val="86"/>
              </w:rPr>
              <w:t>Section 110(b)</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9"/>
              </w:rPr>
              <w:t>107(a)</w:t>
            </w:r>
          </w:p>
        </w:tc>
        <w:tc>
          <w:tcPr>
            <w:tcW w:w="1260" w:type="dxa"/>
            <w:vAlign w:val="bottom"/>
          </w:tcPr>
          <w:p>
            <w:pPr>
              <w:ind w:left="120"/>
              <w:spacing w:after="0" w:line="99" w:lineRule="exact"/>
              <w:rPr>
                <w:sz w:val="20"/>
                <w:szCs w:val="20"/>
                <w:color w:val="auto"/>
              </w:rPr>
            </w:pPr>
            <w:r>
              <w:rPr>
                <w:rFonts w:ascii="Arial" w:cs="Arial" w:eastAsia="Arial" w:hAnsi="Arial"/>
                <w:sz w:val="10"/>
                <w:szCs w:val="10"/>
                <w:color w:val="auto"/>
                <w:w w:val="91"/>
              </w:rPr>
              <w:t>Total Dollar Value of MSHA</w:t>
            </w:r>
          </w:p>
        </w:tc>
        <w:tc>
          <w:tcPr>
            <w:tcW w:w="1060" w:type="dxa"/>
            <w:vAlign w:val="bottom"/>
          </w:tcPr>
          <w:p>
            <w:pPr>
              <w:jc w:val="center"/>
              <w:spacing w:after="0" w:line="99" w:lineRule="exact"/>
              <w:rPr>
                <w:sz w:val="20"/>
                <w:szCs w:val="20"/>
                <w:color w:val="auto"/>
              </w:rPr>
            </w:pPr>
            <w:r>
              <w:rPr>
                <w:rFonts w:ascii="Arial" w:cs="Arial" w:eastAsia="Arial" w:hAnsi="Arial"/>
                <w:sz w:val="10"/>
                <w:szCs w:val="10"/>
                <w:color w:val="auto"/>
                <w:w w:val="90"/>
              </w:rPr>
              <w:t>Total Number of Mining</w:t>
            </w:r>
          </w:p>
        </w:tc>
        <w:tc>
          <w:tcPr>
            <w:tcW w:w="1400" w:type="dxa"/>
            <w:vAlign w:val="bottom"/>
          </w:tcPr>
          <w:p>
            <w:pPr>
              <w:jc w:val="center"/>
              <w:spacing w:after="0" w:line="99" w:lineRule="exact"/>
              <w:rPr>
                <w:sz w:val="20"/>
                <w:szCs w:val="20"/>
                <w:color w:val="auto"/>
              </w:rPr>
            </w:pPr>
            <w:r>
              <w:rPr>
                <w:rFonts w:ascii="Arial" w:cs="Arial" w:eastAsia="Arial" w:hAnsi="Arial"/>
                <w:sz w:val="10"/>
                <w:szCs w:val="10"/>
                <w:color w:val="auto"/>
                <w:w w:val="89"/>
              </w:rPr>
              <w:t>Violations Under Section 104(e)</w:t>
            </w:r>
          </w:p>
        </w:tc>
        <w:tc>
          <w:tcPr>
            <w:tcW w:w="1560" w:type="dxa"/>
            <w:vAlign w:val="bottom"/>
          </w:tcPr>
          <w:p>
            <w:pPr>
              <w:jc w:val="center"/>
              <w:ind w:left="12"/>
              <w:spacing w:after="0" w:line="99" w:lineRule="exact"/>
              <w:rPr>
                <w:sz w:val="20"/>
                <w:szCs w:val="20"/>
                <w:color w:val="auto"/>
              </w:rPr>
            </w:pPr>
            <w:r>
              <w:rPr>
                <w:rFonts w:ascii="Arial" w:cs="Arial" w:eastAsia="Arial" w:hAnsi="Arial"/>
                <w:sz w:val="10"/>
                <w:szCs w:val="10"/>
                <w:color w:val="auto"/>
                <w:w w:val="87"/>
              </w:rPr>
              <w:t>Pattern Under Section 104(e)</w:t>
            </w:r>
          </w:p>
        </w:tc>
        <w:tc>
          <w:tcPr>
            <w:tcW w:w="340" w:type="dxa"/>
            <w:vAlign w:val="bottom"/>
          </w:tcPr>
          <w:p>
            <w:pPr>
              <w:jc w:val="right"/>
              <w:spacing w:after="0" w:line="99" w:lineRule="exact"/>
              <w:rPr>
                <w:sz w:val="20"/>
                <w:szCs w:val="20"/>
                <w:color w:val="auto"/>
              </w:rPr>
            </w:pPr>
            <w:r>
              <w:rPr>
                <w:rFonts w:ascii="Arial" w:cs="Arial" w:eastAsia="Arial" w:hAnsi="Arial"/>
                <w:sz w:val="10"/>
                <w:szCs w:val="10"/>
                <w:color w:val="auto"/>
                <w:w w:val="94"/>
              </w:rPr>
              <w:t>Legal A</w:t>
            </w:r>
          </w:p>
        </w:tc>
      </w:tr>
      <w:tr>
        <w:trPr>
          <w:trHeight w:val="12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90"/>
              </w:rPr>
              <w:t>S&amp;S Citations</w:t>
            </w:r>
          </w:p>
        </w:tc>
        <w:tc>
          <w:tcPr>
            <w:tcW w:w="420" w:type="dxa"/>
            <w:vAlign w:val="bottom"/>
          </w:tcPr>
          <w:p>
            <w:pPr>
              <w:jc w:val="center"/>
              <w:spacing w:after="0"/>
              <w:rPr>
                <w:sz w:val="20"/>
                <w:szCs w:val="20"/>
                <w:color w:val="auto"/>
              </w:rPr>
            </w:pPr>
            <w:r>
              <w:rPr>
                <w:rFonts w:ascii="Arial" w:cs="Arial" w:eastAsia="Arial" w:hAnsi="Arial"/>
                <w:sz w:val="10"/>
                <w:szCs w:val="10"/>
                <w:color w:val="auto"/>
                <w:w w:val="84"/>
              </w:rPr>
              <w:t>Orders</w:t>
            </w:r>
          </w:p>
        </w:tc>
        <w:tc>
          <w:tcPr>
            <w:tcW w:w="900" w:type="dxa"/>
            <w:vAlign w:val="bottom"/>
          </w:tcPr>
          <w:p>
            <w:pPr>
              <w:jc w:val="center"/>
              <w:spacing w:after="0"/>
              <w:rPr>
                <w:sz w:val="20"/>
                <w:szCs w:val="20"/>
                <w:color w:val="auto"/>
              </w:rPr>
            </w:pPr>
            <w:r>
              <w:rPr>
                <w:rFonts w:ascii="Arial" w:cs="Arial" w:eastAsia="Arial" w:hAnsi="Arial"/>
                <w:sz w:val="10"/>
                <w:szCs w:val="10"/>
                <w:color w:val="auto"/>
                <w:w w:val="87"/>
              </w:rPr>
              <w:t>Citations and Orders</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89"/>
              </w:rPr>
              <w:t>(2) Violations</w:t>
            </w:r>
          </w:p>
        </w:tc>
        <w:tc>
          <w:tcPr>
            <w:tcW w:w="420" w:type="dxa"/>
            <w:vAlign w:val="bottom"/>
          </w:tcPr>
          <w:p>
            <w:pPr>
              <w:jc w:val="center"/>
              <w:spacing w:after="0"/>
              <w:rPr>
                <w:sz w:val="20"/>
                <w:szCs w:val="20"/>
                <w:color w:val="auto"/>
              </w:rPr>
            </w:pPr>
            <w:r>
              <w:rPr>
                <w:rFonts w:ascii="Arial" w:cs="Arial" w:eastAsia="Arial" w:hAnsi="Arial"/>
                <w:sz w:val="10"/>
                <w:szCs w:val="10"/>
                <w:color w:val="auto"/>
                <w:w w:val="84"/>
              </w:rPr>
              <w:t>Orders</w:t>
            </w:r>
          </w:p>
        </w:tc>
        <w:tc>
          <w:tcPr>
            <w:tcW w:w="1260" w:type="dxa"/>
            <w:vAlign w:val="bottom"/>
          </w:tcPr>
          <w:p>
            <w:pPr>
              <w:ind w:left="240"/>
              <w:spacing w:after="0"/>
              <w:rPr>
                <w:sz w:val="20"/>
                <w:szCs w:val="20"/>
                <w:color w:val="auto"/>
              </w:rPr>
            </w:pPr>
            <w:r>
              <w:rPr>
                <w:rFonts w:ascii="Arial" w:cs="Arial" w:eastAsia="Arial" w:hAnsi="Arial"/>
                <w:sz w:val="10"/>
                <w:szCs w:val="10"/>
                <w:color w:val="auto"/>
                <w:w w:val="95"/>
              </w:rPr>
              <w:t>Assessments Proposed</w:t>
            </w:r>
          </w:p>
        </w:tc>
        <w:tc>
          <w:tcPr>
            <w:tcW w:w="1060" w:type="dxa"/>
            <w:vAlign w:val="bottom"/>
          </w:tcPr>
          <w:p>
            <w:pPr>
              <w:jc w:val="center"/>
              <w:spacing w:after="0"/>
              <w:rPr>
                <w:sz w:val="20"/>
                <w:szCs w:val="20"/>
                <w:color w:val="auto"/>
              </w:rPr>
            </w:pPr>
            <w:r>
              <w:rPr>
                <w:rFonts w:ascii="Arial" w:cs="Arial" w:eastAsia="Arial" w:hAnsi="Arial"/>
                <w:sz w:val="10"/>
                <w:szCs w:val="10"/>
                <w:color w:val="auto"/>
                <w:w w:val="87"/>
              </w:rPr>
              <w:t>Related Fatalities</w:t>
            </w:r>
          </w:p>
        </w:tc>
        <w:tc>
          <w:tcPr>
            <w:tcW w:w="1400" w:type="dxa"/>
            <w:vAlign w:val="bottom"/>
          </w:tcPr>
          <w:p>
            <w:pPr>
              <w:jc w:val="center"/>
              <w:spacing w:after="0"/>
              <w:rPr>
                <w:sz w:val="20"/>
                <w:szCs w:val="20"/>
                <w:color w:val="auto"/>
              </w:rPr>
            </w:pPr>
            <w:r>
              <w:rPr>
                <w:rFonts w:ascii="Arial" w:cs="Arial" w:eastAsia="Arial" w:hAnsi="Arial"/>
                <w:sz w:val="10"/>
                <w:szCs w:val="10"/>
                <w:color w:val="auto"/>
                <w:w w:val="82"/>
              </w:rPr>
              <w:t>(yes/no)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2"/>
              </w:rPr>
              <w:t>(yes/no)</w:t>
            </w:r>
          </w:p>
        </w:tc>
        <w:tc>
          <w:tcPr>
            <w:tcW w:w="340" w:type="dxa"/>
            <w:vAlign w:val="bottom"/>
          </w:tcPr>
          <w:p>
            <w:pPr>
              <w:jc w:val="right"/>
              <w:spacing w:after="0"/>
              <w:rPr>
                <w:sz w:val="20"/>
                <w:szCs w:val="20"/>
                <w:color w:val="auto"/>
              </w:rPr>
            </w:pPr>
            <w:r>
              <w:rPr>
                <w:rFonts w:ascii="Arial" w:cs="Arial" w:eastAsia="Arial" w:hAnsi="Arial"/>
                <w:sz w:val="10"/>
                <w:szCs w:val="10"/>
                <w:color w:val="auto"/>
              </w:rPr>
              <w:t>Las</w:t>
            </w:r>
          </w:p>
        </w:tc>
      </w:tr>
      <w:tr>
        <w:trPr>
          <w:trHeight w:val="153"/>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3"/>
                <w:szCs w:val="13"/>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4</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$492</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1</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$123</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2</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$246</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12"/>
              <w:spacing w:after="0"/>
              <w:rPr>
                <w:sz w:val="20"/>
                <w:szCs w:val="20"/>
                <w:color w:val="auto"/>
              </w:rPr>
            </w:pPr>
            <w:r>
              <w:rPr>
                <w:rFonts w:ascii="Arial" w:cs="Arial" w:eastAsia="Arial" w:hAnsi="Arial"/>
                <w:sz w:val="10"/>
                <w:szCs w:val="10"/>
                <w:color w:val="auto"/>
                <w:w w:val="89"/>
              </w:rPr>
              <w:t>10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$12,202</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2</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$5,190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4</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$1,357</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12"/>
              <w:spacing w:after="0"/>
              <w:rPr>
                <w:sz w:val="20"/>
                <w:szCs w:val="20"/>
                <w:color w:val="auto"/>
              </w:rPr>
            </w:pPr>
            <w:r>
              <w:rPr>
                <w:rFonts w:ascii="Arial" w:cs="Arial" w:eastAsia="Arial" w:hAnsi="Arial"/>
                <w:sz w:val="10"/>
                <w:szCs w:val="10"/>
                <w:color w:val="auto"/>
                <w:w w:val="89"/>
              </w:rPr>
              <w:t>29</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5</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$1,193</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r>
        <w:trPr>
          <w:trHeight w:val="216"/>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-2297430</wp:posOffset>
            </wp:positionV>
            <wp:extent cx="721868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-2023110</wp:posOffset>
            </wp:positionV>
            <wp:extent cx="721868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-1748790</wp:posOffset>
            </wp:positionV>
            <wp:extent cx="721868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-1474470</wp:posOffset>
            </wp:positionV>
            <wp:extent cx="721868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-1200150</wp:posOffset>
            </wp:positionV>
            <wp:extent cx="721868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-925830</wp:posOffset>
            </wp:positionV>
            <wp:extent cx="721868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-651510</wp:posOffset>
            </wp:positionV>
            <wp:extent cx="721868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-377190</wp:posOffset>
            </wp:positionV>
            <wp:extent cx="721868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18680" cy="13716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-102870</wp:posOffset>
            </wp:positionV>
            <wp:extent cx="721868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18680" cy="13716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1980" w:space="720"/>
            <w:col w:w="8660"/>
          </w:cols>
          <w:pgMar w:left="300" w:top="302" w:right="239" w:bottom="1440" w:gutter="0" w:footer="0" w:header="0"/>
          <w:type w:val="continuous"/>
        </w:sectPr>
      </w:pPr>
    </w:p>
    <w:p>
      <w:pPr>
        <w:ind w:left="340" w:hanging="177"/>
        <w:spacing w:after="0"/>
        <w:tabs>
          <w:tab w:leader="none" w:pos="340" w:val="left"/>
        </w:tabs>
        <w:numPr>
          <w:ilvl w:val="0"/>
          <w:numId w:val="64"/>
        </w:numPr>
        <w:rPr>
          <w:rFonts w:ascii="Arial" w:cs="Arial" w:eastAsia="Arial" w:hAnsi="Arial"/>
          <w:sz w:val="10"/>
          <w:szCs w:val="10"/>
          <w:color w:val="auto"/>
        </w:rPr>
      </w:pPr>
      <w:r>
        <w:rPr>
          <w:rFonts w:ascii="Arial" w:cs="Arial" w:eastAsia="Arial" w:hAnsi="Arial"/>
          <w:sz w:val="10"/>
          <w:szCs w:val="10"/>
          <w:color w:val="auto"/>
        </w:rPr>
        <w:t>All legal actions were penalty contests.</w:t>
      </w:r>
    </w:p>
    <w:p>
      <w:pPr>
        <w:ind w:left="340" w:hanging="177"/>
        <w:spacing w:after="0"/>
        <w:tabs>
          <w:tab w:leader="none" w:pos="340" w:val="left"/>
        </w:tabs>
        <w:numPr>
          <w:ilvl w:val="0"/>
          <w:numId w:val="64"/>
        </w:numPr>
        <w:rPr>
          <w:rFonts w:ascii="Arial" w:cs="Arial" w:eastAsia="Arial" w:hAnsi="Arial"/>
          <w:sz w:val="8"/>
          <w:szCs w:val="8"/>
          <w:color w:val="auto"/>
        </w:rPr>
      </w:pPr>
      <w:r>
        <w:rPr>
          <w:rFonts w:ascii="Arial" w:cs="Arial" w:eastAsia="Arial" w:hAnsi="Arial"/>
          <w:sz w:val="8"/>
          <w:szCs w:val="8"/>
          <w:color w:val="auto"/>
        </w:rPr>
        <w:t>On April 17, 2020, Eagle Materials Inc. divested Western Aggregates LLC.</w:t>
      </w:r>
    </w:p>
    <w:sectPr>
      <w:pgSz w:w="11900" w:h="16838" w:orient="portrait"/>
      <w:cols w:equalWidth="0" w:num="1">
        <w:col w:w="11360"/>
      </w:cols>
      <w:pgMar w:left="300" w:top="30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214"/>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upperLetter"/>
      <w:start w:val="2"/>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lowerLetter"/>
      <w:start w:val="1"/>
    </w:lvl>
    <w:lvl w:ilvl="1">
      <w:lvlJc w:val="left"/>
      <w:lvlText w:val="(%2)"/>
      <w:numFmt w:val="lowerLetter"/>
      <w:start w:val="1"/>
    </w:lvl>
  </w:abstractNum>
  <w:abstractNum w:abstractNumId="13">
    <w:nsid w:val="5E884ADC"/>
    <w:multiLevelType w:val="hybridMultilevel"/>
    <w:lvl w:ilvl="0">
      <w:lvlJc w:val="left"/>
      <w:lvlText w:val="(%1)"/>
      <w:numFmt w:val="lowerLetter"/>
      <w:start w:val="6"/>
    </w:lvl>
    <w:lvl w:ilvl="1">
      <w:lvlJc w:val="left"/>
      <w:lvlText w:val="%2"/>
      <w:numFmt w:val="lowerLetter"/>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
      <w:numFmt w:val="bullet"/>
      <w:start w:val="1"/>
    </w:lvl>
    <w:lvl w:ilvl="1">
      <w:lvlJc w:val="left"/>
      <w:lvlText w:val="(%2)"/>
      <w:numFmt w:val="lowerLetter"/>
      <w:start w:val="2"/>
    </w:lvl>
  </w:abstractNum>
  <w:abstractNum w:abstractNumId="16">
    <w:nsid w:val="580BD78F"/>
    <w:multiLevelType w:val="hybridMultilevel"/>
    <w:lvl w:ilvl="0">
      <w:lvlJc w:val="left"/>
      <w:lvlText w:val="(%1)"/>
      <w:numFmt w:val="lowerLetter"/>
      <w:start w:val="3"/>
    </w:lvl>
  </w:abstractNum>
  <w:abstractNum w:abstractNumId="17">
    <w:nsid w:val="153EA438"/>
    <w:multiLevelType w:val="hybridMultilevel"/>
    <w:lvl w:ilvl="0">
      <w:lvlJc w:val="left"/>
      <w:lvlText w:val="(%1)"/>
      <w:numFmt w:val="lowerLetter"/>
      <w:start w:val="4"/>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1)"/>
      <w:numFmt w:val="lowerLetter"/>
      <w:start w:val="4"/>
    </w:lvl>
  </w:abstractNum>
  <w:abstractNum w:abstractNumId="20">
    <w:nsid w:val="6A2342EC"/>
    <w:multiLevelType w:val="hybridMultilevel"/>
    <w:lvl w:ilvl="0">
      <w:lvlJc w:val="left"/>
      <w:lvlText w:val="(%1)"/>
      <w:numFmt w:val="lowerLetter"/>
      <w:start w:val="1"/>
    </w:lvl>
  </w:abstractNum>
  <w:abstractNum w:abstractNumId="21">
    <w:nsid w:val="2A487CB0"/>
    <w:multiLevelType w:val="hybridMultilevel"/>
    <w:lvl w:ilvl="0">
      <w:lvlJc w:val="left"/>
      <w:lvlText w:val="(%1)"/>
      <w:numFmt w:val="lowerLetter"/>
      <w:start w:val="2"/>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lowerLetter"/>
      <w:start w:val="5"/>
    </w:lvl>
  </w:abstractNum>
  <w:abstractNum w:abstractNumId="24">
    <w:nsid w:val="2CD89A32"/>
    <w:multiLevelType w:val="hybridMultilevel"/>
    <w:lvl w:ilvl="0">
      <w:lvlJc w:val="left"/>
      <w:lvlText w:val="(%1)"/>
      <w:numFmt w:val="lowerRoman"/>
      <w:start w:val="1"/>
    </w:lvl>
  </w:abstractNum>
  <w:abstractNum w:abstractNumId="25">
    <w:nsid w:val="57E4CCAF"/>
    <w:multiLevelType w:val="hybridMultilevel"/>
    <w:lvl w:ilvl="0">
      <w:lvlJc w:val="left"/>
      <w:lvlText w:val="(%1)"/>
      <w:numFmt w:val="lowerRoman"/>
      <w:start w:val="9"/>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2"/>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lowerLetter"/>
      <w:start w:val="3"/>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lowerLetter"/>
      <w:start w:val="2"/>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5"/>
    </w:lvl>
  </w:abstractNum>
  <w:abstractNum w:abstractNumId="35">
    <w:nsid w:val="749ABB43"/>
    <w:multiLevelType w:val="hybridMultilevel"/>
    <w:lvl w:ilvl="0">
      <w:lvlJc w:val="left"/>
      <w:lvlText w:val="(%1)"/>
      <w:numFmt w:val="lowerRoman"/>
      <w:start w:val="1"/>
    </w:lvl>
  </w:abstractNum>
  <w:abstractNum w:abstractNumId="36">
    <w:nsid w:val="3DC240FB"/>
    <w:multiLevelType w:val="hybridMultilevel"/>
    <w:lvl w:ilvl="0">
      <w:lvlJc w:val="left"/>
      <w:lvlText w:val="(%1)"/>
      <w:numFmt w:val="lowerRoman"/>
      <w:start w:val="9"/>
    </w:lvl>
  </w:abstractNum>
  <w:abstractNum w:abstractNumId="37">
    <w:nsid w:val="1BA026FA"/>
    <w:multiLevelType w:val="hybridMultilevel"/>
    <w:lvl w:ilvl="0">
      <w:lvlJc w:val="left"/>
      <w:lvlText w:val="%1."/>
      <w:numFmt w:val="decimal"/>
      <w:start w:val="1"/>
    </w:lvl>
    <w:lvl w:ilvl="1">
      <w:lvlJc w:val="left"/>
      <w:lvlText w:val="(%2)"/>
      <w:numFmt w:val="lowerLetter"/>
      <w:start w:val="1"/>
    </w:lvl>
  </w:abstractNum>
  <w:abstractNum w:abstractNumId="38">
    <w:nsid w:val="79A1DEAA"/>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9">
    <w:nsid w:val="75C6C33A"/>
    <w:multiLevelType w:val="hybridMultilevel"/>
    <w:lvl w:ilvl="0">
      <w:lvlJc w:val="left"/>
      <w:lvlText w:val="%1."/>
      <w:numFmt w:val="decimal"/>
      <w:start w:val="4"/>
    </w:lvl>
    <w:lvl w:ilvl="1">
      <w:lvlJc w:val="left"/>
      <w:lvlText w:val="-"/>
      <w:numFmt w:val="bullet"/>
      <w:start w:val="1"/>
    </w:lvl>
  </w:abstractNum>
  <w:abstractNum w:abstractNumId="40">
    <w:nsid w:val="12E685FB"/>
    <w:multiLevelType w:val="hybridMultilevel"/>
    <w:lvl w:ilvl="0">
      <w:lvlJc w:val="left"/>
      <w:lvlText w:val="%1."/>
      <w:numFmt w:val="decimal"/>
      <w:start w:val="7"/>
    </w:lvl>
    <w:lvl w:ilvl="1">
      <w:lvlJc w:val="left"/>
      <w:lvlText w:val="(%2)"/>
      <w:numFmt w:val="lowerLetter"/>
      <w:start w:val="1"/>
    </w:lvl>
  </w:abstractNum>
  <w:abstractNum w:abstractNumId="41">
    <w:nsid w:val="70C6A529"/>
    <w:multiLevelType w:val="hybridMultilevel"/>
    <w:lvl w:ilvl="0">
      <w:lvlJc w:val="left"/>
      <w:lvlText w:val="%1."/>
      <w:numFmt w:val="decimal"/>
      <w:start w:val="9"/>
    </w:lvl>
    <w:lvl w:ilvl="1">
      <w:lvlJc w:val="left"/>
      <w:lvlText w:val="-"/>
      <w:numFmt w:val="bullet"/>
      <w:start w:val="1"/>
    </w:lvl>
  </w:abstractNum>
  <w:abstractNum w:abstractNumId="42">
    <w:nsid w:val="520EEDD1"/>
    <w:multiLevelType w:val="hybridMultilevel"/>
    <w:lvl w:ilvl="0">
      <w:lvlJc w:val="left"/>
      <w:lvlText w:val="%1."/>
      <w:numFmt w:val="decimal"/>
      <w:start w:val="12"/>
    </w:lvl>
  </w:abstractNum>
  <w:abstractNum w:abstractNumId="43">
    <w:nsid w:val="374A3FE6"/>
    <w:multiLevelType w:val="hybridMultilevel"/>
    <w:lvl w:ilvl="0">
      <w:lvlJc w:val="left"/>
      <w:lvlText w:val="(%1)"/>
      <w:numFmt w:val="lowerRoman"/>
      <w:start w:val="1"/>
    </w:lvl>
  </w:abstractNum>
  <w:abstractNum w:abstractNumId="44">
    <w:nsid w:val="4F4EF005"/>
    <w:multiLevelType w:val="hybridMultilevel"/>
    <w:lvl w:ilvl="0">
      <w:lvlJc w:val="left"/>
      <w:lvlText w:val="%1."/>
      <w:numFmt w:val="decimal"/>
      <w:start w:val="1"/>
    </w:lvl>
    <w:lvl w:ilvl="1">
      <w:lvlJc w:val="left"/>
      <w:lvlText w:val="(%2)"/>
      <w:numFmt w:val="lowerLetter"/>
      <w:start w:val="1"/>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1"/>
      <w:numFmt w:val="decimal"/>
      <w:start w:val="1"/>
    </w:lvl>
    <w:lvl w:ilvl="1">
      <w:lvlJc w:val="left"/>
      <w:lvlText w:val="(%2)"/>
      <w:numFmt w:val="lowerLetter"/>
      <w:start w:val="3"/>
    </w:lvl>
  </w:abstractNum>
  <w:abstractNum w:abstractNumId="47">
    <w:nsid w:val="275AC794"/>
    <w:multiLevelType w:val="hybridMultilevel"/>
    <w:lvl w:ilvl="0">
      <w:lvlJc w:val="left"/>
      <w:lvlText w:val="%1."/>
      <w:numFmt w:val="decimal"/>
      <w:start w:val="4"/>
    </w:lvl>
    <w:lvl w:ilvl="1">
      <w:lvlJc w:val="left"/>
      <w:lvlText w:val="%2"/>
      <w:numFmt w:val="lowerLetter"/>
      <w:start w:val="1"/>
    </w:lvl>
  </w:abstractNum>
  <w:abstractNum w:abstractNumId="48">
    <w:nsid w:val="39386575"/>
    <w:multiLevelType w:val="hybridMultilevel"/>
    <w:lvl w:ilvl="0">
      <w:lvlJc w:val="left"/>
      <w:lvlText w:val="(%1)"/>
      <w:numFmt w:val="lowerLetter"/>
      <w:start w:val="1"/>
    </w:lvl>
    <w:lvl w:ilvl="1">
      <w:lvlJc w:val="left"/>
      <w:lvlText w:val="-"/>
      <w:numFmt w:val="bullet"/>
      <w:start w:val="1"/>
    </w:lvl>
  </w:abstractNum>
  <w:abstractNum w:abstractNumId="49">
    <w:nsid w:val="1CF10FD8"/>
    <w:multiLevelType w:val="hybridMultilevel"/>
    <w:lvl w:ilvl="0">
      <w:lvlJc w:val="left"/>
      <w:lvlText w:val="%1."/>
      <w:numFmt w:val="decimal"/>
      <w:start w:val="8"/>
    </w:lvl>
  </w:abstractNum>
  <w:abstractNum w:abstractNumId="50">
    <w:nsid w:val="180115BE"/>
    <w:multiLevelType w:val="hybridMultilevel"/>
    <w:lvl w:ilvl="0">
      <w:lvlJc w:val="left"/>
      <w:lvlText w:val="%1."/>
      <w:numFmt w:val="decimal"/>
      <w:start w:val="9"/>
    </w:lvl>
    <w:lvl w:ilvl="1">
      <w:lvlJc w:val="left"/>
      <w:lvlText w:val="-"/>
      <w:numFmt w:val="bullet"/>
      <w:start w:val="1"/>
    </w:lvl>
  </w:abstractNum>
  <w:abstractNum w:abstractNumId="51">
    <w:nsid w:val="235BA861"/>
    <w:multiLevelType w:val="hybridMultilevel"/>
    <w:lvl w:ilvl="0">
      <w:lvlJc w:val="left"/>
      <w:lvlText w:val="%1."/>
      <w:numFmt w:val="decimal"/>
      <w:start w:val="12"/>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decimal"/>
      <w:start w:val="5"/>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decimal"/>
      <w:start w:val="5"/>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Roman"/>
      <w:start w:val="1"/>
    </w:lvl>
  </w:abstractNum>
  <w:abstractNum w:abstractNumId="62">
    <w:nsid w:val="579BE4F1"/>
    <w:multiLevelType w:val="hybridMultilevel"/>
    <w:lvl w:ilvl="0">
      <w:lvlJc w:val="left"/>
      <w:lvlText w:val="(%1)"/>
      <w:numFmt w:val="lowerRoman"/>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95" Type="http://schemas.openxmlformats.org/officeDocument/2006/relationships/hyperlink" Target="http://www.sec.gov/Archives/edgar/data/918646/000119312520147444/d934029dex101.htm" TargetMode="External"/><Relationship Id="rId96" Type="http://schemas.openxmlformats.org/officeDocument/2006/relationships/hyperlink" Target="http://www.sec.gov/Archives/edgar/data/918646/000119312520147444/d93402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2020-07-31T05:58:35Z</dcterms:created>
  <dcterms:modified xsi:type="dcterms:W3CDTF">2020-07-31T05:58:35Z</dcterms:modified>
</cp:coreProperties>
</file>