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49530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QUARTERLY REPORT</w:t>
      </w:r>
    </w:p>
    <w:p>
      <w:pPr>
        <w:spacing w:after="0" w:line="7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2021</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40" w:hanging="477"/>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34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3"/>
        </w:trPr>
        <w:tc>
          <w:tcPr>
            <w:tcW w:w="2820" w:type="dxa"/>
            <w:vAlign w:val="bottom"/>
          </w:tcPr>
          <w:p>
            <w:pPr>
              <w:spacing w:after="0" w:line="203" w:lineRule="exact"/>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line="203" w:lineRule="exact"/>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line="202" w:lineRule="exact"/>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5000" w:right="2240" w:hanging="4991"/>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As of January 24, 2022, the number of outstanding shares of common stock was:</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w:t>
            </w:r>
          </w:p>
        </w:tc>
        <w:tc>
          <w:tcPr>
            <w:tcW w:w="100" w:type="dxa"/>
            <w:vAlign w:val="bottom"/>
          </w:tcPr>
          <w:p>
            <w:pPr>
              <w:spacing w:after="0"/>
              <w:rPr>
                <w:sz w:val="19"/>
                <w:szCs w:val="19"/>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Outstanding Shares</w:t>
            </w:r>
          </w:p>
        </w:tc>
      </w:tr>
      <w:tr>
        <w:trPr>
          <w:trHeight w:val="385"/>
        </w:trPr>
        <w:tc>
          <w:tcPr>
            <w:tcW w:w="5640" w:type="dxa"/>
            <w:vAlign w:val="bottom"/>
          </w:tcPr>
          <w:p>
            <w:pPr>
              <w:jc w:val="center"/>
              <w:spacing w:after="0"/>
              <w:rPr>
                <w:sz w:val="20"/>
                <w:szCs w:val="20"/>
                <w:color w:val="auto"/>
              </w:rPr>
            </w:pPr>
            <w:r>
              <w:rPr>
                <w:rFonts w:ascii="Arial" w:cs="Arial" w:eastAsia="Arial" w:hAnsi="Arial"/>
                <w:sz w:val="18"/>
                <w:szCs w:val="18"/>
                <w:color w:val="auto"/>
                <w:w w:val="99"/>
              </w:rPr>
              <w:t>Common Stock, $.01 Par Value</w:t>
            </w:r>
          </w:p>
        </w:tc>
        <w:tc>
          <w:tcPr>
            <w:tcW w:w="5600" w:type="dxa"/>
            <w:vAlign w:val="bottom"/>
            <w:gridSpan w:val="2"/>
          </w:tcPr>
          <w:p>
            <w:pPr>
              <w:jc w:val="right"/>
              <w:ind w:right="2210"/>
              <w:spacing w:after="0"/>
              <w:rPr>
                <w:sz w:val="20"/>
                <w:szCs w:val="20"/>
                <w:color w:val="auto"/>
              </w:rPr>
            </w:pPr>
            <w:r>
              <w:rPr>
                <w:rFonts w:ascii="Arial" w:cs="Arial" w:eastAsia="Arial" w:hAnsi="Arial"/>
                <w:sz w:val="18"/>
                <w:szCs w:val="18"/>
                <w:color w:val="auto"/>
              </w:rPr>
              <w:t>39,505,356</w:t>
            </w:r>
          </w:p>
        </w:tc>
      </w:tr>
      <w:tr>
        <w:trPr>
          <w:trHeight w:val="54"/>
        </w:trPr>
        <w:tc>
          <w:tcPr>
            <w:tcW w:w="5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41"/>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540" w:type="dxa"/>
            <w:vAlign w:val="bottom"/>
            <w:gridSpan w:val="17"/>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9540" w:type="dxa"/>
            <w:vAlign w:val="bottom"/>
            <w:gridSpan w:val="17"/>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Statements of Earnings for the Three and Nine Months Ended December 31, 2021 and </w:t>
              </w:r>
            </w:hyperlink>
            <w:r>
              <w:rPr>
                <w:rFonts w:ascii="Arial" w:cs="Arial" w:eastAsia="Arial" w:hAnsi="Arial"/>
                <w:sz w:val="18"/>
                <w:szCs w:val="18"/>
                <w:color w:val="auto"/>
              </w:rPr>
              <w:t>2020</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auto"/>
              </w:rPr>
            </w:pPr>
            <w:hyperlink w:anchor="page4">
              <w:r>
                <w:rPr>
                  <w:rFonts w:ascii="Arial" w:cs="Arial" w:eastAsia="Arial" w:hAnsi="Arial"/>
                  <w:sz w:val="18"/>
                  <w:szCs w:val="18"/>
                  <w:color w:val="auto"/>
                </w:rPr>
                <w:t>Consolidated Statements of Comprehensive Earnings for the Three and Nine Months Ended December 31, 2021 and</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Borders>
              <w:top w:val="single" w:sz="8" w:color="0000EE"/>
            </w:tcBorders>
            <w:gridSpan w:val="2"/>
          </w:tcPr>
          <w:p>
            <w:pPr>
              <w:spacing w:after="0" w:line="156" w:lineRule="exact"/>
              <w:rPr>
                <w:rFonts w:ascii="Arial" w:cs="Arial" w:eastAsia="Arial" w:hAnsi="Arial"/>
                <w:sz w:val="18"/>
                <w:szCs w:val="18"/>
                <w:color w:val="auto"/>
              </w:rPr>
            </w:pPr>
            <w:hyperlink w:anchor="page4">
              <w:r>
                <w:rPr>
                  <w:rFonts w:ascii="Arial" w:cs="Arial" w:eastAsia="Arial" w:hAnsi="Arial"/>
                  <w:sz w:val="18"/>
                  <w:szCs w:val="18"/>
                  <w:color w:val="auto"/>
                </w:rPr>
                <w:t>2020</w:t>
              </w:r>
            </w:hyperlink>
          </w:p>
        </w:tc>
        <w:tc>
          <w:tcPr>
            <w:tcW w:w="3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38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180" w:type="dxa"/>
            <w:vAlign w:val="bottom"/>
            <w:tcBorders>
              <w:top w:val="single" w:sz="8" w:color="0000EE"/>
            </w:tcBorders>
          </w:tcPr>
          <w:p>
            <w:pPr>
              <w:spacing w:after="0"/>
              <w:rPr>
                <w:sz w:val="13"/>
                <w:szCs w:val="13"/>
                <w:color w:val="auto"/>
              </w:rPr>
            </w:pPr>
          </w:p>
        </w:tc>
        <w:tc>
          <w:tcPr>
            <w:tcW w:w="104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Balance Sheets as of December 31, 2021, and March 31, 2021</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Cash Flows for the Nine Months Ended December 31, 2021 and </w:t>
              </w:r>
            </w:hyperlink>
            <w:r>
              <w:rPr>
                <w:rFonts w:ascii="Arial" w:cs="Arial" w:eastAsia="Arial" w:hAnsi="Arial"/>
                <w:sz w:val="18"/>
                <w:szCs w:val="18"/>
                <w:color w:val="auto"/>
              </w:rPr>
              <w:t>2020</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Statements of Stockholders' Equity for the Three and Nine Months Ended December 31, 2021 and </w:t>
              </w:r>
            </w:hyperlink>
            <w:r>
              <w:rPr>
                <w:rFonts w:ascii="Arial" w:cs="Arial" w:eastAsia="Arial" w:hAnsi="Arial"/>
                <w:sz w:val="18"/>
                <w:szCs w:val="18"/>
                <w:color w:val="auto"/>
              </w:rPr>
              <w:t>2020</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8"/>
          </w:tcPr>
          <w:p>
            <w:pP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Notes to Unaudited Consolidated Financial Statements</w:t>
              </w:r>
            </w:hyperlink>
          </w:p>
        </w:tc>
        <w:tc>
          <w:tcPr>
            <w:tcW w:w="4800" w:type="dxa"/>
            <w:vAlign w:val="bottom"/>
            <w:tcBorders>
              <w:top w:val="single" w:sz="8" w:color="0000EE"/>
            </w:tcBorders>
            <w:gridSpan w:val="7"/>
          </w:tcPr>
          <w:p>
            <w:pPr>
              <w:spacing w:after="0"/>
              <w:rPr>
                <w:sz w:val="24"/>
                <w:szCs w:val="24"/>
                <w:color w:val="auto"/>
              </w:rPr>
            </w:pPr>
          </w:p>
        </w:tc>
        <w:tc>
          <w:tcPr>
            <w:tcW w:w="36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gridSpan w:val="17"/>
          </w:tcPr>
          <w:p>
            <w:pPr>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20" w:type="dxa"/>
            <w:vAlign w:val="bottom"/>
            <w:tcBorders>
              <w:top w:val="single" w:sz="8" w:color="0000EE"/>
              <w:bottom w:val="single" w:sz="8" w:color="0000EE"/>
            </w:tcBorders>
            <w:gridSpan w:val="9"/>
          </w:tcPr>
          <w:p>
            <w:pPr>
              <w:spacing w:after="0"/>
              <w:rPr>
                <w:rFonts w:ascii="Arial" w:cs="Arial" w:eastAsia="Arial" w:hAnsi="Arial"/>
                <w:sz w:val="18"/>
                <w:szCs w:val="18"/>
                <w:color w:val="auto"/>
                <w:w w:val="99"/>
              </w:rPr>
            </w:pPr>
            <w:hyperlink w:anchor="page40">
              <w:r>
                <w:rPr>
                  <w:rFonts w:ascii="Arial" w:cs="Arial" w:eastAsia="Arial" w:hAnsi="Arial"/>
                  <w:sz w:val="18"/>
                  <w:szCs w:val="18"/>
                  <w:color w:val="auto"/>
                  <w:w w:val="99"/>
                </w:rPr>
                <w:t>Quantitative and Qualitative Disclosures About Market Risk</w:t>
              </w:r>
            </w:hyperlink>
          </w:p>
        </w:tc>
        <w:tc>
          <w:tcPr>
            <w:tcW w:w="2360" w:type="dxa"/>
            <w:vAlign w:val="bottom"/>
            <w:tcBorders>
              <w:top w:val="single" w:sz="8" w:color="0000EE"/>
            </w:tcBorders>
            <w:gridSpan w:val="3"/>
          </w:tcPr>
          <w:p>
            <w:pPr>
              <w:spacing w:after="0"/>
              <w:rPr>
                <w:sz w:val="24"/>
                <w:szCs w:val="24"/>
                <w:color w:val="auto"/>
              </w:rPr>
            </w:pPr>
          </w:p>
        </w:tc>
        <w:tc>
          <w:tcPr>
            <w:tcW w:w="246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0" w:type="dxa"/>
            <w:vAlign w:val="bottom"/>
            <w:tcBorders>
              <w:bottom w:val="single" w:sz="8" w:color="0000EE"/>
            </w:tcBorders>
            <w:gridSpan w:val="7"/>
          </w:tcPr>
          <w:p>
            <w:pPr>
              <w:spacing w:after="0"/>
              <w:rPr>
                <w:rFonts w:ascii="Arial" w:cs="Arial" w:eastAsia="Arial" w:hAnsi="Arial"/>
                <w:sz w:val="18"/>
                <w:szCs w:val="18"/>
                <w:color w:val="auto"/>
                <w:w w:val="99"/>
              </w:rPr>
            </w:pPr>
            <w:hyperlink w:anchor="page40">
              <w:r>
                <w:rPr>
                  <w:rFonts w:ascii="Arial" w:cs="Arial" w:eastAsia="Arial" w:hAnsi="Arial"/>
                  <w:sz w:val="18"/>
                  <w:szCs w:val="18"/>
                  <w:color w:val="auto"/>
                  <w:w w:val="99"/>
                </w:rPr>
                <w:t>Controls and Procedures</w:t>
              </w:r>
            </w:hyperlink>
          </w:p>
        </w:tc>
        <w:tc>
          <w:tcPr>
            <w:tcW w:w="75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940" w:type="dxa"/>
            <w:vAlign w:val="bottom"/>
            <w:tcBorders>
              <w:bottom w:val="single" w:sz="8" w:color="auto"/>
            </w:tcBorders>
            <w:gridSpan w:val="7"/>
          </w:tcPr>
          <w:p>
            <w:pPr>
              <w:spacing w:after="0"/>
              <w:rPr>
                <w:rFonts w:ascii="Arial" w:cs="Arial" w:eastAsia="Arial" w:hAnsi="Arial"/>
                <w:sz w:val="20"/>
                <w:szCs w:val="20"/>
                <w:b w:val="1"/>
                <w:bCs w:val="1"/>
                <w:color w:val="auto"/>
                <w:w w:val="97"/>
              </w:rPr>
            </w:pPr>
            <w:hyperlink w:anchor="page41">
              <w:r>
                <w:rPr>
                  <w:rFonts w:ascii="Arial" w:cs="Arial" w:eastAsia="Arial" w:hAnsi="Arial"/>
                  <w:sz w:val="20"/>
                  <w:szCs w:val="20"/>
                  <w:b w:val="1"/>
                  <w:bCs w:val="1"/>
                  <w:color w:val="auto"/>
                  <w:w w:val="97"/>
                </w:rPr>
                <w:t>PART II. OTHER INFORMATION</w:t>
              </w:r>
            </w:hyperlink>
          </w:p>
        </w:tc>
        <w:tc>
          <w:tcPr>
            <w:tcW w:w="762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auto"/>
                <w:w w:val="99"/>
              </w:rPr>
            </w:pPr>
            <w:hyperlink w:anchor="page41">
              <w:r>
                <w:rPr>
                  <w:rFonts w:ascii="Arial" w:cs="Arial" w:eastAsia="Arial" w:hAnsi="Arial"/>
                  <w:sz w:val="18"/>
                  <w:szCs w:val="18"/>
                  <w:color w:val="auto"/>
                  <w:w w:val="99"/>
                </w:rPr>
                <w:t>Legal Proceedings</w:t>
              </w:r>
            </w:hyperlink>
          </w:p>
        </w:tc>
        <w:tc>
          <w:tcPr>
            <w:tcW w:w="804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40" w:type="dxa"/>
            <w:vAlign w:val="bottom"/>
            <w:gridSpan w:val="17"/>
          </w:tcPr>
          <w:p>
            <w:pPr>
              <w:spacing w:after="0"/>
              <w:rPr>
                <w:rFonts w:ascii="Arial" w:cs="Arial" w:eastAsia="Arial" w:hAnsi="Arial"/>
                <w:sz w:val="18"/>
                <w:szCs w:val="18"/>
                <w:color w:val="auto"/>
              </w:rPr>
            </w:pPr>
            <w:hyperlink w:anchor="page41">
              <w:r>
                <w:rPr>
                  <w:rFonts w:ascii="Arial" w:cs="Arial" w:eastAsia="Arial" w:hAnsi="Arial"/>
                  <w:sz w:val="18"/>
                  <w:szCs w:val="18"/>
                  <w:color w:val="auto"/>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860" w:type="dxa"/>
            <w:vAlign w:val="bottom"/>
            <w:tcBorders>
              <w:bottom w:val="single" w:sz="8" w:color="0000EE"/>
            </w:tcBorders>
            <w:gridSpan w:val="10"/>
          </w:tcPr>
          <w:p>
            <w:pPr>
              <w:spacing w:after="0"/>
              <w:rPr>
                <w:rFonts w:ascii="Arial" w:cs="Arial" w:eastAsia="Arial" w:hAnsi="Arial"/>
                <w:sz w:val="18"/>
                <w:szCs w:val="18"/>
                <w:color w:val="auto"/>
                <w:w w:val="99"/>
              </w:rPr>
            </w:pPr>
            <w:hyperlink w:anchor="page41">
              <w:r>
                <w:rPr>
                  <w:rFonts w:ascii="Arial" w:cs="Arial" w:eastAsia="Arial" w:hAnsi="Arial"/>
                  <w:sz w:val="18"/>
                  <w:szCs w:val="18"/>
                  <w:color w:val="auto"/>
                  <w:w w:val="99"/>
                </w:rPr>
                <w:t>Unregistered Sales of Equity Securities and Use of Proceeds</w:t>
              </w:r>
            </w:hyperlink>
          </w:p>
        </w:tc>
        <w:tc>
          <w:tcPr>
            <w:tcW w:w="46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40" w:type="dxa"/>
            <w:vAlign w:val="bottom"/>
            <w:gridSpan w:val="17"/>
          </w:tcPr>
          <w:p>
            <w:pPr>
              <w:spacing w:after="0"/>
              <w:rPr>
                <w:rFonts w:ascii="Arial" w:cs="Arial" w:eastAsia="Arial" w:hAnsi="Arial"/>
                <w:sz w:val="18"/>
                <w:szCs w:val="18"/>
                <w:color w:val="auto"/>
              </w:rPr>
            </w:pPr>
            <w:hyperlink w:anchor="page41">
              <w:r>
                <w:rPr>
                  <w:rFonts w:ascii="Arial" w:cs="Arial" w:eastAsia="Arial" w:hAnsi="Arial"/>
                  <w:sz w:val="18"/>
                  <w:szCs w:val="18"/>
                  <w:color w:val="auto"/>
                </w:rPr>
                <w:t>Mine Safety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color w:val="auto"/>
                <w:w w:val="98"/>
              </w:rPr>
            </w:pPr>
            <w:hyperlink w:anchor="page42">
              <w:r>
                <w:rPr>
                  <w:rFonts w:ascii="Arial" w:cs="Arial" w:eastAsia="Arial" w:hAnsi="Arial"/>
                  <w:sz w:val="18"/>
                  <w:szCs w:val="18"/>
                  <w:color w:val="auto"/>
                  <w:w w:val="98"/>
                </w:rPr>
                <w:t>Exhibits</w:t>
              </w:r>
            </w:hyperlink>
          </w:p>
        </w:tc>
        <w:tc>
          <w:tcPr>
            <w:tcW w:w="1260" w:type="dxa"/>
            <w:vAlign w:val="bottom"/>
            <w:tcBorders>
              <w:top w:val="single" w:sz="8" w:color="0000EE"/>
            </w:tcBorders>
            <w:gridSpan w:val="3"/>
          </w:tcPr>
          <w:p>
            <w:pPr>
              <w:spacing w:after="0"/>
              <w:rPr>
                <w:sz w:val="24"/>
                <w:szCs w:val="24"/>
                <w:color w:val="auto"/>
              </w:rPr>
            </w:pPr>
          </w:p>
        </w:tc>
        <w:tc>
          <w:tcPr>
            <w:tcW w:w="764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560" w:type="dxa"/>
            <w:vAlign w:val="bottom"/>
            <w:gridSpan w:val="18"/>
          </w:tcPr>
          <w:p>
            <w:pPr>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88"/>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200" w:type="dxa"/>
            <w:vAlign w:val="bottom"/>
            <w:shd w:val="clear" w:color="auto" w:fill="004483"/>
          </w:tcPr>
          <w:p>
            <w:pPr>
              <w:spacing w:after="0"/>
              <w:rPr>
                <w:sz w:val="15"/>
                <w:szCs w:val="15"/>
                <w:color w:val="auto"/>
              </w:rPr>
            </w:pPr>
          </w:p>
        </w:tc>
        <w:tc>
          <w:tcPr>
            <w:tcW w:w="2780" w:type="dxa"/>
            <w:vAlign w:val="bottom"/>
            <w:gridSpan w:val="6"/>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0"/>
              </w:rPr>
              <w:t>For the Three Months Ended December 31,</w:t>
            </w:r>
          </w:p>
        </w:tc>
        <w:tc>
          <w:tcPr>
            <w:tcW w:w="140" w:type="dxa"/>
            <w:vAlign w:val="bottom"/>
          </w:tcPr>
          <w:p>
            <w:pPr>
              <w:spacing w:after="0"/>
              <w:rPr>
                <w:sz w:val="15"/>
                <w:szCs w:val="15"/>
                <w:color w:val="auto"/>
              </w:rPr>
            </w:pPr>
          </w:p>
        </w:tc>
        <w:tc>
          <w:tcPr>
            <w:tcW w:w="180" w:type="dxa"/>
            <w:vAlign w:val="bottom"/>
            <w:shd w:val="clear" w:color="auto" w:fill="004483"/>
          </w:tcPr>
          <w:p>
            <w:pPr>
              <w:spacing w:after="0"/>
              <w:rPr>
                <w:sz w:val="15"/>
                <w:szCs w:val="15"/>
                <w:color w:val="auto"/>
              </w:rPr>
            </w:pPr>
          </w:p>
        </w:tc>
        <w:tc>
          <w:tcPr>
            <w:tcW w:w="2740" w:type="dxa"/>
            <w:vAlign w:val="bottom"/>
            <w:gridSpan w:val="6"/>
            <w:shd w:val="clear" w:color="auto" w:fill="004483"/>
          </w:tcPr>
          <w:p>
            <w:pPr>
              <w:jc w:val="right"/>
              <w:ind w:right="299"/>
              <w:spacing w:after="0"/>
              <w:rPr>
                <w:sz w:val="20"/>
                <w:szCs w:val="20"/>
                <w:color w:val="auto"/>
              </w:rPr>
            </w:pPr>
            <w:r>
              <w:rPr>
                <w:rFonts w:ascii="Arial" w:cs="Arial" w:eastAsia="Arial" w:hAnsi="Arial"/>
                <w:sz w:val="13"/>
                <w:szCs w:val="13"/>
                <w:b w:val="1"/>
                <w:bCs w:val="1"/>
                <w:color w:val="FFFFFF"/>
                <w:w w:val="90"/>
              </w:rPr>
              <w:t>For the Nine Months Ended December 31,</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940" w:type="dxa"/>
            <w:vAlign w:val="bottom"/>
            <w:tcBorders>
              <w:bottom w:val="single" w:sz="8" w:color="004483"/>
            </w:tcBorders>
            <w:gridSpan w:val="7"/>
          </w:tcPr>
          <w:p>
            <w:pPr>
              <w:ind w:left="40"/>
              <w:spacing w:after="0"/>
              <w:rPr>
                <w:sz w:val="20"/>
                <w:szCs w:val="20"/>
                <w:color w:val="auto"/>
              </w:rPr>
            </w:pPr>
            <w:r>
              <w:rPr>
                <w:rFonts w:ascii="Arial" w:cs="Arial" w:eastAsia="Arial" w:hAnsi="Arial"/>
                <w:sz w:val="13"/>
                <w:szCs w:val="13"/>
                <w:color w:val="auto"/>
                <w:w w:val="90"/>
              </w:rPr>
              <w:t>(dollars in thousands, except share and per share data)</w:t>
            </w:r>
          </w:p>
        </w:tc>
        <w:tc>
          <w:tcPr>
            <w:tcW w:w="12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462,941</w:t>
            </w:r>
          </w:p>
        </w:tc>
        <w:tc>
          <w:tcPr>
            <w:tcW w:w="100" w:type="dxa"/>
            <w:vAlign w:val="bottom"/>
          </w:tcPr>
          <w:p>
            <w:pPr>
              <w:spacing w:after="0"/>
              <w:rPr>
                <w:sz w:val="17"/>
                <w:szCs w:val="17"/>
                <w:color w:val="auto"/>
              </w:rPr>
            </w:pPr>
          </w:p>
        </w:tc>
        <w:tc>
          <w:tcPr>
            <w:tcW w:w="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404,667</w:t>
            </w:r>
          </w:p>
        </w:tc>
        <w:tc>
          <w:tcPr>
            <w:tcW w:w="80" w:type="dxa"/>
            <w:vAlign w:val="bottom"/>
          </w:tcPr>
          <w:p>
            <w:pPr>
              <w:spacing w:after="0"/>
              <w:rPr>
                <w:sz w:val="17"/>
                <w:szCs w:val="17"/>
                <w:color w:val="auto"/>
              </w:rPr>
            </w:pPr>
          </w:p>
        </w:tc>
        <w:tc>
          <w:tcPr>
            <w:tcW w:w="320" w:type="dxa"/>
            <w:vAlign w:val="bottom"/>
            <w:tcBorders>
              <w:bottom w:val="single" w:sz="8" w:color="A6A6A6"/>
            </w:tcBorders>
            <w:gridSpan w:val="2"/>
          </w:tcPr>
          <w:p>
            <w:pPr>
              <w:jc w:val="right"/>
              <w:ind w:right="2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1,448,405</w:t>
            </w:r>
          </w:p>
        </w:tc>
        <w:tc>
          <w:tcPr>
            <w:tcW w:w="100" w:type="dxa"/>
            <w:vAlign w:val="bottom"/>
          </w:tcPr>
          <w:p>
            <w:pPr>
              <w:spacing w:after="0"/>
              <w:rPr>
                <w:sz w:val="17"/>
                <w:szCs w:val="17"/>
                <w:color w:val="auto"/>
              </w:rPr>
            </w:pPr>
          </w:p>
        </w:tc>
        <w:tc>
          <w:tcPr>
            <w:tcW w:w="44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1,279,340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Cost of Goods Sold</w:t>
            </w:r>
          </w:p>
        </w:tc>
        <w:tc>
          <w:tcPr>
            <w:tcW w:w="20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324,355</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291,288</w:t>
            </w:r>
          </w:p>
        </w:tc>
        <w:tc>
          <w:tcPr>
            <w:tcW w:w="8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1,027,967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940,815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20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138,586</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113,379</w:t>
            </w:r>
          </w:p>
        </w:tc>
        <w:tc>
          <w:tcPr>
            <w:tcW w:w="8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420,438</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338,525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20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8,555</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10,083</w:t>
            </w:r>
          </w:p>
        </w:tc>
        <w:tc>
          <w:tcPr>
            <w:tcW w:w="8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24,785</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2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(12,851 )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(11,327 )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(32,986 )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(40,225 )</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Pr>
          <w:p>
            <w:pPr>
              <w:ind w:left="200"/>
              <w:spacing w:after="0"/>
              <w:rPr>
                <w:sz w:val="20"/>
                <w:szCs w:val="20"/>
                <w:color w:val="auto"/>
              </w:rPr>
            </w:pPr>
            <w:r>
              <w:rPr>
                <w:rFonts w:ascii="Arial" w:cs="Arial" w:eastAsia="Arial" w:hAnsi="Arial"/>
                <w:sz w:val="16"/>
                <w:szCs w:val="16"/>
                <w:color w:val="004483"/>
              </w:rPr>
              <w:t>Premium Paid on Early Retirement of Senior Notes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(8,407 )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2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Gain on Sale of Businesses</w:t>
            </w:r>
          </w:p>
        </w:tc>
        <w:tc>
          <w:tcPr>
            <w:tcW w:w="200" w:type="dxa"/>
            <w:vAlign w:val="bottom"/>
            <w:tcBorders>
              <w:top w:val="single" w:sz="8" w:color="A6A6A6"/>
              <w:bottom w:val="single" w:sz="8" w:color="A6A6A6"/>
            </w:tcBorders>
          </w:tcPr>
          <w:p>
            <w:pPr>
              <w:spacing w:after="0"/>
              <w:rPr>
                <w:sz w:val="17"/>
                <w:szCs w:val="17"/>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340" w:type="dxa"/>
            <w:vAlign w:val="bottom"/>
            <w:tcBorders>
              <w:top w:val="single" w:sz="8" w:color="A6A6A6"/>
              <w:bottom w:val="single" w:sz="8" w:color="A6A6A6"/>
            </w:tcBorders>
          </w:tcPr>
          <w:p>
            <w:pPr>
              <w:spacing w:after="0"/>
              <w:rPr>
                <w:sz w:val="17"/>
                <w:szCs w:val="17"/>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320" w:type="dxa"/>
            <w:vAlign w:val="bottom"/>
            <w:tcBorders>
              <w:top w:val="single" w:sz="8" w:color="A6A6A6"/>
              <w:bottom w:val="single" w:sz="8" w:color="A6A6A6"/>
            </w:tcBorders>
          </w:tcPr>
          <w:p>
            <w:pPr>
              <w:spacing w:after="0"/>
              <w:rPr>
                <w:sz w:val="17"/>
                <w:szCs w:val="17"/>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51,973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w:t>
            </w:r>
          </w:p>
        </w:tc>
        <w:tc>
          <w:tcPr>
            <w:tcW w:w="20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2,297</w:t>
            </w:r>
          </w:p>
        </w:tc>
        <w:tc>
          <w:tcPr>
            <w:tcW w:w="8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5,941</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Interest Expense, net</w:t>
            </w:r>
          </w:p>
        </w:tc>
        <w:tc>
          <w:tcPr>
            <w:tcW w:w="20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(5,651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(9,360</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(24,891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(35,957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Earnings from Continuing Operations before Income Taxes</w:t>
            </w:r>
          </w:p>
        </w:tc>
        <w:tc>
          <w:tcPr>
            <w:tcW w:w="20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131,846</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105,072</w:t>
            </w:r>
          </w:p>
        </w:tc>
        <w:tc>
          <w:tcPr>
            <w:tcW w:w="8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384,880</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344,670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Taxes</w:t>
            </w:r>
          </w:p>
        </w:tc>
        <w:tc>
          <w:tcPr>
            <w:tcW w:w="20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(29,367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(23,879</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(84,949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(76,515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Earnings from Continuing Operations</w:t>
            </w:r>
          </w:p>
        </w:tc>
        <w:tc>
          <w:tcPr>
            <w:tcW w:w="20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102,479</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81,193</w:t>
            </w:r>
          </w:p>
        </w:tc>
        <w:tc>
          <w:tcPr>
            <w:tcW w:w="8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299,931</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268,155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00" w:type="dxa"/>
            <w:vAlign w:val="bottom"/>
          </w:tcPr>
          <w:p>
            <w:pPr>
              <w:ind w:left="200"/>
              <w:spacing w:after="0" w:line="183" w:lineRule="exact"/>
              <w:rPr>
                <w:sz w:val="20"/>
                <w:szCs w:val="20"/>
                <w:color w:val="auto"/>
              </w:rPr>
            </w:pPr>
            <w:r>
              <w:rPr>
                <w:rFonts w:ascii="Arial" w:cs="Arial" w:eastAsia="Arial" w:hAnsi="Arial"/>
                <w:sz w:val="16"/>
                <w:szCs w:val="16"/>
                <w:color w:val="004483"/>
              </w:rPr>
              <w:t>Earnings from Discontinued Operations, net of Income Taxes</w:t>
            </w:r>
          </w:p>
        </w:tc>
        <w:tc>
          <w:tcPr>
            <w:tcW w:w="20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5,278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A6A6A6"/>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34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tcPr>
          <w:p>
            <w:pPr>
              <w:ind w:left="380"/>
              <w:spacing w:after="0" w:line="183" w:lineRule="exact"/>
              <w:rPr>
                <w:sz w:val="20"/>
                <w:szCs w:val="20"/>
                <w:color w:val="auto"/>
              </w:rPr>
            </w:pPr>
            <w:r>
              <w:rPr>
                <w:rFonts w:ascii="Arial" w:cs="Arial" w:eastAsia="Arial" w:hAnsi="Arial"/>
                <w:sz w:val="16"/>
                <w:szCs w:val="16"/>
                <w:b w:val="1"/>
                <w:bCs w:val="1"/>
                <w:color w:val="auto"/>
              </w:rPr>
              <w:t>Net Earnings</w:t>
            </w: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102,479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004483"/>
            </w:tcBorders>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81,193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299,931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004483"/>
            </w:tcBorders>
          </w:tcPr>
          <w:p>
            <w:pPr>
              <w:jc w:val="right"/>
              <w:ind w:right="139"/>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273,433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0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Continuing Operations</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7"/>
                <w:szCs w:val="17"/>
                <w:color w:val="auto"/>
              </w:rPr>
            </w:pPr>
          </w:p>
        </w:tc>
        <w:tc>
          <w:tcPr>
            <w:tcW w:w="320" w:type="dxa"/>
            <w:vAlign w:val="bottom"/>
            <w:tcBorders>
              <w:bottom w:val="single" w:sz="8" w:color="A6A6A6"/>
            </w:tcBorders>
            <w:gridSpan w:val="2"/>
          </w:tcPr>
          <w:p>
            <w:pPr>
              <w:jc w:val="right"/>
              <w:ind w:right="2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7"/>
                <w:szCs w:val="17"/>
                <w:color w:val="auto"/>
              </w:rPr>
            </w:pPr>
          </w:p>
        </w:tc>
        <w:tc>
          <w:tcPr>
            <w:tcW w:w="44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Discontinued Operations</w:t>
            </w:r>
          </w:p>
        </w:tc>
        <w:tc>
          <w:tcPr>
            <w:tcW w:w="20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00" w:type="dxa"/>
            <w:vAlign w:val="bottom"/>
          </w:tcPr>
          <w:p>
            <w:pPr>
              <w:ind w:left="200"/>
              <w:spacing w:after="0" w:line="183" w:lineRule="exact"/>
              <w:rPr>
                <w:sz w:val="20"/>
                <w:szCs w:val="20"/>
                <w:color w:val="auto"/>
              </w:rPr>
            </w:pPr>
            <w:r>
              <w:rPr>
                <w:rFonts w:ascii="Arial" w:cs="Arial" w:eastAsia="Arial" w:hAnsi="Arial"/>
                <w:sz w:val="16"/>
                <w:szCs w:val="16"/>
                <w:color w:val="004483"/>
              </w:rPr>
              <w:t>Net Earnings</w:t>
            </w: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004483"/>
            </w:tcBorders>
          </w:tcPr>
          <w:p>
            <w:pPr>
              <w:ind w:left="20"/>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1.96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004483"/>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Continuing Operations</w:t>
            </w:r>
          </w:p>
        </w:tc>
        <w:tc>
          <w:tcPr>
            <w:tcW w:w="2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7"/>
                <w:szCs w:val="17"/>
                <w:color w:val="auto"/>
              </w:rPr>
            </w:pPr>
          </w:p>
        </w:tc>
        <w:tc>
          <w:tcPr>
            <w:tcW w:w="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7"/>
                <w:szCs w:val="17"/>
                <w:color w:val="auto"/>
              </w:rPr>
            </w:pPr>
          </w:p>
        </w:tc>
        <w:tc>
          <w:tcPr>
            <w:tcW w:w="320" w:type="dxa"/>
            <w:vAlign w:val="bottom"/>
            <w:tcBorders>
              <w:bottom w:val="single" w:sz="8" w:color="A6A6A6"/>
            </w:tcBorders>
            <w:gridSpan w:val="2"/>
          </w:tcPr>
          <w:p>
            <w:pPr>
              <w:jc w:val="right"/>
              <w:ind w:right="2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7"/>
                <w:szCs w:val="17"/>
                <w:color w:val="auto"/>
              </w:rPr>
            </w:pPr>
          </w:p>
        </w:tc>
        <w:tc>
          <w:tcPr>
            <w:tcW w:w="44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Discontinued Operations</w:t>
            </w:r>
          </w:p>
        </w:tc>
        <w:tc>
          <w:tcPr>
            <w:tcW w:w="20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00" w:type="dxa"/>
            <w:vAlign w:val="bottom"/>
          </w:tcPr>
          <w:p>
            <w:pPr>
              <w:ind w:left="200"/>
              <w:spacing w:after="0" w:line="183" w:lineRule="exact"/>
              <w:rPr>
                <w:sz w:val="20"/>
                <w:szCs w:val="20"/>
                <w:color w:val="auto"/>
              </w:rPr>
            </w:pPr>
            <w:r>
              <w:rPr>
                <w:rFonts w:ascii="Arial" w:cs="Arial" w:eastAsia="Arial" w:hAnsi="Arial"/>
                <w:sz w:val="16"/>
                <w:szCs w:val="16"/>
                <w:color w:val="004483"/>
              </w:rPr>
              <w:t>Net Earnings</w:t>
            </w: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004483"/>
            </w:tcBorders>
          </w:tcPr>
          <w:p>
            <w:pPr>
              <w:ind w:left="20"/>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004483"/>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0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ind w:left="200"/>
              <w:spacing w:after="0" w:line="183" w:lineRule="exact"/>
              <w:rPr>
                <w:sz w:val="20"/>
                <w:szCs w:val="20"/>
                <w:color w:val="auto"/>
              </w:rPr>
            </w:pPr>
            <w:r>
              <w:rPr>
                <w:rFonts w:ascii="Arial" w:cs="Arial" w:eastAsia="Arial" w:hAnsi="Arial"/>
                <w:sz w:val="16"/>
                <w:szCs w:val="16"/>
                <w:color w:val="004483"/>
              </w:rPr>
              <w:t>Basic</w:t>
            </w:r>
          </w:p>
        </w:tc>
        <w:tc>
          <w:tcPr>
            <w:tcW w:w="20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40,049,456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41,494,149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41,096,702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41,451,801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ind w:left="200"/>
              <w:spacing w:after="0" w:line="170" w:lineRule="exact"/>
              <w:rPr>
                <w:sz w:val="20"/>
                <w:szCs w:val="20"/>
                <w:color w:val="auto"/>
              </w:rPr>
            </w:pPr>
            <w:r>
              <w:rPr>
                <w:rFonts w:ascii="Arial" w:cs="Arial" w:eastAsia="Arial" w:hAnsi="Arial"/>
                <w:sz w:val="16"/>
                <w:szCs w:val="16"/>
                <w:color w:val="004483"/>
              </w:rPr>
              <w:t>Diluted</w:t>
            </w:r>
          </w:p>
        </w:tc>
        <w:tc>
          <w:tcPr>
            <w:tcW w:w="200" w:type="dxa"/>
            <w:vAlign w:val="bottom"/>
            <w:tcBorders>
              <w:bottom w:val="single" w:sz="8" w:color="004483"/>
            </w:tcBorders>
          </w:tcPr>
          <w:p>
            <w:pPr>
              <w:spacing w:after="0"/>
              <w:rPr>
                <w:sz w:val="14"/>
                <w:szCs w:val="14"/>
                <w:color w:val="auto"/>
              </w:rPr>
            </w:pPr>
          </w:p>
        </w:tc>
        <w:tc>
          <w:tcPr>
            <w:tcW w:w="11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40,458,049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004483"/>
            </w:tcBorders>
          </w:tcPr>
          <w:p>
            <w:pPr>
              <w:spacing w:after="0"/>
              <w:rPr>
                <w:sz w:val="14"/>
                <w:szCs w:val="14"/>
                <w:color w:val="auto"/>
              </w:rPr>
            </w:pPr>
          </w:p>
        </w:tc>
        <w:tc>
          <w:tcPr>
            <w:tcW w:w="9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41,834,590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004483"/>
            </w:tcBorders>
          </w:tcPr>
          <w:p>
            <w:pPr>
              <w:spacing w:after="0"/>
              <w:rPr>
                <w:sz w:val="14"/>
                <w:szCs w:val="14"/>
                <w:color w:val="auto"/>
              </w:rPr>
            </w:pPr>
          </w:p>
        </w:tc>
        <w:tc>
          <w:tcPr>
            <w:tcW w:w="11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41,493,339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004483"/>
            </w:tcBorders>
          </w:tcPr>
          <w:p>
            <w:pPr>
              <w:spacing w:after="0"/>
              <w:rPr>
                <w:sz w:val="14"/>
                <w:szCs w:val="14"/>
                <w:color w:val="auto"/>
              </w:rPr>
            </w:pPr>
          </w:p>
        </w:tc>
        <w:tc>
          <w:tcPr>
            <w:tcW w:w="9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41,682,541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CASH DIVIDENDS PER SHARE</w:t>
            </w:r>
          </w:p>
        </w:tc>
        <w:tc>
          <w:tcPr>
            <w:tcW w:w="200" w:type="dxa"/>
            <w:vAlign w:val="bottom"/>
            <w:tcBorders>
              <w:bottom w:val="single" w:sz="8" w:color="004483"/>
            </w:tcBorders>
          </w:tcPr>
          <w:p>
            <w:pPr>
              <w:jc w:val="right"/>
              <w:ind w:right="19"/>
              <w:spacing w:after="0" w:line="170"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004483"/>
            </w:tcBorders>
          </w:tcPr>
          <w:p>
            <w:pPr>
              <w:ind w:left="20"/>
              <w:spacing w:after="0" w:line="170"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004483"/>
            </w:tcBorders>
          </w:tcPr>
          <w:p>
            <w:pPr>
              <w:jc w:val="right"/>
              <w:ind w:right="24"/>
              <w:spacing w:after="0" w:line="169" w:lineRule="exact"/>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0.50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004483"/>
            </w:tcBorders>
          </w:tcPr>
          <w:p>
            <w:pPr>
              <w:jc w:val="right"/>
              <w:ind w:right="139"/>
              <w:spacing w:after="0" w:line="170"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2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780" w:type="dxa"/>
            <w:vAlign w:val="bottom"/>
            <w:gridSpan w:val="6"/>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0"/>
              </w:rPr>
              <w:t>For the Three Months Ended December 31,</w:t>
            </w:r>
          </w:p>
        </w:tc>
        <w:tc>
          <w:tcPr>
            <w:tcW w:w="14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740" w:type="dxa"/>
            <w:vAlign w:val="bottom"/>
            <w:gridSpan w:val="6"/>
            <w:shd w:val="clear" w:color="auto" w:fill="004483"/>
          </w:tcPr>
          <w:p>
            <w:pPr>
              <w:jc w:val="right"/>
              <w:ind w:right="299"/>
              <w:spacing w:after="0"/>
              <w:rPr>
                <w:sz w:val="20"/>
                <w:szCs w:val="20"/>
                <w:color w:val="auto"/>
              </w:rPr>
            </w:pPr>
            <w:r>
              <w:rPr>
                <w:rFonts w:ascii="Arial" w:cs="Arial" w:eastAsia="Arial" w:hAnsi="Arial"/>
                <w:sz w:val="13"/>
                <w:szCs w:val="13"/>
                <w:b w:val="1"/>
                <w:bCs w:val="1"/>
                <w:color w:val="FFFFFF"/>
                <w:w w:val="90"/>
              </w:rPr>
              <w:t>For the Nine Months Ended December 31,</w:t>
            </w:r>
          </w:p>
        </w:tc>
      </w:tr>
      <w:tr>
        <w:trPr>
          <w:trHeight w:val="134"/>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r>
      <w:tr>
        <w:trPr>
          <w:trHeight w:val="183"/>
        </w:trPr>
        <w:tc>
          <w:tcPr>
            <w:tcW w:w="52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2460" w:type="dxa"/>
            <w:vAlign w:val="bottom"/>
            <w:tcBorders>
              <w:bottom w:val="single" w:sz="8" w:color="004483"/>
            </w:tcBorders>
            <w:gridSpan w:val="6"/>
          </w:tcPr>
          <w:p>
            <w:pPr>
              <w:jc w:val="right"/>
              <w:ind w:right="91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102,479</w:t>
            </w:r>
          </w:p>
        </w:tc>
        <w:tc>
          <w:tcPr>
            <w:tcW w:w="120" w:type="dxa"/>
            <w:vAlign w:val="bottom"/>
          </w:tcPr>
          <w:p>
            <w:pPr>
              <w:spacing w:after="0"/>
              <w:rPr>
                <w:sz w:val="16"/>
                <w:szCs w:val="16"/>
                <w:color w:val="auto"/>
              </w:rPr>
            </w:pPr>
          </w:p>
        </w:tc>
        <w:tc>
          <w:tcPr>
            <w:tcW w:w="60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81,193</w:t>
            </w:r>
          </w:p>
        </w:tc>
        <w:tc>
          <w:tcPr>
            <w:tcW w:w="100" w:type="dxa"/>
            <w:vAlign w:val="bottom"/>
          </w:tcPr>
          <w:p>
            <w:pPr>
              <w:spacing w:after="0"/>
              <w:rPr>
                <w:sz w:val="16"/>
                <w:szCs w:val="16"/>
                <w:color w:val="auto"/>
              </w:rPr>
            </w:pPr>
          </w:p>
        </w:tc>
        <w:tc>
          <w:tcPr>
            <w:tcW w:w="320" w:type="dxa"/>
            <w:vAlign w:val="bottom"/>
            <w:tcBorders>
              <w:bottom w:val="single" w:sz="8" w:color="A6A6A6"/>
            </w:tcBorders>
            <w:gridSpan w:val="2"/>
          </w:tcPr>
          <w:p>
            <w:pPr>
              <w:jc w:val="right"/>
              <w:ind w:right="2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299,931</w:t>
            </w:r>
          </w:p>
        </w:tc>
        <w:tc>
          <w:tcPr>
            <w:tcW w:w="120" w:type="dxa"/>
            <w:vAlign w:val="bottom"/>
          </w:tcPr>
          <w:p>
            <w:pPr>
              <w:spacing w:after="0"/>
              <w:rPr>
                <w:sz w:val="16"/>
                <w:szCs w:val="16"/>
                <w:color w:val="auto"/>
              </w:rPr>
            </w:pPr>
          </w:p>
        </w:tc>
        <w:tc>
          <w:tcPr>
            <w:tcW w:w="54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273,433</w:t>
            </w:r>
          </w:p>
        </w:tc>
        <w:tc>
          <w:tcPr>
            <w:tcW w:w="100" w:type="dxa"/>
            <w:vAlign w:val="bottom"/>
          </w:tcPr>
          <w:p>
            <w:pPr>
              <w:spacing w:after="0"/>
              <w:rPr>
                <w:sz w:val="16"/>
                <w:szCs w:val="16"/>
                <w:color w:val="auto"/>
              </w:rPr>
            </w:pPr>
          </w:p>
        </w:tc>
      </w:tr>
      <w:tr>
        <w:trPr>
          <w:trHeight w:val="183"/>
        </w:trPr>
        <w:tc>
          <w:tcPr>
            <w:tcW w:w="52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Actuarial Change in Defined Benefit Plans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Amortization of Net Actuarial Loss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108</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5"/>
                <w:szCs w:val="15"/>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Tax Expense</w:t>
            </w:r>
          </w:p>
        </w:tc>
        <w:tc>
          <w:tcPr>
            <w:tcW w:w="18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8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(27</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5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Comprehensive Earnings</w:t>
            </w:r>
          </w:p>
        </w:tc>
        <w:tc>
          <w:tcPr>
            <w:tcW w:w="1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102,506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004483"/>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81,218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300,012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273,509</w:t>
            </w:r>
          </w:p>
        </w:tc>
        <w:tc>
          <w:tcPr>
            <w:tcW w:w="100" w:type="dxa"/>
            <w:vAlign w:val="bottom"/>
          </w:tcPr>
          <w:p>
            <w:pPr>
              <w:spacing w:after="0"/>
              <w:rPr>
                <w:sz w:val="15"/>
                <w:szCs w:val="15"/>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40" w:type="dxa"/>
            <w:vAlign w:val="bottom"/>
          </w:tcPr>
          <w:p>
            <w:pPr>
              <w:spacing w:after="0"/>
              <w:rPr>
                <w:sz w:val="13"/>
                <w:szCs w:val="13"/>
                <w:color w:val="auto"/>
              </w:rPr>
            </w:pPr>
          </w:p>
        </w:tc>
        <w:tc>
          <w:tcPr>
            <w:tcW w:w="2320" w:type="dxa"/>
            <w:vAlign w:val="bottom"/>
            <w:shd w:val="clear" w:color="auto" w:fill="004483"/>
          </w:tcPr>
          <w:p>
            <w:pPr>
              <w:jc w:val="right"/>
              <w:ind w:right="857"/>
              <w:spacing w:after="0"/>
              <w:rPr>
                <w:sz w:val="20"/>
                <w:szCs w:val="20"/>
                <w:color w:val="auto"/>
              </w:rPr>
            </w:pPr>
            <w:r>
              <w:rPr>
                <w:rFonts w:ascii="Arial" w:cs="Arial" w:eastAsia="Arial" w:hAnsi="Arial"/>
                <w:sz w:val="13"/>
                <w:szCs w:val="13"/>
                <w:b w:val="1"/>
                <w:bCs w:val="1"/>
                <w:color w:val="FFFFFF"/>
              </w:rPr>
              <w:t>December 31,</w:t>
            </w:r>
          </w:p>
        </w:tc>
        <w:tc>
          <w:tcPr>
            <w:tcW w:w="88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34"/>
        </w:trPr>
        <w:tc>
          <w:tcPr>
            <w:tcW w:w="8040" w:type="dxa"/>
            <w:vAlign w:val="bottom"/>
          </w:tcPr>
          <w:p>
            <w:pPr>
              <w:spacing w:after="0"/>
              <w:rPr>
                <w:sz w:val="11"/>
                <w:szCs w:val="11"/>
                <w:color w:val="auto"/>
              </w:rPr>
            </w:pPr>
          </w:p>
        </w:tc>
        <w:tc>
          <w:tcPr>
            <w:tcW w:w="2320" w:type="dxa"/>
            <w:vAlign w:val="bottom"/>
          </w:tcPr>
          <w:p>
            <w:pPr>
              <w:jc w:val="right"/>
              <w:ind w:right="857"/>
              <w:spacing w:after="0" w:line="134" w:lineRule="exact"/>
              <w:rPr>
                <w:sz w:val="20"/>
                <w:szCs w:val="20"/>
                <w:color w:val="auto"/>
              </w:rPr>
            </w:pPr>
            <w:r>
              <w:rPr>
                <w:rFonts w:ascii="Arial" w:cs="Arial" w:eastAsia="Arial" w:hAnsi="Arial"/>
                <w:sz w:val="13"/>
                <w:szCs w:val="13"/>
                <w:b w:val="1"/>
                <w:bCs w:val="1"/>
                <w:color w:val="auto"/>
              </w:rPr>
              <w:t>2021</w:t>
            </w:r>
          </w:p>
        </w:tc>
        <w:tc>
          <w:tcPr>
            <w:tcW w:w="7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8040" w:type="dxa"/>
            <w:vAlign w:val="bottom"/>
            <w:tcBorders>
              <w:bottom w:val="single" w:sz="8" w:color="004483"/>
            </w:tcBorders>
          </w:tcPr>
          <w:p>
            <w:pPr>
              <w:spacing w:after="0"/>
              <w:rPr>
                <w:sz w:val="15"/>
                <w:szCs w:val="15"/>
                <w:color w:val="auto"/>
              </w:rPr>
            </w:pPr>
          </w:p>
        </w:tc>
        <w:tc>
          <w:tcPr>
            <w:tcW w:w="2320" w:type="dxa"/>
            <w:vAlign w:val="bottom"/>
            <w:tcBorders>
              <w:bottom w:val="single" w:sz="8" w:color="004483"/>
            </w:tcBorders>
          </w:tcPr>
          <w:p>
            <w:pPr>
              <w:jc w:val="right"/>
              <w:ind w:right="157"/>
              <w:spacing w:after="0"/>
              <w:rPr>
                <w:sz w:val="20"/>
                <w:szCs w:val="20"/>
                <w:color w:val="auto"/>
              </w:rPr>
            </w:pPr>
            <w:r>
              <w:rPr>
                <w:rFonts w:ascii="Arial" w:cs="Arial" w:eastAsia="Arial" w:hAnsi="Arial"/>
                <w:sz w:val="13"/>
                <w:szCs w:val="13"/>
                <w:color w:val="auto"/>
              </w:rPr>
              <w:t>(dollars in thousands)</w:t>
            </w:r>
          </w:p>
        </w:tc>
        <w:tc>
          <w:tcPr>
            <w:tcW w:w="7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373"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000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Current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Cash and Cash Equivalents</w:t>
            </w:r>
          </w:p>
        </w:tc>
        <w:tc>
          <w:tcPr>
            <w:tcW w:w="3220" w:type="dxa"/>
            <w:vAlign w:val="bottom"/>
            <w:tcBorders>
              <w:top w:val="single" w:sz="8" w:color="A6A6A6"/>
              <w:bottom w:val="single" w:sz="8" w:color="A6A6A6"/>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17,392</w:t>
            </w:r>
          </w:p>
        </w:tc>
      </w:tr>
      <w:tr>
        <w:trPr>
          <w:trHeight w:val="183"/>
        </w:trPr>
        <w:tc>
          <w:tcPr>
            <w:tcW w:w="53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Restricted Cash</w:t>
            </w:r>
          </w:p>
        </w:tc>
        <w:tc>
          <w:tcPr>
            <w:tcW w:w="322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53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and Notes Receivable, net</w:t>
            </w:r>
          </w:p>
        </w:tc>
        <w:tc>
          <w:tcPr>
            <w:tcW w:w="322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170,661</w:t>
            </w:r>
          </w:p>
        </w:tc>
      </w:tr>
      <w:tr>
        <w:trPr>
          <w:trHeight w:val="183"/>
        </w:trPr>
        <w:tc>
          <w:tcPr>
            <w:tcW w:w="53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322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211,978</w:t>
            </w:r>
          </w:p>
        </w:tc>
      </w:tr>
      <w:tr>
        <w:trPr>
          <w:trHeight w:val="200"/>
        </w:trPr>
        <w:tc>
          <w:tcPr>
            <w:tcW w:w="530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000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845" w:hanging="845"/>
        <w:spacing w:after="0"/>
        <w:tabs>
          <w:tab w:leader="none" w:pos="845" w:val="left"/>
        </w:tabs>
        <w:numPr>
          <w:ilvl w:val="0"/>
          <w:numId w:val="2"/>
        </w:numPr>
        <w:rPr>
          <w:rFonts w:ascii="Arial" w:cs="Arial" w:eastAsia="Arial" w:hAnsi="Arial"/>
          <w:sz w:val="14"/>
          <w:szCs w:val="14"/>
          <w:color w:val="auto"/>
        </w:rPr>
      </w:pPr>
      <w:r>
        <w:rPr>
          <w:rFonts w:ascii="Arial" w:cs="Arial" w:eastAsia="Arial" w:hAnsi="Arial"/>
          <w:sz w:val="14"/>
          <w:szCs w:val="14"/>
          <w:color w:val="auto"/>
        </w:rPr>
        <w:t>263,520</w:t>
      </w:r>
    </w:p>
    <w:p>
      <w:pPr>
        <w:spacing w:after="0" w:line="45" w:lineRule="exact"/>
        <w:rPr>
          <w:rFonts w:ascii="Arial" w:cs="Arial" w:eastAsia="Arial" w:hAnsi="Arial"/>
          <w:sz w:val="14"/>
          <w:szCs w:val="14"/>
          <w:color w:val="auto"/>
        </w:rPr>
      </w:pPr>
    </w:p>
    <w:p>
      <w:pPr>
        <w:ind w:left="1005"/>
        <w:spacing w:after="0"/>
        <w:rPr>
          <w:rFonts w:ascii="Arial" w:cs="Arial" w:eastAsia="Arial" w:hAnsi="Arial"/>
          <w:sz w:val="14"/>
          <w:szCs w:val="14"/>
          <w:color w:val="auto"/>
        </w:rPr>
      </w:pPr>
      <w:r>
        <w:rPr>
          <w:rFonts w:ascii="Arial" w:cs="Arial" w:eastAsia="Arial" w:hAnsi="Arial"/>
          <w:sz w:val="14"/>
          <w:szCs w:val="14"/>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-363220</wp:posOffset>
            </wp:positionV>
            <wp:extent cx="994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-234950</wp:posOffset>
            </wp:positionV>
            <wp:extent cx="9944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-106045</wp:posOffset>
            </wp:positionV>
            <wp:extent cx="994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21590</wp:posOffset>
            </wp:positionV>
            <wp:extent cx="994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147,133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235,749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2,838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9460" w:space="295"/>
            <w:col w:w="1485"/>
          </w:cols>
          <w:pgMar w:left="320" w:top="373"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100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100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0007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00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007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00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00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100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100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00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6000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6,426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89979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99795" cy="2603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415,347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89979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99795" cy="2603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1,626,990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8,486</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79,434</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23,923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389,002</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89979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99795" cy="25400"/>
                    </a:xfrm>
                    <a:prstGeom prst="rect">
                      <a:avLst/>
                    </a:prstGeom>
                    <a:noFill/>
                  </pic:spPr>
                </pic:pic>
              </a:graphicData>
            </a:graphic>
          </wp:anchor>
        </w:drawing>
      </w:r>
    </w:p>
    <w:p>
      <w:pPr>
        <w:spacing w:after="0" w:line="18" w:lineRule="exact"/>
        <w:rPr>
          <w:sz w:val="20"/>
          <w:szCs w:val="20"/>
          <w:color w:val="auto"/>
        </w:rPr>
      </w:pPr>
    </w:p>
    <w:p>
      <w:pPr>
        <w:ind w:left="746" w:hanging="746"/>
        <w:spacing w:after="0"/>
        <w:tabs>
          <w:tab w:leader="none" w:pos="746"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2,560,121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43815</wp:posOffset>
            </wp:positionV>
            <wp:extent cx="8997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635</wp:posOffset>
            </wp:positionV>
            <wp:extent cx="99441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661,689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944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1,659,100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944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25,811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392,315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15,948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8826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2650" cy="25400"/>
                    </a:xfrm>
                    <a:prstGeom prst="rect">
                      <a:avLst/>
                    </a:prstGeom>
                    <a:noFill/>
                  </pic:spPr>
                </pic:pic>
              </a:graphicData>
            </a:graphic>
          </wp:anchor>
        </w:drawing>
      </w:r>
    </w:p>
    <w:p>
      <w:pPr>
        <w:spacing w:after="0" w:line="18" w:lineRule="exact"/>
        <w:rPr>
          <w:sz w:val="20"/>
          <w:szCs w:val="20"/>
          <w:color w:val="auto"/>
        </w:rPr>
      </w:pPr>
    </w:p>
    <w:p>
      <w:pPr>
        <w:ind w:left="725" w:hanging="725"/>
        <w:spacing w:after="0"/>
        <w:tabs>
          <w:tab w:leader="none" w:pos="725"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2,838,681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-101600</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94410" cy="2603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172085</wp:posOffset>
            </wp:positionV>
            <wp:extent cx="9944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3">
            <w:col w:w="7334" w:space="720"/>
            <w:col w:w="1386" w:space="315"/>
            <w:col w:w="1485"/>
          </w:cols>
          <w:pgMar w:left="320" w:top="373"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4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Payable</w:t>
            </w:r>
          </w:p>
        </w:tc>
        <w:tc>
          <w:tcPr>
            <w:tcW w:w="420" w:type="dxa"/>
            <w:vAlign w:val="bottom"/>
            <w:tcBorders>
              <w:top w:val="single" w:sz="8" w:color="A6A6A6"/>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99,465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Accrued Liabilities</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87,206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Operating Lease Liabilities</w:t>
            </w:r>
          </w:p>
        </w:tc>
        <w:tc>
          <w:tcPr>
            <w:tcW w:w="42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Total Current Liabilities</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193,675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Long-term Debt</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837,949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29,960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Other Long-term Liabilities</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37,618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Deferred Income Taxes</w:t>
            </w:r>
          </w:p>
        </w:tc>
        <w:tc>
          <w:tcPr>
            <w:tcW w:w="42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238,671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Total Liabilities</w:t>
            </w:r>
          </w:p>
        </w:tc>
        <w:tc>
          <w:tcPr>
            <w:tcW w:w="42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1,337,873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Stockholders’ Equity</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Preferred Stock, Par Value $0.01; Authorized 5,000,000 Shares; None Issued</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040" w:type="dxa"/>
            <w:vAlign w:val="bottom"/>
          </w:tcPr>
          <w:p>
            <w:pPr>
              <w:ind w:left="200"/>
              <w:spacing w:after="0" w:line="146" w:lineRule="exact"/>
              <w:rPr>
                <w:sz w:val="20"/>
                <w:szCs w:val="20"/>
                <w:color w:val="auto"/>
              </w:rPr>
            </w:pPr>
            <w:r>
              <w:rPr>
                <w:rFonts w:ascii="Arial" w:cs="Arial" w:eastAsia="Arial" w:hAnsi="Arial"/>
                <w:sz w:val="16"/>
                <w:szCs w:val="16"/>
                <w:color w:val="004483"/>
              </w:rPr>
              <w:t>Common Stock, Par Value $0.01; Authorized 100,000,000 Shares;</w:t>
            </w:r>
          </w:p>
        </w:tc>
        <w:tc>
          <w:tcPr>
            <w:tcW w:w="4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40" w:type="dxa"/>
            <w:vAlign w:val="bottom"/>
            <w:tcBorders>
              <w:bottom w:val="single" w:sz="8" w:color="A6A6A6"/>
            </w:tcBorders>
          </w:tcPr>
          <w:p>
            <w:pPr>
              <w:ind w:left="320"/>
              <w:spacing w:after="0"/>
              <w:rPr>
                <w:sz w:val="20"/>
                <w:szCs w:val="20"/>
                <w:color w:val="auto"/>
              </w:rPr>
            </w:pPr>
            <w:r>
              <w:rPr>
                <w:rFonts w:ascii="Arial" w:cs="Arial" w:eastAsia="Arial" w:hAnsi="Arial"/>
                <w:sz w:val="16"/>
                <w:szCs w:val="16"/>
                <w:color w:val="004483"/>
              </w:rPr>
              <w:t>Issued and Outstanding 39,766,043 and 42,370,878 Shares, respectively</w:t>
            </w:r>
          </w:p>
        </w:tc>
        <w:tc>
          <w:tcPr>
            <w:tcW w:w="42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Capital in Excess of Par Value</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Accumulated Other Comprehensive Losses</w:t>
            </w:r>
          </w:p>
        </w:tc>
        <w:tc>
          <w:tcPr>
            <w:tcW w:w="4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(3,359</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Retained Earnings</w:t>
            </w:r>
          </w:p>
        </w:tc>
        <w:tc>
          <w:tcPr>
            <w:tcW w:w="42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1,225,209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80"/>
              <w:spacing w:after="0" w:line="183" w:lineRule="exact"/>
              <w:rPr>
                <w:sz w:val="20"/>
                <w:szCs w:val="20"/>
                <w:color w:val="auto"/>
              </w:rPr>
            </w:pPr>
            <w:r>
              <w:rPr>
                <w:rFonts w:ascii="Arial" w:cs="Arial" w:eastAsia="Arial" w:hAnsi="Arial"/>
                <w:sz w:val="16"/>
                <w:szCs w:val="16"/>
                <w:color w:val="004483"/>
              </w:rPr>
              <w:t>Total Stockholders’ Equity</w:t>
            </w:r>
          </w:p>
        </w:tc>
        <w:tc>
          <w:tcPr>
            <w:tcW w:w="420" w:type="dxa"/>
            <w:vAlign w:val="bottom"/>
            <w:tcBorders>
              <w:bottom w:val="single" w:sz="8" w:color="004483"/>
            </w:tcBorders>
          </w:tcPr>
          <w:p>
            <w:pPr>
              <w:spacing w:after="0"/>
              <w:rPr>
                <w:sz w:val="17"/>
                <w:szCs w:val="17"/>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1,222,248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40" w:type="dxa"/>
            <w:vAlign w:val="bottom"/>
          </w:tcPr>
          <w:p>
            <w:pPr>
              <w:spacing w:after="0"/>
              <w:rPr>
                <w:sz w:val="16"/>
                <w:szCs w:val="16"/>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2,560,121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925" w:hanging="925"/>
        <w:spacing w:after="0"/>
        <w:tabs>
          <w:tab w:leader="none" w:pos="925" w:val="left"/>
        </w:tabs>
        <w:numPr>
          <w:ilvl w:val="0"/>
          <w:numId w:val="5"/>
        </w:numPr>
        <w:rPr>
          <w:rFonts w:ascii="Arial" w:cs="Arial" w:eastAsia="Arial" w:hAnsi="Arial"/>
          <w:sz w:val="16"/>
          <w:szCs w:val="16"/>
          <w:color w:val="auto"/>
        </w:rPr>
      </w:pPr>
      <w:r>
        <w:rPr>
          <w:rFonts w:ascii="Arial" w:cs="Arial" w:eastAsia="Arial" w:hAnsi="Arial"/>
          <w:sz w:val="16"/>
          <w:szCs w:val="16"/>
          <w:color w:val="auto"/>
        </w:rPr>
        <w:t>84,171</w:t>
      </w:r>
    </w:p>
    <w:p>
      <w:pPr>
        <w:spacing w:after="0" w:line="22" w:lineRule="exact"/>
        <w:rPr>
          <w:rFonts w:ascii="Arial" w:cs="Arial" w:eastAsia="Arial" w:hAnsi="Arial"/>
          <w:sz w:val="16"/>
          <w:szCs w:val="16"/>
          <w:color w:val="auto"/>
        </w:rPr>
      </w:pPr>
    </w:p>
    <w:p>
      <w:pPr>
        <w:ind w:left="925"/>
        <w:spacing w:after="0"/>
        <w:rPr>
          <w:rFonts w:ascii="Arial" w:cs="Arial" w:eastAsia="Arial" w:hAnsi="Arial"/>
          <w:sz w:val="16"/>
          <w:szCs w:val="16"/>
          <w:color w:val="auto"/>
        </w:rPr>
      </w:pPr>
      <w:r>
        <w:rPr>
          <w:rFonts w:ascii="Arial" w:cs="Arial" w:eastAsia="Arial" w:hAnsi="Arial"/>
          <w:sz w:val="16"/>
          <w:szCs w:val="16"/>
          <w:color w:val="auto"/>
        </w:rPr>
        <w:t>78,840</w:t>
      </w:r>
    </w:p>
    <w:p>
      <w:pPr>
        <w:spacing w:after="0" w:line="18" w:lineRule="exact"/>
        <w:rPr>
          <w:rFonts w:ascii="Arial" w:cs="Arial" w:eastAsia="Arial" w:hAnsi="Arial"/>
          <w:sz w:val="16"/>
          <w:szCs w:val="16"/>
          <w:color w:val="auto"/>
        </w:rPr>
      </w:pPr>
    </w:p>
    <w:p>
      <w:pPr>
        <w:ind w:left="1005"/>
        <w:spacing w:after="0"/>
        <w:rPr>
          <w:rFonts w:ascii="Arial" w:cs="Arial" w:eastAsia="Arial" w:hAnsi="Arial"/>
          <w:sz w:val="16"/>
          <w:szCs w:val="16"/>
          <w:color w:val="auto"/>
        </w:rPr>
      </w:pPr>
      <w:r>
        <w:rPr>
          <w:rFonts w:ascii="Arial" w:cs="Arial" w:eastAsia="Arial" w:hAnsi="Arial"/>
          <w:sz w:val="16"/>
          <w:szCs w:val="16"/>
          <w:color w:val="auto"/>
        </w:rPr>
        <w:t>6,343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-377825</wp:posOffset>
            </wp:positionV>
            <wp:extent cx="9944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-249555</wp:posOffset>
            </wp:positionV>
            <wp:extent cx="9944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-120650</wp:posOffset>
            </wp:positionV>
            <wp:extent cx="9944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169,354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944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1,008,616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34,444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41,291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6"/>
          <w:szCs w:val="16"/>
          <w:color w:val="auto"/>
        </w:rPr>
        <w:t>225,986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94410" cy="25400"/>
                    </a:xfrm>
                    <a:prstGeom prst="rect">
                      <a:avLst/>
                    </a:prstGeom>
                    <a:noFill/>
                  </pic:spPr>
                </pic:pic>
              </a:graphicData>
            </a:graphic>
          </wp:anchor>
        </w:drawing>
      </w:r>
    </w:p>
    <w:p>
      <w:pPr>
        <w:spacing w:after="0" w:line="22" w:lineRule="exact"/>
        <w:rPr>
          <w:sz w:val="20"/>
          <w:szCs w:val="20"/>
          <w:color w:val="auto"/>
        </w:rPr>
      </w:pPr>
    </w:p>
    <w:p>
      <w:pPr>
        <w:ind w:left="725"/>
        <w:spacing w:after="0"/>
        <w:rPr>
          <w:sz w:val="20"/>
          <w:szCs w:val="20"/>
          <w:color w:val="auto"/>
        </w:rPr>
      </w:pPr>
      <w:r>
        <w:rPr>
          <w:rFonts w:ascii="Arial" w:cs="Arial" w:eastAsia="Arial" w:hAnsi="Arial"/>
          <w:sz w:val="16"/>
          <w:szCs w:val="16"/>
          <w:color w:val="auto"/>
        </w:rPr>
        <w:t>1,479,691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944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94410"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154940</wp:posOffset>
            </wp:positionV>
            <wp:extent cx="9944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8" w:lineRule="exact"/>
        <w:rPr>
          <w:sz w:val="20"/>
          <w:szCs w:val="20"/>
          <w:color w:val="auto"/>
        </w:rPr>
      </w:pPr>
    </w:p>
    <w:p>
      <w:pPr>
        <w:ind w:left="120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944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1" w:lineRule="exact"/>
        <w:rPr>
          <w:sz w:val="20"/>
          <w:szCs w:val="20"/>
          <w:color w:val="auto"/>
        </w:rPr>
      </w:pPr>
    </w:p>
    <w:p>
      <w:pPr>
        <w:ind w:left="1125"/>
        <w:spacing w:after="0"/>
        <w:rPr>
          <w:sz w:val="20"/>
          <w:szCs w:val="20"/>
          <w:color w:val="auto"/>
        </w:rPr>
      </w:pPr>
      <w:r>
        <w:rPr>
          <w:rFonts w:ascii="Arial" w:cs="Arial" w:eastAsia="Arial" w:hAnsi="Arial"/>
          <w:sz w:val="16"/>
          <w:szCs w:val="16"/>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wp:posOffset>
            </wp:positionV>
            <wp:extent cx="9944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 w:lineRule="exact"/>
        <w:rPr>
          <w:sz w:val="20"/>
          <w:szCs w:val="20"/>
          <w:color w:val="auto"/>
        </w:rPr>
      </w:pPr>
    </w:p>
    <w:p>
      <w:pPr>
        <w:ind w:left="925"/>
        <w:spacing w:after="0"/>
        <w:rPr>
          <w:sz w:val="20"/>
          <w:szCs w:val="20"/>
          <w:color w:val="auto"/>
        </w:rPr>
      </w:pPr>
      <w:r>
        <w:rPr>
          <w:rFonts w:ascii="Arial" w:cs="Arial" w:eastAsia="Arial" w:hAnsi="Arial"/>
          <w:sz w:val="16"/>
          <w:szCs w:val="16"/>
          <w:color w:val="auto"/>
        </w:rPr>
        <w:t>62,497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6"/>
          <w:szCs w:val="16"/>
          <w:color w:val="auto"/>
        </w:rPr>
        <w:t>(3,440 )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ind w:left="725"/>
        <w:spacing w:after="0"/>
        <w:rPr>
          <w:sz w:val="20"/>
          <w:szCs w:val="20"/>
          <w:color w:val="auto"/>
        </w:rPr>
      </w:pPr>
      <w:r>
        <w:rPr>
          <w:rFonts w:ascii="Arial" w:cs="Arial" w:eastAsia="Arial" w:hAnsi="Arial"/>
          <w:sz w:val="16"/>
          <w:szCs w:val="16"/>
          <w:color w:val="auto"/>
        </w:rPr>
        <w:t>1,299,509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9944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22" w:lineRule="exact"/>
        <w:rPr>
          <w:sz w:val="20"/>
          <w:szCs w:val="20"/>
          <w:color w:val="auto"/>
        </w:rPr>
      </w:pPr>
    </w:p>
    <w:p>
      <w:pPr>
        <w:ind w:left="725"/>
        <w:spacing w:after="0"/>
        <w:rPr>
          <w:sz w:val="20"/>
          <w:szCs w:val="20"/>
          <w:color w:val="auto"/>
        </w:rPr>
      </w:pPr>
      <w:r>
        <w:rPr>
          <w:rFonts w:ascii="Arial" w:cs="Arial" w:eastAsia="Arial" w:hAnsi="Arial"/>
          <w:sz w:val="16"/>
          <w:szCs w:val="16"/>
          <w:color w:val="auto"/>
        </w:rPr>
        <w:t>1,358,990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8826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2650" cy="25400"/>
                    </a:xfrm>
                    <a:prstGeom prst="rect">
                      <a:avLst/>
                    </a:prstGeom>
                    <a:noFill/>
                  </pic:spPr>
                </pic:pic>
              </a:graphicData>
            </a:graphic>
          </wp:anchor>
        </w:drawing>
      </w:r>
    </w:p>
    <w:p>
      <w:pPr>
        <w:spacing w:after="0" w:line="22" w:lineRule="exact"/>
        <w:rPr>
          <w:sz w:val="20"/>
          <w:szCs w:val="20"/>
          <w:color w:val="auto"/>
        </w:rPr>
      </w:pPr>
    </w:p>
    <w:p>
      <w:pPr>
        <w:ind w:left="725" w:hanging="725"/>
        <w:spacing w:after="0"/>
        <w:tabs>
          <w:tab w:leader="none" w:pos="72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2,838,681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8826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8826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9520" w:space="235"/>
            <w:col w:w="1485"/>
          </w:cols>
          <w:pgMar w:left="320" w:top="373"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43" w:lineRule="exact"/>
        <w:rPr>
          <w:sz w:val="20"/>
          <w:szCs w:val="20"/>
          <w:color w:val="auto"/>
        </w:rPr>
      </w:pPr>
    </w:p>
    <w:p>
      <w:pPr>
        <w:ind w:left="8240"/>
        <w:spacing w:after="0"/>
        <w:rPr>
          <w:sz w:val="20"/>
          <w:szCs w:val="20"/>
          <w:color w:val="auto"/>
        </w:rPr>
      </w:pPr>
      <w:r>
        <w:rPr>
          <w:rFonts w:ascii="Arial" w:cs="Arial" w:eastAsia="Arial" w:hAnsi="Arial"/>
          <w:sz w:val="13"/>
          <w:szCs w:val="13"/>
          <w:b w:val="1"/>
          <w:bCs w:val="1"/>
          <w:color w:val="FFFFFF"/>
        </w:rPr>
        <w:t>For the 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-82550</wp:posOffset>
            </wp:positionV>
            <wp:extent cx="2305685"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05685" cy="93980"/>
                    </a:xfrm>
                    <a:prstGeom prst="rect">
                      <a:avLst/>
                    </a:prstGeom>
                    <a:noFill/>
                  </pic:spPr>
                </pic:pic>
              </a:graphicData>
            </a:graphic>
          </wp:anchor>
        </w:drawing>
      </w:r>
    </w:p>
    <w:p>
      <w:pPr>
        <w:ind w:left="9000"/>
        <w:spacing w:after="0"/>
        <w:tabs>
          <w:tab w:leader="none" w:pos="10860" w:val="left"/>
        </w:tabs>
        <w:rPr>
          <w:sz w:val="20"/>
          <w:szCs w:val="20"/>
          <w:color w:val="auto"/>
        </w:rPr>
      </w:pPr>
      <w:r>
        <w:rPr>
          <w:rFonts w:ascii="Arial" w:cs="Arial" w:eastAsia="Arial" w:hAnsi="Arial"/>
          <w:sz w:val="10"/>
          <w:szCs w:val="10"/>
          <w:b w:val="1"/>
          <w:bCs w:val="1"/>
          <w:color w:val="auto"/>
        </w:rPr>
        <w:t>2021</w:t>
      </w:r>
      <w:r>
        <w:rPr>
          <w:sz w:val="20"/>
          <w:szCs w:val="20"/>
          <w:color w:val="auto"/>
        </w:rPr>
        <w:tab/>
      </w:r>
      <w:r>
        <w:rPr>
          <w:rFonts w:ascii="Arial" w:cs="Arial" w:eastAsia="Arial" w:hAnsi="Arial"/>
          <w:sz w:val="10"/>
          <w:szCs w:val="10"/>
          <w:b w:val="1"/>
          <w:bCs w:val="1"/>
          <w:color w:val="auto"/>
        </w:rPr>
        <w:t>2020</w:t>
      </w:r>
    </w:p>
    <w:p>
      <w:pPr>
        <w:spacing w:after="0" w:line="34" w:lineRule="exact"/>
        <w:rPr>
          <w:sz w:val="20"/>
          <w:szCs w:val="20"/>
          <w:color w:val="auto"/>
        </w:rPr>
      </w:pPr>
    </w:p>
    <w:p>
      <w:pPr>
        <w:ind w:left="884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7199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71995" cy="2603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600" w:type="dxa"/>
            <w:vAlign w:val="bottom"/>
            <w:tcBorders>
              <w:top w:val="single" w:sz="8" w:color="A6A6A6"/>
              <w:bottom w:val="single" w:sz="8" w:color="A6A6A6"/>
            </w:tcBorders>
          </w:tcPr>
          <w:p>
            <w:pPr>
              <w:jc w:val="right"/>
              <w:ind w:right="41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299,931</w:t>
            </w:r>
          </w:p>
        </w:tc>
        <w:tc>
          <w:tcPr>
            <w:tcW w:w="60" w:type="dxa"/>
            <w:vAlign w:val="bottom"/>
          </w:tcPr>
          <w:p>
            <w:pPr>
              <w:spacing w:after="0"/>
              <w:rPr>
                <w:sz w:val="15"/>
                <w:szCs w:val="15"/>
                <w:color w:val="auto"/>
              </w:rPr>
            </w:pPr>
          </w:p>
        </w:tc>
      </w:tr>
      <w:tr>
        <w:trPr>
          <w:trHeight w:val="146"/>
        </w:trPr>
        <w:tc>
          <w:tcPr>
            <w:tcW w:w="7600" w:type="dxa"/>
            <w:vAlign w:val="bottom"/>
          </w:tcPr>
          <w:p>
            <w:pPr>
              <w:ind w:left="20"/>
              <w:spacing w:after="0" w:line="146" w:lineRule="exact"/>
              <w:rPr>
                <w:sz w:val="20"/>
                <w:szCs w:val="20"/>
                <w:color w:val="auto"/>
              </w:rPr>
            </w:pPr>
            <w:r>
              <w:rPr>
                <w:rFonts w:ascii="Arial" w:cs="Arial" w:eastAsia="Arial" w:hAnsi="Arial"/>
                <w:sz w:val="16"/>
                <w:szCs w:val="16"/>
                <w:color w:val="004483"/>
              </w:rPr>
              <w:t>Adjustments to Reconcile Net Earnings to Net Cash Provided</w:t>
            </w: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60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Depreciation, Depletion, and Amortization</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96,478</w:t>
            </w: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Write-off of Debt Issuance Costs</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6,101</w:t>
            </w: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Deferred Income Tax Provision</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12,685</w:t>
            </w: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Stock Compensation Expense</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10,637</w:t>
            </w: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Gain on Sale of Subsidiaries</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(24,785</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Distributions from Joint Venture</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20,750</w:t>
            </w: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Changes in Operating Assets and Liabilities</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and Notes Receivable</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(23,595</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23,771</w:t>
            </w: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Payable and Accrued Liabilities</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13,629</w:t>
            </w: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Assets</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(672</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9"/>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Taxes Payable (Receivable)</w:t>
            </w:r>
          </w:p>
        </w:tc>
        <w:tc>
          <w:tcPr>
            <w:tcW w:w="60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(6,052</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9"/>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Provided by Operating Activities</w:t>
            </w:r>
          </w:p>
        </w:tc>
        <w:tc>
          <w:tcPr>
            <w:tcW w:w="60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428,878</w:t>
            </w:r>
          </w:p>
        </w:tc>
        <w:tc>
          <w:tcPr>
            <w:tcW w:w="60" w:type="dxa"/>
            <w:vAlign w:val="bottom"/>
          </w:tcPr>
          <w:p>
            <w:pPr>
              <w:spacing w:after="0"/>
              <w:rPr>
                <w:sz w:val="18"/>
                <w:szCs w:val="18"/>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Additions to Property, Plant, and Equipment</w:t>
            </w:r>
          </w:p>
        </w:tc>
        <w:tc>
          <w:tcPr>
            <w:tcW w:w="60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(55,188</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10"/>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Sale of Businesses</w:t>
            </w:r>
          </w:p>
        </w:tc>
        <w:tc>
          <w:tcPr>
            <w:tcW w:w="60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9"/>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Provided by (Used in) Investing Activities</w:t>
            </w:r>
          </w:p>
        </w:tc>
        <w:tc>
          <w:tcPr>
            <w:tcW w:w="60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(55,188</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Borders>
              <w:top w:val="single" w:sz="8" w:color="A6A6A6"/>
              <w:bottom w:val="single" w:sz="8" w:color="A6A6A6"/>
            </w:tcBorders>
          </w:tcPr>
          <w:p>
            <w:pPr>
              <w:jc w:val="right"/>
              <w:ind w:right="4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273,433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wp:posOffset>
            </wp:positionV>
            <wp:extent cx="1140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33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96,279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9525</wp:posOffset>
            </wp:positionV>
            <wp:extent cx="11404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6"/>
          <w:szCs w:val="16"/>
          <w:color w:val="auto"/>
        </w:rPr>
        <w:t>48,392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6"/>
          <w:szCs w:val="16"/>
          <w:color w:val="auto"/>
        </w:rPr>
        <w:t>12,057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4"/>
          <w:szCs w:val="14"/>
          <w:color w:val="auto"/>
        </w:rPr>
        <w:t>(61,203 )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21590</wp:posOffset>
            </wp:positionV>
            <wp:extent cx="11404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(28,456 )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21590</wp:posOffset>
            </wp:positionV>
            <wp:extent cx="11404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27,500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4046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135890</wp:posOffset>
            </wp:positionV>
            <wp:extent cx="11404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19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6,859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9525</wp:posOffset>
            </wp:positionV>
            <wp:extent cx="11404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37,084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6"/>
          <w:szCs w:val="16"/>
          <w:color w:val="auto"/>
        </w:rPr>
        <w:t>5,572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(2,013 )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6"/>
          <w:szCs w:val="16"/>
          <w:color w:val="auto"/>
        </w:rPr>
        <w:t>126,513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40460" cy="25400"/>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9525</wp:posOffset>
            </wp:positionV>
            <wp:extent cx="114046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40460" cy="260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154940</wp:posOffset>
            </wp:positionV>
            <wp:extent cx="11404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(45,541 )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24130</wp:posOffset>
            </wp:positionV>
            <wp:extent cx="11404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91,022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114046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40460" cy="26035"/>
                    </a:xfrm>
                    <a:prstGeom prst="rect">
                      <a:avLst/>
                    </a:prstGeom>
                    <a:noFill/>
                  </pic:spPr>
                </pic:pic>
              </a:graphicData>
            </a:graphic>
          </wp:anchor>
        </w:drawing>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45,481</w:t>
      </w:r>
    </w:p>
    <w:p>
      <w:pPr>
        <w:spacing w:after="0" w:line="56" w:lineRule="exact"/>
        <w:rPr>
          <w:sz w:val="20"/>
          <w:szCs w:val="20"/>
          <w:color w:val="auto"/>
        </w:rPr>
      </w:pPr>
    </w:p>
    <w:p>
      <w:pPr>
        <w:sectPr>
          <w:pgSz w:w="11900" w:h="16838" w:orient="portrait"/>
          <w:cols w:equalWidth="0" w:num="2">
            <w:col w:w="9320" w:space="20"/>
            <w:col w:w="1880"/>
          </w:cols>
          <w:pgMar w:left="320" w:top="360" w:right="35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6"/>
                <w:szCs w:val="16"/>
                <w:b w:val="1"/>
                <w:bCs w:val="1"/>
                <w:color w:val="auto"/>
              </w:rPr>
              <w:t>CASH FLOWS FROM FINANCING ACTIVITIES</w:t>
            </w:r>
          </w:p>
        </w:tc>
        <w:tc>
          <w:tcPr>
            <w:tcW w:w="580" w:type="dxa"/>
            <w:vAlign w:val="bottom"/>
            <w:tcBorders>
              <w:bottom w:val="single" w:sz="8" w:color="A6A6A6"/>
            </w:tcBorders>
          </w:tcPr>
          <w:p>
            <w:pPr>
              <w:spacing w:after="0"/>
              <w:rPr>
                <w:sz w:val="14"/>
                <w:szCs w:val="14"/>
                <w:color w:val="auto"/>
              </w:rPr>
            </w:pPr>
          </w:p>
        </w:tc>
        <w:tc>
          <w:tcPr>
            <w:tcW w:w="1080" w:type="dxa"/>
            <w:vAlign w:val="bottom"/>
            <w:tcBorders>
              <w:bottom w:val="single" w:sz="8" w:color="A6A6A6"/>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6A6A6"/>
              <w:bottom w:val="single" w:sz="8" w:color="A6A6A6"/>
            </w:tcBorders>
          </w:tcPr>
          <w:p>
            <w:pPr>
              <w:spacing w:after="0"/>
              <w:rPr>
                <w:sz w:val="14"/>
                <w:szCs w:val="14"/>
                <w:color w:val="auto"/>
              </w:rPr>
            </w:pPr>
          </w:p>
        </w:tc>
        <w:tc>
          <w:tcPr>
            <w:tcW w:w="560" w:type="dxa"/>
            <w:vAlign w:val="bottom"/>
            <w:tcBorders>
              <w:top w:val="single" w:sz="8" w:color="004483"/>
              <w:bottom w:val="single" w:sz="8" w:color="A6A6A6"/>
            </w:tcBorders>
          </w:tcPr>
          <w:p>
            <w:pPr>
              <w:spacing w:after="0"/>
              <w:rPr>
                <w:sz w:val="14"/>
                <w:szCs w:val="14"/>
                <w:color w:val="auto"/>
              </w:rPr>
            </w:pPr>
          </w:p>
        </w:tc>
        <w:tc>
          <w:tcPr>
            <w:tcW w:w="1060" w:type="dxa"/>
            <w:vAlign w:val="bottom"/>
            <w:tcBorders>
              <w:top w:val="single" w:sz="8" w:color="004483"/>
              <w:bottom w:val="single" w:sz="8" w:color="A6A6A6"/>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Increase (Decrease) in Credit Facility</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100,000</w:t>
            </w:r>
          </w:p>
        </w:tc>
        <w:tc>
          <w:tcPr>
            <w:tcW w:w="8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(560,000</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2.500% Senior Unsecured Notes</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743,692</w:t>
            </w:r>
          </w:p>
        </w:tc>
        <w:tc>
          <w:tcPr>
            <w:tcW w:w="8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4.500% Senior Unsecured Notes</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(350,000</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Term Loan</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(665,000</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Dividends Paid to Stockholders</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(20,538</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(4,163</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(435,975</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Stock Option Exercises</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20,754</w:t>
            </w:r>
          </w:p>
        </w:tc>
        <w:tc>
          <w:tcPr>
            <w:tcW w:w="8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8,649</w:t>
            </w:r>
          </w:p>
        </w:tc>
        <w:tc>
          <w:tcPr>
            <w:tcW w:w="8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Premium Paid on Early Retirement of Senior Notes</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(8,407</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Payment of Debt Issuance Costs</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(7,985</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(1,718</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10"/>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Shares Redeemed to Settle Employee Taxes on Stock Compensation</w:t>
            </w:r>
          </w:p>
        </w:tc>
        <w:tc>
          <w:tcPr>
            <w:tcW w:w="58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(1,359</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(1,130</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09"/>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Used in Financing Activities</w:t>
            </w:r>
          </w:p>
        </w:tc>
        <w:tc>
          <w:tcPr>
            <w:tcW w:w="58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(624,818</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(558,362</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58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(251,128</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29,136</w:t>
            </w:r>
          </w:p>
        </w:tc>
        <w:tc>
          <w:tcPr>
            <w:tcW w:w="80" w:type="dxa"/>
            <w:vAlign w:val="bottom"/>
          </w:tcPr>
          <w:p>
            <w:pPr>
              <w:spacing w:after="0"/>
              <w:rPr>
                <w:sz w:val="15"/>
                <w:szCs w:val="15"/>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5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268,520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118,648</w:t>
            </w:r>
          </w:p>
        </w:tc>
        <w:tc>
          <w:tcPr>
            <w:tcW w:w="80" w:type="dxa"/>
            <w:vAlign w:val="bottom"/>
          </w:tcPr>
          <w:p>
            <w:pPr>
              <w:spacing w:after="0"/>
              <w:rPr>
                <w:sz w:val="15"/>
                <w:szCs w:val="15"/>
                <w:color w:val="auto"/>
              </w:rPr>
            </w:pPr>
          </w:p>
        </w:tc>
      </w:tr>
      <w:tr>
        <w:trPr>
          <w:trHeight w:val="27"/>
        </w:trPr>
        <w:tc>
          <w:tcPr>
            <w:tcW w:w="760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CASH EQUIVALENTS, AND RESTRICTED CASH AT END OF PERIOD</w:t>
            </w: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17,392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004483"/>
            </w:tcBorders>
          </w:tcPr>
          <w:p>
            <w:pPr>
              <w:jc w:val="right"/>
              <w:ind w:right="40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147,784</w:t>
            </w:r>
          </w:p>
        </w:tc>
        <w:tc>
          <w:tcPr>
            <w:tcW w:w="8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004483"/>
            </w:tcBorders>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gridSpan w:val="3"/>
          </w:tcPr>
          <w:p>
            <w:pPr>
              <w:jc w:val="right"/>
              <w:spacing w:after="0"/>
              <w:rPr>
                <w:sz w:val="20"/>
                <w:szCs w:val="20"/>
                <w:color w:val="auto"/>
              </w:rPr>
            </w:pPr>
            <w:r>
              <w:rPr>
                <w:rFonts w:ascii="Arial" w:cs="Arial" w:eastAsia="Arial" w:hAnsi="Arial"/>
                <w:sz w:val="13"/>
                <w:szCs w:val="13"/>
                <w:color w:val="auto"/>
                <w:w w:val="88"/>
              </w:rPr>
              <w:t>(dollars in thousands)</w:t>
            </w: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6"/>
                <w:szCs w:val="16"/>
                <w:b w:val="1"/>
                <w:bCs w:val="1"/>
                <w:color w:val="004483"/>
              </w:rPr>
              <w:t>Balance at March 31, 2020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6"/>
                <w:szCs w:val="16"/>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10,943</w:t>
            </w:r>
          </w:p>
        </w:tc>
        <w:tc>
          <w:tcPr>
            <w:tcW w:w="100" w:type="dxa"/>
            <w:vAlign w:val="bottom"/>
          </w:tcPr>
          <w:p>
            <w:pPr>
              <w:spacing w:after="0"/>
              <w:rPr>
                <w:sz w:val="16"/>
                <w:szCs w:val="16"/>
                <w:color w:val="auto"/>
              </w:rPr>
            </w:pPr>
          </w:p>
        </w:tc>
        <w:tc>
          <w:tcPr>
            <w:tcW w:w="3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960,065</w:t>
            </w:r>
          </w:p>
        </w:tc>
        <w:tc>
          <w:tcPr>
            <w:tcW w:w="1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(3,581 )</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967,843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28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A6A6A6"/>
              <w:bottom w:val="single" w:sz="8" w:color="A6A6A6"/>
            </w:tcBorders>
          </w:tcPr>
          <w:p>
            <w:pPr>
              <w:spacing w:after="0"/>
              <w:rPr>
                <w:sz w:val="15"/>
                <w:szCs w:val="15"/>
                <w:color w:val="auto"/>
              </w:rPr>
            </w:pPr>
          </w:p>
        </w:tc>
        <w:tc>
          <w:tcPr>
            <w:tcW w:w="8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96,206</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A6A6A6"/>
              <w:bottom w:val="single" w:sz="8" w:color="A6A6A6"/>
            </w:tcBorders>
          </w:tcPr>
          <w:p>
            <w:pPr>
              <w:spacing w:after="0"/>
              <w:rPr>
                <w:sz w:val="15"/>
                <w:szCs w:val="15"/>
                <w:color w:val="auto"/>
              </w:rPr>
            </w:pPr>
          </w:p>
        </w:tc>
        <w:tc>
          <w:tcPr>
            <w:tcW w:w="8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96,206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4,758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Shares Redeemed to Settle Employee Taxes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(1,130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(1,130</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 of Business with Unfunded Pension Liability</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254</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June 30, 2020</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14,571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64"/>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1,056,271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(3,302</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1,067,958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6A6A6"/>
            </w:tcBorders>
          </w:tcPr>
          <w:p>
            <w:pPr>
              <w:spacing w:after="0"/>
              <w:rPr>
                <w:sz w:val="14"/>
                <w:szCs w:val="14"/>
                <w:color w:val="auto"/>
              </w:rPr>
            </w:pPr>
          </w:p>
        </w:tc>
        <w:tc>
          <w:tcPr>
            <w:tcW w:w="76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96,034</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102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96,034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3,515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September 30, 2020</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18,584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64"/>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1,152,305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(3,276</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1,168,031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4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3A3A3"/>
            </w:tcBorders>
          </w:tcPr>
          <w:p>
            <w:pPr>
              <w:spacing w:after="0"/>
              <w:rPr>
                <w:sz w:val="14"/>
                <w:szCs w:val="14"/>
                <w:color w:val="auto"/>
              </w:rPr>
            </w:pPr>
          </w:p>
        </w:tc>
        <w:tc>
          <w:tcPr>
            <w:tcW w:w="760" w:type="dxa"/>
            <w:vAlign w:val="bottom"/>
            <w:tcBorders>
              <w:bottom w:val="single" w:sz="8" w:color="A3A3A3"/>
            </w:tcBorders>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Borders>
              <w:bottom w:val="single" w:sz="8" w:color="A3A3A3"/>
            </w:tcBorders>
          </w:tcPr>
          <w:p>
            <w:pPr>
              <w:spacing w:after="0"/>
              <w:rPr>
                <w:sz w:val="14"/>
                <w:szCs w:val="14"/>
                <w:color w:val="auto"/>
              </w:rPr>
            </w:pPr>
          </w:p>
        </w:tc>
        <w:tc>
          <w:tcPr>
            <w:tcW w:w="240" w:type="dxa"/>
            <w:vAlign w:val="bottom"/>
            <w:tcBorders>
              <w:bottom w:val="single" w:sz="8" w:color="A3A3A3"/>
            </w:tcBorders>
          </w:tcPr>
          <w:p>
            <w:pPr>
              <w:spacing w:after="0"/>
              <w:rPr>
                <w:sz w:val="14"/>
                <w:szCs w:val="14"/>
                <w:color w:val="auto"/>
              </w:rPr>
            </w:pPr>
          </w:p>
        </w:tc>
        <w:tc>
          <w:tcPr>
            <w:tcW w:w="780" w:type="dxa"/>
            <w:vAlign w:val="bottom"/>
            <w:tcBorders>
              <w:bottom w:val="single" w:sz="8" w:color="A3A3A3"/>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Borders>
              <w:bottom w:val="single" w:sz="8" w:color="A3A3A3"/>
            </w:tcBorders>
          </w:tcPr>
          <w:p>
            <w:pPr>
              <w:spacing w:after="0"/>
              <w:rPr>
                <w:sz w:val="14"/>
                <w:szCs w:val="14"/>
                <w:color w:val="auto"/>
              </w:rPr>
            </w:pPr>
          </w:p>
        </w:tc>
        <w:tc>
          <w:tcPr>
            <w:tcW w:w="240" w:type="dxa"/>
            <w:vAlign w:val="bottom"/>
            <w:tcBorders>
              <w:bottom w:val="single" w:sz="8" w:color="A3A3A3"/>
            </w:tcBorders>
          </w:tcPr>
          <w:p>
            <w:pPr>
              <w:spacing w:after="0"/>
              <w:rPr>
                <w:sz w:val="14"/>
                <w:szCs w:val="14"/>
                <w:color w:val="auto"/>
              </w:rPr>
            </w:pPr>
          </w:p>
        </w:tc>
        <w:tc>
          <w:tcPr>
            <w:tcW w:w="800" w:type="dxa"/>
            <w:vAlign w:val="bottom"/>
            <w:tcBorders>
              <w:bottom w:val="single" w:sz="8" w:color="A3A3A3"/>
            </w:tcBorders>
          </w:tcPr>
          <w:p>
            <w:pPr>
              <w:jc w:val="right"/>
              <w:spacing w:after="0" w:line="170" w:lineRule="exact"/>
              <w:rPr>
                <w:sz w:val="20"/>
                <w:szCs w:val="20"/>
                <w:color w:val="auto"/>
              </w:rPr>
            </w:pPr>
            <w:r>
              <w:rPr>
                <w:rFonts w:ascii="Arial" w:cs="Arial" w:eastAsia="Arial" w:hAnsi="Arial"/>
                <w:sz w:val="16"/>
                <w:szCs w:val="16"/>
                <w:color w:val="auto"/>
              </w:rPr>
              <w:t>81,193</w:t>
            </w:r>
          </w:p>
        </w:tc>
        <w:tc>
          <w:tcPr>
            <w:tcW w:w="100" w:type="dxa"/>
            <w:vAlign w:val="bottom"/>
          </w:tcPr>
          <w:p>
            <w:pPr>
              <w:spacing w:after="0"/>
              <w:rPr>
                <w:sz w:val="14"/>
                <w:szCs w:val="14"/>
                <w:color w:val="auto"/>
              </w:rPr>
            </w:pPr>
          </w:p>
        </w:tc>
        <w:tc>
          <w:tcPr>
            <w:tcW w:w="120" w:type="dxa"/>
            <w:vAlign w:val="bottom"/>
            <w:tcBorders>
              <w:bottom w:val="single" w:sz="8" w:color="A3A3A3"/>
            </w:tcBorders>
          </w:tcPr>
          <w:p>
            <w:pPr>
              <w:spacing w:after="0"/>
              <w:rPr>
                <w:sz w:val="14"/>
                <w:szCs w:val="14"/>
                <w:color w:val="auto"/>
              </w:rPr>
            </w:pPr>
          </w:p>
        </w:tc>
        <w:tc>
          <w:tcPr>
            <w:tcW w:w="140" w:type="dxa"/>
            <w:vAlign w:val="bottom"/>
            <w:tcBorders>
              <w:bottom w:val="single" w:sz="8" w:color="A3A3A3"/>
            </w:tcBorders>
          </w:tcPr>
          <w:p>
            <w:pPr>
              <w:spacing w:after="0"/>
              <w:rPr>
                <w:sz w:val="14"/>
                <w:szCs w:val="14"/>
                <w:color w:val="auto"/>
              </w:rPr>
            </w:pPr>
          </w:p>
        </w:tc>
        <w:tc>
          <w:tcPr>
            <w:tcW w:w="1020" w:type="dxa"/>
            <w:vAlign w:val="bottom"/>
            <w:tcBorders>
              <w:bottom w:val="single" w:sz="8" w:color="A3A3A3"/>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Borders>
              <w:bottom w:val="single" w:sz="8" w:color="A3A3A3"/>
            </w:tcBorders>
          </w:tcPr>
          <w:p>
            <w:pPr>
              <w:spacing w:after="0"/>
              <w:rPr>
                <w:sz w:val="14"/>
                <w:szCs w:val="14"/>
                <w:color w:val="auto"/>
              </w:rPr>
            </w:pPr>
          </w:p>
        </w:tc>
        <w:tc>
          <w:tcPr>
            <w:tcW w:w="240" w:type="dxa"/>
            <w:vAlign w:val="bottom"/>
            <w:tcBorders>
              <w:bottom w:val="single" w:sz="8" w:color="A3A3A3"/>
            </w:tcBorders>
          </w:tcPr>
          <w:p>
            <w:pPr>
              <w:spacing w:after="0"/>
              <w:rPr>
                <w:sz w:val="14"/>
                <w:szCs w:val="14"/>
                <w:color w:val="auto"/>
              </w:rPr>
            </w:pPr>
          </w:p>
        </w:tc>
        <w:tc>
          <w:tcPr>
            <w:tcW w:w="800" w:type="dxa"/>
            <w:vAlign w:val="bottom"/>
            <w:tcBorders>
              <w:bottom w:val="single" w:sz="8" w:color="A3A3A3"/>
            </w:tcBorders>
          </w:tcPr>
          <w:p>
            <w:pPr>
              <w:jc w:val="right"/>
              <w:spacing w:after="0" w:line="170" w:lineRule="exact"/>
              <w:rPr>
                <w:sz w:val="20"/>
                <w:szCs w:val="20"/>
                <w:color w:val="auto"/>
              </w:rPr>
            </w:pPr>
            <w:r>
              <w:rPr>
                <w:rFonts w:ascii="Arial" w:cs="Arial" w:eastAsia="Arial" w:hAnsi="Arial"/>
                <w:sz w:val="16"/>
                <w:szCs w:val="16"/>
                <w:color w:val="auto"/>
              </w:rPr>
              <w:t>81,193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3A3A3"/>
            </w:tcBorders>
          </w:tcPr>
          <w:p>
            <w:pPr>
              <w:spacing w:after="0"/>
              <w:rPr>
                <w:sz w:val="15"/>
                <w:szCs w:val="15"/>
                <w:color w:val="auto"/>
              </w:rPr>
            </w:pPr>
          </w:p>
        </w:tc>
        <w:tc>
          <w:tcPr>
            <w:tcW w:w="7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40" w:type="dxa"/>
            <w:vAlign w:val="bottom"/>
            <w:tcBorders>
              <w:bottom w:val="single" w:sz="8" w:color="A3A3A3"/>
            </w:tcBorders>
          </w:tcPr>
          <w:p>
            <w:pPr>
              <w:spacing w:after="0"/>
              <w:rPr>
                <w:sz w:val="15"/>
                <w:szCs w:val="15"/>
                <w:color w:val="auto"/>
              </w:rPr>
            </w:pPr>
          </w:p>
        </w:tc>
        <w:tc>
          <w:tcPr>
            <w:tcW w:w="78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3,782</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40" w:type="dxa"/>
            <w:vAlign w:val="bottom"/>
            <w:tcBorders>
              <w:bottom w:val="single" w:sz="8" w:color="A3A3A3"/>
            </w:tcBorders>
          </w:tcPr>
          <w:p>
            <w:pPr>
              <w:spacing w:after="0"/>
              <w:rPr>
                <w:sz w:val="15"/>
                <w:szCs w:val="15"/>
                <w:color w:val="auto"/>
              </w:rPr>
            </w:pPr>
          </w:p>
        </w:tc>
        <w:tc>
          <w:tcPr>
            <w:tcW w:w="80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40" w:type="dxa"/>
            <w:vAlign w:val="bottom"/>
            <w:tcBorders>
              <w:bottom w:val="single" w:sz="8" w:color="A3A3A3"/>
            </w:tcBorders>
          </w:tcPr>
          <w:p>
            <w:pPr>
              <w:spacing w:after="0"/>
              <w:rPr>
                <w:sz w:val="15"/>
                <w:szCs w:val="15"/>
                <w:color w:val="auto"/>
              </w:rPr>
            </w:pPr>
          </w:p>
        </w:tc>
        <w:tc>
          <w:tcPr>
            <w:tcW w:w="102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40" w:type="dxa"/>
            <w:vAlign w:val="bottom"/>
            <w:tcBorders>
              <w:bottom w:val="single" w:sz="8" w:color="A3A3A3"/>
            </w:tcBorders>
          </w:tcPr>
          <w:p>
            <w:pPr>
              <w:spacing w:after="0"/>
              <w:rPr>
                <w:sz w:val="15"/>
                <w:szCs w:val="15"/>
                <w:color w:val="auto"/>
              </w:rPr>
            </w:pPr>
          </w:p>
        </w:tc>
        <w:tc>
          <w:tcPr>
            <w:tcW w:w="80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3,782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Exercises and Restricted Share Vesting</w:t>
            </w:r>
          </w:p>
        </w:tc>
        <w:tc>
          <w:tcPr>
            <w:tcW w:w="280" w:type="dxa"/>
            <w:vAlign w:val="bottom"/>
            <w:tcBorders>
              <w:bottom w:val="single" w:sz="8" w:color="A3A3A3"/>
            </w:tcBorders>
          </w:tcPr>
          <w:p>
            <w:pPr>
              <w:spacing w:after="0"/>
              <w:rPr>
                <w:sz w:val="15"/>
                <w:szCs w:val="15"/>
                <w:color w:val="auto"/>
              </w:rPr>
            </w:pPr>
          </w:p>
        </w:tc>
        <w:tc>
          <w:tcPr>
            <w:tcW w:w="7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40" w:type="dxa"/>
            <w:vAlign w:val="bottom"/>
            <w:tcBorders>
              <w:bottom w:val="single" w:sz="8" w:color="A3A3A3"/>
            </w:tcBorders>
          </w:tcPr>
          <w:p>
            <w:pPr>
              <w:spacing w:after="0"/>
              <w:rPr>
                <w:sz w:val="15"/>
                <w:szCs w:val="15"/>
                <w:color w:val="auto"/>
              </w:rPr>
            </w:pPr>
          </w:p>
        </w:tc>
        <w:tc>
          <w:tcPr>
            <w:tcW w:w="78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8,150</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40" w:type="dxa"/>
            <w:vAlign w:val="bottom"/>
            <w:tcBorders>
              <w:bottom w:val="single" w:sz="8" w:color="A3A3A3"/>
            </w:tcBorders>
          </w:tcPr>
          <w:p>
            <w:pPr>
              <w:spacing w:after="0"/>
              <w:rPr>
                <w:sz w:val="15"/>
                <w:szCs w:val="15"/>
                <w:color w:val="auto"/>
              </w:rPr>
            </w:pPr>
          </w:p>
        </w:tc>
        <w:tc>
          <w:tcPr>
            <w:tcW w:w="80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140" w:type="dxa"/>
            <w:vAlign w:val="bottom"/>
            <w:tcBorders>
              <w:bottom w:val="single" w:sz="8" w:color="A3A3A3"/>
            </w:tcBorders>
          </w:tcPr>
          <w:p>
            <w:pPr>
              <w:spacing w:after="0"/>
              <w:rPr>
                <w:sz w:val="15"/>
                <w:szCs w:val="15"/>
                <w:color w:val="auto"/>
              </w:rPr>
            </w:pPr>
          </w:p>
        </w:tc>
        <w:tc>
          <w:tcPr>
            <w:tcW w:w="102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3A3A3"/>
            </w:tcBorders>
          </w:tcPr>
          <w:p>
            <w:pPr>
              <w:spacing w:after="0"/>
              <w:rPr>
                <w:sz w:val="15"/>
                <w:szCs w:val="15"/>
                <w:color w:val="auto"/>
              </w:rPr>
            </w:pPr>
          </w:p>
        </w:tc>
        <w:tc>
          <w:tcPr>
            <w:tcW w:w="240" w:type="dxa"/>
            <w:vAlign w:val="bottom"/>
            <w:tcBorders>
              <w:bottom w:val="single" w:sz="8" w:color="A3A3A3"/>
            </w:tcBorders>
          </w:tcPr>
          <w:p>
            <w:pPr>
              <w:spacing w:after="0"/>
              <w:rPr>
                <w:sz w:val="15"/>
                <w:szCs w:val="15"/>
                <w:color w:val="auto"/>
              </w:rPr>
            </w:pPr>
          </w:p>
        </w:tc>
        <w:tc>
          <w:tcPr>
            <w:tcW w:w="80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8,151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3A3A3"/>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3A3A3"/>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3A3A3"/>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3A3A3"/>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30,516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64"/>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1,233,498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(3,251</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1,261,182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3A3A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004483"/>
            </w:tcBorders>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gridSpan w:val="3"/>
          </w:tcPr>
          <w:p>
            <w:pPr>
              <w:jc w:val="right"/>
              <w:spacing w:after="0"/>
              <w:rPr>
                <w:sz w:val="20"/>
                <w:szCs w:val="20"/>
                <w:color w:val="auto"/>
              </w:rPr>
            </w:pPr>
            <w:r>
              <w:rPr>
                <w:rFonts w:ascii="Arial" w:cs="Arial" w:eastAsia="Arial" w:hAnsi="Arial"/>
                <w:sz w:val="13"/>
                <w:szCs w:val="13"/>
                <w:color w:val="auto"/>
                <w:w w:val="88"/>
              </w:rPr>
              <w:t>(dollars in thousands)</w:t>
            </w: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6"/>
                <w:szCs w:val="16"/>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62,497</w:t>
            </w:r>
          </w:p>
        </w:tc>
        <w:tc>
          <w:tcPr>
            <w:tcW w:w="100" w:type="dxa"/>
            <w:vAlign w:val="bottom"/>
          </w:tcPr>
          <w:p>
            <w:pPr>
              <w:spacing w:after="0"/>
              <w:rPr>
                <w:sz w:val="16"/>
                <w:szCs w:val="16"/>
                <w:color w:val="auto"/>
              </w:rPr>
            </w:pPr>
          </w:p>
        </w:tc>
        <w:tc>
          <w:tcPr>
            <w:tcW w:w="3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1,299,509</w:t>
            </w:r>
          </w:p>
        </w:tc>
        <w:tc>
          <w:tcPr>
            <w:tcW w:w="1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(3,440 )</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1,358,990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28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A6A6A6"/>
              <w:bottom w:val="single" w:sz="8" w:color="A6A6A6"/>
            </w:tcBorders>
          </w:tcPr>
          <w:p>
            <w:pPr>
              <w:spacing w:after="0"/>
              <w:rPr>
                <w:sz w:val="15"/>
                <w:szCs w:val="15"/>
                <w:color w:val="auto"/>
              </w:rPr>
            </w:pPr>
          </w:p>
        </w:tc>
        <w:tc>
          <w:tcPr>
            <w:tcW w:w="8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95,327</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0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A6A6A6"/>
              <w:bottom w:val="single" w:sz="8" w:color="A6A6A6"/>
            </w:tcBorders>
          </w:tcPr>
          <w:p>
            <w:pPr>
              <w:spacing w:after="0"/>
              <w:rPr>
                <w:sz w:val="15"/>
                <w:szCs w:val="15"/>
                <w:color w:val="auto"/>
              </w:rPr>
            </w:pPr>
          </w:p>
        </w:tc>
        <w:tc>
          <w:tcPr>
            <w:tcW w:w="8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95,327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2,455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Exercises and Restricted Share Issuances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8,222</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8,222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Shares Redeemed to Settle Employee Taxes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(1,214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(1,214</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(61,925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(61,929</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 to Shareholders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(10,547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(10,547</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June 30, 2021</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10,035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64"/>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1,384,289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(3,413</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1,391,332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6A6A6"/>
            </w:tcBorders>
          </w:tcPr>
          <w:p>
            <w:pPr>
              <w:spacing w:after="0"/>
              <w:rPr>
                <w:sz w:val="14"/>
                <w:szCs w:val="14"/>
                <w:color w:val="auto"/>
              </w:rPr>
            </w:pPr>
          </w:p>
        </w:tc>
        <w:tc>
          <w:tcPr>
            <w:tcW w:w="76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102,125</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102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102,125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3,920</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 and Restricted Share Issuances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6,238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Shares Redeemed to Settle Employee Taxes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(145</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(20,048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(165,856</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(185,916</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 to Shareholders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(10,272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(10,272</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September 30, 2021</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64"/>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1,310,286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(3,386</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1,307,309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4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6A6A6"/>
            </w:tcBorders>
          </w:tcPr>
          <w:p>
            <w:pPr>
              <w:spacing w:after="0"/>
              <w:rPr>
                <w:sz w:val="14"/>
                <w:szCs w:val="14"/>
                <w:color w:val="auto"/>
              </w:rPr>
            </w:pPr>
          </w:p>
        </w:tc>
        <w:tc>
          <w:tcPr>
            <w:tcW w:w="76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102,479</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102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rPr>
              <w:t>102,479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4,261</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 and Restricted Share Issuances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6,293</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(10,554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(177,564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(188,130</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 to Shareholders</w:t>
            </w:r>
          </w:p>
        </w:tc>
        <w:tc>
          <w:tcPr>
            <w:tcW w:w="28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(9,992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(9,992</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2021</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64"/>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1,225,209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(3,359</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1,222,248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34"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The accompanying unaudited consolidated financial statements as of and for the three- and nine-month periods ended December 31, 2021,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21, 2021.</w:t>
      </w:r>
    </w:p>
    <w:p>
      <w:pPr>
        <w:spacing w:after="0" w:line="98"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98"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134"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In December 2019, the FASB issued ASU 2019-12, which simplifies the accounting for income taxes, eliminates certain exceptions within existing income tax guidance, and clarifies certain aspects of the current guidance to promote consistency among reporting entities. We adopted this ASU on April 1, 2021 on a prospective basis. The adoption of this guidance did not have a material effect on our consolidated financial statements.</w:t>
      </w:r>
    </w:p>
    <w:p>
      <w:pPr>
        <w:spacing w:after="0" w:line="16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34"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Supplemental cash flow information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440" w:type="dxa"/>
            <w:vAlign w:val="bottom"/>
            <w:shd w:val="clear" w:color="auto" w:fill="004483"/>
          </w:tcPr>
          <w:p>
            <w:pPr>
              <w:spacing w:after="0"/>
              <w:rPr>
                <w:sz w:val="17"/>
                <w:szCs w:val="17"/>
                <w:color w:val="auto"/>
              </w:rPr>
            </w:pPr>
          </w:p>
        </w:tc>
        <w:tc>
          <w:tcPr>
            <w:tcW w:w="2740" w:type="dxa"/>
            <w:vAlign w:val="bottom"/>
            <w:gridSpan w:val="3"/>
            <w:shd w:val="clear" w:color="auto" w:fill="004483"/>
          </w:tcPr>
          <w:p>
            <w:pPr>
              <w:jc w:val="center"/>
              <w:ind w:left="108"/>
              <w:spacing w:after="0"/>
              <w:rPr>
                <w:sz w:val="20"/>
                <w:szCs w:val="20"/>
                <w:color w:val="auto"/>
              </w:rPr>
            </w:pPr>
            <w:r>
              <w:rPr>
                <w:rFonts w:ascii="Arial" w:cs="Arial" w:eastAsia="Arial" w:hAnsi="Arial"/>
                <w:sz w:val="13"/>
                <w:szCs w:val="13"/>
                <w:b w:val="1"/>
                <w:bCs w:val="1"/>
                <w:color w:val="FFFFFF"/>
                <w:w w:val="88"/>
              </w:rPr>
              <w:t>For the Nine Months Ended December 31,</w:t>
            </w:r>
          </w:p>
        </w:tc>
        <w:tc>
          <w:tcPr>
            <w:tcW w:w="620" w:type="dxa"/>
            <w:vAlign w:val="bottom"/>
            <w:shd w:val="clear" w:color="auto" w:fill="004483"/>
          </w:tcPr>
          <w:p>
            <w:pPr>
              <w:spacing w:after="0"/>
              <w:rPr>
                <w:sz w:val="17"/>
                <w:szCs w:val="17"/>
                <w:color w:val="auto"/>
              </w:rPr>
            </w:pPr>
          </w:p>
        </w:tc>
        <w:tc>
          <w:tcPr>
            <w:tcW w:w="80" w:type="dxa"/>
            <w:vAlign w:val="bottom"/>
            <w:shd w:val="clear" w:color="auto" w:fill="004483"/>
          </w:tcPr>
          <w:p>
            <w:pPr>
              <w:spacing w:after="0"/>
              <w:rPr>
                <w:sz w:val="17"/>
                <w:szCs w:val="17"/>
                <w:color w:val="auto"/>
              </w:rPr>
            </w:pPr>
          </w:p>
        </w:tc>
      </w:tr>
      <w:tr>
        <w:trPr>
          <w:trHeight w:val="134"/>
        </w:trPr>
        <w:tc>
          <w:tcPr>
            <w:tcW w:w="7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1"/>
                <w:szCs w:val="11"/>
                <w:color w:val="auto"/>
              </w:rPr>
            </w:pPr>
          </w:p>
        </w:tc>
      </w:tr>
      <w:tr>
        <w:trPr>
          <w:trHeight w:val="183"/>
        </w:trPr>
        <w:tc>
          <w:tcPr>
            <w:tcW w:w="736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2740" w:type="dxa"/>
            <w:vAlign w:val="bottom"/>
            <w:tcBorders>
              <w:bottom w:val="single" w:sz="8" w:color="004483"/>
            </w:tcBorders>
            <w:gridSpan w:val="3"/>
          </w:tcPr>
          <w:p>
            <w:pPr>
              <w:jc w:val="center"/>
              <w:ind w:left="108"/>
              <w:spacing w:after="0"/>
              <w:rPr>
                <w:sz w:val="20"/>
                <w:szCs w:val="20"/>
                <w:color w:val="auto"/>
              </w:rPr>
            </w:pPr>
            <w:r>
              <w:rPr>
                <w:rFonts w:ascii="Arial" w:cs="Arial" w:eastAsia="Arial" w:hAnsi="Arial"/>
                <w:sz w:val="13"/>
                <w:szCs w:val="13"/>
                <w:color w:val="auto"/>
                <w:w w:val="86"/>
              </w:rPr>
              <w:t>(dollars in thousands)</w:t>
            </w:r>
          </w:p>
        </w:tc>
        <w:tc>
          <w:tcPr>
            <w:tcW w:w="62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3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Payments</w:t>
            </w:r>
          </w:p>
        </w:tc>
        <w:tc>
          <w:tcPr>
            <w:tcW w:w="44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36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11,143</w:t>
            </w:r>
          </w:p>
        </w:tc>
        <w:tc>
          <w:tcPr>
            <w:tcW w:w="1400" w:type="dxa"/>
            <w:vAlign w:val="bottom"/>
            <w:gridSpan w:val="2"/>
          </w:tcPr>
          <w:p>
            <w:pPr>
              <w:jc w:val="right"/>
              <w:ind w:right="10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30,107</w:t>
            </w:r>
          </w:p>
        </w:tc>
        <w:tc>
          <w:tcPr>
            <w:tcW w:w="80" w:type="dxa"/>
            <w:vAlign w:val="bottom"/>
          </w:tcPr>
          <w:p>
            <w:pPr>
              <w:spacing w:after="0"/>
              <w:rPr>
                <w:sz w:val="17"/>
                <w:szCs w:val="17"/>
                <w:color w:val="auto"/>
              </w:rPr>
            </w:pPr>
          </w:p>
        </w:tc>
      </w:tr>
      <w:tr>
        <w:trPr>
          <w:trHeight w:val="196"/>
        </w:trPr>
        <w:tc>
          <w:tcPr>
            <w:tcW w:w="73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440" w:type="dxa"/>
            <w:vAlign w:val="bottom"/>
            <w:tcBorders>
              <w:top w:val="single" w:sz="8" w:color="A6A6A6"/>
              <w:bottom w:val="single" w:sz="8" w:color="A6A6A6"/>
            </w:tcBorders>
          </w:tcPr>
          <w:p>
            <w:pPr>
              <w:spacing w:after="0"/>
              <w:rPr>
                <w:sz w:val="17"/>
                <w:szCs w:val="17"/>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70,502</w:t>
            </w:r>
          </w:p>
        </w:tc>
        <w:tc>
          <w:tcPr>
            <w:tcW w:w="80" w:type="dxa"/>
            <w:vAlign w:val="bottom"/>
          </w:tcPr>
          <w:p>
            <w:pPr>
              <w:spacing w:after="0"/>
              <w:rPr>
                <w:sz w:val="17"/>
                <w:szCs w:val="17"/>
                <w:color w:val="auto"/>
              </w:rPr>
            </w:pPr>
          </w:p>
        </w:tc>
        <w:tc>
          <w:tcPr>
            <w:tcW w:w="1320" w:type="dxa"/>
            <w:vAlign w:val="bottom"/>
            <w:tcBorders>
              <w:top w:val="single" w:sz="8" w:color="A6A6A6"/>
              <w:bottom w:val="single" w:sz="8" w:color="A6A6A6"/>
            </w:tcBorders>
          </w:tcPr>
          <w:p>
            <w:pPr>
              <w:spacing w:after="0"/>
              <w:rPr>
                <w:sz w:val="17"/>
                <w:szCs w:val="17"/>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30,816</w:t>
            </w:r>
          </w:p>
        </w:tc>
        <w:tc>
          <w:tcPr>
            <w:tcW w:w="80" w:type="dxa"/>
            <w:vAlign w:val="bottom"/>
          </w:tcPr>
          <w:p>
            <w:pPr>
              <w:spacing w:after="0"/>
              <w:rPr>
                <w:sz w:val="17"/>
                <w:szCs w:val="17"/>
                <w:color w:val="auto"/>
              </w:rPr>
            </w:pPr>
          </w:p>
        </w:tc>
      </w:tr>
      <w:tr>
        <w:trPr>
          <w:trHeight w:val="196"/>
        </w:trPr>
        <w:tc>
          <w:tcPr>
            <w:tcW w:w="73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44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6,082</w:t>
            </w:r>
          </w:p>
        </w:tc>
        <w:tc>
          <w:tcPr>
            <w:tcW w:w="80" w:type="dxa"/>
            <w:vAlign w:val="bottom"/>
          </w:tcPr>
          <w:p>
            <w:pPr>
              <w:spacing w:after="0"/>
              <w:rPr>
                <w:sz w:val="17"/>
                <w:szCs w:val="17"/>
                <w:color w:val="auto"/>
              </w:rPr>
            </w:pPr>
          </w:p>
        </w:tc>
        <w:tc>
          <w:tcPr>
            <w:tcW w:w="132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8,691</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8" w:name="page9"/>
    <w:bookmarkEnd w:id="8"/>
    <w:p>
      <w:pPr>
        <w:ind w:left="340" w:hanging="332"/>
        <w:spacing w:after="0"/>
        <w:tabs>
          <w:tab w:leader="none" w:pos="3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DISCONTINUED OPERATIONS AND OTHER DISPOSITIONS</w:t>
      </w:r>
    </w:p>
    <w:p>
      <w:pPr>
        <w:spacing w:after="0" w:line="7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Discontinued Operations</w:t>
      </w:r>
    </w:p>
    <w:p>
      <w:pPr>
        <w:spacing w:after="0" w:line="16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On September 18, 2020, we sold our Oil and Gas Proppants business (the Proppants Business) to Smart Sand, Inc., a Delaware corporation (the Purchaser), pursuant to an Equity Purchase and Sale Agreement (the Purchase Agreement) between the Company and the Purchaser. The sale of this business excluded certain assets, namely real property and equipment in south Texas, real property in Illinois, and certain other assets. The purchase price (the Purchase Price) paid by the Purchaser for the acquisition of the Proppants Business was $2.0 million paid in shares of common stock of the Purchaser. Shares representing $0.3 million of the Purchase Price are being held in escrow as a source of recovery for any indemnification claims by the Purchaser. The sale resulted in a gain of approximately $9.2 million.</w:t>
      </w:r>
    </w:p>
    <w:p>
      <w:pPr>
        <w:spacing w:after="0" w:line="96"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color w:val="auto"/>
        </w:rPr>
        <w:t>In connection with the execution of the Purchase Agreement, we also entered into a Loan and Security Agreement, dated September 18, 2020 (the Loan and Security Agreement), by and among the Company, as lender; the Purchaser, as borrower; and other parties thereto. Pursuant to the Loan and Security Agreement, the Company would loan the Purchaser up to $5.0 million for working capital and operating, maintenance, and administrative expenses of the Proppants Business during the one-year period following the closing. At closing, the Company deposited the $5.0 million into an escrow account. There were no borrowings made under the Loan and Security Agreement, which expired on September 18, 2021. Upon expiration, the $5.0 million held in escrow was returned to the Company.</w:t>
      </w:r>
    </w:p>
    <w:p>
      <w:pPr>
        <w:spacing w:after="0" w:line="96"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color w:val="auto"/>
        </w:rPr>
        <w:t>The sale of the Proppants Business, which was previously disclosed as a reportable segment, was determined to meet the discontinued operations accounting criteria. Certain expenses, which were previously included in the Oil and Gas Proppants operating segment, do not qualify for classification within discontinued operations and have been reclassified from the operating segment to continuing operations. These expenses primarily relate to lease agreements not included in the sale of the Proppants Business.</w:t>
      </w:r>
    </w:p>
    <w:p>
      <w:pPr>
        <w:spacing w:after="0" w:line="97"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The following is a summary of operating results included in Earnings (Loss) from Discontinued Operations for the three and nine months ended December 31, 2020.</w:t>
      </w:r>
    </w:p>
    <w:p>
      <w:pPr>
        <w:spacing w:after="0" w:line="169" w:lineRule="exact"/>
        <w:rPr>
          <w:sz w:val="20"/>
          <w:szCs w:val="20"/>
          <w:color w:val="auto"/>
        </w:rPr>
      </w:pPr>
    </w:p>
    <w:tbl>
      <w:tblPr>
        <w:tblLayout w:type="fixed"/>
        <w:tblInd w:w="7180" w:type="dxa"/>
        <w:tblCellMar>
          <w:top w:w="0" w:type="dxa"/>
          <w:left w:w="0" w:type="dxa"/>
          <w:bottom w:w="0" w:type="dxa"/>
          <w:right w:w="0" w:type="dxa"/>
        </w:tblCellMar>
      </w:tblPr>
      <w:tr>
        <w:trPr>
          <w:trHeight w:val="149"/>
        </w:trPr>
        <w:tc>
          <w:tcPr>
            <w:tcW w:w="2160" w:type="dxa"/>
            <w:vAlign w:val="bottom"/>
            <w:shd w:val="clear" w:color="auto" w:fill="004483"/>
          </w:tcPr>
          <w:p>
            <w:pPr>
              <w:jc w:val="right"/>
              <w:ind w:right="237"/>
              <w:spacing w:after="0"/>
              <w:rPr>
                <w:sz w:val="20"/>
                <w:szCs w:val="20"/>
                <w:color w:val="auto"/>
              </w:rPr>
            </w:pPr>
            <w:r>
              <w:rPr>
                <w:rFonts w:ascii="Arial" w:cs="Arial" w:eastAsia="Arial" w:hAnsi="Arial"/>
                <w:sz w:val="13"/>
                <w:szCs w:val="13"/>
                <w:b w:val="1"/>
                <w:bCs w:val="1"/>
                <w:color w:val="FFFFFF"/>
              </w:rPr>
              <w:t>For the Three Months Ended</w:t>
            </w:r>
          </w:p>
        </w:tc>
        <w:tc>
          <w:tcPr>
            <w:tcW w:w="1900" w:type="dxa"/>
            <w:vAlign w:val="bottom"/>
            <w:shd w:val="clear" w:color="auto" w:fill="004483"/>
          </w:tcPr>
          <w:p>
            <w:pPr>
              <w:jc w:val="right"/>
              <w:ind w:right="77"/>
              <w:spacing w:after="0"/>
              <w:rPr>
                <w:sz w:val="20"/>
                <w:szCs w:val="20"/>
                <w:color w:val="auto"/>
              </w:rPr>
            </w:pPr>
            <w:r>
              <w:rPr>
                <w:rFonts w:ascii="Arial" w:cs="Arial" w:eastAsia="Arial" w:hAnsi="Arial"/>
                <w:sz w:val="13"/>
                <w:szCs w:val="13"/>
                <w:b w:val="1"/>
                <w:bCs w:val="1"/>
                <w:color w:val="FFFFFF"/>
              </w:rPr>
              <w:t>For the Nine Months Ended</w:t>
            </w:r>
          </w:p>
        </w:tc>
      </w:tr>
      <w:tr>
        <w:trPr>
          <w:trHeight w:val="162"/>
        </w:trPr>
        <w:tc>
          <w:tcPr>
            <w:tcW w:w="2160" w:type="dxa"/>
            <w:vAlign w:val="bottom"/>
            <w:shd w:val="clear" w:color="auto" w:fill="004483"/>
          </w:tcPr>
          <w:p>
            <w:pPr>
              <w:jc w:val="right"/>
              <w:ind w:right="197"/>
              <w:spacing w:after="0"/>
              <w:rPr>
                <w:sz w:val="20"/>
                <w:szCs w:val="20"/>
                <w:color w:val="auto"/>
              </w:rPr>
            </w:pPr>
            <w:r>
              <w:rPr>
                <w:rFonts w:ascii="Arial" w:cs="Arial" w:eastAsia="Arial" w:hAnsi="Arial"/>
                <w:sz w:val="13"/>
                <w:szCs w:val="13"/>
                <w:b w:val="1"/>
                <w:bCs w:val="1"/>
                <w:color w:val="FFFFFF"/>
              </w:rPr>
              <w:t>December 31,</w:t>
            </w:r>
          </w:p>
        </w:tc>
        <w:tc>
          <w:tcPr>
            <w:tcW w:w="1900" w:type="dxa"/>
            <w:vAlign w:val="bottom"/>
            <w:shd w:val="clear" w:color="auto" w:fill="004483"/>
          </w:tcPr>
          <w:p>
            <w:pPr>
              <w:jc w:val="right"/>
              <w:ind w:right="37"/>
              <w:spacing w:after="0"/>
              <w:rPr>
                <w:sz w:val="20"/>
                <w:szCs w:val="20"/>
                <w:color w:val="auto"/>
              </w:rPr>
            </w:pPr>
            <w:r>
              <w:rPr>
                <w:rFonts w:ascii="Arial" w:cs="Arial" w:eastAsia="Arial" w:hAnsi="Arial"/>
                <w:sz w:val="13"/>
                <w:szCs w:val="13"/>
                <w:b w:val="1"/>
                <w:bCs w:val="1"/>
                <w:color w:val="FFFFFF"/>
              </w:rPr>
              <w:t>December 31,</w:t>
            </w:r>
          </w:p>
        </w:tc>
      </w:tr>
      <w:tr>
        <w:trPr>
          <w:trHeight w:val="144"/>
        </w:trPr>
        <w:tc>
          <w:tcPr>
            <w:tcW w:w="216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2020</w:t>
            </w:r>
          </w:p>
        </w:tc>
        <w:tc>
          <w:tcPr>
            <w:tcW w:w="190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auto"/>
              </w:rPr>
              <w:t>2020</w:t>
            </w:r>
          </w:p>
        </w:tc>
      </w:tr>
    </w:tbl>
    <w:p>
      <w:pPr>
        <w:ind w:left="862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7199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71995" cy="2603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p>
      <w:pPr>
        <w:spacing w:after="0" w:line="34"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4316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4316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4316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Other Non-Operating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4316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004483"/>
        </w:rPr>
        <w:t>Gain on Sale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4316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Earnings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4316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4316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Net Earnings (Loss) from Discontinued Operations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820"/>
              <w:spacing w:after="0"/>
              <w:rPr>
                <w:sz w:val="20"/>
                <w:szCs w:val="20"/>
                <w:color w:val="auto"/>
              </w:rPr>
            </w:pPr>
            <w:r>
              <w:rPr>
                <w:rFonts w:ascii="Arial" w:cs="Arial" w:eastAsia="Arial" w:hAnsi="Arial"/>
                <w:sz w:val="16"/>
                <w:szCs w:val="16"/>
                <w:color w:val="auto"/>
                <w:w w:val="99"/>
              </w:rPr>
              <w:t>—</w:t>
            </w:r>
          </w:p>
        </w:tc>
        <w:tc>
          <w:tcPr>
            <w:tcW w:w="98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1,045</w:t>
            </w:r>
          </w:p>
        </w:tc>
        <w:tc>
          <w:tcPr>
            <w:tcW w:w="80" w:type="dxa"/>
            <w:vAlign w:val="bottom"/>
          </w:tcPr>
          <w:p>
            <w:pPr>
              <w:spacing w:after="0"/>
              <w:rPr>
                <w:sz w:val="17"/>
                <w:szCs w:val="17"/>
                <w:color w:val="auto"/>
              </w:rPr>
            </w:pPr>
          </w:p>
        </w:tc>
      </w:tr>
      <w:tr>
        <w:trPr>
          <w:trHeight w:val="203"/>
        </w:trPr>
        <w:tc>
          <w:tcPr>
            <w:tcW w:w="920" w:type="dxa"/>
            <w:vAlign w:val="bottom"/>
            <w:tcBorders>
              <w:top w:val="single" w:sz="8" w:color="A6A6A6"/>
              <w:bottom w:val="single" w:sz="8" w:color="004483"/>
            </w:tcBorders>
          </w:tcPr>
          <w:p>
            <w:pPr>
              <w:spacing w:after="0"/>
              <w:rPr>
                <w:sz w:val="17"/>
                <w:szCs w:val="17"/>
                <w:color w:val="auto"/>
              </w:rPr>
            </w:pPr>
          </w:p>
        </w:tc>
        <w:tc>
          <w:tcPr>
            <w:tcW w:w="1000" w:type="dxa"/>
            <w:vAlign w:val="bottom"/>
            <w:tcBorders>
              <w:top w:val="single" w:sz="8" w:color="A6A6A6"/>
              <w:bottom w:val="single" w:sz="8" w:color="004483"/>
            </w:tcBorders>
          </w:tcPr>
          <w:p>
            <w:pPr>
              <w:ind w:left="82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740" w:type="dxa"/>
            <w:vAlign w:val="bottom"/>
            <w:tcBorders>
              <w:top w:val="single" w:sz="8" w:color="A6A6A6"/>
              <w:bottom w:val="single" w:sz="8" w:color="004483"/>
            </w:tcBorders>
          </w:tcPr>
          <w:p>
            <w:pPr>
              <w:spacing w:after="0"/>
              <w:rPr>
                <w:sz w:val="17"/>
                <w:szCs w:val="17"/>
                <w:color w:val="auto"/>
              </w:rPr>
            </w:pPr>
          </w:p>
        </w:tc>
        <w:tc>
          <w:tcPr>
            <w:tcW w:w="106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3,415</w:t>
            </w:r>
          </w:p>
        </w:tc>
        <w:tc>
          <w:tcPr>
            <w:tcW w:w="80" w:type="dxa"/>
            <w:vAlign w:val="bottom"/>
          </w:tcPr>
          <w:p>
            <w:pPr>
              <w:spacing w:after="0"/>
              <w:rPr>
                <w:sz w:val="17"/>
                <w:szCs w:val="17"/>
                <w:color w:val="auto"/>
              </w:rPr>
            </w:pPr>
          </w:p>
        </w:tc>
      </w:tr>
      <w:tr>
        <w:trPr>
          <w:trHeight w:val="189"/>
        </w:trPr>
        <w:tc>
          <w:tcPr>
            <w:tcW w:w="920" w:type="dxa"/>
            <w:vAlign w:val="bottom"/>
            <w:tcBorders>
              <w:bottom w:val="single" w:sz="8" w:color="A6A6A6"/>
            </w:tcBorders>
          </w:tcPr>
          <w:p>
            <w:pPr>
              <w:spacing w:after="0"/>
              <w:rPr>
                <w:sz w:val="16"/>
                <w:szCs w:val="16"/>
                <w:color w:val="auto"/>
              </w:rPr>
            </w:pPr>
          </w:p>
        </w:tc>
        <w:tc>
          <w:tcPr>
            <w:tcW w:w="1000" w:type="dxa"/>
            <w:vAlign w:val="bottom"/>
            <w:tcBorders>
              <w:bottom w:val="single" w:sz="8" w:color="A6A6A6"/>
            </w:tcBorders>
          </w:tcPr>
          <w:p>
            <w:pPr>
              <w:ind w:left="8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6"/>
                <w:szCs w:val="16"/>
                <w:color w:val="auto"/>
              </w:rPr>
            </w:pPr>
          </w:p>
        </w:tc>
        <w:tc>
          <w:tcPr>
            <w:tcW w:w="740" w:type="dxa"/>
            <w:vAlign w:val="bottom"/>
            <w:tcBorders>
              <w:bottom w:val="single" w:sz="8" w:color="A6A6A6"/>
            </w:tcBorders>
          </w:tcPr>
          <w:p>
            <w:pPr>
              <w:spacing w:after="0"/>
              <w:rPr>
                <w:sz w:val="16"/>
                <w:szCs w:val="16"/>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(2,370</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92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ind w:left="82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226</w:t>
            </w:r>
          </w:p>
        </w:tc>
        <w:tc>
          <w:tcPr>
            <w:tcW w:w="80" w:type="dxa"/>
            <w:vAlign w:val="bottom"/>
          </w:tcPr>
          <w:p>
            <w:pPr>
              <w:spacing w:after="0"/>
              <w:rPr>
                <w:sz w:val="15"/>
                <w:szCs w:val="15"/>
                <w:color w:val="auto"/>
              </w:rPr>
            </w:pPr>
          </w:p>
        </w:tc>
      </w:tr>
      <w:tr>
        <w:trPr>
          <w:trHeight w:val="203"/>
        </w:trPr>
        <w:tc>
          <w:tcPr>
            <w:tcW w:w="920" w:type="dxa"/>
            <w:vAlign w:val="bottom"/>
            <w:tcBorders>
              <w:bottom w:val="single" w:sz="8" w:color="004483"/>
            </w:tcBorders>
          </w:tcPr>
          <w:p>
            <w:pPr>
              <w:spacing w:after="0"/>
              <w:rPr>
                <w:sz w:val="17"/>
                <w:szCs w:val="17"/>
                <w:color w:val="auto"/>
              </w:rPr>
            </w:pPr>
          </w:p>
        </w:tc>
        <w:tc>
          <w:tcPr>
            <w:tcW w:w="1000" w:type="dxa"/>
            <w:vAlign w:val="bottom"/>
            <w:tcBorders>
              <w:bottom w:val="single" w:sz="8" w:color="004483"/>
            </w:tcBorders>
          </w:tcPr>
          <w:p>
            <w:pPr>
              <w:ind w:left="82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740" w:type="dxa"/>
            <w:vAlign w:val="bottom"/>
            <w:tcBorders>
              <w:bottom w:val="single" w:sz="8" w:color="004483"/>
            </w:tcBorders>
          </w:tcPr>
          <w:p>
            <w:pPr>
              <w:spacing w:after="0"/>
              <w:rPr>
                <w:sz w:val="17"/>
                <w:szCs w:val="17"/>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9,230</w:t>
            </w:r>
          </w:p>
        </w:tc>
        <w:tc>
          <w:tcPr>
            <w:tcW w:w="80" w:type="dxa"/>
            <w:vAlign w:val="bottom"/>
          </w:tcPr>
          <w:p>
            <w:pPr>
              <w:spacing w:after="0"/>
              <w:rPr>
                <w:sz w:val="17"/>
                <w:szCs w:val="17"/>
                <w:color w:val="auto"/>
              </w:rPr>
            </w:pPr>
          </w:p>
        </w:tc>
      </w:tr>
      <w:tr>
        <w:trPr>
          <w:trHeight w:val="189"/>
        </w:trPr>
        <w:tc>
          <w:tcPr>
            <w:tcW w:w="920" w:type="dxa"/>
            <w:vAlign w:val="bottom"/>
            <w:tcBorders>
              <w:bottom w:val="single" w:sz="8" w:color="A6A6A6"/>
            </w:tcBorders>
          </w:tcPr>
          <w:p>
            <w:pPr>
              <w:spacing w:after="0"/>
              <w:rPr>
                <w:sz w:val="16"/>
                <w:szCs w:val="16"/>
                <w:color w:val="auto"/>
              </w:rPr>
            </w:pPr>
          </w:p>
        </w:tc>
        <w:tc>
          <w:tcPr>
            <w:tcW w:w="1000" w:type="dxa"/>
            <w:vAlign w:val="bottom"/>
            <w:tcBorders>
              <w:bottom w:val="single" w:sz="8" w:color="A6A6A6"/>
            </w:tcBorders>
          </w:tcPr>
          <w:p>
            <w:pPr>
              <w:ind w:left="8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6"/>
                <w:szCs w:val="16"/>
                <w:color w:val="auto"/>
              </w:rPr>
            </w:pPr>
          </w:p>
        </w:tc>
        <w:tc>
          <w:tcPr>
            <w:tcW w:w="740" w:type="dxa"/>
            <w:vAlign w:val="bottom"/>
            <w:tcBorders>
              <w:bottom w:val="single" w:sz="8" w:color="A6A6A6"/>
            </w:tcBorders>
          </w:tcPr>
          <w:p>
            <w:pPr>
              <w:spacing w:after="0"/>
              <w:rPr>
                <w:sz w:val="16"/>
                <w:szCs w:val="16"/>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7,086</w:t>
            </w:r>
          </w:p>
        </w:tc>
        <w:tc>
          <w:tcPr>
            <w:tcW w:w="80" w:type="dxa"/>
            <w:vAlign w:val="bottom"/>
          </w:tcPr>
          <w:p>
            <w:pPr>
              <w:spacing w:after="0"/>
              <w:rPr>
                <w:sz w:val="16"/>
                <w:szCs w:val="16"/>
                <w:color w:val="auto"/>
              </w:rPr>
            </w:pPr>
          </w:p>
        </w:tc>
      </w:tr>
      <w:tr>
        <w:trPr>
          <w:trHeight w:val="203"/>
        </w:trPr>
        <w:tc>
          <w:tcPr>
            <w:tcW w:w="920" w:type="dxa"/>
            <w:vAlign w:val="bottom"/>
            <w:tcBorders>
              <w:bottom w:val="single" w:sz="8" w:color="17385E"/>
            </w:tcBorders>
          </w:tcPr>
          <w:p>
            <w:pPr>
              <w:spacing w:after="0"/>
              <w:rPr>
                <w:sz w:val="17"/>
                <w:szCs w:val="17"/>
                <w:color w:val="auto"/>
              </w:rPr>
            </w:pPr>
          </w:p>
        </w:tc>
        <w:tc>
          <w:tcPr>
            <w:tcW w:w="1000" w:type="dxa"/>
            <w:vAlign w:val="bottom"/>
            <w:tcBorders>
              <w:bottom w:val="single" w:sz="8" w:color="17385E"/>
            </w:tcBorders>
          </w:tcPr>
          <w:p>
            <w:pPr>
              <w:ind w:left="820"/>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740" w:type="dxa"/>
            <w:vAlign w:val="bottom"/>
            <w:tcBorders>
              <w:bottom w:val="single" w:sz="8" w:color="17385E"/>
            </w:tcBorders>
          </w:tcPr>
          <w:p>
            <w:pPr>
              <w:spacing w:after="0"/>
              <w:rPr>
                <w:sz w:val="17"/>
                <w:szCs w:val="17"/>
                <w:color w:val="auto"/>
              </w:rPr>
            </w:pPr>
          </w:p>
        </w:tc>
        <w:tc>
          <w:tcPr>
            <w:tcW w:w="1060" w:type="dxa"/>
            <w:vAlign w:val="bottom"/>
            <w:tcBorders>
              <w:bottom w:val="single" w:sz="8" w:color="17385E"/>
            </w:tcBorders>
          </w:tcPr>
          <w:p>
            <w:pPr>
              <w:jc w:val="right"/>
              <w:spacing w:after="0" w:line="183" w:lineRule="exact"/>
              <w:rPr>
                <w:sz w:val="20"/>
                <w:szCs w:val="20"/>
                <w:color w:val="auto"/>
              </w:rPr>
            </w:pPr>
            <w:r>
              <w:rPr>
                <w:rFonts w:ascii="Arial" w:cs="Arial" w:eastAsia="Arial" w:hAnsi="Arial"/>
                <w:sz w:val="16"/>
                <w:szCs w:val="16"/>
                <w:color w:val="auto"/>
              </w:rPr>
              <w:t>(1,808</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9"/>
        </w:trPr>
        <w:tc>
          <w:tcPr>
            <w:tcW w:w="920" w:type="dxa"/>
            <w:vAlign w:val="bottom"/>
            <w:tcBorders>
              <w:bottom w:val="single" w:sz="8" w:color="17385E"/>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17385E"/>
            </w:tcBorders>
          </w:tcPr>
          <w:p>
            <w:pPr>
              <w:ind w:left="820"/>
              <w:spacing w:after="0"/>
              <w:rPr>
                <w:sz w:val="20"/>
                <w:szCs w:val="20"/>
                <w:color w:val="auto"/>
              </w:rPr>
            </w:pPr>
            <w:r>
              <w:rPr>
                <w:rFonts w:ascii="Arial" w:cs="Arial" w:eastAsia="Arial" w:hAnsi="Arial"/>
                <w:sz w:val="16"/>
                <w:szCs w:val="16"/>
                <w:b w:val="1"/>
                <w:bCs w:val="1"/>
                <w:color w:val="auto"/>
                <w:w w:val="99"/>
              </w:rPr>
              <w:t>—</w:t>
            </w:r>
          </w:p>
        </w:tc>
        <w:tc>
          <w:tcPr>
            <w:tcW w:w="240" w:type="dxa"/>
            <w:vAlign w:val="bottom"/>
          </w:tcPr>
          <w:p>
            <w:pPr>
              <w:spacing w:after="0"/>
              <w:rPr>
                <w:sz w:val="16"/>
                <w:szCs w:val="16"/>
                <w:color w:val="auto"/>
              </w:rPr>
            </w:pPr>
          </w:p>
        </w:tc>
        <w:tc>
          <w:tcPr>
            <w:tcW w:w="740" w:type="dxa"/>
            <w:vAlign w:val="bottom"/>
            <w:tcBorders>
              <w:bottom w:val="single" w:sz="8" w:color="17385E"/>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17385E"/>
            </w:tcBorders>
          </w:tcPr>
          <w:p>
            <w:pPr>
              <w:jc w:val="right"/>
              <w:spacing w:after="0"/>
              <w:rPr>
                <w:sz w:val="20"/>
                <w:szCs w:val="20"/>
                <w:color w:val="auto"/>
              </w:rPr>
            </w:pPr>
            <w:r>
              <w:rPr>
                <w:rFonts w:ascii="Arial" w:cs="Arial" w:eastAsia="Arial" w:hAnsi="Arial"/>
                <w:sz w:val="16"/>
                <w:szCs w:val="16"/>
                <w:b w:val="1"/>
                <w:bCs w:val="1"/>
                <w:color w:val="auto"/>
              </w:rPr>
              <w:t>5,278</w:t>
            </w:r>
          </w:p>
        </w:tc>
        <w:tc>
          <w:tcPr>
            <w:tcW w:w="80" w:type="dxa"/>
            <w:vAlign w:val="bottom"/>
          </w:tcPr>
          <w:p>
            <w:pPr>
              <w:spacing w:after="0"/>
              <w:rPr>
                <w:sz w:val="16"/>
                <w:szCs w:val="16"/>
                <w:color w:val="auto"/>
              </w:rPr>
            </w:pPr>
          </w:p>
        </w:tc>
      </w:tr>
      <w:tr>
        <w:trPr>
          <w:trHeight w:val="20"/>
        </w:trPr>
        <w:tc>
          <w:tcPr>
            <w:tcW w:w="920" w:type="dxa"/>
            <w:vAlign w:val="bottom"/>
            <w:tcBorders>
              <w:bottom w:val="single" w:sz="8" w:color="17385E"/>
            </w:tcBorders>
          </w:tcPr>
          <w:p>
            <w:pPr>
              <w:spacing w:after="0" w:line="20" w:lineRule="exact"/>
              <w:rPr>
                <w:sz w:val="1"/>
                <w:szCs w:val="1"/>
                <w:color w:val="auto"/>
              </w:rPr>
            </w:pPr>
          </w:p>
        </w:tc>
        <w:tc>
          <w:tcPr>
            <w:tcW w:w="1000" w:type="dxa"/>
            <w:vAlign w:val="bottom"/>
            <w:tcBorders>
              <w:bottom w:val="single" w:sz="8" w:color="17385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17385E"/>
            </w:tcBorders>
          </w:tcPr>
          <w:p>
            <w:pPr>
              <w:spacing w:after="0" w:line="20" w:lineRule="exact"/>
              <w:rPr>
                <w:sz w:val="1"/>
                <w:szCs w:val="1"/>
                <w:color w:val="auto"/>
              </w:rPr>
            </w:pPr>
          </w:p>
        </w:tc>
        <w:tc>
          <w:tcPr>
            <w:tcW w:w="1060" w:type="dxa"/>
            <w:vAlign w:val="bottom"/>
            <w:tcBorders>
              <w:bottom w:val="single" w:sz="8" w:color="17385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060"/>
          </w:cols>
          <w:pgMar w:left="320" w:top="247" w:right="339" w:bottom="1440" w:gutter="0" w:footer="0" w:header="0"/>
          <w:type w:val="continuous"/>
        </w:sectPr>
      </w:pPr>
    </w:p>
    <w:p>
      <w:pPr>
        <w:spacing w:after="0" w:line="2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 significant components of our Consolidated Statements of Cash Flows for discontinued operations for the nine months ended December 31, 2020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440" w:type="dxa"/>
            <w:vAlign w:val="bottom"/>
            <w:shd w:val="clear" w:color="auto" w:fill="004483"/>
          </w:tcPr>
          <w:p>
            <w:pPr>
              <w:spacing w:after="0"/>
              <w:rPr>
                <w:sz w:val="12"/>
                <w:szCs w:val="12"/>
                <w:color w:val="auto"/>
              </w:rPr>
            </w:pPr>
          </w:p>
        </w:tc>
        <w:tc>
          <w:tcPr>
            <w:tcW w:w="2320" w:type="dxa"/>
            <w:vAlign w:val="bottom"/>
            <w:gridSpan w:val="2"/>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For the Nine Months Ended</w:t>
            </w:r>
          </w:p>
        </w:tc>
      </w:tr>
      <w:tr>
        <w:trPr>
          <w:trHeight w:val="162"/>
        </w:trPr>
        <w:tc>
          <w:tcPr>
            <w:tcW w:w="848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2320" w:type="dxa"/>
            <w:vAlign w:val="bottom"/>
            <w:gridSpan w:val="2"/>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December 31, 2020</w:t>
            </w:r>
          </w:p>
        </w:tc>
      </w:tr>
      <w:tr>
        <w:trPr>
          <w:trHeight w:val="169"/>
        </w:trPr>
        <w:tc>
          <w:tcPr>
            <w:tcW w:w="8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2"/>
          </w:tcPr>
          <w:p>
            <w:pPr>
              <w:jc w:val="right"/>
              <w:ind w:right="799"/>
              <w:spacing w:after="0"/>
              <w:rPr>
                <w:sz w:val="20"/>
                <w:szCs w:val="20"/>
                <w:color w:val="auto"/>
              </w:rPr>
            </w:pPr>
            <w:r>
              <w:rPr>
                <w:rFonts w:ascii="Arial" w:cs="Arial" w:eastAsia="Arial" w:hAnsi="Arial"/>
                <w:sz w:val="13"/>
                <w:szCs w:val="13"/>
                <w:color w:val="auto"/>
              </w:rPr>
              <w:t>(dollars in thousands)</w:t>
            </w:r>
          </w:p>
        </w:tc>
      </w:tr>
      <w:tr>
        <w:trPr>
          <w:trHeight w:val="189"/>
        </w:trPr>
        <w:tc>
          <w:tcPr>
            <w:tcW w:w="848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004483"/>
              </w:rPr>
              <w:t>Depreciation and Amortization</w:t>
            </w:r>
          </w:p>
        </w:tc>
        <w:tc>
          <w:tcPr>
            <w:tcW w:w="440" w:type="dxa"/>
            <w:vAlign w:val="bottom"/>
            <w:tcBorders>
              <w:top w:val="single" w:sz="8" w:color="004483"/>
              <w:bottom w:val="single" w:sz="8" w:color="A6A6A6"/>
            </w:tcBorders>
          </w:tcPr>
          <w:p>
            <w:pPr>
              <w:jc w:val="right"/>
              <w:ind w:right="259"/>
              <w:spacing w:after="0"/>
              <w:rPr>
                <w:sz w:val="20"/>
                <w:szCs w:val="20"/>
                <w:color w:val="auto"/>
              </w:rPr>
            </w:pPr>
            <w:r>
              <w:rPr>
                <w:rFonts w:ascii="Arial" w:cs="Arial" w:eastAsia="Arial" w:hAnsi="Arial"/>
                <w:sz w:val="16"/>
                <w:szCs w:val="16"/>
                <w:color w:val="auto"/>
                <w:w w:val="89"/>
              </w:rPr>
              <w:t>$</w:t>
            </w:r>
          </w:p>
        </w:tc>
        <w:tc>
          <w:tcPr>
            <w:tcW w:w="22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6"/>
                <w:szCs w:val="16"/>
                <w:color w:val="auto"/>
              </w:rPr>
            </w:pPr>
          </w:p>
        </w:tc>
      </w:tr>
      <w:tr>
        <w:trPr>
          <w:trHeight w:val="183"/>
        </w:trPr>
        <w:tc>
          <w:tcPr>
            <w:tcW w:w="8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Gain on Sale</w:t>
            </w:r>
          </w:p>
        </w:tc>
        <w:tc>
          <w:tcPr>
            <w:tcW w:w="440" w:type="dxa"/>
            <w:vAlign w:val="bottom"/>
            <w:tcBorders>
              <w:bottom w:val="single" w:sz="8" w:color="A6A6A6"/>
            </w:tcBorders>
          </w:tcPr>
          <w:p>
            <w:pPr>
              <w:spacing w:after="0"/>
              <w:rPr>
                <w:sz w:val="15"/>
                <w:szCs w:val="15"/>
                <w:color w:val="auto"/>
              </w:rPr>
            </w:pPr>
          </w:p>
        </w:tc>
        <w:tc>
          <w:tcPr>
            <w:tcW w:w="2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(9,230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8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Net Change in Inventory</w:t>
            </w:r>
          </w:p>
        </w:tc>
        <w:tc>
          <w:tcPr>
            <w:tcW w:w="440" w:type="dxa"/>
            <w:vAlign w:val="bottom"/>
            <w:tcBorders>
              <w:bottom w:val="single" w:sz="8" w:color="A6A6A6"/>
            </w:tcBorders>
          </w:tcPr>
          <w:p>
            <w:pPr>
              <w:spacing w:after="0"/>
              <w:rPr>
                <w:sz w:val="15"/>
                <w:szCs w:val="15"/>
                <w:color w:val="auto"/>
              </w:rPr>
            </w:pPr>
          </w:p>
        </w:tc>
        <w:tc>
          <w:tcPr>
            <w:tcW w:w="2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183"/>
        </w:trPr>
        <w:tc>
          <w:tcPr>
            <w:tcW w:w="8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Capital Expenditures</w:t>
            </w:r>
          </w:p>
        </w:tc>
        <w:tc>
          <w:tcPr>
            <w:tcW w:w="440" w:type="dxa"/>
            <w:vAlign w:val="bottom"/>
            <w:tcBorders>
              <w:bottom w:val="single" w:sz="8" w:color="A6A6A6"/>
            </w:tcBorders>
          </w:tcPr>
          <w:p>
            <w:pPr>
              <w:spacing w:after="0"/>
              <w:rPr>
                <w:sz w:val="15"/>
                <w:szCs w:val="15"/>
                <w:color w:val="auto"/>
              </w:rPr>
            </w:pPr>
          </w:p>
        </w:tc>
        <w:tc>
          <w:tcPr>
            <w:tcW w:w="2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auto"/>
        </w:rPr>
        <w:t>Other Dispositions</w:t>
      </w:r>
    </w:p>
    <w:p>
      <w:pPr>
        <w:spacing w:after="0" w:line="162"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On April 17, 2020, we sold our Western Aggregates LLC (Western) and Mathews Readymix LLC (Mathews) businesses to Teichert, Inc. (the Purchaser) for an aggregate purchase price of approximately $93.5 million, subject to certain post-closing adjustments. This sale resulted in a gain of approximately $52.0 million at the time of the sale. Western and Mathews were part of our Concrete and Aggregates operating segment, and their results of operations were included in our financial statements for the period from April 1, 2020 through April 17, 2020.</w:t>
      </w:r>
    </w:p>
    <w:p>
      <w:pPr>
        <w:spacing w:after="0" w:line="80"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Revenue and Operating Earnings from Western and Mathews, collectively, were approximately $1.7 million and $0.1 million, respectively, for the nine months ended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148"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cement, concrete, aggregates, and gypsum wallboard are originated by purchase orders from our customers, who are primarily third-party contractors and suppliers. Revenue from our Recycled Paperboard segment is generated mainly through long-term supply agreements that mature between 2023 and 2025. We invoice customers upon shipment, and our collection terms range from 30-75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101"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97"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148"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Accounts Receivable have been shown net of the allowance for doubtful accounts of $6.6 million and $8.1 million at December 31, 2021 and March 31, 2021,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98"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We had Notes Receivable totaling approximately $8.5 million at December 31, 2021, none of which was classified as current. We lend funds to certain companies in the ordinary course of business, and the notes bear interest, on average, at 3.1%. Remaining unpaid amounts, plus accrued interest, mature in fiscal 2025. The notes are collateralized by certain assets of the borrowers, namely property and equipment, and are generally payable monthly. We monitor the credit risk of each borrower by assessing the timeliness of payments, credit history, credit metrics, and our ongoing interactions with each borrower.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34"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40" w:type="dxa"/>
            <w:vAlign w:val="bottom"/>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112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100" w:type="dxa"/>
            <w:vAlign w:val="bottom"/>
            <w:shd w:val="clear" w:color="auto" w:fill="004483"/>
          </w:tcPr>
          <w:p>
            <w:pPr>
              <w:spacing w:after="0"/>
              <w:rPr>
                <w:sz w:val="13"/>
                <w:szCs w:val="13"/>
                <w:color w:val="auto"/>
              </w:rPr>
            </w:pPr>
          </w:p>
        </w:tc>
        <w:tc>
          <w:tcPr>
            <w:tcW w:w="20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1000" w:type="dxa"/>
            <w:vAlign w:val="bottom"/>
            <w:gridSpan w:val="2"/>
            <w:shd w:val="clear" w:color="auto" w:fill="004483"/>
          </w:tcPr>
          <w:p>
            <w:pPr>
              <w:ind w:left="32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34"/>
        </w:trPr>
        <w:tc>
          <w:tcPr>
            <w:tcW w:w="7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2120" w:type="dxa"/>
            <w:vAlign w:val="bottom"/>
            <w:tcBorders>
              <w:bottom w:val="single" w:sz="8" w:color="004483"/>
            </w:tcBorders>
            <w:gridSpan w:val="4"/>
          </w:tcPr>
          <w:p>
            <w:pPr>
              <w:jc w:val="right"/>
              <w:ind w:right="239"/>
              <w:spacing w:after="0"/>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63,068</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92,696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Finished Cement</w:t>
            </w:r>
          </w:p>
        </w:tc>
        <w:tc>
          <w:tcPr>
            <w:tcW w:w="48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32,010</w:t>
            </w:r>
          </w:p>
        </w:tc>
        <w:tc>
          <w:tcPr>
            <w:tcW w:w="100" w:type="dxa"/>
            <w:vAlign w:val="bottom"/>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34,362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Aggregates</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3,669</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Gypsum Wallboard</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6,183</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Paperboard</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7,271</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Repair Parts and Supplies</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90,549</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86,750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color w:val="004483"/>
              </w:rPr>
              <w:t>Fuel and Coal</w:t>
            </w:r>
          </w:p>
        </w:tc>
        <w:tc>
          <w:tcPr>
            <w:tcW w:w="4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9,228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9,800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40" w:type="dxa"/>
            <w:vAlign w:val="bottom"/>
            <w:tcBorders>
              <w:bottom w:val="single" w:sz="8" w:color="A6A6A6"/>
            </w:tcBorders>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40" w:type="dxa"/>
            <w:vAlign w:val="bottom"/>
          </w:tcPr>
          <w:p>
            <w:pPr>
              <w:spacing w:after="0"/>
              <w:rPr>
                <w:sz w:val="15"/>
                <w:szCs w:val="15"/>
                <w:color w:val="auto"/>
              </w:rPr>
            </w:pPr>
          </w:p>
        </w:tc>
        <w:tc>
          <w:tcPr>
            <w:tcW w:w="480" w:type="dxa"/>
            <w:vAlign w:val="bottom"/>
            <w:tcBorders>
              <w:bottom w:val="single" w:sz="8" w:color="004483"/>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211,978</w:t>
            </w: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235,749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ACCRUED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40" w:type="dxa"/>
            <w:vAlign w:val="bottom"/>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112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100" w:type="dxa"/>
            <w:vAlign w:val="bottom"/>
            <w:shd w:val="clear" w:color="auto" w:fill="004483"/>
          </w:tcPr>
          <w:p>
            <w:pPr>
              <w:spacing w:after="0"/>
              <w:rPr>
                <w:sz w:val="13"/>
                <w:szCs w:val="13"/>
                <w:color w:val="auto"/>
              </w:rPr>
            </w:pPr>
          </w:p>
        </w:tc>
        <w:tc>
          <w:tcPr>
            <w:tcW w:w="20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1000" w:type="dxa"/>
            <w:vAlign w:val="bottom"/>
            <w:gridSpan w:val="2"/>
            <w:shd w:val="clear" w:color="auto" w:fill="004483"/>
          </w:tcPr>
          <w:p>
            <w:pPr>
              <w:ind w:left="32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34"/>
        </w:trPr>
        <w:tc>
          <w:tcPr>
            <w:tcW w:w="7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2120" w:type="dxa"/>
            <w:vAlign w:val="bottom"/>
            <w:tcBorders>
              <w:bottom w:val="single" w:sz="8" w:color="004483"/>
            </w:tcBorders>
            <w:gridSpan w:val="4"/>
          </w:tcPr>
          <w:p>
            <w:pPr>
              <w:jc w:val="right"/>
              <w:ind w:right="239"/>
              <w:spacing w:after="0"/>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004483"/>
              </w:rPr>
              <w:t>Payroll and Incentive Compensation</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32,737</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32,336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Benefits</w:t>
            </w:r>
          </w:p>
        </w:tc>
        <w:tc>
          <w:tcPr>
            <w:tcW w:w="48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18,264</w:t>
            </w:r>
          </w:p>
        </w:tc>
        <w:tc>
          <w:tcPr>
            <w:tcW w:w="100" w:type="dxa"/>
            <w:vAlign w:val="bottom"/>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14,979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9,678</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Property Taxes</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6,987</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Power and Fuel</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2,864</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3,110</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Legal and Professional</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5,257</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and Use Tax</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1,237</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color w:val="004483"/>
              </w:rPr>
              <w:t>Other</w:t>
            </w:r>
          </w:p>
        </w:tc>
        <w:tc>
          <w:tcPr>
            <w:tcW w:w="4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7,072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7,052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40" w:type="dxa"/>
            <w:vAlign w:val="bottom"/>
            <w:tcBorders>
              <w:bottom w:val="single" w:sz="8" w:color="A6A6A6"/>
            </w:tcBorders>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40" w:type="dxa"/>
            <w:vAlign w:val="bottom"/>
          </w:tcPr>
          <w:p>
            <w:pPr>
              <w:spacing w:after="0"/>
              <w:rPr>
                <w:sz w:val="15"/>
                <w:szCs w:val="15"/>
                <w:color w:val="auto"/>
              </w:rPr>
            </w:pPr>
          </w:p>
        </w:tc>
        <w:tc>
          <w:tcPr>
            <w:tcW w:w="480" w:type="dxa"/>
            <w:vAlign w:val="bottom"/>
            <w:tcBorders>
              <w:bottom w:val="single" w:sz="8" w:color="004483"/>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87,206</w:t>
            </w: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78,840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(H) LEASES</w:t>
      </w:r>
    </w:p>
    <w:p>
      <w:pPr>
        <w:spacing w:after="0" w:line="134"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which are not recorded on the balance sheet.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80" w:type="dxa"/>
            <w:vAlign w:val="bottom"/>
            <w:shd w:val="clear" w:color="auto" w:fill="004483"/>
          </w:tcPr>
          <w:p>
            <w:pPr>
              <w:spacing w:after="0"/>
              <w:rPr>
                <w:sz w:val="17"/>
                <w:szCs w:val="17"/>
                <w:color w:val="auto"/>
              </w:rPr>
            </w:pPr>
          </w:p>
        </w:tc>
        <w:tc>
          <w:tcPr>
            <w:tcW w:w="2780" w:type="dxa"/>
            <w:vAlign w:val="bottom"/>
            <w:gridSpan w:val="6"/>
            <w:shd w:val="clear" w:color="auto" w:fill="004483"/>
          </w:tcPr>
          <w:p>
            <w:pPr>
              <w:ind w:left="80"/>
              <w:spacing w:after="0"/>
              <w:rPr>
                <w:sz w:val="20"/>
                <w:szCs w:val="20"/>
                <w:color w:val="auto"/>
              </w:rPr>
            </w:pPr>
            <w:r>
              <w:rPr>
                <w:rFonts w:ascii="Arial" w:cs="Arial" w:eastAsia="Arial" w:hAnsi="Arial"/>
                <w:sz w:val="13"/>
                <w:szCs w:val="13"/>
                <w:b w:val="1"/>
                <w:bCs w:val="1"/>
                <w:color w:val="FFFFFF"/>
              </w:rPr>
              <w:t>For the Three Months Ended December 31,</w:t>
            </w:r>
          </w:p>
        </w:tc>
        <w:tc>
          <w:tcPr>
            <w:tcW w:w="140" w:type="dxa"/>
            <w:vAlign w:val="bottom"/>
          </w:tcPr>
          <w:p>
            <w:pPr>
              <w:spacing w:after="0"/>
              <w:rPr>
                <w:sz w:val="17"/>
                <w:szCs w:val="17"/>
                <w:color w:val="auto"/>
              </w:rPr>
            </w:pPr>
          </w:p>
        </w:tc>
        <w:tc>
          <w:tcPr>
            <w:tcW w:w="180" w:type="dxa"/>
            <w:vAlign w:val="bottom"/>
            <w:shd w:val="clear" w:color="auto" w:fill="004483"/>
          </w:tcPr>
          <w:p>
            <w:pPr>
              <w:spacing w:after="0"/>
              <w:rPr>
                <w:sz w:val="17"/>
                <w:szCs w:val="17"/>
                <w:color w:val="auto"/>
              </w:rPr>
            </w:pPr>
          </w:p>
        </w:tc>
        <w:tc>
          <w:tcPr>
            <w:tcW w:w="2740" w:type="dxa"/>
            <w:vAlign w:val="bottom"/>
            <w:gridSpan w:val="6"/>
            <w:shd w:val="clear" w:color="auto" w:fill="004483"/>
          </w:tcPr>
          <w:p>
            <w:pPr>
              <w:ind w:left="80"/>
              <w:spacing w:after="0"/>
              <w:rPr>
                <w:sz w:val="20"/>
                <w:szCs w:val="20"/>
                <w:color w:val="auto"/>
              </w:rPr>
            </w:pPr>
            <w:r>
              <w:rPr>
                <w:rFonts w:ascii="Arial" w:cs="Arial" w:eastAsia="Arial" w:hAnsi="Arial"/>
                <w:sz w:val="13"/>
                <w:szCs w:val="13"/>
                <w:b w:val="1"/>
                <w:bCs w:val="1"/>
                <w:color w:val="FFFFFF"/>
              </w:rPr>
              <w:t>For the Nine Months Ended December 31,</w:t>
            </w:r>
          </w:p>
        </w:tc>
      </w:tr>
      <w:tr>
        <w:trPr>
          <w:trHeight w:val="161"/>
        </w:trPr>
        <w:tc>
          <w:tcPr>
            <w:tcW w:w="5220" w:type="dxa"/>
            <w:vAlign w:val="bottom"/>
          </w:tcPr>
          <w:p>
            <w:pPr>
              <w:spacing w:after="0"/>
              <w:rPr>
                <w:sz w:val="14"/>
                <w:szCs w:val="14"/>
                <w:color w:val="auto"/>
              </w:rPr>
            </w:pPr>
          </w:p>
        </w:tc>
        <w:tc>
          <w:tcPr>
            <w:tcW w:w="180" w:type="dxa"/>
            <w:vAlign w:val="bottom"/>
            <w:tcBorders>
              <w:top w:val="single" w:sz="8" w:color="A6A6A6"/>
            </w:tcBorders>
          </w:tcPr>
          <w:p>
            <w:pPr>
              <w:spacing w:after="0"/>
              <w:rPr>
                <w:sz w:val="14"/>
                <w:szCs w:val="14"/>
                <w:color w:val="auto"/>
              </w:rPr>
            </w:pPr>
          </w:p>
        </w:tc>
        <w:tc>
          <w:tcPr>
            <w:tcW w:w="114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6A6A6"/>
            </w:tcBorders>
          </w:tcPr>
          <w:p>
            <w:pPr>
              <w:spacing w:after="0"/>
              <w:rPr>
                <w:sz w:val="14"/>
                <w:szCs w:val="14"/>
                <w:color w:val="auto"/>
              </w:rPr>
            </w:pPr>
          </w:p>
        </w:tc>
        <w:tc>
          <w:tcPr>
            <w:tcW w:w="110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r>
      <w:tr>
        <w:trPr>
          <w:trHeight w:val="183"/>
        </w:trPr>
        <w:tc>
          <w:tcPr>
            <w:tcW w:w="52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2340" w:type="dxa"/>
            <w:vAlign w:val="bottom"/>
            <w:tcBorders>
              <w:bottom w:val="single" w:sz="8" w:color="004483"/>
            </w:tcBorders>
            <w:gridSpan w:val="5"/>
          </w:tcPr>
          <w:p>
            <w:pPr>
              <w:jc w:val="right"/>
              <w:ind w:right="806"/>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1,512</w:t>
            </w:r>
          </w:p>
        </w:tc>
        <w:tc>
          <w:tcPr>
            <w:tcW w:w="720" w:type="dxa"/>
            <w:vAlign w:val="bottom"/>
            <w:gridSpan w:val="3"/>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7"/>
                <w:szCs w:val="17"/>
                <w:color w:val="auto"/>
              </w:rPr>
            </w:pP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4,592</w:t>
            </w:r>
          </w:p>
        </w:tc>
        <w:tc>
          <w:tcPr>
            <w:tcW w:w="740" w:type="dxa"/>
            <w:vAlign w:val="bottom"/>
            <w:gridSpan w:val="3"/>
          </w:tcPr>
          <w:p>
            <w:pPr>
              <w:jc w:val="right"/>
              <w:ind w:right="3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5,205</w:t>
            </w:r>
          </w:p>
        </w:tc>
        <w:tc>
          <w:tcPr>
            <w:tcW w:w="100" w:type="dxa"/>
            <w:vAlign w:val="bottom"/>
          </w:tcPr>
          <w:p>
            <w:pPr>
              <w:spacing w:after="0"/>
              <w:rPr>
                <w:sz w:val="17"/>
                <w:szCs w:val="17"/>
                <w:color w:val="auto"/>
              </w:rPr>
            </w:pPr>
          </w:p>
        </w:tc>
      </w:tr>
      <w:tr>
        <w:trPr>
          <w:trHeight w:val="209"/>
        </w:trPr>
        <w:tc>
          <w:tcPr>
            <w:tcW w:w="522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Short-term Lease Cost</w:t>
            </w:r>
          </w:p>
        </w:tc>
        <w:tc>
          <w:tcPr>
            <w:tcW w:w="180" w:type="dxa"/>
            <w:vAlign w:val="bottom"/>
            <w:tcBorders>
              <w:top w:val="single" w:sz="8" w:color="A6A6A6"/>
              <w:bottom w:val="single" w:sz="8" w:color="004483"/>
            </w:tcBorders>
          </w:tcPr>
          <w:p>
            <w:pPr>
              <w:spacing w:after="0"/>
              <w:rPr>
                <w:sz w:val="18"/>
                <w:szCs w:val="18"/>
                <w:color w:val="auto"/>
              </w:rPr>
            </w:pPr>
          </w:p>
        </w:tc>
        <w:tc>
          <w:tcPr>
            <w:tcW w:w="114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80" w:type="dxa"/>
            <w:vAlign w:val="bottom"/>
            <w:tcBorders>
              <w:top w:val="single" w:sz="8" w:color="A6A6A6"/>
              <w:bottom w:val="single" w:sz="8" w:color="004483"/>
            </w:tcBorders>
          </w:tcPr>
          <w:p>
            <w:pPr>
              <w:spacing w:after="0"/>
              <w:rPr>
                <w:sz w:val="18"/>
                <w:szCs w:val="18"/>
                <w:color w:val="auto"/>
              </w:rPr>
            </w:pPr>
          </w:p>
        </w:tc>
        <w:tc>
          <w:tcPr>
            <w:tcW w:w="82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004483"/>
            </w:tcBorders>
          </w:tcPr>
          <w:p>
            <w:pPr>
              <w:spacing w:after="0"/>
              <w:rPr>
                <w:sz w:val="18"/>
                <w:szCs w:val="18"/>
                <w:color w:val="auto"/>
              </w:rPr>
            </w:pPr>
          </w:p>
        </w:tc>
        <w:tc>
          <w:tcPr>
            <w:tcW w:w="110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1,044</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00" w:type="dxa"/>
            <w:vAlign w:val="bottom"/>
            <w:tcBorders>
              <w:top w:val="single" w:sz="8" w:color="A6A6A6"/>
              <w:bottom w:val="single" w:sz="8" w:color="004483"/>
            </w:tcBorders>
          </w:tcPr>
          <w:p>
            <w:pPr>
              <w:spacing w:after="0"/>
              <w:rPr>
                <w:sz w:val="18"/>
                <w:szCs w:val="18"/>
                <w:color w:val="auto"/>
              </w:rPr>
            </w:pPr>
          </w:p>
        </w:tc>
        <w:tc>
          <w:tcPr>
            <w:tcW w:w="80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r>
      <w:tr>
        <w:trPr>
          <w:trHeight w:val="196"/>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5,636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7,230</w:t>
            </w:r>
          </w:p>
        </w:tc>
        <w:tc>
          <w:tcPr>
            <w:tcW w:w="100" w:type="dxa"/>
            <w:vAlign w:val="bottom"/>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2600" w:type="dxa"/>
            <w:vAlign w:val="bottom"/>
            <w:shd w:val="clear" w:color="auto" w:fill="004483"/>
          </w:tcPr>
          <w:p>
            <w:pPr>
              <w:jc w:val="right"/>
              <w:ind w:right="957"/>
              <w:spacing w:after="0"/>
              <w:rPr>
                <w:sz w:val="20"/>
                <w:szCs w:val="20"/>
                <w:color w:val="auto"/>
              </w:rPr>
            </w:pPr>
            <w:r>
              <w:rPr>
                <w:rFonts w:ascii="Arial" w:cs="Arial" w:eastAsia="Arial" w:hAnsi="Arial"/>
                <w:sz w:val="13"/>
                <w:szCs w:val="13"/>
                <w:b w:val="1"/>
                <w:bCs w:val="1"/>
                <w:color w:val="FFFFFF"/>
              </w:rPr>
              <w:t>December 31,</w:t>
            </w:r>
          </w:p>
        </w:tc>
        <w:tc>
          <w:tcPr>
            <w:tcW w:w="100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34"/>
        </w:trPr>
        <w:tc>
          <w:tcPr>
            <w:tcW w:w="7640" w:type="dxa"/>
            <w:vAlign w:val="bottom"/>
          </w:tcPr>
          <w:p>
            <w:pPr>
              <w:spacing w:after="0"/>
              <w:rPr>
                <w:sz w:val="11"/>
                <w:szCs w:val="11"/>
                <w:color w:val="auto"/>
              </w:rPr>
            </w:pPr>
          </w:p>
        </w:tc>
        <w:tc>
          <w:tcPr>
            <w:tcW w:w="2600" w:type="dxa"/>
            <w:vAlign w:val="bottom"/>
          </w:tcPr>
          <w:p>
            <w:pPr>
              <w:jc w:val="right"/>
              <w:ind w:right="957"/>
              <w:spacing w:after="0" w:line="134" w:lineRule="exact"/>
              <w:rPr>
                <w:sz w:val="20"/>
                <w:szCs w:val="20"/>
                <w:color w:val="auto"/>
              </w:rPr>
            </w:pPr>
            <w:r>
              <w:rPr>
                <w:rFonts w:ascii="Arial" w:cs="Arial" w:eastAsia="Arial" w:hAnsi="Arial"/>
                <w:sz w:val="13"/>
                <w:szCs w:val="13"/>
                <w:b w:val="1"/>
                <w:bCs w:val="1"/>
                <w:color w:val="auto"/>
              </w:rPr>
              <w:t>2021</w:t>
            </w:r>
          </w:p>
        </w:tc>
        <w:tc>
          <w:tcPr>
            <w:tcW w:w="9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83"/>
        </w:trPr>
        <w:tc>
          <w:tcPr>
            <w:tcW w:w="7640" w:type="dxa"/>
            <w:vAlign w:val="bottom"/>
            <w:tcBorders>
              <w:bottom w:val="single" w:sz="8" w:color="004483"/>
            </w:tcBorders>
          </w:tcPr>
          <w:p>
            <w:pPr>
              <w:spacing w:after="0"/>
              <w:rPr>
                <w:sz w:val="15"/>
                <w:szCs w:val="15"/>
                <w:color w:val="auto"/>
              </w:rPr>
            </w:pPr>
          </w:p>
        </w:tc>
        <w:tc>
          <w:tcPr>
            <w:tcW w:w="2600" w:type="dxa"/>
            <w:vAlign w:val="bottom"/>
            <w:tcBorders>
              <w:bottom w:val="single" w:sz="8" w:color="004483"/>
            </w:tcBorders>
          </w:tcPr>
          <w:p>
            <w:pPr>
              <w:jc w:val="right"/>
              <w:ind w:right="257"/>
              <w:spacing w:after="0"/>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463"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40" w:type="dxa"/>
            <w:vAlign w:val="bottom"/>
            <w:tcBorders>
              <w:top w:val="single" w:sz="8" w:color="A6A6A6"/>
            </w:tcBorders>
          </w:tcPr>
          <w:p>
            <w:pPr>
              <w:ind w:left="120"/>
              <w:spacing w:after="0" w:line="183" w:lineRule="exact"/>
              <w:rPr>
                <w:sz w:val="20"/>
                <w:szCs w:val="20"/>
                <w:color w:val="auto"/>
              </w:rPr>
            </w:pPr>
            <w:r>
              <w:rPr>
                <w:rFonts w:ascii="Arial" w:cs="Arial" w:eastAsia="Arial" w:hAnsi="Arial"/>
                <w:sz w:val="16"/>
                <w:szCs w:val="16"/>
                <w:color w:val="004483"/>
              </w:rPr>
              <w:t>Operating Lease Right-of-Use Assets</w:t>
            </w:r>
          </w:p>
        </w:tc>
        <w:tc>
          <w:tcPr>
            <w:tcW w:w="620" w:type="dxa"/>
            <w:vAlign w:val="bottom"/>
            <w:tcBorders>
              <w:top w:val="single" w:sz="8" w:color="A6A6A6"/>
              <w:bottom w:val="single" w:sz="8" w:color="004483"/>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23,923</w:t>
            </w:r>
          </w:p>
        </w:tc>
      </w:tr>
      <w:tr>
        <w:trPr>
          <w:trHeight w:val="20"/>
        </w:trPr>
        <w:tc>
          <w:tcPr>
            <w:tcW w:w="76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70"/>
        </w:trPr>
        <w:tc>
          <w:tcPr>
            <w:tcW w:w="7640" w:type="dxa"/>
            <w:vAlign w:val="bottom"/>
            <w:tcBorders>
              <w:bottom w:val="single" w:sz="8" w:color="A6A6A6"/>
            </w:tcBorders>
          </w:tcPr>
          <w:p>
            <w:pPr>
              <w:spacing w:after="0"/>
              <w:rPr>
                <w:sz w:val="14"/>
                <w:szCs w:val="14"/>
                <w:color w:val="auto"/>
              </w:rPr>
            </w:pPr>
          </w:p>
        </w:tc>
        <w:tc>
          <w:tcPr>
            <w:tcW w:w="620" w:type="dxa"/>
            <w:vAlign w:val="bottom"/>
            <w:tcBorders>
              <w:bottom w:val="single" w:sz="8" w:color="A6A6A6"/>
            </w:tcBorders>
          </w:tcPr>
          <w:p>
            <w:pPr>
              <w:spacing w:after="0"/>
              <w:rPr>
                <w:sz w:val="14"/>
                <w:szCs w:val="14"/>
                <w:color w:val="auto"/>
              </w:rPr>
            </w:pPr>
          </w:p>
        </w:tc>
        <w:tc>
          <w:tcPr>
            <w:tcW w:w="980" w:type="dxa"/>
            <w:vAlign w:val="bottom"/>
            <w:tcBorders>
              <w:bottom w:val="single" w:sz="8" w:color="A6A6A6"/>
            </w:tcBorders>
          </w:tcPr>
          <w:p>
            <w:pPr>
              <w:spacing w:after="0"/>
              <w:rPr>
                <w:sz w:val="14"/>
                <w:szCs w:val="14"/>
                <w:color w:val="auto"/>
              </w:rPr>
            </w:pPr>
          </w:p>
        </w:tc>
      </w:tr>
      <w:tr>
        <w:trPr>
          <w:trHeight w:val="183"/>
        </w:trPr>
        <w:tc>
          <w:tcPr>
            <w:tcW w:w="764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Current Operating Lease Liabilities</w:t>
            </w:r>
          </w:p>
        </w:tc>
        <w:tc>
          <w:tcPr>
            <w:tcW w:w="620" w:type="dxa"/>
            <w:vAlign w:val="bottom"/>
            <w:tcBorders>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7,004</w:t>
            </w:r>
          </w:p>
        </w:tc>
      </w:tr>
      <w:tr>
        <w:trPr>
          <w:trHeight w:val="182"/>
        </w:trPr>
        <w:tc>
          <w:tcPr>
            <w:tcW w:w="7640" w:type="dxa"/>
            <w:vAlign w:val="bottom"/>
          </w:tcPr>
          <w:p>
            <w:pPr>
              <w:ind w:left="1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62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29,960</w:t>
            </w:r>
          </w:p>
        </w:tc>
      </w:tr>
      <w:tr>
        <w:trPr>
          <w:trHeight w:val="27"/>
        </w:trPr>
        <w:tc>
          <w:tcPr>
            <w:tcW w:w="7640" w:type="dxa"/>
            <w:vAlign w:val="bottom"/>
            <w:tcBorders>
              <w:bottom w:val="single" w:sz="8" w:color="A6A6A6"/>
            </w:tcBorders>
          </w:tcPr>
          <w:p>
            <w:pPr>
              <w:spacing w:after="0"/>
              <w:rPr>
                <w:sz w:val="2"/>
                <w:szCs w:val="2"/>
                <w:color w:val="auto"/>
              </w:rPr>
            </w:pPr>
          </w:p>
        </w:tc>
        <w:tc>
          <w:tcPr>
            <w:tcW w:w="62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r>
      <w:tr>
        <w:trPr>
          <w:trHeight w:val="183"/>
        </w:trPr>
        <w:tc>
          <w:tcPr>
            <w:tcW w:w="764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Total Operating Lease Liabilities</w:t>
            </w:r>
          </w:p>
        </w:tc>
        <w:tc>
          <w:tcPr>
            <w:tcW w:w="620" w:type="dxa"/>
            <w:vAlign w:val="bottom"/>
            <w:tcBorders>
              <w:bottom w:val="single" w:sz="8" w:color="004483"/>
            </w:tcBorders>
          </w:tcPr>
          <w:p>
            <w:pPr>
              <w:jc w:val="right"/>
              <w:ind w:right="439"/>
              <w:spacing w:after="0" w:line="169"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6"/>
                <w:szCs w:val="16"/>
                <w:b w:val="1"/>
                <w:bCs w:val="1"/>
                <w:color w:val="auto"/>
              </w:rPr>
              <w:t>36,964</w:t>
            </w:r>
          </w:p>
        </w:tc>
      </w:tr>
      <w:tr>
        <w:trPr>
          <w:trHeight w:val="20"/>
        </w:trPr>
        <w:tc>
          <w:tcPr>
            <w:tcW w:w="764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128" w:hanging="1128"/>
        <w:spacing w:after="0"/>
        <w:tabs>
          <w:tab w:leader="none" w:pos="1128" w:val="left"/>
        </w:tabs>
        <w:numPr>
          <w:ilvl w:val="0"/>
          <w:numId w:val="9"/>
        </w:numPr>
        <w:rPr>
          <w:rFonts w:ascii="Arial" w:cs="Arial" w:eastAsia="Arial" w:hAnsi="Arial"/>
          <w:sz w:val="14"/>
          <w:szCs w:val="14"/>
          <w:color w:val="auto"/>
        </w:rPr>
      </w:pPr>
      <w:r>
        <w:rPr>
          <w:rFonts w:ascii="Arial" w:cs="Arial" w:eastAsia="Arial" w:hAnsi="Arial"/>
          <w:sz w:val="14"/>
          <w:szCs w:val="14"/>
          <w:color w:val="auto"/>
        </w:rPr>
        <w:t>25,811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-104140</wp:posOffset>
            </wp:positionV>
            <wp:extent cx="11315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24130</wp:posOffset>
            </wp:positionV>
            <wp:extent cx="11315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31570" cy="2603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169545</wp:posOffset>
            </wp:positionV>
            <wp:extent cx="11315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51" w:lineRule="exact"/>
        <w:rPr>
          <w:sz w:val="20"/>
          <w:szCs w:val="20"/>
          <w:color w:val="auto"/>
        </w:rPr>
      </w:pPr>
    </w:p>
    <w:p>
      <w:pPr>
        <w:ind w:left="1208" w:hanging="1208"/>
        <w:spacing w:after="0"/>
        <w:tabs>
          <w:tab w:leader="none" w:pos="1208" w:val="left"/>
        </w:tabs>
        <w:numPr>
          <w:ilvl w:val="0"/>
          <w:numId w:val="10"/>
        </w:numPr>
        <w:rPr>
          <w:rFonts w:ascii="Arial" w:cs="Arial" w:eastAsia="Arial" w:hAnsi="Arial"/>
          <w:sz w:val="14"/>
          <w:szCs w:val="14"/>
          <w:color w:val="auto"/>
        </w:rPr>
      </w:pPr>
      <w:r>
        <w:rPr>
          <w:rFonts w:ascii="Arial" w:cs="Arial" w:eastAsia="Arial" w:hAnsi="Arial"/>
          <w:sz w:val="14"/>
          <w:szCs w:val="14"/>
          <w:color w:val="auto"/>
        </w:rPr>
        <w:t>6,343</w:t>
      </w:r>
    </w:p>
    <w:p>
      <w:pPr>
        <w:spacing w:after="0" w:line="45" w:lineRule="exact"/>
        <w:rPr>
          <w:rFonts w:ascii="Arial" w:cs="Arial" w:eastAsia="Arial" w:hAnsi="Arial"/>
          <w:sz w:val="14"/>
          <w:szCs w:val="14"/>
          <w:color w:val="auto"/>
        </w:rPr>
      </w:pPr>
    </w:p>
    <w:p>
      <w:pPr>
        <w:ind w:left="1128"/>
        <w:spacing w:after="0"/>
        <w:rPr>
          <w:rFonts w:ascii="Arial" w:cs="Arial" w:eastAsia="Arial" w:hAnsi="Arial"/>
          <w:sz w:val="14"/>
          <w:szCs w:val="14"/>
          <w:color w:val="auto"/>
        </w:rPr>
      </w:pPr>
      <w:r>
        <w:rPr>
          <w:rFonts w:ascii="Arial" w:cs="Arial" w:eastAsia="Arial" w:hAnsi="Arial"/>
          <w:sz w:val="14"/>
          <w:szCs w:val="14"/>
          <w:color w:val="auto"/>
        </w:rPr>
        <w:t>34,444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-106045</wp:posOffset>
            </wp:positionV>
            <wp:extent cx="11315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21590</wp:posOffset>
            </wp:positionV>
            <wp:extent cx="101155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11555" cy="25400"/>
                    </a:xfrm>
                    <a:prstGeom prst="rect">
                      <a:avLst/>
                    </a:prstGeom>
                    <a:noFill/>
                  </pic:spPr>
                </pic:pic>
              </a:graphicData>
            </a:graphic>
          </wp:anchor>
        </w:drawing>
      </w:r>
    </w:p>
    <w:p>
      <w:pPr>
        <w:spacing w:after="0" w:line="41" w:lineRule="exact"/>
        <w:rPr>
          <w:sz w:val="20"/>
          <w:szCs w:val="20"/>
          <w:color w:val="auto"/>
        </w:rPr>
      </w:pPr>
    </w:p>
    <w:p>
      <w:pPr>
        <w:ind w:left="1128" w:hanging="1128"/>
        <w:spacing w:after="0"/>
        <w:tabs>
          <w:tab w:leader="none" w:pos="1128"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40,787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-101600</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26670</wp:posOffset>
            </wp:positionV>
            <wp:extent cx="10115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10115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68"/>
        <w:spacing w:after="0"/>
        <w:rPr>
          <w:sz w:val="20"/>
          <w:szCs w:val="20"/>
          <w:color w:val="auto"/>
        </w:rPr>
      </w:pPr>
      <w:r>
        <w:rPr>
          <w:rFonts w:ascii="Arial" w:cs="Arial" w:eastAsia="Arial" w:hAnsi="Arial"/>
          <w:sz w:val="13"/>
          <w:szCs w:val="13"/>
          <w:b w:val="1"/>
          <w:bCs w:val="1"/>
          <w:color w:val="auto"/>
        </w:rPr>
        <w:t>Amount</w:t>
      </w:r>
    </w:p>
    <w:p>
      <w:pPr>
        <w:spacing w:after="0" w:line="14" w:lineRule="exact"/>
        <w:rPr>
          <w:sz w:val="20"/>
          <w:szCs w:val="20"/>
          <w:color w:val="auto"/>
        </w:rPr>
      </w:pPr>
    </w:p>
    <w:p>
      <w:pPr>
        <w:sectPr>
          <w:pgSz w:w="11900" w:h="16838" w:orient="portrait"/>
          <w:cols w:equalWidth="0" w:num="2">
            <w:col w:w="9240" w:space="312"/>
            <w:col w:w="1688"/>
          </w:cols>
          <w:pgMar w:left="320" w:top="463"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91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2022 (remaining three months)</w:t>
            </w:r>
          </w:p>
        </w:tc>
        <w:tc>
          <w:tcPr>
            <w:tcW w:w="760" w:type="dxa"/>
            <w:vAlign w:val="bottom"/>
            <w:tcBorders>
              <w:top w:val="single" w:sz="8" w:color="004483"/>
              <w:bottom w:val="single" w:sz="8" w:color="A6A6A6"/>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2,036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2023</w:t>
            </w:r>
          </w:p>
        </w:tc>
        <w:tc>
          <w:tcPr>
            <w:tcW w:w="7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7,829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2024</w:t>
            </w:r>
          </w:p>
        </w:tc>
        <w:tc>
          <w:tcPr>
            <w:tcW w:w="7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5,949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2025</w:t>
            </w:r>
          </w:p>
        </w:tc>
        <w:tc>
          <w:tcPr>
            <w:tcW w:w="7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5,589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2026</w:t>
            </w:r>
          </w:p>
        </w:tc>
        <w:tc>
          <w:tcPr>
            <w:tcW w:w="7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4,118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Thereafter</w:t>
            </w:r>
          </w:p>
        </w:tc>
        <w:tc>
          <w:tcPr>
            <w:tcW w:w="76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20,371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Total Lease Payments</w:t>
            </w:r>
          </w:p>
        </w:tc>
        <w:tc>
          <w:tcPr>
            <w:tcW w:w="760" w:type="dxa"/>
            <w:vAlign w:val="bottom"/>
            <w:tcBorders>
              <w:bottom w:val="single" w:sz="8" w:color="A6A6A6"/>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45,892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Less: Imputed Interest</w:t>
            </w:r>
          </w:p>
        </w:tc>
        <w:tc>
          <w:tcPr>
            <w:tcW w:w="76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(8,928</w:t>
            </w:r>
          </w:p>
        </w:tc>
        <w:tc>
          <w:tcPr>
            <w:tcW w:w="1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10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Present Value of Lease Liabilities</w:t>
            </w:r>
          </w:p>
        </w:tc>
        <w:tc>
          <w:tcPr>
            <w:tcW w:w="760" w:type="dxa"/>
            <w:vAlign w:val="bottom"/>
            <w:tcBorders>
              <w:bottom w:val="single" w:sz="8" w:color="004483"/>
            </w:tcBorders>
          </w:tcPr>
          <w:p>
            <w:pPr>
              <w:jc w:val="right"/>
              <w:ind w:right="604"/>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6"/>
                <w:szCs w:val="16"/>
                <w:color w:val="auto"/>
              </w:rPr>
              <w:t>36,964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100" w:type="dxa"/>
            <w:vAlign w:val="bottom"/>
            <w:tcBorders>
              <w:bottom w:val="single" w:sz="8" w:color="A6A6A6"/>
            </w:tcBorders>
          </w:tcPr>
          <w:p>
            <w:pPr>
              <w:spacing w:after="0"/>
              <w:rPr>
                <w:sz w:val="14"/>
                <w:szCs w:val="14"/>
                <w:color w:val="auto"/>
              </w:rPr>
            </w:pPr>
          </w:p>
        </w:tc>
        <w:tc>
          <w:tcPr>
            <w:tcW w:w="76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Remaining Lease Term (in years)</w:t>
            </w:r>
          </w:p>
        </w:tc>
        <w:tc>
          <w:tcPr>
            <w:tcW w:w="7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10.2</w:t>
            </w:r>
          </w:p>
        </w:tc>
        <w:tc>
          <w:tcPr>
            <w:tcW w:w="1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83"/>
        </w:trPr>
        <w:tc>
          <w:tcPr>
            <w:tcW w:w="91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Discount Rate</w:t>
            </w:r>
          </w:p>
        </w:tc>
        <w:tc>
          <w:tcPr>
            <w:tcW w:w="7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3.79</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134"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(RSUs), restricted stock, and stock appreciation rights, to employees of the Company and members of the Board of Directors. The Compensation Committee of our Board of Directors specifies the terms for grants of equity awards under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May 2021, the Compensation Committee of the Board of Directors approved the granting to certain officers and key employees an aggregate of 4,293 performance-vesting stock options that will be earned only if certain performance conditions are satisfied (the Fiscal 2022 Employee Performance Stock Option Grant). The performance criteria for the Fiscal 2022 Employee Performance Stock Option Grant are based upon the achievement of certain levels of return on equity (as defined in the option agreements), ranging from 10.0% to 20.0%, for the fiscal year ending March 31, 2022. All stock options will be earned if the return on equity is 20.0% or greater, and the percentage of shares earned will be reduced proportionately to approximately 66.7% if the return on equity is 10.0%. If the Company does not achieve a return on equity of at least 10.0%, all granted stock options will be forfeited. Following any such reduction, restrictions on the earned stock options will lapse and the earned options will vest ratably over four years, with the initial fourth vesting promptly following the determination date, and the remaining options vesting on March 31, 2023 through 2025. The stock options have a term of ten years from the grant date. The Compensation Committee also approved the granting of 3,578 time-vesting stock options to the same officers and key employees, which vest ratably over four years (the Fiscal 2022 Employee Time-Vesting Stock Option Grant).</w:t>
      </w:r>
    </w:p>
    <w:p>
      <w:pPr>
        <w:spacing w:after="0" w:line="106"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In August 2021, we granted 3,445 options to members of the Board of Directors (the Fiscal 2022 Board of Directors Stock Option Grant). Options granted under the Fiscal 2022 Board of Directors Stock Option Grant vest immediately and can be exercised from the grant date until their expiration on the tenth anniversary of the grant date.</w:t>
      </w:r>
    </w:p>
    <w:p>
      <w:pPr>
        <w:spacing w:after="0" w:line="94"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The Fiscal 2022 Employee Performance Stock Option Grant, the Fiscal 2022 Employee Time-Vesting Stock Option Grant, and the Fiscal 2022 Board of Directors Stock Option Grant were valued at their grant date using the Black-Scholes option pricing model. The weighted-average assumptions used in the Black-Scholes model to value the option awards in fiscal 2022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Borders>
              <w:bottom w:val="single" w:sz="8" w:color="004483"/>
            </w:tcBorders>
          </w:tcPr>
          <w:p>
            <w:pPr>
              <w:spacing w:after="0"/>
              <w:rPr>
                <w:sz w:val="16"/>
                <w:szCs w:val="16"/>
                <w:color w:val="auto"/>
              </w:rPr>
            </w:pPr>
          </w:p>
        </w:tc>
        <w:tc>
          <w:tcPr>
            <w:tcW w:w="50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6"/>
                <w:szCs w:val="16"/>
                <w:color w:val="auto"/>
              </w:rPr>
            </w:pPr>
          </w:p>
        </w:tc>
      </w:tr>
      <w:tr>
        <w:trPr>
          <w:trHeight w:val="189"/>
        </w:trPr>
        <w:tc>
          <w:tcPr>
            <w:tcW w:w="5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 Yield</w:t>
            </w:r>
          </w:p>
        </w:tc>
        <w:tc>
          <w:tcPr>
            <w:tcW w:w="5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183"/>
        </w:trPr>
        <w:tc>
          <w:tcPr>
            <w:tcW w:w="5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Expected Volatility</w:t>
            </w:r>
          </w:p>
        </w:tc>
        <w:tc>
          <w:tcPr>
            <w:tcW w:w="5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38.4</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183"/>
        </w:trPr>
        <w:tc>
          <w:tcPr>
            <w:tcW w:w="5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Risk-Free Interest Rate</w:t>
            </w:r>
          </w:p>
        </w:tc>
        <w:tc>
          <w:tcPr>
            <w:tcW w:w="5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183"/>
        </w:trPr>
        <w:tc>
          <w:tcPr>
            <w:tcW w:w="5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Expected Life</w:t>
            </w:r>
          </w:p>
        </w:tc>
        <w:tc>
          <w:tcPr>
            <w:tcW w:w="5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 years</w:t>
            </w:r>
          </w:p>
        </w:tc>
        <w:tc>
          <w:tcPr>
            <w:tcW w:w="140" w:type="dxa"/>
            <w:vAlign w:val="bottom"/>
          </w:tcPr>
          <w:p>
            <w:pPr>
              <w:spacing w:after="0"/>
              <w:rPr>
                <w:sz w:val="15"/>
                <w:szCs w:val="15"/>
                <w:color w:val="auto"/>
              </w:rPr>
            </w:pPr>
          </w:p>
        </w:tc>
      </w:tr>
    </w:tbl>
    <w:p>
      <w:pPr>
        <w:spacing w:after="0" w:line="36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Stock option expense for all outstanding stock option awards totaled approximately $0.9 million and $2.6 million for the three and nine months ended December 31, 2021 and 2020, respectively, and $1.1 million and $3.9 million for the three and nine months ended December 31, 2020, respectively. At December 31, 2021, there was approximately $4.6 million of unrecognized compensation cost related to outstanding stock options, which is expected to be recognized over a weighted-average period of 1.9 years.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represents stock option activity for the nine months ended December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22"/>
        </w:trPr>
        <w:tc>
          <w:tcPr>
            <w:tcW w:w="7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Number</w:t>
            </w:r>
          </w:p>
        </w:tc>
        <w:tc>
          <w:tcPr>
            <w:tcW w:w="7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1"/>
        </w:trPr>
        <w:tc>
          <w:tcPr>
            <w:tcW w:w="7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3"/>
        </w:trPr>
        <w:tc>
          <w:tcPr>
            <w:tcW w:w="7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of Shares</w:t>
            </w:r>
          </w:p>
        </w:tc>
        <w:tc>
          <w:tcPr>
            <w:tcW w:w="7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89"/>
        </w:trPr>
        <w:tc>
          <w:tcPr>
            <w:tcW w:w="76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2021</w:t>
            </w:r>
          </w:p>
        </w:tc>
        <w:tc>
          <w:tcPr>
            <w:tcW w:w="540" w:type="dxa"/>
            <w:vAlign w:val="bottom"/>
            <w:tcBorders>
              <w:top w:val="single" w:sz="8" w:color="004483"/>
              <w:bottom w:val="single" w:sz="8" w:color="A6A6A6"/>
            </w:tcBorders>
          </w:tcPr>
          <w:p>
            <w:pPr>
              <w:spacing w:after="0"/>
              <w:rPr>
                <w:sz w:val="16"/>
                <w:szCs w:val="16"/>
                <w:color w:val="auto"/>
              </w:rPr>
            </w:pPr>
          </w:p>
        </w:tc>
        <w:tc>
          <w:tcPr>
            <w:tcW w:w="1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708,501</w:t>
            </w:r>
          </w:p>
        </w:tc>
        <w:tc>
          <w:tcPr>
            <w:tcW w:w="100" w:type="dxa"/>
            <w:vAlign w:val="bottom"/>
          </w:tcPr>
          <w:p>
            <w:pPr>
              <w:spacing w:after="0"/>
              <w:rPr>
                <w:sz w:val="16"/>
                <w:szCs w:val="16"/>
                <w:color w:val="auto"/>
              </w:rPr>
            </w:pPr>
          </w:p>
        </w:tc>
        <w:tc>
          <w:tcPr>
            <w:tcW w:w="760" w:type="dxa"/>
            <w:vAlign w:val="bottom"/>
            <w:tcBorders>
              <w:top w:val="single" w:sz="8" w:color="004483"/>
              <w:bottom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83.85</w:t>
            </w: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Granted</w:t>
            </w:r>
          </w:p>
        </w:tc>
        <w:tc>
          <w:tcPr>
            <w:tcW w:w="5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11,316</w:t>
            </w:r>
          </w:p>
        </w:tc>
        <w:tc>
          <w:tcPr>
            <w:tcW w:w="100" w:type="dxa"/>
            <w:vAlign w:val="bottom"/>
          </w:tcPr>
          <w:p>
            <w:pPr>
              <w:spacing w:after="0"/>
              <w:rPr>
                <w:sz w:val="15"/>
                <w:szCs w:val="15"/>
                <w:color w:val="auto"/>
              </w:rPr>
            </w:pPr>
          </w:p>
        </w:tc>
        <w:tc>
          <w:tcPr>
            <w:tcW w:w="76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140.42</w:t>
            </w: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Exercised</w:t>
            </w:r>
          </w:p>
        </w:tc>
        <w:tc>
          <w:tcPr>
            <w:tcW w:w="5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(236,368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88.50</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Cancelled</w:t>
            </w:r>
          </w:p>
        </w:tc>
        <w:tc>
          <w:tcPr>
            <w:tcW w:w="54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(15,390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76.63</w:t>
            </w: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Outstanding Options at December 31, 2021</w:t>
            </w:r>
          </w:p>
        </w:tc>
        <w:tc>
          <w:tcPr>
            <w:tcW w:w="540" w:type="dxa"/>
            <w:vAlign w:val="bottom"/>
            <w:tcBorders>
              <w:bottom w:val="single" w:sz="8" w:color="004483"/>
            </w:tcBorders>
          </w:tcPr>
          <w:p>
            <w:pPr>
              <w:spacing w:after="0"/>
              <w:rPr>
                <w:sz w:val="15"/>
                <w:szCs w:val="15"/>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468,059</w:t>
            </w:r>
          </w:p>
        </w:tc>
        <w:tc>
          <w:tcPr>
            <w:tcW w:w="100" w:type="dxa"/>
            <w:vAlign w:val="bottom"/>
          </w:tcPr>
          <w:p>
            <w:pPr>
              <w:spacing w:after="0"/>
              <w:rPr>
                <w:sz w:val="15"/>
                <w:szCs w:val="15"/>
                <w:color w:val="auto"/>
              </w:rPr>
            </w:pPr>
          </w:p>
        </w:tc>
        <w:tc>
          <w:tcPr>
            <w:tcW w:w="760" w:type="dxa"/>
            <w:vAlign w:val="bottom"/>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83.11</w:t>
            </w:r>
          </w:p>
        </w:tc>
        <w:tc>
          <w:tcPr>
            <w:tcW w:w="0" w:type="dxa"/>
            <w:vAlign w:val="bottom"/>
          </w:tcPr>
          <w:p>
            <w:pPr>
              <w:spacing w:after="0"/>
              <w:rPr>
                <w:sz w:val="1"/>
                <w:szCs w:val="1"/>
                <w:color w:val="auto"/>
              </w:rPr>
            </w:pPr>
          </w:p>
        </w:tc>
      </w:tr>
      <w:tr>
        <w:trPr>
          <w:trHeight w:val="20"/>
        </w:trPr>
        <w:tc>
          <w:tcPr>
            <w:tcW w:w="764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Options Exercisable at December 31, 2021</w:t>
            </w:r>
          </w:p>
        </w:tc>
        <w:tc>
          <w:tcPr>
            <w:tcW w:w="540" w:type="dxa"/>
            <w:vAlign w:val="bottom"/>
            <w:tcBorders>
              <w:bottom w:val="single" w:sz="8" w:color="004483"/>
            </w:tcBorders>
          </w:tcPr>
          <w:p>
            <w:pPr>
              <w:spacing w:after="0"/>
              <w:rPr>
                <w:sz w:val="14"/>
                <w:szCs w:val="14"/>
                <w:color w:val="auto"/>
              </w:rPr>
            </w:pPr>
          </w:p>
        </w:tc>
        <w:tc>
          <w:tcPr>
            <w:tcW w:w="106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211,516</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Weighted-Average Fair Value of Options Granted</w:t>
            </w:r>
          </w:p>
        </w:tc>
        <w:tc>
          <w:tcPr>
            <w:tcW w:w="54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49.18</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540" w:type="dxa"/>
            <w:vAlign w:val="bottom"/>
            <w:tcBorders>
              <w:bottom w:val="single" w:sz="8" w:color="A6A6A6"/>
            </w:tcBorders>
            <w:vMerge w:val="continue"/>
          </w:tcPr>
          <w:p>
            <w:pPr>
              <w:spacing w:after="0"/>
              <w:rPr>
                <w:sz w:val="17"/>
                <w:szCs w:val="17"/>
                <w:color w:val="auto"/>
              </w:rPr>
            </w:pPr>
          </w:p>
        </w:tc>
        <w:tc>
          <w:tcPr>
            <w:tcW w:w="1060" w:type="dxa"/>
            <w:vAlign w:val="bottom"/>
            <w:tcBorders>
              <w:bottom w:val="single" w:sz="8" w:color="A6A6A6"/>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260" w:type="dxa"/>
            <w:vAlign w:val="bottom"/>
            <w:gridSpan w:val="3"/>
            <w:shd w:val="clear" w:color="auto" w:fill="004483"/>
          </w:tcPr>
          <w:p>
            <w:pPr>
              <w:ind w:left="80"/>
              <w:spacing w:after="0"/>
              <w:rPr>
                <w:sz w:val="20"/>
                <w:szCs w:val="20"/>
                <w:color w:val="auto"/>
              </w:rPr>
            </w:pPr>
            <w:r>
              <w:rPr>
                <w:rFonts w:ascii="Arial" w:cs="Arial" w:eastAsia="Arial" w:hAnsi="Arial"/>
                <w:sz w:val="13"/>
                <w:szCs w:val="13"/>
                <w:b w:val="1"/>
                <w:bCs w:val="1"/>
                <w:color w:val="FFFFFF"/>
                <w:w w:val="89"/>
              </w:rPr>
              <w:t>Options Outstanding</w:t>
            </w:r>
          </w:p>
        </w:tc>
        <w:tc>
          <w:tcPr>
            <w:tcW w:w="400" w:type="dxa"/>
            <w:vAlign w:val="bottom"/>
            <w:shd w:val="clear" w:color="auto" w:fill="004483"/>
          </w:tcPr>
          <w:p>
            <w:pPr>
              <w:spacing w:after="0"/>
              <w:rPr>
                <w:sz w:val="13"/>
                <w:szCs w:val="13"/>
                <w:color w:val="auto"/>
              </w:rPr>
            </w:pPr>
          </w:p>
        </w:tc>
        <w:tc>
          <w:tcPr>
            <w:tcW w:w="7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Options Exercisable</w:t>
            </w:r>
          </w:p>
        </w:tc>
        <w:tc>
          <w:tcPr>
            <w:tcW w:w="58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tcPr>
          <w:p>
            <w:pPr>
              <w:jc w:val="right"/>
              <w:ind w:right="120"/>
              <w:spacing w:after="0" w:line="108" w:lineRule="exact"/>
              <w:rPr>
                <w:sz w:val="20"/>
                <w:szCs w:val="20"/>
                <w:color w:val="auto"/>
              </w:rPr>
            </w:pPr>
            <w:r>
              <w:rPr>
                <w:rFonts w:ascii="Arial" w:cs="Arial" w:eastAsia="Arial" w:hAnsi="Arial"/>
                <w:sz w:val="12"/>
                <w:szCs w:val="12"/>
                <w:b w:val="1"/>
                <w:bCs w:val="1"/>
                <w:color w:val="auto"/>
              </w:rPr>
              <w:t>Weighted-</w:t>
            </w:r>
          </w:p>
        </w:tc>
        <w:tc>
          <w:tcPr>
            <w:tcW w:w="400" w:type="dxa"/>
            <w:vAlign w:val="bottom"/>
          </w:tcPr>
          <w:p>
            <w:pPr>
              <w:spacing w:after="0"/>
              <w:rPr>
                <w:sz w:val="9"/>
                <w:szCs w:val="9"/>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Average</w:t>
            </w:r>
          </w:p>
        </w:tc>
        <w:tc>
          <w:tcPr>
            <w:tcW w:w="4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Remaining</w:t>
            </w:r>
          </w:p>
        </w:tc>
        <w:tc>
          <w:tcPr>
            <w:tcW w:w="40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2"/>
        </w:trPr>
        <w:tc>
          <w:tcPr>
            <w:tcW w:w="5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Contractual</w:t>
            </w:r>
          </w:p>
        </w:tc>
        <w:tc>
          <w:tcPr>
            <w:tcW w:w="40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3"/>
        </w:trPr>
        <w:tc>
          <w:tcPr>
            <w:tcW w:w="5080" w:type="dxa"/>
            <w:vAlign w:val="bottom"/>
            <w:gridSpan w:val="2"/>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Life (in years)</w:t>
            </w:r>
          </w:p>
        </w:tc>
        <w:tc>
          <w:tcPr>
            <w:tcW w:w="4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89"/>
        </w:trPr>
        <w:tc>
          <w:tcPr>
            <w:tcW w:w="4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w w:val="89"/>
              </w:rPr>
              <w:t>$33.69</w:t>
            </w:r>
          </w:p>
        </w:tc>
        <w:tc>
          <w:tcPr>
            <w:tcW w:w="46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 $37.34</w:t>
            </w: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12,373</w:t>
            </w:r>
          </w:p>
        </w:tc>
        <w:tc>
          <w:tcPr>
            <w:tcW w:w="12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6"/>
                <w:szCs w:val="16"/>
                <w:color w:val="auto"/>
              </w:rPr>
            </w:pPr>
          </w:p>
        </w:tc>
        <w:tc>
          <w:tcPr>
            <w:tcW w:w="400" w:type="dxa"/>
            <w:vAlign w:val="bottom"/>
            <w:tcBorders>
              <w:top w:val="single" w:sz="8" w:color="004483"/>
              <w:bottom w:val="single" w:sz="8" w:color="A6A6A6"/>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34.52</w:t>
            </w:r>
          </w:p>
        </w:tc>
        <w:tc>
          <w:tcPr>
            <w:tcW w:w="120" w:type="dxa"/>
            <w:vAlign w:val="bottom"/>
          </w:tcPr>
          <w:p>
            <w:pPr>
              <w:spacing w:after="0"/>
              <w:rPr>
                <w:sz w:val="16"/>
                <w:szCs w:val="16"/>
                <w:color w:val="auto"/>
              </w:rPr>
            </w:pPr>
          </w:p>
        </w:tc>
        <w:tc>
          <w:tcPr>
            <w:tcW w:w="110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12,373</w:t>
            </w:r>
          </w:p>
        </w:tc>
        <w:tc>
          <w:tcPr>
            <w:tcW w:w="240" w:type="dxa"/>
            <w:vAlign w:val="bottom"/>
          </w:tcPr>
          <w:p>
            <w:pPr>
              <w:spacing w:after="0"/>
              <w:rPr>
                <w:sz w:val="16"/>
                <w:szCs w:val="16"/>
                <w:color w:val="auto"/>
              </w:rPr>
            </w:pPr>
          </w:p>
        </w:tc>
        <w:tc>
          <w:tcPr>
            <w:tcW w:w="460" w:type="dxa"/>
            <w:vAlign w:val="bottom"/>
            <w:tcBorders>
              <w:top w:val="single" w:sz="8" w:color="004483"/>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34.52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w w:val="89"/>
              </w:rPr>
              <w:t>$59.32</w:t>
            </w:r>
          </w:p>
        </w:tc>
        <w:tc>
          <w:tcPr>
            <w:tcW w:w="4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$81.56</w:t>
            </w: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180,192</w:t>
            </w:r>
          </w:p>
        </w:tc>
        <w:tc>
          <w:tcPr>
            <w:tcW w:w="120" w:type="dxa"/>
            <w:vAlign w:val="bottom"/>
          </w:tcPr>
          <w:p>
            <w:pPr>
              <w:spacing w:after="0"/>
              <w:rPr>
                <w:sz w:val="15"/>
                <w:szCs w:val="15"/>
                <w:color w:val="auto"/>
              </w:rPr>
            </w:pPr>
          </w:p>
        </w:tc>
        <w:tc>
          <w:tcPr>
            <w:tcW w:w="11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7.39</w:t>
            </w:r>
          </w:p>
        </w:tc>
        <w:tc>
          <w:tcPr>
            <w:tcW w:w="120" w:type="dxa"/>
            <w:vAlign w:val="bottom"/>
          </w:tcPr>
          <w:p>
            <w:pPr>
              <w:spacing w:after="0"/>
              <w:rPr>
                <w:sz w:val="15"/>
                <w:szCs w:val="15"/>
                <w:color w:val="auto"/>
              </w:rPr>
            </w:pPr>
          </w:p>
        </w:tc>
        <w:tc>
          <w:tcPr>
            <w:tcW w:w="4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63.48</w:t>
            </w:r>
          </w:p>
        </w:tc>
        <w:tc>
          <w:tcPr>
            <w:tcW w:w="120" w:type="dxa"/>
            <w:vAlign w:val="bottom"/>
          </w:tcPr>
          <w:p>
            <w:pPr>
              <w:spacing w:after="0"/>
              <w:rPr>
                <w:sz w:val="15"/>
                <w:szCs w:val="15"/>
                <w:color w:val="auto"/>
              </w:rPr>
            </w:pPr>
          </w:p>
        </w:tc>
        <w:tc>
          <w:tcPr>
            <w:tcW w:w="11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49,970</w:t>
            </w:r>
          </w:p>
        </w:tc>
        <w:tc>
          <w:tcPr>
            <w:tcW w:w="240" w:type="dxa"/>
            <w:vAlign w:val="bottom"/>
          </w:tcPr>
          <w:p>
            <w:pPr>
              <w:spacing w:after="0"/>
              <w:rPr>
                <w:sz w:val="15"/>
                <w:szCs w:val="15"/>
                <w:color w:val="auto"/>
              </w:rPr>
            </w:pP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70.43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w w:val="89"/>
              </w:rPr>
              <w:t>$87.37</w:t>
            </w:r>
          </w:p>
        </w:tc>
        <w:tc>
          <w:tcPr>
            <w:tcW w:w="4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$93.03</w:t>
            </w: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159,768</w:t>
            </w:r>
          </w:p>
        </w:tc>
        <w:tc>
          <w:tcPr>
            <w:tcW w:w="120" w:type="dxa"/>
            <w:vAlign w:val="bottom"/>
          </w:tcPr>
          <w:p>
            <w:pPr>
              <w:spacing w:after="0"/>
              <w:rPr>
                <w:sz w:val="15"/>
                <w:szCs w:val="15"/>
                <w:color w:val="auto"/>
              </w:rPr>
            </w:pPr>
          </w:p>
        </w:tc>
        <w:tc>
          <w:tcPr>
            <w:tcW w:w="11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6.84</w:t>
            </w:r>
          </w:p>
        </w:tc>
        <w:tc>
          <w:tcPr>
            <w:tcW w:w="120" w:type="dxa"/>
            <w:vAlign w:val="bottom"/>
          </w:tcPr>
          <w:p>
            <w:pPr>
              <w:spacing w:after="0"/>
              <w:rPr>
                <w:sz w:val="15"/>
                <w:szCs w:val="15"/>
                <w:color w:val="auto"/>
              </w:rPr>
            </w:pPr>
          </w:p>
        </w:tc>
        <w:tc>
          <w:tcPr>
            <w:tcW w:w="4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91.35</w:t>
            </w:r>
          </w:p>
        </w:tc>
        <w:tc>
          <w:tcPr>
            <w:tcW w:w="120" w:type="dxa"/>
            <w:vAlign w:val="bottom"/>
          </w:tcPr>
          <w:p>
            <w:pPr>
              <w:spacing w:after="0"/>
              <w:rPr>
                <w:sz w:val="15"/>
                <w:szCs w:val="15"/>
                <w:color w:val="auto"/>
              </w:rPr>
            </w:pPr>
          </w:p>
        </w:tc>
        <w:tc>
          <w:tcPr>
            <w:tcW w:w="11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76,095</w:t>
            </w:r>
          </w:p>
        </w:tc>
        <w:tc>
          <w:tcPr>
            <w:tcW w:w="240" w:type="dxa"/>
            <w:vAlign w:val="bottom"/>
          </w:tcPr>
          <w:p>
            <w:pPr>
              <w:spacing w:after="0"/>
              <w:rPr>
                <w:sz w:val="15"/>
                <w:szCs w:val="15"/>
                <w:color w:val="auto"/>
              </w:rPr>
            </w:pP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 w:type="dxa"/>
            <w:vAlign w:val="bottom"/>
          </w:tcPr>
          <w:p>
            <w:pPr>
              <w:ind w:left="20"/>
              <w:spacing w:after="0" w:line="183" w:lineRule="exact"/>
              <w:rPr>
                <w:sz w:val="20"/>
                <w:szCs w:val="20"/>
                <w:color w:val="auto"/>
              </w:rPr>
            </w:pPr>
            <w:r>
              <w:rPr>
                <w:rFonts w:ascii="Arial" w:cs="Arial" w:eastAsia="Arial" w:hAnsi="Arial"/>
                <w:sz w:val="16"/>
                <w:szCs w:val="16"/>
                <w:color w:val="004483"/>
                <w:w w:val="89"/>
              </w:rPr>
              <w:t>$99.37</w:t>
            </w:r>
          </w:p>
        </w:tc>
        <w:tc>
          <w:tcPr>
            <w:tcW w:w="4600" w:type="dxa"/>
            <w:vAlign w:val="bottom"/>
          </w:tcPr>
          <w:p>
            <w:pPr>
              <w:ind w:left="20"/>
              <w:spacing w:after="0" w:line="183" w:lineRule="exact"/>
              <w:rPr>
                <w:sz w:val="20"/>
                <w:szCs w:val="20"/>
                <w:color w:val="auto"/>
              </w:rPr>
            </w:pPr>
            <w:r>
              <w:rPr>
                <w:rFonts w:ascii="Arial" w:cs="Arial" w:eastAsia="Arial" w:hAnsi="Arial"/>
                <w:sz w:val="16"/>
                <w:szCs w:val="16"/>
                <w:color w:val="004483"/>
              </w:rPr>
              <w:t>- $143.09</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115,726</w:t>
            </w:r>
          </w:p>
        </w:tc>
        <w:tc>
          <w:tcPr>
            <w:tcW w:w="12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6.47</w:t>
            </w:r>
          </w:p>
        </w:tc>
        <w:tc>
          <w:tcPr>
            <w:tcW w:w="120" w:type="dxa"/>
            <w:vAlign w:val="bottom"/>
          </w:tcPr>
          <w:p>
            <w:pPr>
              <w:spacing w:after="0"/>
              <w:rPr>
                <w:sz w:val="15"/>
                <w:szCs w:val="15"/>
                <w:color w:val="auto"/>
              </w:rPr>
            </w:pPr>
          </w:p>
        </w:tc>
        <w:tc>
          <w:tcPr>
            <w:tcW w:w="40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107.49</w:t>
            </w:r>
          </w:p>
        </w:tc>
        <w:tc>
          <w:tcPr>
            <w:tcW w:w="120" w:type="dxa"/>
            <w:vAlign w:val="bottom"/>
          </w:tcPr>
          <w:p>
            <w:pPr>
              <w:spacing w:after="0"/>
              <w:rPr>
                <w:sz w:val="15"/>
                <w:szCs w:val="15"/>
                <w:color w:val="auto"/>
              </w:rPr>
            </w:pP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73,078</w:t>
            </w:r>
          </w:p>
        </w:tc>
        <w:tc>
          <w:tcPr>
            <w:tcW w:w="700" w:type="dxa"/>
            <w:vAlign w:val="bottom"/>
            <w:gridSpan w:val="2"/>
          </w:tcPr>
          <w:p>
            <w:pPr>
              <w:jc w:val="right"/>
              <w:ind w:right="304"/>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105.41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6A6A6"/>
            </w:tcBorders>
          </w:tcPr>
          <w:p>
            <w:pPr>
              <w:spacing w:after="0"/>
              <w:rPr>
                <w:sz w:val="2"/>
                <w:szCs w:val="2"/>
                <w:color w:val="auto"/>
              </w:rPr>
            </w:pPr>
          </w:p>
        </w:tc>
        <w:tc>
          <w:tcPr>
            <w:tcW w:w="4600" w:type="dxa"/>
            <w:vAlign w:val="bottom"/>
            <w:tcBorders>
              <w:bottom w:val="single" w:sz="8" w:color="A6A6A6"/>
            </w:tcBorders>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000" w:type="dxa"/>
            <w:vAlign w:val="bottom"/>
            <w:tcBorders>
              <w:bottom w:val="single" w:sz="8" w:color="A6A6A6"/>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6A6A6"/>
            </w:tcBorders>
          </w:tcPr>
          <w:p>
            <w:pPr>
              <w:spacing w:after="0"/>
              <w:rPr>
                <w:sz w:val="2"/>
                <w:szCs w:val="2"/>
                <w:color w:val="auto"/>
              </w:rPr>
            </w:pPr>
          </w:p>
        </w:tc>
        <w:tc>
          <w:tcPr>
            <w:tcW w:w="760" w:type="dxa"/>
            <w:vAlign w:val="bottom"/>
            <w:tcBorders>
              <w:bottom w:val="single" w:sz="8" w:color="A6A6A6"/>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6A6A6"/>
            </w:tcBorders>
          </w:tcPr>
          <w:p>
            <w:pPr>
              <w:spacing w:after="0"/>
              <w:rPr>
                <w:sz w:val="2"/>
                <w:szCs w:val="2"/>
                <w:color w:val="auto"/>
              </w:rPr>
            </w:pPr>
          </w:p>
        </w:tc>
        <w:tc>
          <w:tcPr>
            <w:tcW w:w="58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468,059</w:t>
            </w:r>
          </w:p>
        </w:tc>
        <w:tc>
          <w:tcPr>
            <w:tcW w:w="126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rPr>
              <w:t>6.79</w:t>
            </w:r>
          </w:p>
        </w:tc>
        <w:tc>
          <w:tcPr>
            <w:tcW w:w="120" w:type="dxa"/>
            <w:vAlign w:val="bottom"/>
          </w:tcPr>
          <w:p>
            <w:pPr>
              <w:spacing w:after="0"/>
              <w:rPr>
                <w:sz w:val="15"/>
                <w:szCs w:val="15"/>
                <w:color w:val="auto"/>
              </w:rPr>
            </w:pPr>
          </w:p>
        </w:tc>
        <w:tc>
          <w:tcPr>
            <w:tcW w:w="400" w:type="dxa"/>
            <w:vAlign w:val="bottom"/>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83.11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211,516</w:t>
            </w:r>
          </w:p>
        </w:tc>
        <w:tc>
          <w:tcPr>
            <w:tcW w:w="700" w:type="dxa"/>
            <w:vAlign w:val="bottom"/>
            <w:gridSpan w:val="2"/>
          </w:tcPr>
          <w:p>
            <w:pPr>
              <w:jc w:val="right"/>
              <w:ind w:right="304"/>
              <w:spacing w:after="0" w:line="183"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87.85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A6A6A6"/>
            </w:tcBorders>
          </w:tcPr>
          <w:p>
            <w:pPr>
              <w:spacing w:after="0" w:line="20" w:lineRule="exact"/>
              <w:rPr>
                <w:sz w:val="1"/>
                <w:szCs w:val="1"/>
                <w:color w:val="auto"/>
              </w:rPr>
            </w:pPr>
          </w:p>
        </w:tc>
        <w:tc>
          <w:tcPr>
            <w:tcW w:w="460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At December 31, 2021, the aggregate intrinsic value for both the outstanding and exercisable options was approximately $39.0 million and $16.6 million, respectively. The total intrinsic value of options exercised during the nine months ended December 31, 2021 was approximately $14.7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In May 2021, the Compensation Committee approved the granting to certain officers and key employees an aggregate of 52,577 shares of performance-vesting restricted stock that will be earned if certain performance conditions are satisfied (the Fiscal 2022 Employee Restricted Stock Performance Award). The performance criteria for the Fiscal 2022 Employee Restricted Stock Performance Award are based upon the achievement of certain levels of return on equity (as defined in the award agreement), ranging from 10.0% to 20.0%, for the fiscal year ending March 31, 2022.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determination date, and the remaining restrictions lapsing on March 31, 2023 through 2025. The Compensation Committee also approved the granting of 43,816 shares of time-vesting restricted stock to the same officers and key employees, which vest ratably over four years (the Fiscal 2022 Employee Restricted Stock Time-Vesting Award). The Fiscal 2022 Employee Restricted Stock Performance Award and the Fiscal 2022 Employee Restricted Stock Time-Vesting Award were valued at the closing price of the stock on the grant date and are being expensed over a four-year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ind w:right="560"/>
        <w:spacing w:after="0" w:line="311" w:lineRule="auto"/>
        <w:rPr>
          <w:sz w:val="20"/>
          <w:szCs w:val="20"/>
          <w:color w:val="auto"/>
        </w:rPr>
      </w:pPr>
      <w:r>
        <w:rPr>
          <w:rFonts w:ascii="Arial" w:cs="Arial" w:eastAsia="Arial" w:hAnsi="Arial"/>
          <w:sz w:val="17"/>
          <w:szCs w:val="17"/>
          <w:color w:val="auto"/>
        </w:rPr>
        <w:t>In August 2021, we granted 15,720 shares of restricted stock to members of the Board of Directors (the Fiscal 2022 Board of Directors Restricted Stock Award). Restrictions on these shares will lapse six months after the grant date. The Fiscal 2022 Board of Directors Restricted Stock Award was valued at the closing price of the stock on the grant date and is being expensed over a six-month period.</w:t>
      </w:r>
    </w:p>
    <w:p>
      <w:pPr>
        <w:spacing w:after="0" w:line="77"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The fair value of restricted stock is based on the stock price on the grant date. The following table summarizes the activity for nonvested restricted shares during the nine months ended December 31,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66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Number of Shares</w:t>
            </w:r>
          </w:p>
        </w:tc>
        <w:tc>
          <w:tcPr>
            <w:tcW w:w="300" w:type="dxa"/>
            <w:vAlign w:val="bottom"/>
          </w:tcPr>
          <w:p>
            <w:pPr>
              <w:spacing w:after="0"/>
              <w:rPr>
                <w:sz w:val="13"/>
                <w:szCs w:val="13"/>
                <w:color w:val="auto"/>
              </w:rPr>
            </w:pPr>
          </w:p>
        </w:tc>
        <w:tc>
          <w:tcPr>
            <w:tcW w:w="1500" w:type="dxa"/>
            <w:vAlign w:val="bottom"/>
          </w:tcPr>
          <w:p>
            <w:pPr>
              <w:jc w:val="right"/>
              <w:ind w:right="64"/>
              <w:spacing w:after="0"/>
              <w:rPr>
                <w:sz w:val="20"/>
                <w:szCs w:val="20"/>
                <w:color w:val="auto"/>
              </w:rPr>
            </w:pPr>
            <w:r>
              <w:rPr>
                <w:rFonts w:ascii="Arial" w:cs="Arial" w:eastAsia="Arial" w:hAnsi="Arial"/>
                <w:sz w:val="13"/>
                <w:szCs w:val="13"/>
                <w:b w:val="1"/>
                <w:bCs w:val="1"/>
                <w:color w:val="auto"/>
                <w:w w:val="87"/>
              </w:rPr>
              <w:t>Weighted-Average Grant</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ind w:right="304"/>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03"/>
        </w:trPr>
        <w:tc>
          <w:tcPr>
            <w:tcW w:w="76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March 31, 2021</w:t>
            </w:r>
          </w:p>
        </w:tc>
        <w:tc>
          <w:tcPr>
            <w:tcW w:w="15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267,090</w:t>
            </w:r>
          </w:p>
        </w:tc>
        <w:tc>
          <w:tcPr>
            <w:tcW w:w="100" w:type="dxa"/>
            <w:vAlign w:val="bottom"/>
          </w:tcPr>
          <w:p>
            <w:pPr>
              <w:spacing w:after="0"/>
              <w:rPr>
                <w:sz w:val="17"/>
                <w:szCs w:val="17"/>
                <w:color w:val="auto"/>
              </w:rPr>
            </w:pPr>
          </w:p>
        </w:tc>
        <w:tc>
          <w:tcPr>
            <w:tcW w:w="3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62.56</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15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113,414</w:t>
            </w:r>
          </w:p>
        </w:tc>
        <w:tc>
          <w:tcPr>
            <w:tcW w:w="100" w:type="dxa"/>
            <w:vAlign w:val="bottom"/>
          </w:tcPr>
          <w:p>
            <w:pPr>
              <w:spacing w:after="0"/>
              <w:rPr>
                <w:sz w:val="17"/>
                <w:szCs w:val="17"/>
                <w:color w:val="auto"/>
              </w:rPr>
            </w:pPr>
          </w:p>
        </w:tc>
        <w:tc>
          <w:tcPr>
            <w:tcW w:w="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139.91</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6"/>
                <w:szCs w:val="16"/>
                <w:color w:val="004483"/>
              </w:rPr>
              <w:t>Vested</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(23,685 )</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56.43</w:t>
            </w:r>
          </w:p>
        </w:tc>
        <w:tc>
          <w:tcPr>
            <w:tcW w:w="0" w:type="dxa"/>
            <w:vAlign w:val="bottom"/>
          </w:tcPr>
          <w:p>
            <w:pPr>
              <w:spacing w:after="0"/>
              <w:rPr>
                <w:sz w:val="1"/>
                <w:szCs w:val="1"/>
                <w:color w:val="auto"/>
              </w:rPr>
            </w:pPr>
          </w:p>
        </w:tc>
      </w:tr>
      <w:tr>
        <w:trPr>
          <w:trHeight w:val="209"/>
        </w:trPr>
        <w:tc>
          <w:tcPr>
            <w:tcW w:w="76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Forfeited</w:t>
            </w:r>
          </w:p>
        </w:tc>
        <w:tc>
          <w:tcPr>
            <w:tcW w:w="156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(5,218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3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75.10</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Nonvested Restricted Stock at December 31, 2021</w:t>
            </w:r>
          </w:p>
        </w:tc>
        <w:tc>
          <w:tcPr>
            <w:tcW w:w="15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351,601</w:t>
            </w:r>
          </w:p>
        </w:tc>
        <w:tc>
          <w:tcPr>
            <w:tcW w:w="100" w:type="dxa"/>
            <w:vAlign w:val="bottom"/>
          </w:tcPr>
          <w:p>
            <w:pPr>
              <w:spacing w:after="0"/>
              <w:rPr>
                <w:sz w:val="17"/>
                <w:szCs w:val="17"/>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87.73</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5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Expense related to restricted shares was approximately $3.4 million and $8.1 million for the three and nine months ended December 31, 2021, respectively, and $2.8 million and $8.2 million for the three and nine months ended December 31, 2020, respectively. At December 31, 2021, there was approximately $20.2 million of unearned compensation from restricted stock, which will be recognized over a weighted-average period of 2.3 years.</w:t>
      </w:r>
    </w:p>
    <w:p>
      <w:pPr>
        <w:spacing w:after="0" w:line="97"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3,377,311 at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20" w:type="dxa"/>
            <w:vAlign w:val="bottom"/>
          </w:tcPr>
          <w:p>
            <w:pPr>
              <w:spacing w:after="0"/>
              <w:rPr>
                <w:sz w:val="13"/>
                <w:szCs w:val="13"/>
                <w:color w:val="auto"/>
              </w:rPr>
            </w:pPr>
          </w:p>
        </w:tc>
        <w:tc>
          <w:tcPr>
            <w:tcW w:w="2940" w:type="dxa"/>
            <w:vAlign w:val="bottom"/>
            <w:gridSpan w:val="5"/>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6"/>
              </w:rPr>
              <w:t>For the Three Months Ended December 31,</w:t>
            </w:r>
          </w:p>
        </w:tc>
        <w:tc>
          <w:tcPr>
            <w:tcW w:w="140" w:type="dxa"/>
            <w:vAlign w:val="bottom"/>
          </w:tcPr>
          <w:p>
            <w:pPr>
              <w:spacing w:after="0"/>
              <w:rPr>
                <w:sz w:val="13"/>
                <w:szCs w:val="13"/>
                <w:color w:val="auto"/>
              </w:rPr>
            </w:pPr>
          </w:p>
        </w:tc>
        <w:tc>
          <w:tcPr>
            <w:tcW w:w="2840" w:type="dxa"/>
            <w:vAlign w:val="bottom"/>
            <w:gridSpan w:val="5"/>
            <w:shd w:val="clear" w:color="auto" w:fill="004483"/>
          </w:tcPr>
          <w:p>
            <w:pPr>
              <w:jc w:val="right"/>
              <w:ind w:right="259"/>
              <w:spacing w:after="0"/>
              <w:rPr>
                <w:sz w:val="20"/>
                <w:szCs w:val="20"/>
                <w:color w:val="auto"/>
              </w:rPr>
            </w:pPr>
            <w:r>
              <w:rPr>
                <w:rFonts w:ascii="Arial" w:cs="Arial" w:eastAsia="Arial" w:hAnsi="Arial"/>
                <w:sz w:val="13"/>
                <w:szCs w:val="13"/>
                <w:b w:val="1"/>
                <w:bCs w:val="1"/>
                <w:color w:val="FFFFFF"/>
                <w:w w:val="96"/>
              </w:rPr>
              <w:t>For the Nine Months Ended December 31,</w:t>
            </w:r>
          </w:p>
        </w:tc>
      </w:tr>
      <w:tr>
        <w:trPr>
          <w:trHeight w:val="169"/>
        </w:trPr>
        <w:tc>
          <w:tcPr>
            <w:tcW w:w="5320" w:type="dxa"/>
            <w:vAlign w:val="bottom"/>
            <w:tcBorders>
              <w:bottom w:val="single" w:sz="8" w:color="004483"/>
            </w:tcBorders>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140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40" w:type="dxa"/>
            <w:vAlign w:val="bottom"/>
            <w:tcBorders>
              <w:bottom w:val="single" w:sz="8" w:color="004483"/>
            </w:tcBorders>
          </w:tcPr>
          <w:p>
            <w:pPr>
              <w:spacing w:after="0"/>
              <w:rPr>
                <w:sz w:val="14"/>
                <w:szCs w:val="14"/>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38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r>
      <w:tr>
        <w:trPr>
          <w:trHeight w:val="189"/>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40,049,456</w:t>
            </w:r>
          </w:p>
        </w:tc>
        <w:tc>
          <w:tcPr>
            <w:tcW w:w="140" w:type="dxa"/>
            <w:vAlign w:val="bottom"/>
          </w:tcPr>
          <w:p>
            <w:pPr>
              <w:spacing w:after="0"/>
              <w:rPr>
                <w:sz w:val="16"/>
                <w:szCs w:val="16"/>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41,494,149</w:t>
            </w:r>
          </w:p>
        </w:tc>
        <w:tc>
          <w:tcPr>
            <w:tcW w:w="120" w:type="dxa"/>
            <w:vAlign w:val="bottom"/>
          </w:tcPr>
          <w:p>
            <w:pPr>
              <w:spacing w:after="0"/>
              <w:rPr>
                <w:sz w:val="16"/>
                <w:szCs w:val="16"/>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41,096,702</w:t>
            </w:r>
          </w:p>
        </w:tc>
        <w:tc>
          <w:tcPr>
            <w:tcW w:w="120" w:type="dxa"/>
            <w:vAlign w:val="bottom"/>
          </w:tcPr>
          <w:p>
            <w:pPr>
              <w:spacing w:after="0"/>
              <w:rPr>
                <w:sz w:val="16"/>
                <w:szCs w:val="16"/>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41,451,801</w:t>
            </w:r>
          </w:p>
        </w:tc>
        <w:tc>
          <w:tcPr>
            <w:tcW w:w="100" w:type="dxa"/>
            <w:vAlign w:val="bottom"/>
          </w:tcPr>
          <w:p>
            <w:pPr>
              <w:spacing w:after="0"/>
              <w:rPr>
                <w:sz w:val="16"/>
                <w:szCs w:val="16"/>
                <w:color w:val="auto"/>
              </w:rPr>
            </w:pPr>
          </w:p>
        </w:tc>
      </w:tr>
      <w:tr>
        <w:trPr>
          <w:trHeight w:val="183"/>
        </w:trPr>
        <w:tc>
          <w:tcPr>
            <w:tcW w:w="53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Effect of Dilutive Shares</w:t>
            </w:r>
          </w:p>
        </w:tc>
        <w:tc>
          <w:tcPr>
            <w:tcW w:w="128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32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Assumed Exercise of Outstanding Dilutive Options</w:t>
            </w: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492,344</w:t>
            </w:r>
          </w:p>
        </w:tc>
        <w:tc>
          <w:tcPr>
            <w:tcW w:w="140" w:type="dxa"/>
            <w:vAlign w:val="bottom"/>
          </w:tcPr>
          <w:p>
            <w:pPr>
              <w:spacing w:after="0"/>
              <w:rPr>
                <w:sz w:val="15"/>
                <w:szCs w:val="15"/>
                <w:color w:val="auto"/>
              </w:rPr>
            </w:pPr>
          </w:p>
        </w:tc>
        <w:tc>
          <w:tcPr>
            <w:tcW w:w="14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807,584</w:t>
            </w:r>
          </w:p>
        </w:tc>
        <w:tc>
          <w:tcPr>
            <w:tcW w:w="120" w:type="dxa"/>
            <w:vAlign w:val="bottom"/>
          </w:tcPr>
          <w:p>
            <w:pPr>
              <w:spacing w:after="0"/>
              <w:rPr>
                <w:sz w:val="15"/>
                <w:szCs w:val="15"/>
                <w:color w:val="auto"/>
              </w:rPr>
            </w:pPr>
          </w:p>
        </w:tc>
        <w:tc>
          <w:tcPr>
            <w:tcW w:w="138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568,699</w:t>
            </w:r>
          </w:p>
        </w:tc>
        <w:tc>
          <w:tcPr>
            <w:tcW w:w="120" w:type="dxa"/>
            <w:vAlign w:val="bottom"/>
          </w:tcPr>
          <w:p>
            <w:pPr>
              <w:spacing w:after="0"/>
              <w:rPr>
                <w:sz w:val="15"/>
                <w:szCs w:val="15"/>
                <w:color w:val="auto"/>
              </w:rPr>
            </w:pPr>
          </w:p>
        </w:tc>
        <w:tc>
          <w:tcPr>
            <w:tcW w:w="138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450,870</w:t>
            </w:r>
          </w:p>
        </w:tc>
        <w:tc>
          <w:tcPr>
            <w:tcW w:w="100" w:type="dxa"/>
            <w:vAlign w:val="bottom"/>
          </w:tcPr>
          <w:p>
            <w:pPr>
              <w:spacing w:after="0"/>
              <w:rPr>
                <w:sz w:val="15"/>
                <w:szCs w:val="15"/>
                <w:color w:val="auto"/>
              </w:rPr>
            </w:pPr>
          </w:p>
        </w:tc>
      </w:tr>
      <w:tr>
        <w:trPr>
          <w:trHeight w:val="183"/>
        </w:trPr>
        <w:tc>
          <w:tcPr>
            <w:tcW w:w="532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w w:val="99"/>
              </w:rPr>
              <w:t>Less Shares Repurchased from Proceeds of Assumed Exercised Options</w:t>
            </w: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(296,670</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(650,819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(362,568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(344,307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5320" w:type="dxa"/>
            <w:vAlign w:val="bottom"/>
          </w:tcPr>
          <w:p>
            <w:pPr>
              <w:ind w:left="120"/>
              <w:spacing w:after="0" w:line="183" w:lineRule="exact"/>
              <w:rPr>
                <w:sz w:val="20"/>
                <w:szCs w:val="20"/>
                <w:color w:val="auto"/>
              </w:rPr>
            </w:pPr>
            <w:r>
              <w:rPr>
                <w:rFonts w:ascii="Arial" w:cs="Arial" w:eastAsia="Arial" w:hAnsi="Arial"/>
                <w:sz w:val="16"/>
                <w:szCs w:val="16"/>
                <w:color w:val="004483"/>
              </w:rPr>
              <w:t>Restricted Stock Units</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212,919</w:t>
            </w:r>
          </w:p>
        </w:tc>
        <w:tc>
          <w:tcPr>
            <w:tcW w:w="140" w:type="dxa"/>
            <w:vAlign w:val="bottom"/>
          </w:tcPr>
          <w:p>
            <w:pPr>
              <w:spacing w:after="0"/>
              <w:rPr>
                <w:sz w:val="15"/>
                <w:szCs w:val="15"/>
                <w:color w:val="auto"/>
              </w:rPr>
            </w:pPr>
          </w:p>
        </w:tc>
        <w:tc>
          <w:tcPr>
            <w:tcW w:w="14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183,676</w:t>
            </w:r>
          </w:p>
        </w:tc>
        <w:tc>
          <w:tcPr>
            <w:tcW w:w="120" w:type="dxa"/>
            <w:vAlign w:val="bottom"/>
          </w:tcPr>
          <w:p>
            <w:pPr>
              <w:spacing w:after="0"/>
              <w:rPr>
                <w:sz w:val="15"/>
                <w:szCs w:val="15"/>
                <w:color w:val="auto"/>
              </w:rPr>
            </w:pPr>
          </w:p>
        </w:tc>
        <w:tc>
          <w:tcPr>
            <w:tcW w:w="1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190,506</w:t>
            </w:r>
          </w:p>
        </w:tc>
        <w:tc>
          <w:tcPr>
            <w:tcW w:w="120" w:type="dxa"/>
            <w:vAlign w:val="bottom"/>
          </w:tcPr>
          <w:p>
            <w:pPr>
              <w:spacing w:after="0"/>
              <w:rPr>
                <w:sz w:val="15"/>
                <w:szCs w:val="15"/>
                <w:color w:val="auto"/>
              </w:rPr>
            </w:pPr>
          </w:p>
        </w:tc>
        <w:tc>
          <w:tcPr>
            <w:tcW w:w="1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124,177</w:t>
            </w:r>
          </w:p>
        </w:tc>
        <w:tc>
          <w:tcPr>
            <w:tcW w:w="100" w:type="dxa"/>
            <w:vAlign w:val="bottom"/>
          </w:tcPr>
          <w:p>
            <w:pPr>
              <w:spacing w:after="0"/>
              <w:rPr>
                <w:sz w:val="15"/>
                <w:szCs w:val="15"/>
                <w:color w:val="auto"/>
              </w:rPr>
            </w:pPr>
          </w:p>
        </w:tc>
      </w:tr>
      <w:tr>
        <w:trPr>
          <w:trHeight w:val="27"/>
        </w:trPr>
        <w:tc>
          <w:tcPr>
            <w:tcW w:w="5320" w:type="dxa"/>
            <w:vAlign w:val="bottom"/>
            <w:tcBorders>
              <w:bottom w:val="single" w:sz="8" w:color="A6A6A6"/>
            </w:tcBorders>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4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5320" w:type="dxa"/>
            <w:vAlign w:val="bottom"/>
          </w:tcPr>
          <w:p>
            <w:pPr>
              <w:ind w:left="20"/>
              <w:spacing w:after="0" w:line="183" w:lineRule="exact"/>
              <w:rPr>
                <w:sz w:val="20"/>
                <w:szCs w:val="20"/>
                <w:color w:val="auto"/>
              </w:rPr>
            </w:pPr>
            <w:r>
              <w:rPr>
                <w:rFonts w:ascii="Arial" w:cs="Arial" w:eastAsia="Arial" w:hAnsi="Arial"/>
                <w:sz w:val="16"/>
                <w:szCs w:val="16"/>
                <w:b w:val="1"/>
                <w:bCs w:val="1"/>
                <w:color w:val="auto"/>
                <w:w w:val="98"/>
              </w:rPr>
              <w:t>Weighted-Average Common Stock and Dilutive Securities Outstanding</w:t>
            </w: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40,458,049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41,834,590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41,493,339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41,682,541</w:t>
            </w:r>
          </w:p>
        </w:tc>
        <w:tc>
          <w:tcPr>
            <w:tcW w:w="100" w:type="dxa"/>
            <w:vAlign w:val="bottom"/>
          </w:tcPr>
          <w:p>
            <w:pPr>
              <w:spacing w:after="0"/>
              <w:rPr>
                <w:sz w:val="15"/>
                <w:szCs w:val="15"/>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32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Shares Excluded Due to Anti-dilution Effects</w:t>
            </w:r>
          </w:p>
        </w:tc>
        <w:tc>
          <w:tcPr>
            <w:tcW w:w="12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7,528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413,656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4,298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757,879</w:t>
            </w:r>
          </w:p>
        </w:tc>
        <w:tc>
          <w:tcPr>
            <w:tcW w:w="100" w:type="dxa"/>
            <w:vAlign w:val="bottom"/>
          </w:tcPr>
          <w:p>
            <w:pPr>
              <w:spacing w:after="0"/>
              <w:rPr>
                <w:sz w:val="14"/>
                <w:szCs w:val="14"/>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13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defined benefit plans are all fully funded, with plan assets exceeding the benefit obligation at March 31, 2021. Due to the frozen status, and current funding of the single-employer pension plans, our expected pension expense for fiscal 2022 is less than $0.1 million for the fiscal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(L) INCOME TAXES</w:t>
      </w:r>
    </w:p>
    <w:p>
      <w:pPr>
        <w:spacing w:after="0" w:line="14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nine months ended December 31, 2021 was approximately 22%, which was consistent with the effective tax rate of 22% for the nine months ended December 31, 2020. The effective tax rate was higher than the U.S. Statutory rate of 21% mainly due to state income taxes, partially offset by a benefit recognized related to percentage depletion.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December 31, 2021 was as follows:</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746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1240" w:type="dxa"/>
            <w:vAlign w:val="bottom"/>
            <w:gridSpan w:val="2"/>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December 31,</w:t>
            </w:r>
          </w:p>
        </w:tc>
        <w:tc>
          <w:tcPr>
            <w:tcW w:w="180" w:type="dxa"/>
            <w:vAlign w:val="bottom"/>
            <w:shd w:val="clear" w:color="auto" w:fill="004483"/>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1040" w:type="dxa"/>
            <w:vAlign w:val="bottom"/>
            <w:gridSpan w:val="2"/>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March 31,</w:t>
            </w:r>
          </w:p>
        </w:tc>
      </w:tr>
      <w:tr>
        <w:trPr>
          <w:trHeight w:val="134"/>
        </w:trPr>
        <w:tc>
          <w:tcPr>
            <w:tcW w:w="7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r>
      <w:tr>
        <w:trPr>
          <w:trHeight w:val="183"/>
        </w:trPr>
        <w:tc>
          <w:tcPr>
            <w:tcW w:w="746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4"/>
          </w:tcPr>
          <w:p>
            <w:pPr>
              <w:jc w:val="right"/>
              <w:ind w:right="184"/>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4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6"/>
                <w:szCs w:val="16"/>
                <w:color w:val="auto"/>
              </w:rPr>
            </w:pPr>
          </w:p>
        </w:tc>
        <w:tc>
          <w:tcPr>
            <w:tcW w:w="820" w:type="dxa"/>
            <w:vAlign w:val="bottom"/>
            <w:tcBorders>
              <w:bottom w:val="single" w:sz="8" w:color="A6A6A6"/>
            </w:tcBorders>
            <w:gridSpan w:val="2"/>
          </w:tcPr>
          <w:p>
            <w:pPr>
              <w:jc w:val="right"/>
              <w:ind w:right="484"/>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3"/>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2.500% Senior Unsecured Notes Due 2031</w:t>
            </w:r>
          </w:p>
        </w:tc>
        <w:tc>
          <w:tcPr>
            <w:tcW w:w="4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r>
      <w:tr>
        <w:trPr>
          <w:trHeight w:val="183"/>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4.500% Senior Unsecured Notes Due 2026</w:t>
            </w:r>
          </w:p>
        </w:tc>
        <w:tc>
          <w:tcPr>
            <w:tcW w:w="4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350,000</w:t>
            </w:r>
          </w:p>
        </w:tc>
        <w:tc>
          <w:tcPr>
            <w:tcW w:w="120" w:type="dxa"/>
            <w:vAlign w:val="bottom"/>
          </w:tcPr>
          <w:p>
            <w:pPr>
              <w:spacing w:after="0"/>
              <w:rPr>
                <w:sz w:val="15"/>
                <w:szCs w:val="15"/>
                <w:color w:val="auto"/>
              </w:rPr>
            </w:pPr>
          </w:p>
        </w:tc>
      </w:tr>
      <w:tr>
        <w:trPr>
          <w:trHeight w:val="210"/>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Term Loan</w:t>
            </w:r>
          </w:p>
        </w:tc>
        <w:tc>
          <w:tcPr>
            <w:tcW w:w="46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665,000</w:t>
            </w:r>
          </w:p>
        </w:tc>
        <w:tc>
          <w:tcPr>
            <w:tcW w:w="120" w:type="dxa"/>
            <w:vAlign w:val="bottom"/>
          </w:tcPr>
          <w:p>
            <w:pPr>
              <w:spacing w:after="0"/>
              <w:rPr>
                <w:sz w:val="18"/>
                <w:szCs w:val="18"/>
                <w:color w:val="auto"/>
              </w:rPr>
            </w:pPr>
          </w:p>
        </w:tc>
      </w:tr>
      <w:tr>
        <w:trPr>
          <w:trHeight w:val="183"/>
        </w:trPr>
        <w:tc>
          <w:tcPr>
            <w:tcW w:w="7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Total Debt</w:t>
            </w:r>
          </w:p>
        </w:tc>
        <w:tc>
          <w:tcPr>
            <w:tcW w:w="46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850,000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1,015,000</w:t>
            </w:r>
          </w:p>
        </w:tc>
        <w:tc>
          <w:tcPr>
            <w:tcW w:w="120" w:type="dxa"/>
            <w:vAlign w:val="bottom"/>
          </w:tcPr>
          <w:p>
            <w:pPr>
              <w:spacing w:after="0"/>
              <w:rPr>
                <w:sz w:val="15"/>
                <w:szCs w:val="15"/>
                <w:color w:val="auto"/>
              </w:rPr>
            </w:pPr>
          </w:p>
        </w:tc>
      </w:tr>
      <w:tr>
        <w:trPr>
          <w:trHeight w:val="182"/>
        </w:trPr>
        <w:tc>
          <w:tcPr>
            <w:tcW w:w="7460" w:type="dxa"/>
            <w:vAlign w:val="bottom"/>
          </w:tcPr>
          <w:p>
            <w:pPr>
              <w:ind w:left="20"/>
              <w:spacing w:after="0" w:line="183" w:lineRule="exact"/>
              <w:rPr>
                <w:sz w:val="20"/>
                <w:szCs w:val="20"/>
                <w:color w:val="auto"/>
              </w:rPr>
            </w:pPr>
            <w:r>
              <w:rPr>
                <w:rFonts w:ascii="Arial" w:cs="Arial" w:eastAsia="Arial" w:hAnsi="Arial"/>
                <w:sz w:val="16"/>
                <w:szCs w:val="16"/>
                <w:color w:val="004483"/>
              </w:rPr>
              <w:t>Less: Unamortized Discounts and Debt Issuance Costs</w:t>
            </w:r>
          </w:p>
        </w:tc>
        <w:tc>
          <w:tcPr>
            <w:tcW w:w="46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(12,051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(6,384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7"/>
        </w:trPr>
        <w:tc>
          <w:tcPr>
            <w:tcW w:w="746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746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Long-term Debt</w:t>
            </w:r>
          </w:p>
        </w:tc>
        <w:tc>
          <w:tcPr>
            <w:tcW w:w="460" w:type="dxa"/>
            <w:vAlign w:val="bottom"/>
            <w:tcBorders>
              <w:bottom w:val="single" w:sz="8" w:color="004483"/>
            </w:tcBorders>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837,949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004483"/>
            </w:tcBorders>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1,008,616</w:t>
            </w:r>
          </w:p>
        </w:tc>
        <w:tc>
          <w:tcPr>
            <w:tcW w:w="120" w:type="dxa"/>
            <w:vAlign w:val="bottom"/>
          </w:tcPr>
          <w:p>
            <w:pPr>
              <w:spacing w:after="0"/>
              <w:rPr>
                <w:sz w:val="15"/>
                <w:szCs w:val="15"/>
                <w:color w:val="auto"/>
              </w:rPr>
            </w:pPr>
          </w:p>
        </w:tc>
      </w:tr>
      <w:tr>
        <w:trPr>
          <w:trHeight w:val="20"/>
        </w:trPr>
        <w:tc>
          <w:tcPr>
            <w:tcW w:w="746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6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On July 1, 2021, we terminated our previous revolving credit facility and entered into an unsecured $750.0 million revolving credit facility (the Revolving Credit Facility), which terminates on July 1, 2026. The Revolving Credit Facility also provides the Company the option to increase the borrowing capacity by up to $375.0 million (for a total borrowing capacity of $1,125 million), provided that the existing lenders, or new lenders, agree to such increase. The Revolving Credit Facility includes a $40.0 million letter of credit facility and a swingline loan sub-facility of $25.0 million.</w:t>
      </w:r>
    </w:p>
    <w:p>
      <w:pPr>
        <w:spacing w:after="0" w:line="98"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98"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At the Company’s option, principal amounts outstanding under the Revolving Credit Facility bear interest at a variable rate equal to either (i) the Adjusted LIBO Rate (as defined in the Revolving Credit Facility) plus an agreed spread (ranging from 100 to 162.5 basis points, which is established based on the Company's credit rating); or (ii)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LIBO Rate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6" w:name="page17"/>
    <w:bookmarkEnd w:id="16"/>
    <w:p>
      <w:pPr>
        <w:spacing w:after="0" w:line="284"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96"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There was $100.0 million of outstanding borrowings under the Revolving Credit Facility, plus $5.0 million outstanding letters of credit as of December 31, 2021, leaving us with $645.0 million of available borrowings under the Revolving Credit Facility, net of the outstanding letters of credit. We were in compliance with all Financial Covenants on December 31, 2021; therefore, all $645.0 million is available for future borrowings.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ten-year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of Debt</w:t>
      </w:r>
    </w:p>
    <w:p>
      <w:pPr>
        <w:spacing w:after="0" w:line="166"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In connection with the issuance of the 2.500% Senior Unsecured Notes on July 1, 2021, we repaid all outstanding amounts under and terminated our $665.0 million term loan credit agreement (the Term Loan Facility). The Term Loan Facility was used to pay a portion of the purchase price for the Kosmos Acquisition and fees and expenses incurred in connection with the Kosmos Acquisition in March 2020. Additionally, on July 19, 2021, (the first business day following the redemption date), we redeemed and paid in full all outstanding amounts due under the $350.0 million aggregate principal amount of 4.500% senior notes (4.500% Senior Unsecured Notes) due August 2026, using proceeds from the 2.500% Senior Unsecured Notes, the Revolving Credit Facility and cash on hand. The 4.500% Senior Unsecured Notes redemption price included all of the outstanding principal and accrued interest through the redemption date of July 17, 2021, as well as an early termination premium of approximately $8.4 million. In connection with the termination and repayment of the Term Loan Facility and the redemption of the 4.500% Senior Unsecured Notes, we expensed approximately $6.1 million of related debt issuance costs in July 2021.</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 SEGMENT INFORMATION</w:t>
      </w:r>
    </w:p>
    <w:p>
      <w:pPr>
        <w:spacing w:after="0" w:line="134"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 On September 18, 2020, we sold our Oil and Gas Proppants business, which had been reported as an operating segment. The Oil and Gas Proppants business was determined to meet the discontinued operations accounting criteria; therefore, this segment is no longer separately reported in our reportable segment footnote for any of the periods presented. Certain expenses of the Oil and Gas Proppants business that related to assets not included in the sale, namely real property and equipment in south Texas, real property in Illinois, and certain other assets, are included in Other when reconciling segment operating earnings to consolidated operating earnings. See Footnote (C) for more information about the sale of the Oil and Gas Proppants business.</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29 cement distribution terminals. Our cement companies focus on the U.S. heartland and operate as an integrated network selling product primarily in California, Colorado, Illinois, Indiana, Iowa, Kansas, Kentucky, Missouri, Nebraska, Nevada, Ohio, Oklahoma, and Texas. We operate 26 readymix concrete batch plants and three aggregates processing plants in markets that are complementary to our cement network. On April 17, 2020, we sold our Concrete and Aggregates companies in northern California. See Footnote (C) for more information about the sale.</w:t>
      </w:r>
    </w:p>
    <w:p>
      <w:pPr>
        <w:spacing w:after="0" w:line="96"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ind w:right="260"/>
        <w:spacing w:after="0" w:line="293"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20" w:type="dxa"/>
            <w:vAlign w:val="bottom"/>
            <w:tcBorders>
              <w:right w:val="single" w:sz="8" w:color="004483"/>
            </w:tcBorders>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780" w:type="dxa"/>
            <w:vAlign w:val="bottom"/>
            <w:gridSpan w:val="8"/>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0"/>
              </w:rPr>
              <w:t>For the Three Months Ended December 31,</w:t>
            </w:r>
          </w:p>
        </w:tc>
        <w:tc>
          <w:tcPr>
            <w:tcW w:w="14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740" w:type="dxa"/>
            <w:vAlign w:val="bottom"/>
            <w:gridSpan w:val="6"/>
            <w:shd w:val="clear" w:color="auto" w:fill="004483"/>
          </w:tcPr>
          <w:p>
            <w:pPr>
              <w:jc w:val="right"/>
              <w:ind w:right="299"/>
              <w:spacing w:after="0"/>
              <w:rPr>
                <w:sz w:val="20"/>
                <w:szCs w:val="20"/>
                <w:color w:val="auto"/>
              </w:rPr>
            </w:pPr>
            <w:r>
              <w:rPr>
                <w:rFonts w:ascii="Arial" w:cs="Arial" w:eastAsia="Arial" w:hAnsi="Arial"/>
                <w:sz w:val="13"/>
                <w:szCs w:val="13"/>
                <w:b w:val="1"/>
                <w:bCs w:val="1"/>
                <w:color w:val="FFFFFF"/>
                <w:w w:val="90"/>
              </w:rPr>
              <w:t>For the Nine Months Ended December 31,</w:t>
            </w:r>
          </w:p>
        </w:tc>
      </w:tr>
      <w:tr>
        <w:trPr>
          <w:trHeight w:val="134"/>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r>
      <w:tr>
        <w:trPr>
          <w:trHeight w:val="183"/>
        </w:trPr>
        <w:tc>
          <w:tcPr>
            <w:tcW w:w="52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c>
          <w:tcPr>
            <w:tcW w:w="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2500" w:type="dxa"/>
            <w:vAlign w:val="bottom"/>
            <w:tcBorders>
              <w:bottom w:val="single" w:sz="8" w:color="004483"/>
            </w:tcBorders>
            <w:gridSpan w:val="6"/>
          </w:tcPr>
          <w:p>
            <w:pPr>
              <w:jc w:val="right"/>
              <w:ind w:right="91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44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6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180" w:type="dxa"/>
            <w:vAlign w:val="bottom"/>
            <w:tcBorders>
              <w:bottom w:val="single" w:sz="8" w:color="A6A6A6"/>
            </w:tcBorders>
          </w:tcPr>
          <w:p>
            <w:pPr>
              <w:jc w:val="right"/>
              <w:ind w:right="22"/>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261,155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6A6A6"/>
            </w:tcBorders>
            <w:gridSpan w:val="3"/>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234,092</w:t>
            </w:r>
          </w:p>
        </w:tc>
        <w:tc>
          <w:tcPr>
            <w:tcW w:w="100" w:type="dxa"/>
            <w:vAlign w:val="bottom"/>
          </w:tcPr>
          <w:p>
            <w:pPr>
              <w:spacing w:after="0"/>
              <w:rPr>
                <w:sz w:val="15"/>
                <w:szCs w:val="15"/>
                <w:color w:val="auto"/>
              </w:rPr>
            </w:pPr>
          </w:p>
        </w:tc>
        <w:tc>
          <w:tcPr>
            <w:tcW w:w="320" w:type="dxa"/>
            <w:vAlign w:val="bottom"/>
            <w:tcBorders>
              <w:bottom w:val="single" w:sz="8" w:color="A6A6A6"/>
            </w:tcBorders>
            <w:gridSpan w:val="2"/>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819,734</w:t>
            </w:r>
          </w:p>
        </w:tc>
        <w:tc>
          <w:tcPr>
            <w:tcW w:w="120" w:type="dxa"/>
            <w:vAlign w:val="bottom"/>
          </w:tcPr>
          <w:p>
            <w:pPr>
              <w:spacing w:after="0"/>
              <w:rPr>
                <w:sz w:val="15"/>
                <w:szCs w:val="15"/>
                <w:color w:val="auto"/>
              </w:rPr>
            </w:pPr>
          </w:p>
        </w:tc>
        <w:tc>
          <w:tcPr>
            <w:tcW w:w="480" w:type="dxa"/>
            <w:vAlign w:val="bottom"/>
            <w:tcBorders>
              <w:bottom w:val="single" w:sz="8" w:color="A6A6A6"/>
            </w:tcBorders>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773,565</w:t>
            </w:r>
          </w:p>
        </w:tc>
        <w:tc>
          <w:tcPr>
            <w:tcW w:w="100" w:type="dxa"/>
            <w:vAlign w:val="bottom"/>
          </w:tcPr>
          <w:p>
            <w:pPr>
              <w:spacing w:after="0"/>
              <w:rPr>
                <w:sz w:val="15"/>
                <w:szCs w:val="15"/>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42,384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43,530</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139,888</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134,020</w:t>
            </w:r>
          </w:p>
        </w:tc>
        <w:tc>
          <w:tcPr>
            <w:tcW w:w="100" w:type="dxa"/>
            <w:vAlign w:val="bottom"/>
          </w:tcPr>
          <w:p>
            <w:pPr>
              <w:spacing w:after="0"/>
              <w:rPr>
                <w:sz w:val="15"/>
                <w:szCs w:val="15"/>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163,584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135,658</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502,836</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397,018</w:t>
            </w:r>
          </w:p>
        </w:tc>
        <w:tc>
          <w:tcPr>
            <w:tcW w:w="100" w:type="dxa"/>
            <w:vAlign w:val="bottom"/>
          </w:tcPr>
          <w:p>
            <w:pPr>
              <w:spacing w:after="0"/>
              <w:rPr>
                <w:sz w:val="15"/>
                <w:szCs w:val="15"/>
                <w:color w:val="auto"/>
              </w:rPr>
            </w:pPr>
          </w:p>
        </w:tc>
      </w:tr>
      <w:tr>
        <w:trPr>
          <w:trHeight w:val="210"/>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Paperboard</w:t>
            </w:r>
          </w:p>
        </w:tc>
        <w:tc>
          <w:tcPr>
            <w:tcW w:w="1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49,763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39,602</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140,828</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122,417</w:t>
            </w:r>
          </w:p>
        </w:tc>
        <w:tc>
          <w:tcPr>
            <w:tcW w:w="100" w:type="dxa"/>
            <w:vAlign w:val="bottom"/>
          </w:tcPr>
          <w:p>
            <w:pPr>
              <w:spacing w:after="0"/>
              <w:rPr>
                <w:sz w:val="18"/>
                <w:szCs w:val="18"/>
                <w:color w:val="auto"/>
              </w:rPr>
            </w:pPr>
          </w:p>
        </w:tc>
      </w:tr>
      <w:tr>
        <w:trPr>
          <w:trHeight w:val="183"/>
        </w:trPr>
        <w:tc>
          <w:tcPr>
            <w:tcW w:w="52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516,886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452,882</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1,603,286</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1,427,020</w:t>
            </w:r>
          </w:p>
        </w:tc>
        <w:tc>
          <w:tcPr>
            <w:tcW w:w="100" w:type="dxa"/>
            <w:vAlign w:val="bottom"/>
          </w:tcPr>
          <w:p>
            <w:pPr>
              <w:spacing w:after="0"/>
              <w:rPr>
                <w:sz w:val="15"/>
                <w:szCs w:val="15"/>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Less: Intersegment Revenue</w:t>
            </w: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(26,539</w:t>
            </w:r>
          </w:p>
        </w:tc>
        <w:tc>
          <w:tcPr>
            <w:tcW w:w="1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(21,105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(77,858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(68,077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5220" w:type="dxa"/>
            <w:vAlign w:val="bottom"/>
          </w:tcPr>
          <w:p>
            <w:pPr>
              <w:ind w:left="200"/>
              <w:spacing w:after="0" w:line="183" w:lineRule="exact"/>
              <w:rPr>
                <w:sz w:val="20"/>
                <w:szCs w:val="20"/>
                <w:color w:val="auto"/>
              </w:rPr>
            </w:pPr>
            <w:r>
              <w:rPr>
                <w:rFonts w:ascii="Arial" w:cs="Arial" w:eastAsia="Arial" w:hAnsi="Arial"/>
                <w:sz w:val="16"/>
                <w:szCs w:val="16"/>
                <w:color w:val="004483"/>
              </w:rPr>
              <w:t>Less: Joint Venture Revenue</w:t>
            </w:r>
          </w:p>
        </w:tc>
        <w:tc>
          <w:tcPr>
            <w:tcW w:w="1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(27,406</w:t>
            </w:r>
          </w:p>
        </w:tc>
        <w:tc>
          <w:tcPr>
            <w:tcW w:w="1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(27,110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(77,023</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(79,603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7"/>
        </w:trPr>
        <w:tc>
          <w:tcPr>
            <w:tcW w:w="5220" w:type="dxa"/>
            <w:vAlign w:val="bottom"/>
            <w:tcBorders>
              <w:bottom w:val="single" w:sz="8" w:color="A6A6A6"/>
              <w:right w:val="single" w:sz="8" w:color="004483"/>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60" w:type="dxa"/>
            <w:vAlign w:val="bottom"/>
            <w:tcBorders>
              <w:bottom w:val="single" w:sz="8" w:color="004483"/>
            </w:tcBorders>
            <w:shd w:val="clear" w:color="auto" w:fill="004483"/>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5220" w:type="dxa"/>
            <w:vAlign w:val="bottom"/>
          </w:tcPr>
          <w:p>
            <w:pPr>
              <w:spacing w:after="0"/>
              <w:rPr>
                <w:sz w:val="15"/>
                <w:szCs w:val="15"/>
                <w:color w:val="auto"/>
              </w:rPr>
            </w:pPr>
          </w:p>
        </w:tc>
        <w:tc>
          <w:tcPr>
            <w:tcW w:w="180" w:type="dxa"/>
            <w:vAlign w:val="bottom"/>
            <w:tcBorders>
              <w:bottom w:val="single" w:sz="8" w:color="004483"/>
            </w:tcBorders>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462,941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004483"/>
            </w:tcBorders>
          </w:tcPr>
          <w:p>
            <w:pPr>
              <w:jc w:val="right"/>
              <w:ind w:right="259"/>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404,667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1,448,405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004483"/>
            </w:tcBorders>
          </w:tcPr>
          <w:p>
            <w:pPr>
              <w:jc w:val="right"/>
              <w:ind w:right="179"/>
              <w:spacing w:after="0" w:line="183" w:lineRule="exact"/>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1,279,340</w:t>
            </w:r>
          </w:p>
        </w:tc>
        <w:tc>
          <w:tcPr>
            <w:tcW w:w="100" w:type="dxa"/>
            <w:vAlign w:val="bottom"/>
          </w:tcPr>
          <w:p>
            <w:pPr>
              <w:spacing w:after="0"/>
              <w:rPr>
                <w:sz w:val="15"/>
                <w:szCs w:val="15"/>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1520" w:type="dxa"/>
            <w:vAlign w:val="bottom"/>
            <w:gridSpan w:val="4"/>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6"/>
          </w:tcPr>
          <w:p>
            <w:pPr>
              <w:spacing w:after="0"/>
              <w:rPr>
                <w:sz w:val="19"/>
                <w:szCs w:val="19"/>
                <w:color w:val="auto"/>
              </w:rPr>
            </w:pPr>
          </w:p>
        </w:tc>
      </w:tr>
      <w:tr>
        <w:trPr>
          <w:trHeight w:val="148"/>
        </w:trPr>
        <w:tc>
          <w:tcPr>
            <w:tcW w:w="5220" w:type="dxa"/>
            <w:vAlign w:val="bottom"/>
          </w:tcPr>
          <w:p>
            <w:pPr>
              <w:spacing w:after="0"/>
              <w:rPr>
                <w:sz w:val="12"/>
                <w:szCs w:val="12"/>
                <w:color w:val="auto"/>
              </w:rPr>
            </w:pPr>
          </w:p>
        </w:tc>
        <w:tc>
          <w:tcPr>
            <w:tcW w:w="180" w:type="dxa"/>
            <w:vAlign w:val="bottom"/>
            <w:shd w:val="clear" w:color="auto" w:fill="004483"/>
          </w:tcPr>
          <w:p>
            <w:pPr>
              <w:spacing w:after="0"/>
              <w:rPr>
                <w:sz w:val="12"/>
                <w:szCs w:val="12"/>
                <w:color w:val="auto"/>
              </w:rPr>
            </w:pPr>
          </w:p>
        </w:tc>
        <w:tc>
          <w:tcPr>
            <w:tcW w:w="2780" w:type="dxa"/>
            <w:vAlign w:val="bottom"/>
            <w:gridSpan w:val="8"/>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0"/>
              </w:rPr>
              <w:t>For the Three Months Ended December 31,</w:t>
            </w:r>
          </w:p>
        </w:tc>
        <w:tc>
          <w:tcPr>
            <w:tcW w:w="140" w:type="dxa"/>
            <w:vAlign w:val="bottom"/>
          </w:tcPr>
          <w:p>
            <w:pPr>
              <w:spacing w:after="0"/>
              <w:rPr>
                <w:sz w:val="12"/>
                <w:szCs w:val="12"/>
                <w:color w:val="auto"/>
              </w:rPr>
            </w:pPr>
          </w:p>
        </w:tc>
        <w:tc>
          <w:tcPr>
            <w:tcW w:w="180" w:type="dxa"/>
            <w:vAlign w:val="bottom"/>
            <w:shd w:val="clear" w:color="auto" w:fill="004483"/>
          </w:tcPr>
          <w:p>
            <w:pPr>
              <w:spacing w:after="0"/>
              <w:rPr>
                <w:sz w:val="12"/>
                <w:szCs w:val="12"/>
                <w:color w:val="auto"/>
              </w:rPr>
            </w:pPr>
          </w:p>
        </w:tc>
        <w:tc>
          <w:tcPr>
            <w:tcW w:w="2740" w:type="dxa"/>
            <w:vAlign w:val="bottom"/>
            <w:gridSpan w:val="6"/>
            <w:shd w:val="clear" w:color="auto" w:fill="004483"/>
          </w:tcPr>
          <w:p>
            <w:pPr>
              <w:jc w:val="right"/>
              <w:ind w:right="299"/>
              <w:spacing w:after="0"/>
              <w:rPr>
                <w:sz w:val="20"/>
                <w:szCs w:val="20"/>
                <w:color w:val="auto"/>
              </w:rPr>
            </w:pPr>
            <w:r>
              <w:rPr>
                <w:rFonts w:ascii="Arial" w:cs="Arial" w:eastAsia="Arial" w:hAnsi="Arial"/>
                <w:sz w:val="13"/>
                <w:szCs w:val="13"/>
                <w:b w:val="1"/>
                <w:bCs w:val="1"/>
                <w:color w:val="FFFFFF"/>
                <w:w w:val="90"/>
              </w:rPr>
              <w:t>For the Nine Months Ended December 31,</w:t>
            </w:r>
          </w:p>
        </w:tc>
      </w:tr>
      <w:tr>
        <w:trPr>
          <w:trHeight w:val="134"/>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r>
      <w:tr>
        <w:trPr>
          <w:trHeight w:val="183"/>
        </w:trPr>
        <w:tc>
          <w:tcPr>
            <w:tcW w:w="52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c>
          <w:tcPr>
            <w:tcW w:w="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2500" w:type="dxa"/>
            <w:vAlign w:val="bottom"/>
            <w:tcBorders>
              <w:bottom w:val="single" w:sz="8" w:color="004483"/>
            </w:tcBorders>
            <w:gridSpan w:val="6"/>
          </w:tcPr>
          <w:p>
            <w:pPr>
              <w:jc w:val="right"/>
              <w:ind w:right="91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18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44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6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Cement</w:t>
            </w:r>
          </w:p>
        </w:tc>
        <w:tc>
          <w:tcPr>
            <w:tcW w:w="180" w:type="dxa"/>
            <w:vAlign w:val="bottom"/>
            <w:tcBorders>
              <w:bottom w:val="single" w:sz="8" w:color="A6A6A6"/>
            </w:tcBorders>
          </w:tcPr>
          <w:p>
            <w:pPr>
              <w:jc w:val="right"/>
              <w:ind w:right="2"/>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5,301</w:t>
            </w:r>
          </w:p>
        </w:tc>
        <w:tc>
          <w:tcPr>
            <w:tcW w:w="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6A6A6"/>
            </w:tcBorders>
            <w:gridSpan w:val="2"/>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5,241</w:t>
            </w:r>
          </w:p>
        </w:tc>
        <w:tc>
          <w:tcPr>
            <w:tcW w:w="100" w:type="dxa"/>
            <w:vAlign w:val="bottom"/>
          </w:tcPr>
          <w:p>
            <w:pPr>
              <w:spacing w:after="0"/>
              <w:rPr>
                <w:sz w:val="15"/>
                <w:szCs w:val="15"/>
                <w:color w:val="auto"/>
              </w:rPr>
            </w:pPr>
          </w:p>
        </w:tc>
        <w:tc>
          <w:tcPr>
            <w:tcW w:w="320" w:type="dxa"/>
            <w:vAlign w:val="bottom"/>
            <w:tcBorders>
              <w:bottom w:val="single" w:sz="8" w:color="A6A6A6"/>
            </w:tcBorders>
            <w:gridSpan w:val="2"/>
          </w:tcPr>
          <w:p>
            <w:pPr>
              <w:jc w:val="right"/>
              <w:ind w:right="24"/>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18,357</w:t>
            </w:r>
          </w:p>
        </w:tc>
        <w:tc>
          <w:tcPr>
            <w:tcW w:w="120" w:type="dxa"/>
            <w:vAlign w:val="bottom"/>
          </w:tcPr>
          <w:p>
            <w:pPr>
              <w:spacing w:after="0"/>
              <w:rPr>
                <w:sz w:val="15"/>
                <w:szCs w:val="15"/>
                <w:color w:val="auto"/>
              </w:rPr>
            </w:pPr>
          </w:p>
        </w:tc>
        <w:tc>
          <w:tcPr>
            <w:tcW w:w="480" w:type="dxa"/>
            <w:vAlign w:val="bottom"/>
            <w:tcBorders>
              <w:bottom w:val="single" w:sz="8" w:color="A6A6A6"/>
            </w:tcBorders>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17,539</w:t>
            </w:r>
          </w:p>
        </w:tc>
        <w:tc>
          <w:tcPr>
            <w:tcW w:w="100" w:type="dxa"/>
            <w:vAlign w:val="bottom"/>
          </w:tcPr>
          <w:p>
            <w:pPr>
              <w:spacing w:after="0"/>
              <w:rPr>
                <w:sz w:val="15"/>
                <w:szCs w:val="15"/>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106</w:t>
            </w:r>
          </w:p>
        </w:tc>
        <w:tc>
          <w:tcPr>
            <w:tcW w:w="100" w:type="dxa"/>
            <w:vAlign w:val="bottom"/>
          </w:tcPr>
          <w:p>
            <w:pPr>
              <w:spacing w:after="0"/>
              <w:rPr>
                <w:sz w:val="15"/>
                <w:szCs w:val="15"/>
                <w:color w:val="auto"/>
              </w:rPr>
            </w:pPr>
          </w:p>
        </w:tc>
      </w:tr>
      <w:tr>
        <w:trPr>
          <w:trHeight w:val="210"/>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Paperboard</w:t>
            </w:r>
          </w:p>
        </w:tc>
        <w:tc>
          <w:tcPr>
            <w:tcW w:w="1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21,238</w:t>
            </w:r>
          </w:p>
        </w:tc>
        <w:tc>
          <w:tcPr>
            <w:tcW w:w="20" w:type="dxa"/>
            <w:vAlign w:val="bottom"/>
            <w:tcBorders>
              <w:bottom w:val="single" w:sz="8" w:color="004483"/>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15,864</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59,501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50,432</w:t>
            </w:r>
          </w:p>
        </w:tc>
        <w:tc>
          <w:tcPr>
            <w:tcW w:w="100" w:type="dxa"/>
            <w:vAlign w:val="bottom"/>
          </w:tcPr>
          <w:p>
            <w:pPr>
              <w:spacing w:after="0"/>
              <w:rPr>
                <w:sz w:val="18"/>
                <w:szCs w:val="18"/>
                <w:color w:val="auto"/>
              </w:rPr>
            </w:pPr>
          </w:p>
        </w:tc>
      </w:tr>
      <w:tr>
        <w:trPr>
          <w:trHeight w:val="183"/>
        </w:trPr>
        <w:tc>
          <w:tcPr>
            <w:tcW w:w="5220" w:type="dxa"/>
            <w:vAlign w:val="bottom"/>
          </w:tcPr>
          <w:p>
            <w:pPr>
              <w:spacing w:after="0"/>
              <w:rPr>
                <w:sz w:val="15"/>
                <w:szCs w:val="15"/>
                <w:color w:val="auto"/>
              </w:rPr>
            </w:pPr>
          </w:p>
        </w:tc>
        <w:tc>
          <w:tcPr>
            <w:tcW w:w="180" w:type="dxa"/>
            <w:vAlign w:val="bottom"/>
            <w:tcBorders>
              <w:bottom w:val="single" w:sz="8" w:color="004483"/>
            </w:tcBorders>
          </w:tcPr>
          <w:p>
            <w:pPr>
              <w:jc w:val="right"/>
              <w:ind w:right="2"/>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26,539</w:t>
            </w:r>
          </w:p>
        </w:tc>
        <w:tc>
          <w:tcPr>
            <w:tcW w:w="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004483"/>
            </w:tcBorders>
          </w:tcPr>
          <w:p>
            <w:pPr>
              <w:jc w:val="right"/>
              <w:ind w:right="259"/>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21,105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77,858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004483"/>
            </w:tcBorders>
          </w:tcPr>
          <w:p>
            <w:pPr>
              <w:jc w:val="right"/>
              <w:ind w:right="179"/>
              <w:spacing w:after="0" w:line="183" w:lineRule="exact"/>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68,077</w:t>
            </w:r>
          </w:p>
        </w:tc>
        <w:tc>
          <w:tcPr>
            <w:tcW w:w="100" w:type="dxa"/>
            <w:vAlign w:val="bottom"/>
          </w:tcPr>
          <w:p>
            <w:pPr>
              <w:spacing w:after="0"/>
              <w:rPr>
                <w:sz w:val="15"/>
                <w:szCs w:val="15"/>
                <w:color w:val="auto"/>
              </w:rPr>
            </w:pPr>
          </w:p>
        </w:tc>
      </w:tr>
      <w:tr>
        <w:trPr>
          <w:trHeight w:val="20"/>
        </w:trPr>
        <w:tc>
          <w:tcPr>
            <w:tcW w:w="52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22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Cement Sales Volume (M tons)</w:t>
            </w:r>
          </w:p>
        </w:tc>
        <w:tc>
          <w:tcPr>
            <w:tcW w:w="180" w:type="dxa"/>
            <w:vAlign w:val="bottom"/>
            <w:tcBorders>
              <w:bottom w:val="single" w:sz="8" w:color="A6A6A6"/>
            </w:tcBorders>
          </w:tcPr>
          <w:p>
            <w:pPr>
              <w:spacing w:after="0"/>
              <w:rPr>
                <w:sz w:val="14"/>
                <w:szCs w:val="14"/>
                <w:color w:val="auto"/>
              </w:rPr>
            </w:pPr>
          </w:p>
        </w:tc>
        <w:tc>
          <w:tcPr>
            <w:tcW w:w="1120" w:type="dxa"/>
            <w:vAlign w:val="bottom"/>
            <w:tcBorders>
              <w:bottom w:val="single" w:sz="8" w:color="A6A6A6"/>
            </w:tcBorders>
          </w:tcPr>
          <w:p>
            <w:pPr>
              <w:spacing w:after="0"/>
              <w:rPr>
                <w:sz w:val="14"/>
                <w:szCs w:val="14"/>
                <w:color w:val="auto"/>
              </w:rPr>
            </w:pPr>
          </w:p>
        </w:tc>
        <w:tc>
          <w:tcPr>
            <w:tcW w:w="2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440" w:type="dxa"/>
            <w:vAlign w:val="bottom"/>
            <w:tcBorders>
              <w:bottom w:val="single" w:sz="8" w:color="A6A6A6"/>
            </w:tcBorders>
          </w:tcPr>
          <w:p>
            <w:pPr>
              <w:spacing w:after="0"/>
              <w:rPr>
                <w:sz w:val="14"/>
                <w:szCs w:val="14"/>
                <w:color w:val="auto"/>
              </w:rPr>
            </w:pPr>
          </w:p>
        </w:tc>
        <w:tc>
          <w:tcPr>
            <w:tcW w:w="86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180" w:type="dxa"/>
            <w:vAlign w:val="bottom"/>
            <w:tcBorders>
              <w:bottom w:val="single" w:sz="8" w:color="A6A6A6"/>
            </w:tcBorders>
          </w:tcPr>
          <w:p>
            <w:pPr>
              <w:spacing w:after="0"/>
              <w:rPr>
                <w:sz w:val="14"/>
                <w:szCs w:val="14"/>
                <w:color w:val="auto"/>
              </w:rPr>
            </w:pPr>
          </w:p>
        </w:tc>
        <w:tc>
          <w:tcPr>
            <w:tcW w:w="1100" w:type="dxa"/>
            <w:vAlign w:val="bottom"/>
            <w:tcBorders>
              <w:bottom w:val="single" w:sz="8" w:color="A6A6A6"/>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360" w:type="dxa"/>
            <w:vAlign w:val="bottom"/>
            <w:tcBorders>
              <w:bottom w:val="single" w:sz="8" w:color="A6A6A6"/>
            </w:tcBorders>
          </w:tcPr>
          <w:p>
            <w:pPr>
              <w:spacing w:after="0"/>
              <w:rPr>
                <w:sz w:val="14"/>
                <w:szCs w:val="14"/>
                <w:color w:val="auto"/>
              </w:rPr>
            </w:pPr>
          </w:p>
        </w:tc>
        <w:tc>
          <w:tcPr>
            <w:tcW w:w="9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Wholly Owned</w:t>
            </w: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1,748</w:t>
            </w:r>
          </w:p>
        </w:tc>
        <w:tc>
          <w:tcPr>
            <w:tcW w:w="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1,616</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5,583</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6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5,429</w:t>
            </w:r>
          </w:p>
        </w:tc>
        <w:tc>
          <w:tcPr>
            <w:tcW w:w="100" w:type="dxa"/>
            <w:vAlign w:val="bottom"/>
          </w:tcPr>
          <w:p>
            <w:pPr>
              <w:spacing w:after="0"/>
              <w:rPr>
                <w:sz w:val="15"/>
                <w:szCs w:val="15"/>
                <w:color w:val="auto"/>
              </w:rPr>
            </w:pPr>
          </w:p>
        </w:tc>
      </w:tr>
      <w:tr>
        <w:trPr>
          <w:trHeight w:val="209"/>
        </w:trPr>
        <w:tc>
          <w:tcPr>
            <w:tcW w:w="522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Joint Venture</w:t>
            </w:r>
          </w:p>
        </w:tc>
        <w:tc>
          <w:tcPr>
            <w:tcW w:w="1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215</w:t>
            </w:r>
          </w:p>
        </w:tc>
        <w:tc>
          <w:tcPr>
            <w:tcW w:w="20" w:type="dxa"/>
            <w:vAlign w:val="bottom"/>
            <w:tcBorders>
              <w:bottom w:val="single" w:sz="8" w:color="004483"/>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r>
      <w:tr>
        <w:trPr>
          <w:trHeight w:val="183"/>
        </w:trPr>
        <w:tc>
          <w:tcPr>
            <w:tcW w:w="5220" w:type="dxa"/>
            <w:vAlign w:val="bottom"/>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1,963</w:t>
            </w:r>
          </w:p>
        </w:tc>
        <w:tc>
          <w:tcPr>
            <w:tcW w:w="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1,842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6,197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6,107</w:t>
            </w:r>
          </w:p>
        </w:tc>
        <w:tc>
          <w:tcPr>
            <w:tcW w:w="100" w:type="dxa"/>
            <w:vAlign w:val="bottom"/>
          </w:tcPr>
          <w:p>
            <w:pPr>
              <w:spacing w:after="0"/>
              <w:rPr>
                <w:sz w:val="15"/>
                <w:szCs w:val="15"/>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3"/>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800" w:type="dxa"/>
            <w:vAlign w:val="bottom"/>
            <w:gridSpan w:val="7"/>
            <w:shd w:val="clear" w:color="auto" w:fill="004483"/>
          </w:tcPr>
          <w:p>
            <w:pPr>
              <w:jc w:val="right"/>
              <w:ind w:right="299"/>
              <w:spacing w:after="0"/>
              <w:rPr>
                <w:sz w:val="20"/>
                <w:szCs w:val="20"/>
                <w:color w:val="auto"/>
              </w:rPr>
            </w:pPr>
            <w:r>
              <w:rPr>
                <w:rFonts w:ascii="Arial" w:cs="Arial" w:eastAsia="Arial" w:hAnsi="Arial"/>
                <w:sz w:val="13"/>
                <w:szCs w:val="13"/>
                <w:b w:val="1"/>
                <w:bCs w:val="1"/>
                <w:color w:val="FFFFFF"/>
                <w:w w:val="90"/>
              </w:rPr>
              <w:t>For the Three Months Ended December 31,</w:t>
            </w:r>
          </w:p>
        </w:tc>
        <w:tc>
          <w:tcPr>
            <w:tcW w:w="120" w:type="dxa"/>
            <w:vAlign w:val="bottom"/>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780" w:type="dxa"/>
            <w:vAlign w:val="bottom"/>
            <w:gridSpan w:val="9"/>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3"/>
              </w:rPr>
              <w:t>For the Nine Months Ended December 31,</w:t>
            </w:r>
          </w:p>
        </w:tc>
        <w:tc>
          <w:tcPr>
            <w:tcW w:w="0" w:type="dxa"/>
            <w:vAlign w:val="bottom"/>
          </w:tcPr>
          <w:p>
            <w:pPr>
              <w:spacing w:after="0"/>
              <w:rPr>
                <w:sz w:val="1"/>
                <w:szCs w:val="1"/>
                <w:color w:val="auto"/>
              </w:rPr>
            </w:pPr>
          </w:p>
        </w:tc>
      </w:tr>
      <w:tr>
        <w:trPr>
          <w:trHeight w:val="134"/>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980" w:type="dxa"/>
            <w:vAlign w:val="bottom"/>
            <w:tcBorders>
              <w:bottom w:val="single" w:sz="8" w:color="004483"/>
            </w:tcBorders>
            <w:gridSpan w:val="4"/>
          </w:tcPr>
          <w:p>
            <w:pPr>
              <w:jc w:val="right"/>
              <w:ind w:right="99"/>
              <w:spacing w:after="0"/>
              <w:rPr>
                <w:sz w:val="20"/>
                <w:szCs w:val="20"/>
                <w:color w:val="auto"/>
              </w:rPr>
            </w:pPr>
            <w:r>
              <w:rPr>
                <w:rFonts w:ascii="Arial" w:cs="Arial" w:eastAsia="Arial" w:hAnsi="Arial"/>
                <w:sz w:val="13"/>
                <w:szCs w:val="13"/>
                <w:color w:val="auto"/>
              </w:rPr>
              <w:t>(dollars in thousands)</w:t>
            </w:r>
          </w:p>
        </w:tc>
        <w:tc>
          <w:tcPr>
            <w:tcW w:w="2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20" w:type="dxa"/>
            <w:vAlign w:val="bottom"/>
            <w:tcBorders>
              <w:bottom w:val="single" w:sz="8" w:color="004483"/>
            </w:tcBorders>
            <w:gridSpan w:val="7"/>
          </w:tcPr>
          <w:p>
            <w:pPr>
              <w:jc w:val="right"/>
              <w:ind w:right="1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Operating Earnings</w:t>
            </w:r>
          </w:p>
        </w:tc>
        <w:tc>
          <w:tcPr>
            <w:tcW w:w="180" w:type="dxa"/>
            <w:vAlign w:val="bottom"/>
            <w:tcBorders>
              <w:bottom w:val="single" w:sz="8" w:color="A6A6A6"/>
            </w:tcBorders>
          </w:tcPr>
          <w:p>
            <w:pPr>
              <w:spacing w:after="0"/>
              <w:rPr>
                <w:sz w:val="16"/>
                <w:szCs w:val="16"/>
                <w:color w:val="auto"/>
              </w:rPr>
            </w:pPr>
          </w:p>
        </w:tc>
        <w:tc>
          <w:tcPr>
            <w:tcW w:w="11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600" w:type="dxa"/>
            <w:vAlign w:val="bottom"/>
            <w:tcBorders>
              <w:bottom w:val="single" w:sz="8" w:color="A6A6A6"/>
            </w:tcBorders>
          </w:tcPr>
          <w:p>
            <w:pPr>
              <w:spacing w:after="0"/>
              <w:rPr>
                <w:sz w:val="16"/>
                <w:szCs w:val="16"/>
                <w:color w:val="auto"/>
              </w:rPr>
            </w:pPr>
          </w:p>
        </w:tc>
        <w:tc>
          <w:tcPr>
            <w:tcW w:w="240" w:type="dxa"/>
            <w:vAlign w:val="bottom"/>
            <w:tcBorders>
              <w:bottom w:val="single" w:sz="8" w:color="A6A6A6"/>
            </w:tcBorders>
          </w:tcPr>
          <w:p>
            <w:pPr>
              <w:spacing w:after="0"/>
              <w:rPr>
                <w:sz w:val="16"/>
                <w:szCs w:val="16"/>
                <w:color w:val="auto"/>
              </w:rPr>
            </w:pPr>
          </w:p>
        </w:tc>
        <w:tc>
          <w:tcPr>
            <w:tcW w:w="4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4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w:t>
            </w: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79,836</w:t>
            </w:r>
          </w:p>
        </w:tc>
        <w:tc>
          <w:tcPr>
            <w:tcW w:w="100" w:type="dxa"/>
            <w:vAlign w:val="bottom"/>
          </w:tcPr>
          <w:p>
            <w:pPr>
              <w:spacing w:after="0"/>
              <w:rPr>
                <w:sz w:val="15"/>
                <w:szCs w:val="15"/>
                <w:color w:val="auto"/>
              </w:rPr>
            </w:pPr>
          </w:p>
        </w:tc>
        <w:tc>
          <w:tcPr>
            <w:tcW w:w="740" w:type="dxa"/>
            <w:vAlign w:val="bottom"/>
            <w:tcBorders>
              <w:bottom w:val="single" w:sz="8" w:color="A6A6A6"/>
            </w:tcBorders>
            <w:gridSpan w:val="2"/>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70,434</w:t>
            </w:r>
          </w:p>
        </w:tc>
        <w:tc>
          <w:tcPr>
            <w:tcW w:w="10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231,133</w:t>
            </w:r>
          </w:p>
        </w:tc>
        <w:tc>
          <w:tcPr>
            <w:tcW w:w="80" w:type="dxa"/>
            <w:vAlign w:val="bottom"/>
          </w:tcPr>
          <w:p>
            <w:pPr>
              <w:spacing w:after="0"/>
              <w:rPr>
                <w:sz w:val="15"/>
                <w:szCs w:val="15"/>
                <w:color w:val="auto"/>
              </w:rPr>
            </w:pPr>
          </w:p>
        </w:tc>
        <w:tc>
          <w:tcPr>
            <w:tcW w:w="660" w:type="dxa"/>
            <w:vAlign w:val="bottom"/>
            <w:tcBorders>
              <w:bottom w:val="single" w:sz="8" w:color="A6A6A6"/>
            </w:tcBorders>
            <w:gridSpan w:val="2"/>
          </w:tcPr>
          <w:p>
            <w:pPr>
              <w:jc w:val="right"/>
              <w:ind w:right="35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210,802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4,115</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5,075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16,998</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15,748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60,841</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40,792</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190,425</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119,723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Paperboard</w:t>
            </w:r>
          </w:p>
        </w:tc>
        <w:tc>
          <w:tcPr>
            <w:tcW w:w="1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2,349</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color w:val="auto"/>
              </w:rPr>
              <w:t>7,161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spacing w:after="0"/>
              <w:rPr>
                <w:sz w:val="18"/>
                <w:szCs w:val="18"/>
                <w:color w:val="auto"/>
              </w:rPr>
            </w:pPr>
          </w:p>
        </w:tc>
        <w:tc>
          <w:tcPr>
            <w:tcW w:w="40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color w:val="auto"/>
                <w:w w:val="89"/>
              </w:rPr>
              <w:t>6,667</w:t>
            </w:r>
          </w:p>
        </w:tc>
        <w:tc>
          <w:tcPr>
            <w:tcW w:w="8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20,708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Sub-Total</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147,141</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123,462</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445,223</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366,981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Corporate General and Administrative Expense</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(12,851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(11,327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(32,986</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(40,225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Early Retirement of Senior Notes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(8,407</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Gain on Sale of Businesses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51,973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Other Non-Operating Income (Loss)</w:t>
            </w:r>
          </w:p>
        </w:tc>
        <w:tc>
          <w:tcPr>
            <w:tcW w:w="1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3,207</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color w:val="auto"/>
              </w:rPr>
              <w:t>2,297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spacing w:after="0"/>
              <w:rPr>
                <w:sz w:val="18"/>
                <w:szCs w:val="18"/>
                <w:color w:val="auto"/>
              </w:rPr>
            </w:pPr>
          </w:p>
        </w:tc>
        <w:tc>
          <w:tcPr>
            <w:tcW w:w="400" w:type="dxa"/>
            <w:vAlign w:val="bottom"/>
            <w:tcBorders>
              <w:bottom w:val="single" w:sz="8" w:color="004483"/>
            </w:tcBorders>
            <w:gridSpan w:val="3"/>
          </w:tcPr>
          <w:p>
            <w:pPr>
              <w:jc w:val="right"/>
              <w:spacing w:after="0" w:line="183" w:lineRule="exact"/>
              <w:rPr>
                <w:sz w:val="20"/>
                <w:szCs w:val="20"/>
                <w:color w:val="auto"/>
              </w:rPr>
            </w:pPr>
            <w:r>
              <w:rPr>
                <w:rFonts w:ascii="Arial" w:cs="Arial" w:eastAsia="Arial" w:hAnsi="Arial"/>
                <w:sz w:val="16"/>
                <w:szCs w:val="16"/>
                <w:color w:val="auto"/>
                <w:w w:val="89"/>
              </w:rPr>
              <w:t>5,941</w:t>
            </w:r>
          </w:p>
        </w:tc>
        <w:tc>
          <w:tcPr>
            <w:tcW w:w="8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Earnings Before Interest and Income Taxes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137,497</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114,432</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409,771</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380,627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Interest Expense, net</w:t>
            </w:r>
          </w:p>
        </w:tc>
        <w:tc>
          <w:tcPr>
            <w:tcW w:w="18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(5,651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(9,360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(24,891</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(35,957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gridSpan w:val="2"/>
            <w:shd w:val="clear" w:color="auto" w:fill="004483"/>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40" w:type="dxa"/>
            <w:vAlign w:val="bottom"/>
            <w:gridSpan w:val="2"/>
          </w:tcPr>
          <w:p>
            <w:pPr>
              <w:ind w:left="200"/>
              <w:spacing w:after="0" w:line="183" w:lineRule="exact"/>
              <w:rPr>
                <w:sz w:val="20"/>
                <w:szCs w:val="20"/>
                <w:color w:val="auto"/>
              </w:rPr>
            </w:pPr>
            <w:r>
              <w:rPr>
                <w:rFonts w:ascii="Arial" w:cs="Arial" w:eastAsia="Arial" w:hAnsi="Arial"/>
                <w:sz w:val="16"/>
                <w:szCs w:val="16"/>
                <w:b w:val="1"/>
                <w:bCs w:val="1"/>
                <w:color w:val="004483"/>
              </w:rPr>
              <w:t>Earnings from Continuing Operations Before Income Taxes</w:t>
            </w: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131,846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004483"/>
            </w:tcBorders>
          </w:tcPr>
          <w:p>
            <w:pPr>
              <w:jc w:val="right"/>
              <w:ind w:right="419"/>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105,072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gridSpan w:val="4"/>
          </w:tcPr>
          <w:p>
            <w:pPr>
              <w:jc w:val="right"/>
              <w:spacing w:after="0" w:line="183" w:lineRule="exact"/>
              <w:rPr>
                <w:sz w:val="20"/>
                <w:szCs w:val="20"/>
                <w:color w:val="auto"/>
              </w:rPr>
            </w:pPr>
            <w:r>
              <w:rPr>
                <w:rFonts w:ascii="Arial" w:cs="Arial" w:eastAsia="Arial" w:hAnsi="Arial"/>
                <w:sz w:val="16"/>
                <w:szCs w:val="16"/>
                <w:b w:val="1"/>
                <w:bCs w:val="1"/>
                <w:color w:val="auto"/>
              </w:rPr>
              <w:t>384,880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004483"/>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344,670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tcBorders>
              <w:bottom w:val="single" w:sz="8" w:color="A6A6A6"/>
            </w:tcBorders>
            <w:gridSpan w:val="2"/>
          </w:tcPr>
          <w:p>
            <w:pPr>
              <w:ind w:left="20"/>
              <w:spacing w:after="0" w:line="170" w:lineRule="exact"/>
              <w:rPr>
                <w:sz w:val="20"/>
                <w:szCs w:val="20"/>
                <w:color w:val="auto"/>
              </w:rPr>
            </w:pPr>
            <w:r>
              <w:rPr>
                <w:rFonts w:ascii="Arial" w:cs="Arial" w:eastAsia="Arial" w:hAnsi="Arial"/>
                <w:sz w:val="16"/>
                <w:szCs w:val="16"/>
                <w:color w:val="004483"/>
              </w:rPr>
              <w:t>Cement Operating Earnings -</w:t>
            </w:r>
          </w:p>
        </w:tc>
        <w:tc>
          <w:tcPr>
            <w:tcW w:w="18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60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48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20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40" w:type="dxa"/>
            <w:vAlign w:val="bottom"/>
            <w:tcBorders>
              <w:bottom w:val="single" w:sz="8" w:color="A6A6A6"/>
            </w:tcBorders>
          </w:tcPr>
          <w:p>
            <w:pPr>
              <w:spacing w:after="0"/>
              <w:rPr>
                <w:sz w:val="14"/>
                <w:szCs w:val="14"/>
                <w:color w:val="auto"/>
              </w:rPr>
            </w:pPr>
          </w:p>
        </w:tc>
        <w:tc>
          <w:tcPr>
            <w:tcW w:w="76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Wholly Owned</w:t>
            </w: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71,281</w:t>
            </w:r>
          </w:p>
        </w:tc>
        <w:tc>
          <w:tcPr>
            <w:tcW w:w="100" w:type="dxa"/>
            <w:vAlign w:val="bottom"/>
          </w:tcPr>
          <w:p>
            <w:pPr>
              <w:spacing w:after="0"/>
              <w:rPr>
                <w:sz w:val="15"/>
                <w:szCs w:val="15"/>
                <w:color w:val="auto"/>
              </w:rPr>
            </w:pPr>
          </w:p>
        </w:tc>
        <w:tc>
          <w:tcPr>
            <w:tcW w:w="740" w:type="dxa"/>
            <w:vAlign w:val="bottom"/>
            <w:tcBorders>
              <w:bottom w:val="single" w:sz="8" w:color="A6A6A6"/>
            </w:tcBorders>
            <w:gridSpan w:val="2"/>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60,351</w:t>
            </w:r>
          </w:p>
        </w:tc>
        <w:tc>
          <w:tcPr>
            <w:tcW w:w="10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206,348</w:t>
            </w:r>
          </w:p>
        </w:tc>
        <w:tc>
          <w:tcPr>
            <w:tcW w:w="80" w:type="dxa"/>
            <w:vAlign w:val="bottom"/>
          </w:tcPr>
          <w:p>
            <w:pPr>
              <w:spacing w:after="0"/>
              <w:rPr>
                <w:sz w:val="15"/>
                <w:szCs w:val="15"/>
                <w:color w:val="auto"/>
              </w:rPr>
            </w:pPr>
          </w:p>
        </w:tc>
        <w:tc>
          <w:tcPr>
            <w:tcW w:w="660" w:type="dxa"/>
            <w:vAlign w:val="bottom"/>
            <w:tcBorders>
              <w:bottom w:val="single" w:sz="8" w:color="A6A6A6"/>
            </w:tcBorders>
            <w:gridSpan w:val="2"/>
          </w:tcPr>
          <w:p>
            <w:pPr>
              <w:jc w:val="right"/>
              <w:ind w:right="35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182,346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Joint Venture</w:t>
            </w:r>
          </w:p>
        </w:tc>
        <w:tc>
          <w:tcPr>
            <w:tcW w:w="18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8,555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24,785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28,456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gridSpan w:val="2"/>
            <w:shd w:val="clear" w:color="auto" w:fill="004483"/>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79,836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004483"/>
            </w:tcBorders>
          </w:tcPr>
          <w:p>
            <w:pPr>
              <w:jc w:val="right"/>
              <w:ind w:right="419"/>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70,434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gridSpan w:val="4"/>
          </w:tcPr>
          <w:p>
            <w:pPr>
              <w:jc w:val="right"/>
              <w:spacing w:after="0" w:line="183" w:lineRule="exact"/>
              <w:rPr>
                <w:sz w:val="20"/>
                <w:szCs w:val="20"/>
                <w:color w:val="auto"/>
              </w:rPr>
            </w:pPr>
            <w:r>
              <w:rPr>
                <w:rFonts w:ascii="Arial" w:cs="Arial" w:eastAsia="Arial" w:hAnsi="Arial"/>
                <w:sz w:val="16"/>
                <w:szCs w:val="16"/>
                <w:b w:val="1"/>
                <w:bCs w:val="1"/>
                <w:color w:val="auto"/>
              </w:rPr>
              <w:t>231,133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004483"/>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210,802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tcBorders>
              <w:bottom w:val="single" w:sz="8" w:color="A6A6A6"/>
            </w:tcBorders>
            <w:gridSpan w:val="2"/>
          </w:tcPr>
          <w:p>
            <w:pPr>
              <w:ind w:left="20"/>
              <w:spacing w:after="0" w:line="170" w:lineRule="exact"/>
              <w:rPr>
                <w:sz w:val="20"/>
                <w:szCs w:val="20"/>
                <w:color w:val="auto"/>
              </w:rPr>
            </w:pPr>
            <w:r>
              <w:rPr>
                <w:rFonts w:ascii="Arial" w:cs="Arial" w:eastAsia="Arial" w:hAnsi="Arial"/>
                <w:sz w:val="16"/>
                <w:szCs w:val="16"/>
                <w:b w:val="1"/>
                <w:bCs w:val="1"/>
                <w:color w:val="auto"/>
              </w:rPr>
              <w:t>Capital Expenditures</w:t>
            </w:r>
          </w:p>
        </w:tc>
        <w:tc>
          <w:tcPr>
            <w:tcW w:w="18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60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48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20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40" w:type="dxa"/>
            <w:vAlign w:val="bottom"/>
            <w:tcBorders>
              <w:bottom w:val="single" w:sz="8" w:color="A6A6A6"/>
            </w:tcBorders>
          </w:tcPr>
          <w:p>
            <w:pPr>
              <w:spacing w:after="0"/>
              <w:rPr>
                <w:sz w:val="14"/>
                <w:szCs w:val="14"/>
                <w:color w:val="auto"/>
              </w:rPr>
            </w:pPr>
          </w:p>
        </w:tc>
        <w:tc>
          <w:tcPr>
            <w:tcW w:w="76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w:t>
            </w: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8,256</w:t>
            </w:r>
          </w:p>
        </w:tc>
        <w:tc>
          <w:tcPr>
            <w:tcW w:w="100" w:type="dxa"/>
            <w:vAlign w:val="bottom"/>
          </w:tcPr>
          <w:p>
            <w:pPr>
              <w:spacing w:after="0"/>
              <w:rPr>
                <w:sz w:val="15"/>
                <w:szCs w:val="15"/>
                <w:color w:val="auto"/>
              </w:rPr>
            </w:pPr>
          </w:p>
        </w:tc>
        <w:tc>
          <w:tcPr>
            <w:tcW w:w="740" w:type="dxa"/>
            <w:vAlign w:val="bottom"/>
            <w:tcBorders>
              <w:bottom w:val="single" w:sz="8" w:color="A6A6A6"/>
            </w:tcBorders>
            <w:gridSpan w:val="2"/>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2,510</w:t>
            </w:r>
          </w:p>
        </w:tc>
        <w:tc>
          <w:tcPr>
            <w:tcW w:w="10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23,199</w:t>
            </w:r>
          </w:p>
        </w:tc>
        <w:tc>
          <w:tcPr>
            <w:tcW w:w="80" w:type="dxa"/>
            <w:vAlign w:val="bottom"/>
          </w:tcPr>
          <w:p>
            <w:pPr>
              <w:spacing w:after="0"/>
              <w:rPr>
                <w:sz w:val="15"/>
                <w:szCs w:val="15"/>
                <w:color w:val="auto"/>
              </w:rPr>
            </w:pPr>
          </w:p>
        </w:tc>
        <w:tc>
          <w:tcPr>
            <w:tcW w:w="660" w:type="dxa"/>
            <w:vAlign w:val="bottom"/>
            <w:tcBorders>
              <w:bottom w:val="single" w:sz="8" w:color="A6A6A6"/>
            </w:tcBorders>
            <w:gridSpan w:val="2"/>
          </w:tcPr>
          <w:p>
            <w:pPr>
              <w:jc w:val="right"/>
              <w:ind w:right="35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20,767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2,386</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1,631</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w w:val="89"/>
              </w:rPr>
              <w:t>3,459</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18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16,222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24,261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11,073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A6A6A6"/>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Paperboard</w:t>
            </w:r>
          </w:p>
        </w:tc>
        <w:tc>
          <w:tcPr>
            <w:tcW w:w="140" w:type="dxa"/>
            <w:vAlign w:val="bottom"/>
            <w:tcBorders>
              <w:bottom w:val="single" w:sz="8" w:color="A6A6A6"/>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11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594</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60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A6A6A6"/>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233</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spacing w:after="0"/>
              <w:rPr>
                <w:sz w:val="15"/>
                <w:szCs w:val="15"/>
                <w:color w:val="auto"/>
              </w:rPr>
            </w:pPr>
          </w:p>
        </w:tc>
        <w:tc>
          <w:tcPr>
            <w:tcW w:w="400" w:type="dxa"/>
            <w:vAlign w:val="bottom"/>
            <w:tcBorders>
              <w:top w:val="single" w:sz="8" w:color="A6A6A6"/>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w w:val="89"/>
              </w:rPr>
              <w:t>2,086</w:t>
            </w:r>
          </w:p>
        </w:tc>
        <w:tc>
          <w:tcPr>
            <w:tcW w:w="8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54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10,768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Corporate and Other</w:t>
            </w:r>
          </w:p>
        </w:tc>
        <w:tc>
          <w:tcPr>
            <w:tcW w:w="18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953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gridSpan w:val="3"/>
          </w:tcPr>
          <w:p>
            <w:pPr>
              <w:jc w:val="right"/>
              <w:spacing w:after="0" w:line="183" w:lineRule="exact"/>
              <w:rPr>
                <w:sz w:val="20"/>
                <w:szCs w:val="20"/>
                <w:color w:val="auto"/>
              </w:rPr>
            </w:pPr>
            <w:r>
              <w:rPr>
                <w:rFonts w:ascii="Arial" w:cs="Arial" w:eastAsia="Arial" w:hAnsi="Arial"/>
                <w:sz w:val="16"/>
                <w:szCs w:val="16"/>
                <w:color w:val="auto"/>
                <w:w w:val="89"/>
              </w:rPr>
              <w:t>2,183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gridSpan w:val="2"/>
            <w:shd w:val="clear" w:color="auto" w:fill="004483"/>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28,411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004483"/>
            </w:tcBorders>
          </w:tcPr>
          <w:p>
            <w:pPr>
              <w:jc w:val="right"/>
              <w:ind w:right="419"/>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4,865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gridSpan w:val="4"/>
          </w:tcPr>
          <w:p>
            <w:pPr>
              <w:jc w:val="right"/>
              <w:spacing w:after="0" w:line="183" w:lineRule="exact"/>
              <w:rPr>
                <w:sz w:val="20"/>
                <w:szCs w:val="20"/>
                <w:color w:val="auto"/>
              </w:rPr>
            </w:pPr>
            <w:r>
              <w:rPr>
                <w:rFonts w:ascii="Arial" w:cs="Arial" w:eastAsia="Arial" w:hAnsi="Arial"/>
                <w:sz w:val="16"/>
                <w:szCs w:val="16"/>
                <w:b w:val="1"/>
                <w:bCs w:val="1"/>
                <w:color w:val="auto"/>
              </w:rPr>
              <w:t>55,188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004483"/>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45,541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tcBorders>
              <w:bottom w:val="single" w:sz="8" w:color="A6A6A6"/>
            </w:tcBorders>
            <w:gridSpan w:val="2"/>
          </w:tcPr>
          <w:p>
            <w:pPr>
              <w:ind w:left="20"/>
              <w:spacing w:after="0" w:line="170" w:lineRule="exact"/>
              <w:rPr>
                <w:sz w:val="20"/>
                <w:szCs w:val="20"/>
                <w:color w:val="auto"/>
              </w:rPr>
            </w:pPr>
            <w:r>
              <w:rPr>
                <w:rFonts w:ascii="Arial" w:cs="Arial" w:eastAsia="Arial" w:hAnsi="Arial"/>
                <w:sz w:val="16"/>
                <w:szCs w:val="16"/>
                <w:b w:val="1"/>
                <w:bCs w:val="1"/>
                <w:color w:val="auto"/>
              </w:rPr>
              <w:t>Depreciation, Depletion, and Amortization</w:t>
            </w:r>
          </w:p>
        </w:tc>
        <w:tc>
          <w:tcPr>
            <w:tcW w:w="18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600" w:type="dxa"/>
            <w:vAlign w:val="bottom"/>
            <w:tcBorders>
              <w:bottom w:val="single" w:sz="8" w:color="A6A6A6"/>
            </w:tcBorders>
          </w:tcPr>
          <w:p>
            <w:pPr>
              <w:spacing w:after="0"/>
              <w:rPr>
                <w:sz w:val="14"/>
                <w:szCs w:val="14"/>
                <w:color w:val="auto"/>
              </w:rPr>
            </w:pPr>
          </w:p>
        </w:tc>
        <w:tc>
          <w:tcPr>
            <w:tcW w:w="240" w:type="dxa"/>
            <w:vAlign w:val="bottom"/>
            <w:tcBorders>
              <w:bottom w:val="single" w:sz="8" w:color="A6A6A6"/>
            </w:tcBorders>
          </w:tcPr>
          <w:p>
            <w:pPr>
              <w:spacing w:after="0"/>
              <w:rPr>
                <w:sz w:val="14"/>
                <w:szCs w:val="14"/>
                <w:color w:val="auto"/>
              </w:rPr>
            </w:pPr>
          </w:p>
        </w:tc>
        <w:tc>
          <w:tcPr>
            <w:tcW w:w="48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78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20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540" w:type="dxa"/>
            <w:vAlign w:val="bottom"/>
            <w:tcBorders>
              <w:bottom w:val="single" w:sz="8" w:color="A6A6A6"/>
            </w:tcBorders>
          </w:tcPr>
          <w:p>
            <w:pPr>
              <w:spacing w:after="0"/>
              <w:rPr>
                <w:sz w:val="14"/>
                <w:szCs w:val="14"/>
                <w:color w:val="auto"/>
              </w:rPr>
            </w:pPr>
          </w:p>
        </w:tc>
        <w:tc>
          <w:tcPr>
            <w:tcW w:w="76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w:t>
            </w: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19,933</w:t>
            </w:r>
          </w:p>
        </w:tc>
        <w:tc>
          <w:tcPr>
            <w:tcW w:w="100" w:type="dxa"/>
            <w:vAlign w:val="bottom"/>
          </w:tcPr>
          <w:p>
            <w:pPr>
              <w:spacing w:after="0"/>
              <w:rPr>
                <w:sz w:val="15"/>
                <w:szCs w:val="15"/>
                <w:color w:val="auto"/>
              </w:rPr>
            </w:pPr>
          </w:p>
        </w:tc>
        <w:tc>
          <w:tcPr>
            <w:tcW w:w="740" w:type="dxa"/>
            <w:vAlign w:val="bottom"/>
            <w:tcBorders>
              <w:bottom w:val="single" w:sz="8" w:color="A6A6A6"/>
            </w:tcBorders>
            <w:gridSpan w:val="2"/>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19,337</w:t>
            </w:r>
          </w:p>
        </w:tc>
        <w:tc>
          <w:tcPr>
            <w:tcW w:w="100" w:type="dxa"/>
            <w:vAlign w:val="bottom"/>
          </w:tcPr>
          <w:p>
            <w:pPr>
              <w:spacing w:after="0"/>
              <w:rPr>
                <w:sz w:val="15"/>
                <w:szCs w:val="15"/>
                <w:color w:val="auto"/>
              </w:rPr>
            </w:pPr>
          </w:p>
        </w:tc>
        <w:tc>
          <w:tcPr>
            <w:tcW w:w="2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59,483</w:t>
            </w:r>
          </w:p>
        </w:tc>
        <w:tc>
          <w:tcPr>
            <w:tcW w:w="80" w:type="dxa"/>
            <w:vAlign w:val="bottom"/>
          </w:tcPr>
          <w:p>
            <w:pPr>
              <w:spacing w:after="0"/>
              <w:rPr>
                <w:sz w:val="15"/>
                <w:szCs w:val="15"/>
                <w:color w:val="auto"/>
              </w:rPr>
            </w:pPr>
          </w:p>
        </w:tc>
        <w:tc>
          <w:tcPr>
            <w:tcW w:w="660" w:type="dxa"/>
            <w:vAlign w:val="bottom"/>
            <w:tcBorders>
              <w:bottom w:val="single" w:sz="8" w:color="A6A6A6"/>
            </w:tcBorders>
            <w:gridSpan w:val="2"/>
          </w:tcPr>
          <w:p>
            <w:pPr>
              <w:jc w:val="right"/>
              <w:ind w:right="35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57,838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2,294</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2,691</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w w:val="89"/>
              </w:rPr>
              <w:t>7,342</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8,110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5,598</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5,340</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16,478</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16,201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Paperboard</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3,685</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3,509</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gridSpan w:val="4"/>
          </w:tcPr>
          <w:p>
            <w:pPr>
              <w:jc w:val="right"/>
              <w:spacing w:after="0" w:line="183" w:lineRule="exact"/>
              <w:rPr>
                <w:sz w:val="20"/>
                <w:szCs w:val="20"/>
                <w:color w:val="auto"/>
              </w:rPr>
            </w:pPr>
            <w:r>
              <w:rPr>
                <w:rFonts w:ascii="Arial" w:cs="Arial" w:eastAsia="Arial" w:hAnsi="Arial"/>
                <w:sz w:val="16"/>
                <w:szCs w:val="16"/>
                <w:color w:val="auto"/>
              </w:rPr>
              <w:t>11,016</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10,205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Corporate and Other</w:t>
            </w:r>
          </w:p>
        </w:tc>
        <w:tc>
          <w:tcPr>
            <w:tcW w:w="18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684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gridSpan w:val="3"/>
          </w:tcPr>
          <w:p>
            <w:pPr>
              <w:jc w:val="right"/>
              <w:spacing w:after="0" w:line="183" w:lineRule="exact"/>
              <w:rPr>
                <w:sz w:val="20"/>
                <w:szCs w:val="20"/>
                <w:color w:val="auto"/>
              </w:rPr>
            </w:pPr>
            <w:r>
              <w:rPr>
                <w:rFonts w:ascii="Arial" w:cs="Arial" w:eastAsia="Arial" w:hAnsi="Arial"/>
                <w:sz w:val="16"/>
                <w:szCs w:val="16"/>
                <w:color w:val="auto"/>
                <w:w w:val="89"/>
              </w:rPr>
              <w:t>2,159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3,704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gridSpan w:val="2"/>
            <w:shd w:val="clear" w:color="auto" w:fill="004483"/>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32,194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004483"/>
            </w:tcBorders>
          </w:tcPr>
          <w:p>
            <w:pPr>
              <w:jc w:val="right"/>
              <w:ind w:right="419"/>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32,080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gridSpan w:val="4"/>
          </w:tcPr>
          <w:p>
            <w:pPr>
              <w:jc w:val="right"/>
              <w:spacing w:after="0" w:line="183" w:lineRule="exact"/>
              <w:rPr>
                <w:sz w:val="20"/>
                <w:szCs w:val="20"/>
                <w:color w:val="auto"/>
              </w:rPr>
            </w:pPr>
            <w:r>
              <w:rPr>
                <w:rFonts w:ascii="Arial" w:cs="Arial" w:eastAsia="Arial" w:hAnsi="Arial"/>
                <w:sz w:val="16"/>
                <w:szCs w:val="16"/>
                <w:b w:val="1"/>
                <w:bCs w:val="1"/>
                <w:color w:val="auto"/>
              </w:rPr>
              <w:t>96,478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004483"/>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96,058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tcBorders>
              <w:bottom w:val="single" w:sz="8" w:color="A6A6A6"/>
            </w:tcBorders>
            <w:gridSpan w:val="2"/>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Discontinued Operations</w:t>
            </w:r>
          </w:p>
        </w:tc>
        <w:tc>
          <w:tcPr>
            <w:tcW w:w="18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4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4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4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Capital Expenditures</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419"/>
              <w:spacing w:after="0" w:line="183" w:lineRule="exact"/>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24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359"/>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top w:val="single" w:sz="8" w:color="004483"/>
              <w:bottom w:val="single" w:sz="8" w:color="004483"/>
            </w:tcBorders>
          </w:tcPr>
          <w:p>
            <w:pPr>
              <w:spacing w:after="0" w:line="20" w:lineRule="exact"/>
              <w:rPr>
                <w:sz w:val="1"/>
                <w:szCs w:val="1"/>
                <w:color w:val="auto"/>
              </w:rPr>
            </w:pPr>
          </w:p>
        </w:tc>
        <w:tc>
          <w:tcPr>
            <w:tcW w:w="114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600" w:type="dxa"/>
            <w:vAlign w:val="bottom"/>
            <w:tcBorders>
              <w:top w:val="single" w:sz="8" w:color="004483"/>
              <w:bottom w:val="single" w:sz="8" w:color="004483"/>
            </w:tcBorders>
          </w:tcPr>
          <w:p>
            <w:pPr>
              <w:spacing w:after="0" w:line="20" w:lineRule="exact"/>
              <w:rPr>
                <w:sz w:val="1"/>
                <w:szCs w:val="1"/>
                <w:color w:val="auto"/>
              </w:rPr>
            </w:pPr>
          </w:p>
        </w:tc>
        <w:tc>
          <w:tcPr>
            <w:tcW w:w="240" w:type="dxa"/>
            <w:vAlign w:val="bottom"/>
            <w:tcBorders>
              <w:top w:val="single" w:sz="8" w:color="004483"/>
              <w:bottom w:val="single" w:sz="8" w:color="004483"/>
            </w:tcBorders>
          </w:tcPr>
          <w:p>
            <w:pPr>
              <w:spacing w:after="0" w:line="20" w:lineRule="exact"/>
              <w:rPr>
                <w:sz w:val="1"/>
                <w:szCs w:val="1"/>
                <w:color w:val="auto"/>
              </w:rPr>
            </w:pPr>
          </w:p>
        </w:tc>
        <w:tc>
          <w:tcPr>
            <w:tcW w:w="4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top w:val="single" w:sz="8" w:color="004483"/>
              <w:bottom w:val="single" w:sz="8" w:color="004483"/>
            </w:tcBorders>
          </w:tcPr>
          <w:p>
            <w:pPr>
              <w:spacing w:after="0" w:line="20" w:lineRule="exact"/>
              <w:rPr>
                <w:sz w:val="1"/>
                <w:szCs w:val="1"/>
                <w:color w:val="auto"/>
              </w:rPr>
            </w:pPr>
          </w:p>
        </w:tc>
        <w:tc>
          <w:tcPr>
            <w:tcW w:w="7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Borders>
              <w:top w:val="single" w:sz="8" w:color="004483"/>
              <w:bottom w:val="single" w:sz="8" w:color="004483"/>
            </w:tcBorders>
          </w:tcPr>
          <w:p>
            <w:pPr>
              <w:spacing w:after="0" w:line="20" w:lineRule="exact"/>
              <w:rPr>
                <w:sz w:val="1"/>
                <w:szCs w:val="1"/>
                <w:color w:val="auto"/>
              </w:rPr>
            </w:pPr>
          </w:p>
        </w:tc>
        <w:tc>
          <w:tcPr>
            <w:tcW w:w="2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Borders>
              <w:top w:val="single" w:sz="8" w:color="004483"/>
              <w:bottom w:val="single" w:sz="8" w:color="004483"/>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40" w:type="dxa"/>
            <w:vAlign w:val="bottom"/>
            <w:tcBorders>
              <w:top w:val="single" w:sz="8" w:color="004483"/>
              <w:bottom w:val="single" w:sz="8" w:color="004483"/>
            </w:tcBorders>
          </w:tcPr>
          <w:p>
            <w:pPr>
              <w:spacing w:after="0" w:line="20" w:lineRule="exact"/>
              <w:rPr>
                <w:sz w:val="1"/>
                <w:szCs w:val="1"/>
                <w:color w:val="auto"/>
              </w:rPr>
            </w:pPr>
          </w:p>
        </w:tc>
        <w:tc>
          <w:tcPr>
            <w:tcW w:w="7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gridSpan w:val="2"/>
          </w:tcPr>
          <w:p>
            <w:pPr>
              <w:ind w:left="200"/>
              <w:spacing w:after="0" w:line="170" w:lineRule="exact"/>
              <w:rPr>
                <w:sz w:val="20"/>
                <w:szCs w:val="20"/>
                <w:color w:val="auto"/>
              </w:rPr>
            </w:pPr>
            <w:r>
              <w:rPr>
                <w:rFonts w:ascii="Arial" w:cs="Arial" w:eastAsia="Arial" w:hAnsi="Arial"/>
                <w:sz w:val="16"/>
                <w:szCs w:val="16"/>
                <w:color w:val="004483"/>
              </w:rPr>
              <w:t>Depreciation, Depletion, and Amortization</w:t>
            </w:r>
          </w:p>
        </w:tc>
        <w:tc>
          <w:tcPr>
            <w:tcW w:w="180" w:type="dxa"/>
            <w:vAlign w:val="bottom"/>
            <w:tcBorders>
              <w:bottom w:val="single" w:sz="8" w:color="004483"/>
            </w:tcBorders>
          </w:tcPr>
          <w:p>
            <w:pPr>
              <w:jc w:val="right"/>
              <w:ind w:right="24"/>
              <w:spacing w:after="0" w:line="169" w:lineRule="exact"/>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004483"/>
            </w:tcBorders>
          </w:tcPr>
          <w:p>
            <w:pPr>
              <w:jc w:val="right"/>
              <w:ind w:right="419"/>
              <w:spacing w:after="0" w:line="170" w:lineRule="exact"/>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004483"/>
            </w:tcBorders>
          </w:tcPr>
          <w:p>
            <w:pPr>
              <w:spacing w:after="0"/>
              <w:rPr>
                <w:sz w:val="14"/>
                <w:szCs w:val="14"/>
                <w:color w:val="auto"/>
              </w:rPr>
            </w:pPr>
          </w:p>
        </w:tc>
        <w:tc>
          <w:tcPr>
            <w:tcW w:w="4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spacing w:after="0"/>
              <w:rPr>
                <w:sz w:val="14"/>
                <w:szCs w:val="14"/>
                <w:color w:val="auto"/>
              </w:rPr>
            </w:pPr>
          </w:p>
        </w:tc>
        <w:tc>
          <w:tcPr>
            <w:tcW w:w="100" w:type="dxa"/>
            <w:vAlign w:val="bottom"/>
            <w:tcBorders>
              <w:bottom w:val="single" w:sz="8" w:color="004483"/>
            </w:tcBorders>
          </w:tcPr>
          <w:p>
            <w:pPr>
              <w:spacing w:after="0"/>
              <w:rPr>
                <w:sz w:val="14"/>
                <w:szCs w:val="14"/>
                <w:color w:val="auto"/>
              </w:rPr>
            </w:pPr>
          </w:p>
        </w:tc>
        <w:tc>
          <w:tcPr>
            <w:tcW w:w="300" w:type="dxa"/>
            <w:vAlign w:val="bottom"/>
            <w:tcBorders>
              <w:bottom w:val="single" w:sz="8" w:color="004483"/>
            </w:tcBorders>
            <w:gridSpan w:val="2"/>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004483"/>
            </w:tcBorders>
          </w:tcPr>
          <w:p>
            <w:pPr>
              <w:jc w:val="right"/>
              <w:ind w:right="359"/>
              <w:spacing w:after="0" w:line="170"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221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120" w:type="dxa"/>
            <w:vAlign w:val="bottom"/>
            <w:shd w:val="clear" w:color="auto" w:fill="004483"/>
          </w:tcPr>
          <w:p>
            <w:pPr>
              <w:spacing w:after="0"/>
              <w:rPr>
                <w:sz w:val="12"/>
                <w:szCs w:val="12"/>
                <w:color w:val="auto"/>
              </w:rPr>
            </w:pPr>
          </w:p>
        </w:tc>
        <w:tc>
          <w:tcPr>
            <w:tcW w:w="120" w:type="dxa"/>
            <w:vAlign w:val="bottom"/>
            <w:shd w:val="clear" w:color="auto" w:fill="004483"/>
          </w:tcPr>
          <w:p>
            <w:pPr>
              <w:spacing w:after="0"/>
              <w:rPr>
                <w:sz w:val="12"/>
                <w:szCs w:val="12"/>
                <w:color w:val="auto"/>
              </w:rPr>
            </w:pPr>
          </w:p>
        </w:tc>
        <w:tc>
          <w:tcPr>
            <w:tcW w:w="78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w w:val="87"/>
              </w:rPr>
              <w:t>December 31,</w:t>
            </w:r>
          </w:p>
        </w:tc>
        <w:tc>
          <w:tcPr>
            <w:tcW w:w="100" w:type="dxa"/>
            <w:vAlign w:val="bottom"/>
            <w:shd w:val="clear" w:color="auto" w:fill="004483"/>
          </w:tcPr>
          <w:p>
            <w:pPr>
              <w:spacing w:after="0"/>
              <w:rPr>
                <w:sz w:val="12"/>
                <w:szCs w:val="12"/>
                <w:color w:val="auto"/>
              </w:rPr>
            </w:pPr>
          </w:p>
        </w:tc>
        <w:tc>
          <w:tcPr>
            <w:tcW w:w="20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80" w:type="dxa"/>
            <w:vAlign w:val="bottom"/>
            <w:shd w:val="clear" w:color="auto" w:fill="004483"/>
          </w:tcPr>
          <w:p>
            <w:pPr>
              <w:spacing w:after="0"/>
              <w:rPr>
                <w:sz w:val="12"/>
                <w:szCs w:val="12"/>
                <w:color w:val="auto"/>
              </w:rPr>
            </w:pPr>
          </w:p>
        </w:tc>
        <w:tc>
          <w:tcPr>
            <w:tcW w:w="120" w:type="dxa"/>
            <w:vAlign w:val="bottom"/>
            <w:shd w:val="clear" w:color="auto" w:fill="004483"/>
          </w:tcPr>
          <w:p>
            <w:pPr>
              <w:spacing w:after="0"/>
              <w:rPr>
                <w:sz w:val="12"/>
                <w:szCs w:val="12"/>
                <w:color w:val="auto"/>
              </w:rPr>
            </w:pPr>
          </w:p>
        </w:tc>
        <w:tc>
          <w:tcPr>
            <w:tcW w:w="540" w:type="dxa"/>
            <w:vAlign w:val="bottom"/>
            <w:shd w:val="clear" w:color="auto" w:fill="004483"/>
          </w:tcPr>
          <w:p>
            <w:pPr>
              <w:spacing w:after="0"/>
              <w:rPr>
                <w:sz w:val="12"/>
                <w:szCs w:val="12"/>
                <w:color w:val="auto"/>
              </w:rPr>
            </w:pPr>
          </w:p>
        </w:tc>
        <w:tc>
          <w:tcPr>
            <w:tcW w:w="860" w:type="dxa"/>
            <w:vAlign w:val="bottom"/>
            <w:gridSpan w:val="2"/>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34"/>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20" w:type="dxa"/>
            <w:vAlign w:val="bottom"/>
            <w:tcBorders>
              <w:bottom w:val="single" w:sz="8" w:color="004483"/>
            </w:tcBorders>
            <w:gridSpan w:val="7"/>
          </w:tcPr>
          <w:p>
            <w:pPr>
              <w:jc w:val="right"/>
              <w:ind w:right="37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80" w:type="dxa"/>
            <w:vAlign w:val="bottom"/>
            <w:tcBorders>
              <w:bottom w:val="single" w:sz="8" w:color="A6A6A6"/>
            </w:tcBorders>
          </w:tcPr>
          <w:p>
            <w:pPr>
              <w:spacing w:after="0"/>
              <w:rPr>
                <w:sz w:val="16"/>
                <w:szCs w:val="16"/>
                <w:color w:val="auto"/>
              </w:rPr>
            </w:pPr>
          </w:p>
        </w:tc>
        <w:tc>
          <w:tcPr>
            <w:tcW w:w="114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600" w:type="dxa"/>
            <w:vAlign w:val="bottom"/>
            <w:tcBorders>
              <w:bottom w:val="single" w:sz="8" w:color="A6A6A6"/>
            </w:tcBorders>
          </w:tcPr>
          <w:p>
            <w:pPr>
              <w:spacing w:after="0"/>
              <w:rPr>
                <w:sz w:val="16"/>
                <w:szCs w:val="16"/>
                <w:color w:val="auto"/>
              </w:rPr>
            </w:pPr>
          </w:p>
        </w:tc>
        <w:tc>
          <w:tcPr>
            <w:tcW w:w="240" w:type="dxa"/>
            <w:vAlign w:val="bottom"/>
            <w:tcBorders>
              <w:bottom w:val="single" w:sz="8" w:color="A6A6A6"/>
            </w:tcBorders>
          </w:tcPr>
          <w:p>
            <w:pPr>
              <w:spacing w:after="0"/>
              <w:rPr>
                <w:sz w:val="16"/>
                <w:szCs w:val="16"/>
                <w:color w:val="auto"/>
              </w:rPr>
            </w:pPr>
          </w:p>
        </w:tc>
        <w:tc>
          <w:tcPr>
            <w:tcW w:w="48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8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4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gridSpan w:val="2"/>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1,861,439</w:t>
            </w:r>
          </w:p>
        </w:tc>
        <w:tc>
          <w:tcPr>
            <w:tcW w:w="100" w:type="dxa"/>
            <w:vAlign w:val="bottom"/>
          </w:tcPr>
          <w:p>
            <w:pPr>
              <w:spacing w:after="0"/>
              <w:rPr>
                <w:sz w:val="15"/>
                <w:szCs w:val="15"/>
                <w:color w:val="auto"/>
              </w:rPr>
            </w:pPr>
          </w:p>
        </w:tc>
        <w:tc>
          <w:tcPr>
            <w:tcW w:w="3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1,898,930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Concrete and Aggregates</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88,277</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88,410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Gypsum Wallboard</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387,309</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366,352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Paperboard</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183,755</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186,156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Other, net</w:t>
            </w:r>
          </w:p>
        </w:tc>
        <w:tc>
          <w:tcPr>
            <w:tcW w:w="18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39,341</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8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54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298,833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bottom w:val="single" w:sz="8" w:color="004483"/>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2,560,121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54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2,838,681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0" w:name="page21"/>
    <w:bookmarkEnd w:id="20"/>
    <w:p>
      <w:pPr>
        <w:ind w:right="80"/>
        <w:spacing w:after="0" w:line="285"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primarily of cash and cash equivalents, general office assets, and miscellaneous other assets.</w:t>
      </w:r>
    </w:p>
    <w:p>
      <w:pPr>
        <w:spacing w:after="0" w:line="9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is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40" w:type="dxa"/>
            <w:vAlign w:val="bottom"/>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112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100" w:type="dxa"/>
            <w:vAlign w:val="bottom"/>
            <w:shd w:val="clear" w:color="auto" w:fill="004483"/>
          </w:tcPr>
          <w:p>
            <w:pPr>
              <w:spacing w:after="0"/>
              <w:rPr>
                <w:sz w:val="13"/>
                <w:szCs w:val="13"/>
                <w:color w:val="auto"/>
              </w:rPr>
            </w:pPr>
          </w:p>
        </w:tc>
        <w:tc>
          <w:tcPr>
            <w:tcW w:w="20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1000" w:type="dxa"/>
            <w:vAlign w:val="bottom"/>
            <w:gridSpan w:val="2"/>
            <w:shd w:val="clear" w:color="auto" w:fill="004483"/>
          </w:tcPr>
          <w:p>
            <w:pPr>
              <w:ind w:left="32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34"/>
        </w:trPr>
        <w:tc>
          <w:tcPr>
            <w:tcW w:w="7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2120" w:type="dxa"/>
            <w:vAlign w:val="bottom"/>
            <w:tcBorders>
              <w:bottom w:val="single" w:sz="8" w:color="004483"/>
            </w:tcBorders>
            <w:gridSpan w:val="4"/>
          </w:tcPr>
          <w:p>
            <w:pPr>
              <w:jc w:val="right"/>
              <w:ind w:right="239"/>
              <w:spacing w:after="0"/>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004483"/>
              </w:rPr>
              <w:t>Cement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203,342</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203,342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Concrete and Aggregates</w:t>
            </w:r>
          </w:p>
        </w:tc>
        <w:tc>
          <w:tcPr>
            <w:tcW w:w="48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1,639</w:t>
            </w:r>
          </w:p>
        </w:tc>
        <w:tc>
          <w:tcPr>
            <w:tcW w:w="100" w:type="dxa"/>
            <w:vAlign w:val="bottom"/>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700" w:type="dxa"/>
            <w:vAlign w:val="bottom"/>
            <w:tcBorders>
              <w:top w:val="single" w:sz="8" w:color="A6A6A6"/>
              <w:bottom w:val="single" w:sz="8" w:color="A6A6A6"/>
            </w:tcBorders>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Gypsum Wallboard</w:t>
            </w:r>
          </w:p>
        </w:tc>
        <w:tc>
          <w:tcPr>
            <w:tcW w:w="4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color w:val="004483"/>
              </w:rPr>
              <w:t>Paperboard</w:t>
            </w:r>
          </w:p>
        </w:tc>
        <w:tc>
          <w:tcPr>
            <w:tcW w:w="4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7,538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7,538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40" w:type="dxa"/>
            <w:vAlign w:val="bottom"/>
            <w:tcBorders>
              <w:bottom w:val="single" w:sz="8" w:color="A6A6A6"/>
            </w:tcBorders>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40" w:type="dxa"/>
            <w:vAlign w:val="bottom"/>
          </w:tcPr>
          <w:p>
            <w:pPr>
              <w:spacing w:after="0"/>
              <w:rPr>
                <w:sz w:val="15"/>
                <w:szCs w:val="15"/>
                <w:color w:val="auto"/>
              </w:rPr>
            </w:pPr>
          </w:p>
        </w:tc>
        <w:tc>
          <w:tcPr>
            <w:tcW w:w="480" w:type="dxa"/>
            <w:vAlign w:val="bottom"/>
            <w:tcBorders>
              <w:bottom w:val="single" w:sz="8" w:color="004483"/>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329,137</w:t>
            </w: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329,137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4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800" w:type="dxa"/>
            <w:vAlign w:val="bottom"/>
            <w:gridSpan w:val="5"/>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Three Months Ended December 31,</w:t>
            </w:r>
          </w:p>
        </w:tc>
        <w:tc>
          <w:tcPr>
            <w:tcW w:w="12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720" w:type="dxa"/>
            <w:vAlign w:val="bottom"/>
            <w:gridSpan w:val="5"/>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Nine Months Ended December 31,</w:t>
            </w:r>
          </w:p>
        </w:tc>
      </w:tr>
      <w:tr>
        <w:trPr>
          <w:trHeight w:val="134"/>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1"/>
                <w:szCs w:val="11"/>
                <w:color w:val="auto"/>
              </w:rPr>
            </w:pPr>
          </w:p>
        </w:tc>
      </w:tr>
      <w:tr>
        <w:trPr>
          <w:trHeight w:val="183"/>
        </w:trPr>
        <w:tc>
          <w:tcPr>
            <w:tcW w:w="52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2040" w:type="dxa"/>
            <w:vAlign w:val="bottom"/>
            <w:tcBorders>
              <w:bottom w:val="single" w:sz="8" w:color="004483"/>
            </w:tcBorders>
            <w:gridSpan w:val="3"/>
          </w:tcPr>
          <w:p>
            <w:pPr>
              <w:jc w:val="right"/>
              <w:ind w:right="15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940" w:type="dxa"/>
            <w:vAlign w:val="bottom"/>
            <w:tcBorders>
              <w:bottom w:val="single" w:sz="8" w:color="004483"/>
            </w:tcBorders>
            <w:gridSpan w:val="3"/>
          </w:tcPr>
          <w:p>
            <w:pPr>
              <w:jc w:val="right"/>
              <w:ind w:right="7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004483"/>
              </w:rPr>
              <w:t>Revenue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54,812</w:t>
            </w:r>
          </w:p>
        </w:tc>
        <w:tc>
          <w:tcPr>
            <w:tcW w:w="900" w:type="dxa"/>
            <w:vAlign w:val="bottom"/>
            <w:gridSpan w:val="2"/>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54,220</w:t>
            </w:r>
          </w:p>
        </w:tc>
        <w:tc>
          <w:tcPr>
            <w:tcW w:w="8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154,046</w:t>
            </w:r>
          </w:p>
        </w:tc>
        <w:tc>
          <w:tcPr>
            <w:tcW w:w="82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159,207</w:t>
            </w:r>
          </w:p>
        </w:tc>
        <w:tc>
          <w:tcPr>
            <w:tcW w:w="80" w:type="dxa"/>
            <w:vAlign w:val="bottom"/>
          </w:tcPr>
          <w:p>
            <w:pPr>
              <w:spacing w:after="0"/>
              <w:rPr>
                <w:sz w:val="16"/>
                <w:szCs w:val="16"/>
                <w:color w:val="auto"/>
              </w:rPr>
            </w:pPr>
          </w:p>
        </w:tc>
      </w:tr>
      <w:tr>
        <w:trPr>
          <w:trHeight w:val="182"/>
        </w:trPr>
        <w:tc>
          <w:tcPr>
            <w:tcW w:w="52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Margin</w:t>
            </w:r>
          </w:p>
        </w:tc>
        <w:tc>
          <w:tcPr>
            <w:tcW w:w="180" w:type="dxa"/>
            <w:vAlign w:val="bottom"/>
            <w:tcBorders>
              <w:top w:val="single" w:sz="8" w:color="A6A6A6"/>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18,662</w:t>
            </w:r>
          </w:p>
        </w:tc>
        <w:tc>
          <w:tcPr>
            <w:tcW w:w="100" w:type="dxa"/>
            <w:vAlign w:val="bottom"/>
          </w:tcPr>
          <w:p>
            <w:pPr>
              <w:spacing w:after="0"/>
              <w:rPr>
                <w:sz w:val="15"/>
                <w:szCs w:val="15"/>
                <w:color w:val="auto"/>
              </w:rPr>
            </w:pPr>
          </w:p>
        </w:tc>
        <w:tc>
          <w:tcPr>
            <w:tcW w:w="800" w:type="dxa"/>
            <w:vAlign w:val="bottom"/>
            <w:tcBorders>
              <w:top w:val="single" w:sz="8" w:color="A6A6A6"/>
              <w:bottom w:val="single" w:sz="8" w:color="A6A6A6"/>
            </w:tcBorders>
          </w:tcPr>
          <w:p>
            <w:pPr>
              <w:jc w:val="right"/>
              <w:ind w:right="47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22,045</w:t>
            </w:r>
          </w:p>
        </w:tc>
        <w:tc>
          <w:tcPr>
            <w:tcW w:w="80" w:type="dxa"/>
            <w:vAlign w:val="bottom"/>
          </w:tcPr>
          <w:p>
            <w:pPr>
              <w:spacing w:after="0"/>
              <w:rPr>
                <w:sz w:val="15"/>
                <w:szCs w:val="15"/>
                <w:color w:val="auto"/>
              </w:rPr>
            </w:pPr>
          </w:p>
        </w:tc>
        <w:tc>
          <w:tcPr>
            <w:tcW w:w="300" w:type="dxa"/>
            <w:vAlign w:val="bottom"/>
            <w:tcBorders>
              <w:top w:val="single" w:sz="8" w:color="A6A6A6"/>
              <w:bottom w:val="single" w:sz="8" w:color="A6A6A6"/>
            </w:tcBorders>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53,271</w:t>
            </w:r>
          </w:p>
        </w:tc>
        <w:tc>
          <w:tcPr>
            <w:tcW w:w="80" w:type="dxa"/>
            <w:vAlign w:val="bottom"/>
          </w:tcPr>
          <w:p>
            <w:pPr>
              <w:spacing w:after="0"/>
              <w:rPr>
                <w:sz w:val="15"/>
                <w:szCs w:val="15"/>
                <w:color w:val="auto"/>
              </w:rPr>
            </w:pPr>
          </w:p>
        </w:tc>
        <w:tc>
          <w:tcPr>
            <w:tcW w:w="740" w:type="dxa"/>
            <w:vAlign w:val="bottom"/>
            <w:tcBorders>
              <w:top w:val="single" w:sz="8" w:color="A6A6A6"/>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61,814</w:t>
            </w:r>
          </w:p>
        </w:tc>
        <w:tc>
          <w:tcPr>
            <w:tcW w:w="80" w:type="dxa"/>
            <w:vAlign w:val="bottom"/>
          </w:tcPr>
          <w:p>
            <w:pPr>
              <w:spacing w:after="0"/>
              <w:rPr>
                <w:sz w:val="15"/>
                <w:szCs w:val="15"/>
                <w:color w:val="auto"/>
              </w:rPr>
            </w:pPr>
          </w:p>
        </w:tc>
      </w:tr>
      <w:tr>
        <w:trPr>
          <w:trHeight w:val="183"/>
        </w:trPr>
        <w:tc>
          <w:tcPr>
            <w:tcW w:w="5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Earnings Before Income Taxes</w:t>
            </w: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17,111</w:t>
            </w:r>
          </w:p>
        </w:tc>
        <w:tc>
          <w:tcPr>
            <w:tcW w:w="100" w:type="dxa"/>
            <w:vAlign w:val="bottom"/>
          </w:tcPr>
          <w:p>
            <w:pPr>
              <w:spacing w:after="0"/>
              <w:rPr>
                <w:sz w:val="15"/>
                <w:szCs w:val="15"/>
                <w:color w:val="auto"/>
              </w:rPr>
            </w:pPr>
          </w:p>
        </w:tc>
        <w:tc>
          <w:tcPr>
            <w:tcW w:w="800" w:type="dxa"/>
            <w:vAlign w:val="bottom"/>
            <w:tcBorders>
              <w:bottom w:val="single" w:sz="8" w:color="A6A6A6"/>
            </w:tcBorders>
          </w:tcPr>
          <w:p>
            <w:pPr>
              <w:jc w:val="right"/>
              <w:ind w:right="47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21,920</w:t>
            </w:r>
          </w:p>
        </w:tc>
        <w:tc>
          <w:tcPr>
            <w:tcW w:w="80" w:type="dxa"/>
            <w:vAlign w:val="bottom"/>
          </w:tcPr>
          <w:p>
            <w:pPr>
              <w:spacing w:after="0"/>
              <w:rPr>
                <w:sz w:val="15"/>
                <w:szCs w:val="15"/>
                <w:color w:val="auto"/>
              </w:rPr>
            </w:pPr>
          </w:p>
        </w:tc>
        <w:tc>
          <w:tcPr>
            <w:tcW w:w="300" w:type="dxa"/>
            <w:vAlign w:val="bottom"/>
            <w:tcBorders>
              <w:bottom w:val="single" w:sz="8" w:color="A6A6A6"/>
            </w:tcBorders>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49,570</w:t>
            </w:r>
          </w:p>
        </w:tc>
        <w:tc>
          <w:tcPr>
            <w:tcW w:w="80" w:type="dxa"/>
            <w:vAlign w:val="bottom"/>
          </w:tcPr>
          <w:p>
            <w:pPr>
              <w:spacing w:after="0"/>
              <w:rPr>
                <w:sz w:val="15"/>
                <w:szCs w:val="15"/>
                <w:color w:val="auto"/>
              </w:rPr>
            </w:pPr>
          </w:p>
        </w:tc>
        <w:tc>
          <w:tcPr>
            <w:tcW w:w="740" w:type="dxa"/>
            <w:vAlign w:val="bottom"/>
            <w:tcBorders>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58,665</w:t>
            </w:r>
          </w:p>
        </w:tc>
        <w:tc>
          <w:tcPr>
            <w:tcW w:w="80" w:type="dxa"/>
            <w:vAlign w:val="bottom"/>
          </w:tcPr>
          <w:p>
            <w:pPr>
              <w:spacing w:after="0"/>
              <w:rPr>
                <w:sz w:val="15"/>
                <w:szCs w:val="15"/>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4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112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80" w:type="dxa"/>
            <w:vAlign w:val="bottom"/>
            <w:shd w:val="clear" w:color="auto" w:fill="004483"/>
          </w:tcPr>
          <w:p>
            <w:pPr>
              <w:spacing w:after="0"/>
              <w:rPr>
                <w:sz w:val="13"/>
                <w:szCs w:val="13"/>
                <w:color w:val="auto"/>
              </w:rPr>
            </w:pPr>
          </w:p>
        </w:tc>
        <w:tc>
          <w:tcPr>
            <w:tcW w:w="940" w:type="dxa"/>
            <w:vAlign w:val="bottom"/>
            <w:shd w:val="clear" w:color="auto" w:fill="004483"/>
          </w:tcPr>
          <w:p>
            <w:pPr>
              <w:spacing w:after="0"/>
              <w:rPr>
                <w:sz w:val="13"/>
                <w:szCs w:val="13"/>
                <w:color w:val="auto"/>
              </w:rPr>
            </w:pPr>
          </w:p>
        </w:tc>
        <w:tc>
          <w:tcPr>
            <w:tcW w:w="960" w:type="dxa"/>
            <w:vAlign w:val="bottom"/>
            <w:gridSpan w:val="2"/>
            <w:shd w:val="clear" w:color="auto" w:fill="004483"/>
          </w:tcPr>
          <w:p>
            <w:pPr>
              <w:ind w:left="320"/>
              <w:spacing w:after="0"/>
              <w:rPr>
                <w:sz w:val="20"/>
                <w:szCs w:val="20"/>
                <w:color w:val="auto"/>
              </w:rPr>
            </w:pPr>
            <w:r>
              <w:rPr>
                <w:rFonts w:ascii="Arial" w:cs="Arial" w:eastAsia="Arial" w:hAnsi="Arial"/>
                <w:sz w:val="13"/>
                <w:szCs w:val="13"/>
                <w:b w:val="1"/>
                <w:bCs w:val="1"/>
                <w:color w:val="FFFFFF"/>
              </w:rPr>
              <w:t>March 31,</w:t>
            </w:r>
          </w:p>
        </w:tc>
      </w:tr>
      <w:tr>
        <w:trPr>
          <w:trHeight w:val="134"/>
        </w:trPr>
        <w:tc>
          <w:tcPr>
            <w:tcW w:w="7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r>
      <w:tr>
        <w:trPr>
          <w:trHeight w:val="183"/>
        </w:trPr>
        <w:tc>
          <w:tcPr>
            <w:tcW w:w="764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140" w:type="dxa"/>
            <w:vAlign w:val="bottom"/>
            <w:tcBorders>
              <w:bottom w:val="single" w:sz="8" w:color="004483"/>
            </w:tcBorders>
            <w:gridSpan w:val="3"/>
          </w:tcPr>
          <w:p>
            <w:pPr>
              <w:jc w:val="right"/>
              <w:ind w:right="25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004483"/>
              </w:rPr>
              <w:t>Current Assets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69,481</w:t>
            </w:r>
          </w:p>
        </w:tc>
        <w:tc>
          <w:tcPr>
            <w:tcW w:w="102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66,871</w:t>
            </w:r>
          </w:p>
        </w:tc>
        <w:tc>
          <w:tcPr>
            <w:tcW w:w="80" w:type="dxa"/>
            <w:vAlign w:val="bottom"/>
          </w:tcPr>
          <w:p>
            <w:pPr>
              <w:spacing w:after="0"/>
              <w:rPr>
                <w:sz w:val="16"/>
                <w:szCs w:val="16"/>
                <w:color w:val="auto"/>
              </w:rPr>
            </w:pPr>
          </w:p>
        </w:tc>
      </w:tr>
      <w:tr>
        <w:trPr>
          <w:trHeight w:val="183"/>
        </w:trPr>
        <w:tc>
          <w:tcPr>
            <w:tcW w:w="76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Noncurrent Assets</w:t>
            </w:r>
          </w:p>
        </w:tc>
        <w:tc>
          <w:tcPr>
            <w:tcW w:w="500" w:type="dxa"/>
            <w:vAlign w:val="bottom"/>
            <w:tcBorders>
              <w:top w:val="single" w:sz="8" w:color="A6A6A6"/>
              <w:bottom w:val="single" w:sz="8" w:color="A6A6A6"/>
            </w:tcBorders>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112,937</w:t>
            </w:r>
          </w:p>
        </w:tc>
        <w:tc>
          <w:tcPr>
            <w:tcW w:w="80" w:type="dxa"/>
            <w:vAlign w:val="bottom"/>
          </w:tcPr>
          <w:p>
            <w:pPr>
              <w:spacing w:after="0"/>
              <w:rPr>
                <w:sz w:val="15"/>
                <w:szCs w:val="15"/>
                <w:color w:val="auto"/>
              </w:rPr>
            </w:pPr>
          </w:p>
        </w:tc>
        <w:tc>
          <w:tcPr>
            <w:tcW w:w="940" w:type="dxa"/>
            <w:vAlign w:val="bottom"/>
            <w:tcBorders>
              <w:top w:val="single" w:sz="8" w:color="A6A6A6"/>
              <w:bottom w:val="single" w:sz="8" w:color="A6A6A6"/>
            </w:tcBorders>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107,617</w:t>
            </w:r>
          </w:p>
        </w:tc>
        <w:tc>
          <w:tcPr>
            <w:tcW w:w="80" w:type="dxa"/>
            <w:vAlign w:val="bottom"/>
          </w:tcPr>
          <w:p>
            <w:pPr>
              <w:spacing w:after="0"/>
              <w:rPr>
                <w:sz w:val="15"/>
                <w:szCs w:val="15"/>
                <w:color w:val="auto"/>
              </w:rPr>
            </w:pPr>
          </w:p>
        </w:tc>
      </w:tr>
      <w:tr>
        <w:trPr>
          <w:trHeight w:val="183"/>
        </w:trPr>
        <w:tc>
          <w:tcPr>
            <w:tcW w:w="76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Current Liabilities</w:t>
            </w:r>
          </w:p>
        </w:tc>
        <w:tc>
          <w:tcPr>
            <w:tcW w:w="500" w:type="dxa"/>
            <w:vAlign w:val="bottom"/>
            <w:tcBorders>
              <w:bottom w:val="single" w:sz="8" w:color="A6A6A6"/>
            </w:tcBorders>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18,277</w:t>
            </w:r>
          </w:p>
        </w:tc>
        <w:tc>
          <w:tcPr>
            <w:tcW w:w="80" w:type="dxa"/>
            <w:vAlign w:val="bottom"/>
          </w:tcPr>
          <w:p>
            <w:pPr>
              <w:spacing w:after="0"/>
              <w:rPr>
                <w:sz w:val="15"/>
                <w:szCs w:val="15"/>
                <w:color w:val="auto"/>
              </w:rPr>
            </w:pPr>
          </w:p>
        </w:tc>
        <w:tc>
          <w:tcPr>
            <w:tcW w:w="940" w:type="dxa"/>
            <w:vAlign w:val="bottom"/>
            <w:tcBorders>
              <w:bottom w:val="single" w:sz="8" w:color="A6A6A6"/>
            </w:tcBorders>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16,390</w:t>
            </w:r>
          </w:p>
        </w:tc>
        <w:tc>
          <w:tcPr>
            <w:tcW w:w="80" w:type="dxa"/>
            <w:vAlign w:val="bottom"/>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2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780" w:type="dxa"/>
            <w:vAlign w:val="bottom"/>
            <w:gridSpan w:val="6"/>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w w:val="90"/>
              </w:rPr>
              <w:t>For the Three Months Ended December 31,</w:t>
            </w:r>
          </w:p>
        </w:tc>
        <w:tc>
          <w:tcPr>
            <w:tcW w:w="14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740" w:type="dxa"/>
            <w:vAlign w:val="bottom"/>
            <w:gridSpan w:val="6"/>
            <w:shd w:val="clear" w:color="auto" w:fill="004483"/>
          </w:tcPr>
          <w:p>
            <w:pPr>
              <w:jc w:val="right"/>
              <w:ind w:right="299"/>
              <w:spacing w:after="0"/>
              <w:rPr>
                <w:sz w:val="20"/>
                <w:szCs w:val="20"/>
                <w:color w:val="auto"/>
              </w:rPr>
            </w:pPr>
            <w:r>
              <w:rPr>
                <w:rFonts w:ascii="Arial" w:cs="Arial" w:eastAsia="Arial" w:hAnsi="Arial"/>
                <w:sz w:val="13"/>
                <w:szCs w:val="13"/>
                <w:b w:val="1"/>
                <w:bCs w:val="1"/>
                <w:color w:val="FFFFFF"/>
                <w:w w:val="90"/>
              </w:rPr>
              <w:t>For the Nine Months Ended December 31,</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2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2040" w:type="dxa"/>
            <w:vAlign w:val="bottom"/>
            <w:tcBorders>
              <w:bottom w:val="single" w:sz="8" w:color="004483"/>
            </w:tcBorders>
            <w:gridSpan w:val="4"/>
          </w:tcPr>
          <w:p>
            <w:pPr>
              <w:jc w:val="right"/>
              <w:ind w:right="159"/>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960" w:type="dxa"/>
            <w:vAlign w:val="bottom"/>
            <w:tcBorders>
              <w:bottom w:val="single" w:sz="8" w:color="004483"/>
            </w:tcBorders>
            <w:gridSpan w:val="4"/>
          </w:tcPr>
          <w:p>
            <w:pPr>
              <w:jc w:val="right"/>
              <w:ind w:right="11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(38 )</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22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 Expense</w:t>
            </w:r>
          </w:p>
        </w:tc>
        <w:tc>
          <w:tcPr>
            <w:tcW w:w="18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4,959</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660" w:type="dxa"/>
            <w:vAlign w:val="bottom"/>
            <w:tcBorders>
              <w:top w:val="single" w:sz="8" w:color="A6A6A6"/>
              <w:bottom w:val="single" w:sz="8" w:color="A6A6A6"/>
            </w:tcBorders>
          </w:tcPr>
          <w:p>
            <w:pPr>
              <w:spacing w:after="0"/>
              <w:rPr>
                <w:sz w:val="15"/>
                <w:szCs w:val="15"/>
                <w:color w:val="auto"/>
              </w:rPr>
            </w:pPr>
          </w:p>
        </w:tc>
        <w:tc>
          <w:tcPr>
            <w:tcW w:w="6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8,449</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11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16,511</w:t>
            </w:r>
          </w:p>
        </w:tc>
        <w:tc>
          <w:tcPr>
            <w:tcW w:w="12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620" w:type="dxa"/>
            <w:vAlign w:val="bottom"/>
            <w:tcBorders>
              <w:top w:val="single" w:sz="8" w:color="A6A6A6"/>
              <w:bottom w:val="single" w:sz="8" w:color="A6A6A6"/>
            </w:tcBorders>
          </w:tcPr>
          <w:p>
            <w:pPr>
              <w:spacing w:after="0"/>
              <w:rPr>
                <w:sz w:val="15"/>
                <w:szCs w:val="15"/>
                <w:color w:val="auto"/>
              </w:rPr>
            </w:pPr>
          </w:p>
        </w:tc>
        <w:tc>
          <w:tcPr>
            <w:tcW w:w="6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33,141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20" w:type="dxa"/>
            <w:vAlign w:val="bottom"/>
          </w:tcPr>
          <w:p>
            <w:pPr>
              <w:ind w:left="20"/>
              <w:spacing w:after="0" w:line="183" w:lineRule="exact"/>
              <w:rPr>
                <w:sz w:val="20"/>
                <w:szCs w:val="20"/>
                <w:color w:val="auto"/>
              </w:rPr>
            </w:pPr>
            <w:r>
              <w:rPr>
                <w:rFonts w:ascii="Arial" w:cs="Arial" w:eastAsia="Arial" w:hAnsi="Arial"/>
                <w:sz w:val="16"/>
                <w:szCs w:val="16"/>
                <w:color w:val="004483"/>
              </w:rPr>
              <w:t>Other Expenses</w:t>
            </w:r>
          </w:p>
        </w:tc>
        <w:tc>
          <w:tcPr>
            <w:tcW w:w="1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692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924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8,418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2,869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22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620" w:type="dxa"/>
            <w:vAlign w:val="bottom"/>
            <w:tcBorders>
              <w:bottom w:val="single" w:sz="8" w:color="004483"/>
            </w:tcBorders>
            <w:shd w:val="clear" w:color="auto" w:fill="004483"/>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Interest Expense, net</w:t>
            </w:r>
          </w:p>
        </w:tc>
        <w:tc>
          <w:tcPr>
            <w:tcW w:w="1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5,651</w:t>
            </w: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004483"/>
            </w:tcBorders>
          </w:tcPr>
          <w:p>
            <w:pPr>
              <w:jc w:val="right"/>
              <w:ind w:right="479"/>
              <w:spacing w:after="0" w:line="183" w:lineRule="exact"/>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9,360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24,891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004483"/>
            </w:tcBorders>
          </w:tcPr>
          <w:p>
            <w:pPr>
              <w:jc w:val="right"/>
              <w:ind w:right="439"/>
              <w:spacing w:after="0" w:line="183" w:lineRule="exact"/>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35,957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1" w:name="page22"/>
    <w:bookmarkEnd w:id="21"/>
    <w:p>
      <w:pPr>
        <w:ind w:right="100"/>
        <w:spacing w:after="0" w:line="284"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 Other Expenses for the nine months ended December 31, 2021 also include approximately $6.1 million for the write-off of debt issuance costs related to the Term Loan and 4.500% Senior Unsecured Notes, which were repaid and redeemed in July 2021.</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134"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December 31, 2021, we had contingent liabilities under these outstanding letters of credit of approximately $5.0 million.</w:t>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96"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We are currently contingently liable for performance under $25.9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134"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2.500% Senior Unsecured Notes at December 31, 2021 is as follows:</w:t>
      </w:r>
    </w:p>
    <w:p>
      <w:pPr>
        <w:spacing w:after="0" w:line="301"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6374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8880" w:val="left"/>
          <w:tab w:leader="none" w:pos="1058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739,479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0637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37"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2 input). The carrying values of Cash and Cash Equivalents, Accounts Receivable, Notes Receivable, Accounts Payable, and Accrued Liabilities approximate their fair values at December 31, 2021, due to the short-term maturities of these assets and liabilities. The fair value of our Revolving Credit Facility also approximates the carrying value at December 31, 2021.</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and nine months ended December 31, 2021 and 2020, are presented on a consolidated basis and by these business segments – Cement, Concrete and Aggregates, Gypsum Wallboard, and Recycled Paperboard.</w:t>
      </w:r>
    </w:p>
    <w:p>
      <w:pPr>
        <w:spacing w:after="0" w:line="97"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98"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8"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On September 18, 2020, we sold our Oil and Gas Proppants business, which had previously been reported as a separate operating segment. Because the sale of the Oil and Gas Proppants business was determined to meet the accounting criteria for discontinued operations, this segment is no longer separately reported in our reportable segment footnote for any of the periods presented. See Footnote (C) in the Unaudited Consolidated Financial Statements for more information about the sale of the Oil and Gas Proppants business.</w:t>
      </w:r>
    </w:p>
    <w:p>
      <w:pPr>
        <w:spacing w:after="0" w:line="97"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On April 17, 2020, we sold two of our businesses, Western Aggregates LLC (Western) and Mathews Readymix LLC (Mathews), for an aggregate purchase price of $93.5 million, resulting in a gain of $52.0 million. Western and Mathews were part of our Concrete and Aggregates operating segment, and their results of operations were included in our financial statements for the period from April 1, 2020 through April 17,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Strong underlying market conditions in calendar 2021 supported construction activity in our markets, despite supply chain disruptions during the latter half of the calendar year, which adversely affected some of our customers. We believe demand for our products will remain strong in calendar 2022, supported in part by the passage of the Infrastructure Investment and Jobs Act in November 2021.</w:t>
      </w: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5" w:right="439" w:bottom="1440" w:gutter="0" w:footer="0" w:header="0"/>
        </w:sectPr>
      </w:pPr>
    </w:p>
    <w:bookmarkStart w:id="23" w:name="page24"/>
    <w:bookmarkEnd w:id="23"/>
    <w:p>
      <w:pPr>
        <w:ind w:right="20"/>
        <w:spacing w:after="0" w:line="285" w:lineRule="auto"/>
        <w:rPr>
          <w:sz w:val="20"/>
          <w:szCs w:val="20"/>
          <w:color w:val="auto"/>
        </w:rPr>
      </w:pPr>
      <w:r>
        <w:rPr>
          <w:rFonts w:ascii="Arial" w:cs="Arial" w:eastAsia="Arial" w:hAnsi="Arial"/>
          <w:sz w:val="18"/>
          <w:szCs w:val="18"/>
          <w:color w:val="auto"/>
        </w:rPr>
        <w:t>Energy and freight costs increased in all of our businesses during the fiscal third quarter, and we anticipate further increases throughout the remainder of fiscal 2022. Regarding energy, we have forward purchase contracts for approximately 50% of our natural gas needs for the remainder of the fiscal year. For freight, several factors are contributing to higher costs, including: limited availability of trucking and rail service, and congestion on the shipping routes, all of which have constrained capacity.</w:t>
      </w:r>
    </w:p>
    <w:p>
      <w:pPr>
        <w:spacing w:after="0" w:line="9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Cement and Concrete and Aggregates markets are affected by infrastructure spending, residential construction, private non-residential construction activity, and weather. Despite underlying increases in market demand, our organic Cement sales volume growth is expected to be limited in fiscal 2022 because our integrated cement sales network, which stretches across the U.S. heartland, is operating at high utilization levels.</w:t>
      </w:r>
    </w:p>
    <w:p>
      <w:pPr>
        <w:spacing w:after="0" w:line="97"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Our primary Gypsum Wallboard sales network stretches across the southern half of the United States, consistent with our facility network. Wallboard demand is heavily influenced by new residential housing construction, as well as repair and remodeling activity. Residential housing starts increased, on a seasonally adjusted basis, approximately 3% in calendar 2021, compared with 2020. Repair and remodel activity is expected to remain strong throughout the rest of the fiscal year, but may be negatively affected by further delays in the supply chain.</w:t>
      </w:r>
    </w:p>
    <w:p>
      <w:pPr>
        <w:spacing w:after="0" w:line="9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Our Recycled Paperboard business sells paper primarily into the gypsum wallboard market, and demand for paper generally follows the demand for gypsum wallboard. The primary raw material used to produce paperboard is Old Corrugated Containers (OCC). Prices for OCC significantly increased during the first nine months of fiscal 2022. Our current customer contracts for gypsum liner include price escalators that partially compensate for changes in raw material fiber prices. However, because these price escalations are not realized until future quarters, material costs in our Gypsum Wallboard segment are likely to be higher in the period that these price increases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2021 COMPARED WITH THREE MONTHS ENDED DECEMBER 31,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300" w:type="dxa"/>
            <w:vAlign w:val="bottom"/>
            <w:shd w:val="clear" w:color="auto" w:fill="004483"/>
          </w:tcPr>
          <w:p>
            <w:pPr>
              <w:spacing w:after="0"/>
              <w:rPr>
                <w:sz w:val="13"/>
                <w:szCs w:val="13"/>
                <w:color w:val="auto"/>
              </w:rPr>
            </w:pPr>
          </w:p>
        </w:tc>
        <w:tc>
          <w:tcPr>
            <w:tcW w:w="3180" w:type="dxa"/>
            <w:vAlign w:val="bottom"/>
            <w:gridSpan w:val="6"/>
            <w:shd w:val="clear" w:color="auto" w:fill="004483"/>
          </w:tcPr>
          <w:p>
            <w:pPr>
              <w:jc w:val="right"/>
              <w:ind w:right="539"/>
              <w:spacing w:after="0"/>
              <w:rPr>
                <w:sz w:val="20"/>
                <w:szCs w:val="20"/>
                <w:color w:val="auto"/>
              </w:rPr>
            </w:pPr>
            <w:r>
              <w:rPr>
                <w:rFonts w:ascii="Arial" w:cs="Arial" w:eastAsia="Arial" w:hAnsi="Arial"/>
                <w:sz w:val="13"/>
                <w:szCs w:val="13"/>
                <w:b w:val="1"/>
                <w:bCs w:val="1"/>
                <w:color w:val="FFFFFF"/>
                <w:w w:val="96"/>
              </w:rPr>
              <w:t>For the Three Months Ended December 31,</w:t>
            </w:r>
          </w:p>
        </w:tc>
        <w:tc>
          <w:tcPr>
            <w:tcW w:w="1420" w:type="dxa"/>
            <w:vAlign w:val="bottom"/>
            <w:gridSpan w:val="2"/>
            <w:vMerge w:val="restart"/>
          </w:tcPr>
          <w:p>
            <w:pPr>
              <w:jc w:val="right"/>
              <w:ind w:right="13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4"/>
        </w:trPr>
        <w:tc>
          <w:tcPr>
            <w:tcW w:w="6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242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 except per share)</w:t>
            </w:r>
          </w:p>
        </w:tc>
        <w:tc>
          <w:tcPr>
            <w:tcW w:w="6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004483"/>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462,941</w:t>
            </w:r>
          </w:p>
        </w:tc>
        <w:tc>
          <w:tcPr>
            <w:tcW w:w="100" w:type="dxa"/>
            <w:vAlign w:val="bottom"/>
          </w:tcPr>
          <w:p>
            <w:pPr>
              <w:spacing w:after="0"/>
              <w:rPr>
                <w:sz w:val="16"/>
                <w:szCs w:val="16"/>
                <w:color w:val="auto"/>
              </w:rPr>
            </w:pPr>
          </w:p>
        </w:tc>
        <w:tc>
          <w:tcPr>
            <w:tcW w:w="1040" w:type="dxa"/>
            <w:vAlign w:val="bottom"/>
            <w:tcBorders>
              <w:bottom w:val="single" w:sz="8" w:color="A6A6A6"/>
            </w:tcBorders>
            <w:gridSpan w:val="2"/>
          </w:tcPr>
          <w:p>
            <w:pPr>
              <w:jc w:val="right"/>
              <w:ind w:right="7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404,667</w:t>
            </w:r>
          </w:p>
        </w:tc>
        <w:tc>
          <w:tcPr>
            <w:tcW w:w="100" w:type="dxa"/>
            <w:vAlign w:val="bottom"/>
          </w:tcPr>
          <w:p>
            <w:pPr>
              <w:spacing w:after="0"/>
              <w:rPr>
                <w:sz w:val="16"/>
                <w:szCs w:val="16"/>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line="183" w:lineRule="exact"/>
              <w:rPr>
                <w:sz w:val="20"/>
                <w:szCs w:val="20"/>
                <w:color w:val="auto"/>
              </w:rPr>
            </w:pPr>
            <w:r>
              <w:rPr>
                <w:rFonts w:ascii="Arial" w:cs="Arial" w:eastAsia="Arial" w:hAnsi="Arial"/>
                <w:sz w:val="16"/>
                <w:szCs w:val="16"/>
                <w:color w:val="004483"/>
              </w:rPr>
              <w:t>Cost of Goods Sold</w:t>
            </w:r>
          </w:p>
        </w:tc>
        <w:tc>
          <w:tcPr>
            <w:tcW w:w="300" w:type="dxa"/>
            <w:vAlign w:val="bottom"/>
            <w:tcBorders>
              <w:bottom w:val="single" w:sz="8" w:color="004483"/>
            </w:tcBorders>
          </w:tcPr>
          <w:p>
            <w:pPr>
              <w:spacing w:after="0"/>
              <w:rPr>
                <w:sz w:val="18"/>
                <w:szCs w:val="18"/>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(324,355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900" w:type="dxa"/>
            <w:vAlign w:val="bottom"/>
            <w:tcBorders>
              <w:bottom w:val="single" w:sz="8" w:color="004483"/>
            </w:tcBorders>
          </w:tcPr>
          <w:p>
            <w:pPr>
              <w:spacing w:after="0"/>
              <w:rPr>
                <w:sz w:val="18"/>
                <w:szCs w:val="18"/>
                <w:color w:val="auto"/>
              </w:rPr>
            </w:pPr>
          </w:p>
        </w:tc>
        <w:tc>
          <w:tcPr>
            <w:tcW w:w="6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98"/>
              </w:rPr>
              <w:t>(291,288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83"/>
        </w:trPr>
        <w:tc>
          <w:tcPr>
            <w:tcW w:w="62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Profit</w:t>
            </w:r>
          </w:p>
        </w:tc>
        <w:tc>
          <w:tcPr>
            <w:tcW w:w="300" w:type="dxa"/>
            <w:vAlign w:val="bottom"/>
            <w:tcBorders>
              <w:top w:val="single" w:sz="8" w:color="004483"/>
              <w:bottom w:val="single" w:sz="8" w:color="A6A6A6"/>
            </w:tcBorders>
          </w:tcPr>
          <w:p>
            <w:pPr>
              <w:spacing w:after="0"/>
              <w:rPr>
                <w:sz w:val="15"/>
                <w:szCs w:val="15"/>
                <w:color w:val="auto"/>
              </w:rPr>
            </w:pPr>
          </w:p>
        </w:tc>
        <w:tc>
          <w:tcPr>
            <w:tcW w:w="12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138,586</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900" w:type="dxa"/>
            <w:vAlign w:val="bottom"/>
            <w:tcBorders>
              <w:top w:val="single" w:sz="8" w:color="004483"/>
              <w:bottom w:val="single" w:sz="8" w:color="A6A6A6"/>
            </w:tcBorders>
          </w:tcPr>
          <w:p>
            <w:pPr>
              <w:spacing w:after="0"/>
              <w:rPr>
                <w:sz w:val="15"/>
                <w:szCs w:val="15"/>
                <w:color w:val="auto"/>
              </w:rPr>
            </w:pPr>
          </w:p>
        </w:tc>
        <w:tc>
          <w:tcPr>
            <w:tcW w:w="6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113,379</w:t>
            </w:r>
          </w:p>
        </w:tc>
        <w:tc>
          <w:tcPr>
            <w:tcW w:w="100" w:type="dxa"/>
            <w:vAlign w:val="bottom"/>
          </w:tcPr>
          <w:p>
            <w:pPr>
              <w:spacing w:after="0"/>
              <w:rPr>
                <w:sz w:val="15"/>
                <w:szCs w:val="15"/>
                <w:color w:val="auto"/>
              </w:rPr>
            </w:pP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w:t>
            </w:r>
          </w:p>
        </w:tc>
        <w:tc>
          <w:tcPr>
            <w:tcW w:w="2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30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8,555</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10,083</w:t>
            </w:r>
          </w:p>
        </w:tc>
        <w:tc>
          <w:tcPr>
            <w:tcW w:w="100" w:type="dxa"/>
            <w:vAlign w:val="bottom"/>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w:t>
            </w:r>
          </w:p>
        </w:tc>
        <w:tc>
          <w:tcPr>
            <w:tcW w:w="200" w:type="dxa"/>
            <w:vAlign w:val="bottom"/>
          </w:tcPr>
          <w:p>
            <w:pPr>
              <w:ind w:left="20"/>
              <w:spacing w:after="0" w:line="183" w:lineRule="exact"/>
              <w:rPr>
                <w:sz w:val="20"/>
                <w:szCs w:val="20"/>
                <w:color w:val="auto"/>
              </w:rPr>
            </w:pPr>
            <w:r>
              <w:rPr>
                <w:rFonts w:ascii="Arial" w:cs="Arial" w:eastAsia="Arial" w:hAnsi="Arial"/>
                <w:sz w:val="16"/>
                <w:szCs w:val="16"/>
                <w:color w:val="auto"/>
                <w:w w:val="81"/>
              </w:rPr>
              <w:t>)%</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Corporate General and Administrative</w:t>
            </w:r>
          </w:p>
        </w:tc>
        <w:tc>
          <w:tcPr>
            <w:tcW w:w="30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(12,851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(11,327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w:t>
            </w:r>
          </w:p>
        </w:tc>
        <w:tc>
          <w:tcPr>
            <w:tcW w:w="2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Other Non-Operating Income</w:t>
            </w:r>
          </w:p>
        </w:tc>
        <w:tc>
          <w:tcPr>
            <w:tcW w:w="30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3,207</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2,297</w:t>
            </w:r>
          </w:p>
        </w:tc>
        <w:tc>
          <w:tcPr>
            <w:tcW w:w="100" w:type="dxa"/>
            <w:vAlign w:val="bottom"/>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w:t>
            </w:r>
          </w:p>
        </w:tc>
        <w:tc>
          <w:tcPr>
            <w:tcW w:w="2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line="183" w:lineRule="exact"/>
              <w:rPr>
                <w:sz w:val="20"/>
                <w:szCs w:val="20"/>
                <w:color w:val="auto"/>
              </w:rPr>
            </w:pPr>
            <w:r>
              <w:rPr>
                <w:rFonts w:ascii="Arial" w:cs="Arial" w:eastAsia="Arial" w:hAnsi="Arial"/>
                <w:sz w:val="16"/>
                <w:szCs w:val="16"/>
                <w:color w:val="004483"/>
              </w:rPr>
              <w:t>Interest Expense, net</w:t>
            </w:r>
          </w:p>
        </w:tc>
        <w:tc>
          <w:tcPr>
            <w:tcW w:w="300" w:type="dxa"/>
            <w:vAlign w:val="bottom"/>
            <w:tcBorders>
              <w:bottom w:val="single" w:sz="8" w:color="004483"/>
            </w:tcBorders>
          </w:tcPr>
          <w:p>
            <w:pPr>
              <w:spacing w:after="0"/>
              <w:rPr>
                <w:sz w:val="18"/>
                <w:szCs w:val="18"/>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(5,651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900" w:type="dxa"/>
            <w:vAlign w:val="bottom"/>
            <w:tcBorders>
              <w:bottom w:val="single" w:sz="8" w:color="004483"/>
            </w:tcBorders>
          </w:tcPr>
          <w:p>
            <w:pPr>
              <w:spacing w:after="0"/>
              <w:rPr>
                <w:sz w:val="18"/>
                <w:szCs w:val="18"/>
                <w:color w:val="auto"/>
              </w:rPr>
            </w:pPr>
          </w:p>
        </w:tc>
        <w:tc>
          <w:tcPr>
            <w:tcW w:w="6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(9,360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182"/>
        </w:trPr>
        <w:tc>
          <w:tcPr>
            <w:tcW w:w="62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Earnings from Continuing Operations Before Income Taxes</w:t>
            </w:r>
          </w:p>
        </w:tc>
        <w:tc>
          <w:tcPr>
            <w:tcW w:w="300" w:type="dxa"/>
            <w:vAlign w:val="bottom"/>
            <w:tcBorders>
              <w:top w:val="single" w:sz="8" w:color="004483"/>
              <w:bottom w:val="single" w:sz="8" w:color="A6A6A6"/>
            </w:tcBorders>
          </w:tcPr>
          <w:p>
            <w:pPr>
              <w:spacing w:after="0"/>
              <w:rPr>
                <w:sz w:val="15"/>
                <w:szCs w:val="15"/>
                <w:color w:val="auto"/>
              </w:rPr>
            </w:pPr>
          </w:p>
        </w:tc>
        <w:tc>
          <w:tcPr>
            <w:tcW w:w="12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131,846</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900" w:type="dxa"/>
            <w:vAlign w:val="bottom"/>
            <w:tcBorders>
              <w:top w:val="single" w:sz="8" w:color="004483"/>
              <w:bottom w:val="single" w:sz="8" w:color="A6A6A6"/>
            </w:tcBorders>
          </w:tcPr>
          <w:p>
            <w:pPr>
              <w:spacing w:after="0"/>
              <w:rPr>
                <w:sz w:val="15"/>
                <w:szCs w:val="15"/>
                <w:color w:val="auto"/>
              </w:rPr>
            </w:pPr>
          </w:p>
        </w:tc>
        <w:tc>
          <w:tcPr>
            <w:tcW w:w="6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105,072</w:t>
            </w:r>
          </w:p>
        </w:tc>
        <w:tc>
          <w:tcPr>
            <w:tcW w:w="100" w:type="dxa"/>
            <w:vAlign w:val="bottom"/>
          </w:tcPr>
          <w:p>
            <w:pPr>
              <w:spacing w:after="0"/>
              <w:rPr>
                <w:sz w:val="15"/>
                <w:szCs w:val="15"/>
                <w:color w:val="auto"/>
              </w:rPr>
            </w:pP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w:t>
            </w:r>
          </w:p>
        </w:tc>
        <w:tc>
          <w:tcPr>
            <w:tcW w:w="2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line="183" w:lineRule="exact"/>
              <w:rPr>
                <w:sz w:val="20"/>
                <w:szCs w:val="20"/>
                <w:color w:val="auto"/>
              </w:rPr>
            </w:pPr>
            <w:r>
              <w:rPr>
                <w:rFonts w:ascii="Arial" w:cs="Arial" w:eastAsia="Arial" w:hAnsi="Arial"/>
                <w:sz w:val="16"/>
                <w:szCs w:val="16"/>
                <w:color w:val="004483"/>
              </w:rPr>
              <w:t>Income Tax Expense</w:t>
            </w:r>
          </w:p>
        </w:tc>
        <w:tc>
          <w:tcPr>
            <w:tcW w:w="300" w:type="dxa"/>
            <w:vAlign w:val="bottom"/>
            <w:tcBorders>
              <w:bottom w:val="single" w:sz="8" w:color="004483"/>
            </w:tcBorders>
          </w:tcPr>
          <w:p>
            <w:pPr>
              <w:spacing w:after="0"/>
              <w:rPr>
                <w:sz w:val="18"/>
                <w:szCs w:val="18"/>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(29,367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900" w:type="dxa"/>
            <w:vAlign w:val="bottom"/>
            <w:tcBorders>
              <w:bottom w:val="single" w:sz="8" w:color="004483"/>
            </w:tcBorders>
          </w:tcPr>
          <w:p>
            <w:pPr>
              <w:spacing w:after="0"/>
              <w:rPr>
                <w:sz w:val="18"/>
                <w:szCs w:val="18"/>
                <w:color w:val="auto"/>
              </w:rPr>
            </w:pPr>
          </w:p>
        </w:tc>
        <w:tc>
          <w:tcPr>
            <w:tcW w:w="6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(23,879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83"/>
        </w:trPr>
        <w:tc>
          <w:tcPr>
            <w:tcW w:w="62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Earnings from Continuing Operations</w:t>
            </w:r>
          </w:p>
        </w:tc>
        <w:tc>
          <w:tcPr>
            <w:tcW w:w="300" w:type="dxa"/>
            <w:vAlign w:val="bottom"/>
            <w:tcBorders>
              <w:top w:val="single" w:sz="8" w:color="004483"/>
              <w:bottom w:val="single" w:sz="8" w:color="A6A6A6"/>
            </w:tcBorders>
          </w:tcPr>
          <w:p>
            <w:pPr>
              <w:spacing w:after="0"/>
              <w:rPr>
                <w:sz w:val="15"/>
                <w:szCs w:val="15"/>
                <w:color w:val="auto"/>
              </w:rPr>
            </w:pPr>
          </w:p>
        </w:tc>
        <w:tc>
          <w:tcPr>
            <w:tcW w:w="12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102,479</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900" w:type="dxa"/>
            <w:vAlign w:val="bottom"/>
            <w:tcBorders>
              <w:top w:val="single" w:sz="8" w:color="004483"/>
              <w:bottom w:val="single" w:sz="8" w:color="A6A6A6"/>
            </w:tcBorders>
          </w:tcPr>
          <w:p>
            <w:pPr>
              <w:spacing w:after="0"/>
              <w:rPr>
                <w:sz w:val="15"/>
                <w:szCs w:val="15"/>
                <w:color w:val="auto"/>
              </w:rPr>
            </w:pPr>
          </w:p>
        </w:tc>
        <w:tc>
          <w:tcPr>
            <w:tcW w:w="6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81,193</w:t>
            </w:r>
          </w:p>
        </w:tc>
        <w:tc>
          <w:tcPr>
            <w:tcW w:w="100" w:type="dxa"/>
            <w:vAlign w:val="bottom"/>
          </w:tcPr>
          <w:p>
            <w:pPr>
              <w:spacing w:after="0"/>
              <w:rPr>
                <w:sz w:val="15"/>
                <w:szCs w:val="15"/>
                <w:color w:val="auto"/>
              </w:rPr>
            </w:pP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26</w:t>
            </w:r>
          </w:p>
        </w:tc>
        <w:tc>
          <w:tcPr>
            <w:tcW w:w="2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6200" w:type="dxa"/>
            <w:vAlign w:val="bottom"/>
          </w:tcPr>
          <w:p>
            <w:pPr>
              <w:ind w:left="20"/>
              <w:spacing w:after="0" w:line="183" w:lineRule="exact"/>
              <w:rPr>
                <w:sz w:val="20"/>
                <w:szCs w:val="20"/>
                <w:color w:val="auto"/>
              </w:rPr>
            </w:pPr>
            <w:r>
              <w:rPr>
                <w:rFonts w:ascii="Arial" w:cs="Arial" w:eastAsia="Arial" w:hAnsi="Arial"/>
                <w:sz w:val="16"/>
                <w:szCs w:val="16"/>
                <w:color w:val="004483"/>
              </w:rPr>
              <w:t>Net Earnings from Discontinued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719"/>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2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6A6A6"/>
            </w:tcBorders>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6A6A6"/>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Earnings</w:t>
            </w:r>
          </w:p>
        </w:tc>
        <w:tc>
          <w:tcPr>
            <w:tcW w:w="300" w:type="dxa"/>
            <w:vAlign w:val="bottom"/>
            <w:tcBorders>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102,479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004483"/>
            </w:tcBorders>
          </w:tcPr>
          <w:p>
            <w:pPr>
              <w:jc w:val="right"/>
              <w:ind w:right="719"/>
              <w:spacing w:after="0" w:line="183" w:lineRule="exact"/>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81,193</w:t>
            </w:r>
          </w:p>
        </w:tc>
        <w:tc>
          <w:tcPr>
            <w:tcW w:w="10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26 %</w:t>
            </w:r>
          </w:p>
        </w:tc>
        <w:tc>
          <w:tcPr>
            <w:tcW w:w="0" w:type="dxa"/>
            <w:vAlign w:val="bottom"/>
          </w:tcPr>
          <w:p>
            <w:pPr>
              <w:spacing w:after="0"/>
              <w:rPr>
                <w:sz w:val="1"/>
                <w:szCs w:val="1"/>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Diluted Earnings per Share from Continuing Operations</w:t>
            </w:r>
          </w:p>
        </w:tc>
        <w:tc>
          <w:tcPr>
            <w:tcW w:w="300" w:type="dxa"/>
            <w:vAlign w:val="bottom"/>
            <w:tcBorders>
              <w:bottom w:val="single" w:sz="8" w:color="004483"/>
            </w:tcBorders>
          </w:tcPr>
          <w:p>
            <w:pPr>
              <w:jc w:val="right"/>
              <w:ind w:right="144"/>
              <w:spacing w:after="0" w:line="169" w:lineRule="exact"/>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2.53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004483"/>
            </w:tcBorders>
          </w:tcPr>
          <w:p>
            <w:pPr>
              <w:jc w:val="right"/>
              <w:ind w:right="719"/>
              <w:spacing w:after="0" w:line="170" w:lineRule="exact"/>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1.94</w:t>
            </w:r>
          </w:p>
        </w:tc>
        <w:tc>
          <w:tcPr>
            <w:tcW w:w="100" w:type="dxa"/>
            <w:vAlign w:val="bottom"/>
          </w:tcPr>
          <w:p>
            <w:pPr>
              <w:spacing w:after="0"/>
              <w:rPr>
                <w:sz w:val="14"/>
                <w:szCs w:val="14"/>
                <w:color w:val="auto"/>
              </w:rPr>
            </w:pPr>
          </w:p>
        </w:tc>
        <w:tc>
          <w:tcPr>
            <w:tcW w:w="1420" w:type="dxa"/>
            <w:vAlign w:val="bottom"/>
            <w:gridSpan w:val="2"/>
          </w:tcPr>
          <w:p>
            <w:pPr>
              <w:jc w:val="right"/>
              <w:spacing w:after="0" w:line="170" w:lineRule="exact"/>
              <w:rPr>
                <w:sz w:val="20"/>
                <w:szCs w:val="20"/>
                <w:color w:val="auto"/>
              </w:rPr>
            </w:pPr>
            <w:r>
              <w:rPr>
                <w:rFonts w:ascii="Arial" w:cs="Arial" w:eastAsia="Arial" w:hAnsi="Arial"/>
                <w:sz w:val="16"/>
                <w:szCs w:val="16"/>
                <w:b w:val="1"/>
                <w:bCs w:val="1"/>
                <w:color w:val="auto"/>
              </w:rPr>
              <w:t>30 %</w:t>
            </w:r>
          </w:p>
        </w:tc>
        <w:tc>
          <w:tcPr>
            <w:tcW w:w="0" w:type="dxa"/>
            <w:vAlign w:val="bottom"/>
          </w:tcPr>
          <w:p>
            <w:pPr>
              <w:spacing w:after="0"/>
              <w:rPr>
                <w:sz w:val="1"/>
                <w:szCs w:val="1"/>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03"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REVENUE</w:t>
      </w:r>
    </w:p>
    <w:p>
      <w:pPr>
        <w:spacing w:after="0" w:line="16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Revenue increased by $58.3 million, or 14%, to $462.9 million for the three months ended December 31, 2021. The increase in Revenue was due to higher gross sales prices and Sales Volume, which positively affected Revenue by approximately $52.1 million and $6.2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Cost of Goods Sold increased by $33.1 million, or 11%, to $324.4 million for the three months ended December 31, 2021. The increase was due to higher Sales Volume and increased operating costs of $3.8 million and $29.3 million, respectively. Higher operating costs were primarily related to our Gypsum Wallboard and Recycled Paperboard segments, which are discussed further in the segment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Gross Profit increased 22% to $138.6 million during the three months ended December 31, 2021. The improvement was primarily related to higher gross sales prices and Sales Volume, partially offset by increased operating costs. The gross margin increased to 30% from 28%, mainly because of higher gross sales prices, partially offset by an increase in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66"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color w:val="auto"/>
        </w:rPr>
        <w:t>Equity in Earnings of our Unconsolidated Joint Venture declined $1.5 million, or 15%, for the three months ended December 31, 2021. The decrease was primarily due to lower Sales Volume and increased operating costs, which adversely affected earnings by approximately $0.5 million and $2.6 million, respectively. This was partially offset by higher gross sales prices of $1.6 million. The increase in operating costs was due primarily to maintenance and purchased cement, which reduced operating earnings by $0.6 million and $2.3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Corporate General and Administrative expenses increased by approximately $1.6 million, or 13%, for the three months ended December 31, 2021. The increase was primarily due to higher professional fees and insurance expenses of $1.1 million and $0.5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5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9"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Interest Expense, net decreased by approximately $3.7 million, or 40%, during the three months ended December 31, 2021. The decrease was primarily due to lower interest on borrowings under our Revolving Credit Facility and Term Loan of approximately $0.3 million and $4.0 million, respectively. Interest Expense related to our Revolving Credit Facility was lower because our average outstanding borrowings under the Revolving Credit Facility were less in the fiscal 2022 third quarter, compared with the same period in fiscal 2021. Interest Expense on our Term Loan declined because we repaid the loan on July 1, 2021. The lower interest amounts were partially offset by higher interest expense on our public notes, which increased by $0.8 million. Interest on our public notes was higher because our public notes outstanding increased to $750.0 million from $350.0 million. See Footnote (M) to the Unaudited Consolidated Financial Statements for more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 BEFORE INCOME TAXES</w:t>
      </w:r>
    </w:p>
    <w:p>
      <w:pPr>
        <w:spacing w:after="0" w:line="15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Earnings From Continuing Operations Before Income Taxes increased to $131.8 million during the three months ended December 31, 2021, primarily as a result of higher Gross Profit and lower Interest Expense. This was partially offset by higher Corporate General and Administrative Expenses and lower Equity in Earnings of Unconsolidated Joint Venture.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Income Tax Expense was $29.4 million for the three months ended December 31, 2021, compared with $23.9 million for the three months ended December 31, 2020. The effective tax rate decreased to 22% from 23% in the prior-year period. The decrease in the effective tax rate for the three months ended December 31, 2021 was primarily due to the benefit received from the exercise of employee stock options during the quarter.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 AND DILUTED EARNINGS PER SHARE FROM CONTINUING OPERATIONS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Net Earnings from Continuing Operations increased 26% to $102.5 million for the three months ended December 31, 2021. Diluted Earnings per Share from Continuing Operations increased 30% to $2.53 per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Oil and Gas Proppants business was sold in September 2020, and there was no activity related to this business during fiscal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26% to $102.5 million for the three months ended December 31, 2021,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DECEMBER 31, 2021 COMPARED WITH NINE MONTHS ENDED DECEMBER 31,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320" w:type="dxa"/>
            <w:vAlign w:val="bottom"/>
            <w:shd w:val="clear" w:color="auto" w:fill="004483"/>
          </w:tcPr>
          <w:p>
            <w:pPr>
              <w:spacing w:after="0"/>
              <w:rPr>
                <w:sz w:val="13"/>
                <w:szCs w:val="13"/>
                <w:color w:val="auto"/>
              </w:rPr>
            </w:pPr>
          </w:p>
        </w:tc>
        <w:tc>
          <w:tcPr>
            <w:tcW w:w="3160" w:type="dxa"/>
            <w:vAlign w:val="bottom"/>
            <w:gridSpan w:val="6"/>
            <w:shd w:val="clear" w:color="auto" w:fill="004483"/>
          </w:tcPr>
          <w:p>
            <w:pPr>
              <w:jc w:val="right"/>
              <w:ind w:right="579"/>
              <w:spacing w:after="0"/>
              <w:rPr>
                <w:sz w:val="20"/>
                <w:szCs w:val="20"/>
                <w:color w:val="auto"/>
              </w:rPr>
            </w:pPr>
            <w:r>
              <w:rPr>
                <w:rFonts w:ascii="Arial" w:cs="Arial" w:eastAsia="Arial" w:hAnsi="Arial"/>
                <w:sz w:val="13"/>
                <w:szCs w:val="13"/>
                <w:b w:val="1"/>
                <w:bCs w:val="1"/>
                <w:color w:val="FFFFFF"/>
                <w:w w:val="96"/>
              </w:rPr>
              <w:t>For the Nine Months Ended December 31,</w:t>
            </w:r>
          </w:p>
        </w:tc>
        <w:tc>
          <w:tcPr>
            <w:tcW w:w="1460" w:type="dxa"/>
            <w:vAlign w:val="bottom"/>
            <w:gridSpan w:val="2"/>
            <w:vMerge w:val="restart"/>
          </w:tcPr>
          <w:p>
            <w:pPr>
              <w:jc w:val="right"/>
              <w:ind w:right="17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4"/>
        </w:trPr>
        <w:tc>
          <w:tcPr>
            <w:tcW w:w="6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238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 except per share)</w:t>
            </w:r>
          </w:p>
        </w:tc>
        <w:tc>
          <w:tcPr>
            <w:tcW w:w="6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004483"/>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320" w:type="dxa"/>
            <w:vAlign w:val="bottom"/>
            <w:tcBorders>
              <w:bottom w:val="single" w:sz="8" w:color="A6A6A6"/>
            </w:tcBorders>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1,448,405</w:t>
            </w:r>
          </w:p>
        </w:tc>
        <w:tc>
          <w:tcPr>
            <w:tcW w:w="100" w:type="dxa"/>
            <w:vAlign w:val="bottom"/>
          </w:tcPr>
          <w:p>
            <w:pPr>
              <w:spacing w:after="0"/>
              <w:rPr>
                <w:sz w:val="16"/>
                <w:szCs w:val="16"/>
                <w:color w:val="auto"/>
              </w:rPr>
            </w:pPr>
          </w:p>
        </w:tc>
        <w:tc>
          <w:tcPr>
            <w:tcW w:w="1020" w:type="dxa"/>
            <w:vAlign w:val="bottom"/>
            <w:tcBorders>
              <w:bottom w:val="single" w:sz="8" w:color="A6A6A6"/>
            </w:tcBorders>
            <w:gridSpan w:val="2"/>
          </w:tcPr>
          <w:p>
            <w:pPr>
              <w:jc w:val="right"/>
              <w:ind w:right="6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1,279,340</w:t>
            </w:r>
          </w:p>
        </w:tc>
        <w:tc>
          <w:tcPr>
            <w:tcW w:w="100" w:type="dxa"/>
            <w:vAlign w:val="bottom"/>
          </w:tcPr>
          <w:p>
            <w:pPr>
              <w:spacing w:after="0"/>
              <w:rPr>
                <w:sz w:val="16"/>
                <w:szCs w:val="16"/>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line="183" w:lineRule="exact"/>
              <w:rPr>
                <w:sz w:val="20"/>
                <w:szCs w:val="20"/>
                <w:color w:val="auto"/>
              </w:rPr>
            </w:pPr>
            <w:r>
              <w:rPr>
                <w:rFonts w:ascii="Arial" w:cs="Arial" w:eastAsia="Arial" w:hAnsi="Arial"/>
                <w:sz w:val="16"/>
                <w:szCs w:val="16"/>
                <w:color w:val="004483"/>
              </w:rPr>
              <w:t>Cost of Goods Sold</w:t>
            </w:r>
          </w:p>
        </w:tc>
        <w:tc>
          <w:tcPr>
            <w:tcW w:w="320" w:type="dxa"/>
            <w:vAlign w:val="bottom"/>
            <w:tcBorders>
              <w:bottom w:val="single" w:sz="8" w:color="004483"/>
            </w:tcBorders>
          </w:tcPr>
          <w:p>
            <w:pPr>
              <w:spacing w:after="0"/>
              <w:rPr>
                <w:sz w:val="18"/>
                <w:szCs w:val="18"/>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(1,027,967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8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(940,815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83"/>
        </w:trPr>
        <w:tc>
          <w:tcPr>
            <w:tcW w:w="62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Profit</w:t>
            </w:r>
          </w:p>
        </w:tc>
        <w:tc>
          <w:tcPr>
            <w:tcW w:w="320" w:type="dxa"/>
            <w:vAlign w:val="bottom"/>
            <w:tcBorders>
              <w:top w:val="single" w:sz="8" w:color="004483"/>
              <w:bottom w:val="single" w:sz="8" w:color="A6A6A6"/>
            </w:tcBorders>
          </w:tcPr>
          <w:p>
            <w:pPr>
              <w:spacing w:after="0"/>
              <w:rPr>
                <w:sz w:val="15"/>
                <w:szCs w:val="15"/>
                <w:color w:val="auto"/>
              </w:rPr>
            </w:pPr>
          </w:p>
        </w:tc>
        <w:tc>
          <w:tcPr>
            <w:tcW w:w="12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420,438</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004483"/>
              <w:bottom w:val="single" w:sz="8" w:color="A6A6A6"/>
            </w:tcBorders>
          </w:tcPr>
          <w:p>
            <w:pPr>
              <w:spacing w:after="0"/>
              <w:rPr>
                <w:sz w:val="15"/>
                <w:szCs w:val="15"/>
                <w:color w:val="auto"/>
              </w:rPr>
            </w:pPr>
          </w:p>
        </w:tc>
        <w:tc>
          <w:tcPr>
            <w:tcW w:w="6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338,525</w:t>
            </w:r>
          </w:p>
        </w:tc>
        <w:tc>
          <w:tcPr>
            <w:tcW w:w="100" w:type="dxa"/>
            <w:vAlign w:val="bottom"/>
          </w:tcPr>
          <w:p>
            <w:pPr>
              <w:spacing w:after="0"/>
              <w:rPr>
                <w:sz w:val="15"/>
                <w:szCs w:val="15"/>
                <w:color w:val="auto"/>
              </w:rPr>
            </w:pP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32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24,785</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28,456</w:t>
            </w:r>
          </w:p>
        </w:tc>
        <w:tc>
          <w:tcPr>
            <w:tcW w:w="100" w:type="dxa"/>
            <w:vAlign w:val="bottom"/>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Corporate General and Administrative</w:t>
            </w:r>
          </w:p>
        </w:tc>
        <w:tc>
          <w:tcPr>
            <w:tcW w:w="32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(32,986</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(40,225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Premium Paid on Early Retirement of Senior Notes</w:t>
            </w:r>
          </w:p>
        </w:tc>
        <w:tc>
          <w:tcPr>
            <w:tcW w:w="32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Gain on Sale of Businesses</w:t>
            </w:r>
          </w:p>
        </w:tc>
        <w:tc>
          <w:tcPr>
            <w:tcW w:w="32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51,973</w:t>
            </w:r>
          </w:p>
        </w:tc>
        <w:tc>
          <w:tcPr>
            <w:tcW w:w="100" w:type="dxa"/>
            <w:vAlign w:val="bottom"/>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Other Non-Operating Income</w:t>
            </w:r>
          </w:p>
        </w:tc>
        <w:tc>
          <w:tcPr>
            <w:tcW w:w="32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5,941</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1,898</w:t>
            </w:r>
          </w:p>
        </w:tc>
        <w:tc>
          <w:tcPr>
            <w:tcW w:w="100" w:type="dxa"/>
            <w:vAlign w:val="bottom"/>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213</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line="183" w:lineRule="exact"/>
              <w:rPr>
                <w:sz w:val="20"/>
                <w:szCs w:val="20"/>
                <w:color w:val="auto"/>
              </w:rPr>
            </w:pPr>
            <w:r>
              <w:rPr>
                <w:rFonts w:ascii="Arial" w:cs="Arial" w:eastAsia="Arial" w:hAnsi="Arial"/>
                <w:sz w:val="16"/>
                <w:szCs w:val="16"/>
                <w:color w:val="004483"/>
              </w:rPr>
              <w:t>Interest Expense, net</w:t>
            </w:r>
          </w:p>
        </w:tc>
        <w:tc>
          <w:tcPr>
            <w:tcW w:w="320" w:type="dxa"/>
            <w:vAlign w:val="bottom"/>
            <w:tcBorders>
              <w:bottom w:val="single" w:sz="8" w:color="004483"/>
            </w:tcBorders>
          </w:tcPr>
          <w:p>
            <w:pPr>
              <w:spacing w:after="0"/>
              <w:rPr>
                <w:sz w:val="18"/>
                <w:szCs w:val="18"/>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(24,891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8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(35,957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183"/>
        </w:trPr>
        <w:tc>
          <w:tcPr>
            <w:tcW w:w="62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Earnings from Continuing Operations Before Income Taxes</w:t>
            </w:r>
          </w:p>
        </w:tc>
        <w:tc>
          <w:tcPr>
            <w:tcW w:w="320" w:type="dxa"/>
            <w:vAlign w:val="bottom"/>
            <w:tcBorders>
              <w:top w:val="single" w:sz="8" w:color="004483"/>
              <w:bottom w:val="single" w:sz="8" w:color="A6A6A6"/>
            </w:tcBorders>
          </w:tcPr>
          <w:p>
            <w:pPr>
              <w:spacing w:after="0"/>
              <w:rPr>
                <w:sz w:val="15"/>
                <w:szCs w:val="15"/>
                <w:color w:val="auto"/>
              </w:rPr>
            </w:pPr>
          </w:p>
        </w:tc>
        <w:tc>
          <w:tcPr>
            <w:tcW w:w="12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384,880</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004483"/>
              <w:bottom w:val="single" w:sz="8" w:color="A6A6A6"/>
            </w:tcBorders>
          </w:tcPr>
          <w:p>
            <w:pPr>
              <w:spacing w:after="0"/>
              <w:rPr>
                <w:sz w:val="15"/>
                <w:szCs w:val="15"/>
                <w:color w:val="auto"/>
              </w:rPr>
            </w:pPr>
          </w:p>
        </w:tc>
        <w:tc>
          <w:tcPr>
            <w:tcW w:w="6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344,670</w:t>
            </w:r>
          </w:p>
        </w:tc>
        <w:tc>
          <w:tcPr>
            <w:tcW w:w="100" w:type="dxa"/>
            <w:vAlign w:val="bottom"/>
          </w:tcPr>
          <w:p>
            <w:pPr>
              <w:spacing w:after="0"/>
              <w:rPr>
                <w:sz w:val="15"/>
                <w:szCs w:val="15"/>
                <w:color w:val="auto"/>
              </w:rPr>
            </w:pP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w:t>
            </w:r>
          </w:p>
        </w:tc>
        <w:tc>
          <w:tcPr>
            <w:tcW w:w="2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line="183" w:lineRule="exact"/>
              <w:rPr>
                <w:sz w:val="20"/>
                <w:szCs w:val="20"/>
                <w:color w:val="auto"/>
              </w:rPr>
            </w:pPr>
            <w:r>
              <w:rPr>
                <w:rFonts w:ascii="Arial" w:cs="Arial" w:eastAsia="Arial" w:hAnsi="Arial"/>
                <w:sz w:val="16"/>
                <w:szCs w:val="16"/>
                <w:color w:val="004483"/>
              </w:rPr>
              <w:t>Income Tax Expense</w:t>
            </w:r>
          </w:p>
        </w:tc>
        <w:tc>
          <w:tcPr>
            <w:tcW w:w="320" w:type="dxa"/>
            <w:vAlign w:val="bottom"/>
            <w:tcBorders>
              <w:bottom w:val="single" w:sz="8" w:color="004483"/>
            </w:tcBorders>
          </w:tcPr>
          <w:p>
            <w:pPr>
              <w:spacing w:after="0"/>
              <w:rPr>
                <w:sz w:val="18"/>
                <w:szCs w:val="18"/>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(84,949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8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(76,515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83"/>
        </w:trPr>
        <w:tc>
          <w:tcPr>
            <w:tcW w:w="62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Earnings from Continuing Operations</w:t>
            </w:r>
          </w:p>
        </w:tc>
        <w:tc>
          <w:tcPr>
            <w:tcW w:w="320" w:type="dxa"/>
            <w:vAlign w:val="bottom"/>
            <w:tcBorders>
              <w:top w:val="single" w:sz="8" w:color="004483"/>
              <w:bottom w:val="single" w:sz="8" w:color="A6A6A6"/>
            </w:tcBorders>
          </w:tcPr>
          <w:p>
            <w:pPr>
              <w:spacing w:after="0"/>
              <w:rPr>
                <w:sz w:val="15"/>
                <w:szCs w:val="15"/>
                <w:color w:val="auto"/>
              </w:rPr>
            </w:pPr>
          </w:p>
        </w:tc>
        <w:tc>
          <w:tcPr>
            <w:tcW w:w="12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299,931</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004483"/>
              <w:bottom w:val="single" w:sz="8" w:color="A6A6A6"/>
            </w:tcBorders>
          </w:tcPr>
          <w:p>
            <w:pPr>
              <w:spacing w:after="0"/>
              <w:rPr>
                <w:sz w:val="15"/>
                <w:szCs w:val="15"/>
                <w:color w:val="auto"/>
              </w:rPr>
            </w:pPr>
          </w:p>
        </w:tc>
        <w:tc>
          <w:tcPr>
            <w:tcW w:w="6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268,155</w:t>
            </w:r>
          </w:p>
        </w:tc>
        <w:tc>
          <w:tcPr>
            <w:tcW w:w="100" w:type="dxa"/>
            <w:vAlign w:val="bottom"/>
          </w:tcPr>
          <w:p>
            <w:pPr>
              <w:spacing w:after="0"/>
              <w:rPr>
                <w:sz w:val="15"/>
                <w:szCs w:val="15"/>
                <w:color w:val="auto"/>
              </w:rPr>
            </w:pPr>
          </w:p>
        </w:tc>
        <w:tc>
          <w:tcPr>
            <w:tcW w:w="12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12</w:t>
            </w:r>
          </w:p>
        </w:tc>
        <w:tc>
          <w:tcPr>
            <w:tcW w:w="2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6200" w:type="dxa"/>
            <w:vAlign w:val="bottom"/>
          </w:tcPr>
          <w:p>
            <w:pPr>
              <w:ind w:left="20"/>
              <w:spacing w:after="0" w:line="183" w:lineRule="exact"/>
              <w:rPr>
                <w:sz w:val="20"/>
                <w:szCs w:val="20"/>
                <w:color w:val="auto"/>
              </w:rPr>
            </w:pPr>
            <w:r>
              <w:rPr>
                <w:rFonts w:ascii="Arial" w:cs="Arial" w:eastAsia="Arial" w:hAnsi="Arial"/>
                <w:sz w:val="16"/>
                <w:szCs w:val="16"/>
                <w:color w:val="004483"/>
              </w:rPr>
              <w:t>Net Earnings from Discontinued Operations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699"/>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5,278</w:t>
            </w:r>
          </w:p>
        </w:tc>
        <w:tc>
          <w:tcPr>
            <w:tcW w:w="100" w:type="dxa"/>
            <w:vAlign w:val="bottom"/>
          </w:tcPr>
          <w:p>
            <w:pPr>
              <w:spacing w:after="0"/>
              <w:rPr>
                <w:sz w:val="15"/>
                <w:szCs w:val="15"/>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(100 )%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12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6A6A6"/>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Earnings</w:t>
            </w:r>
          </w:p>
        </w:tc>
        <w:tc>
          <w:tcPr>
            <w:tcW w:w="320" w:type="dxa"/>
            <w:vAlign w:val="bottom"/>
            <w:tcBorders>
              <w:bottom w:val="single" w:sz="8" w:color="004483"/>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299,931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004483"/>
            </w:tcBorders>
          </w:tcPr>
          <w:p>
            <w:pPr>
              <w:jc w:val="right"/>
              <w:ind w:right="699"/>
              <w:spacing w:after="0" w:line="183" w:lineRule="exact"/>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273,433</w:t>
            </w:r>
          </w:p>
        </w:tc>
        <w:tc>
          <w:tcPr>
            <w:tcW w:w="100" w:type="dxa"/>
            <w:vAlign w:val="bottom"/>
          </w:tcPr>
          <w:p>
            <w:pPr>
              <w:spacing w:after="0"/>
              <w:rPr>
                <w:sz w:val="15"/>
                <w:szCs w:val="15"/>
                <w:color w:val="auto"/>
              </w:rPr>
            </w:pPr>
          </w:p>
        </w:tc>
        <w:tc>
          <w:tcPr>
            <w:tcW w:w="14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10 %</w:t>
            </w:r>
          </w:p>
        </w:tc>
        <w:tc>
          <w:tcPr>
            <w:tcW w:w="0" w:type="dxa"/>
            <w:vAlign w:val="bottom"/>
          </w:tcPr>
          <w:p>
            <w:pPr>
              <w:spacing w:after="0"/>
              <w:rPr>
                <w:sz w:val="1"/>
                <w:szCs w:val="1"/>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6A6A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Diluted Earnings per Share from Continuing Operations</w:t>
            </w:r>
          </w:p>
        </w:tc>
        <w:tc>
          <w:tcPr>
            <w:tcW w:w="320" w:type="dxa"/>
            <w:vAlign w:val="bottom"/>
            <w:tcBorders>
              <w:bottom w:val="single" w:sz="8" w:color="004483"/>
            </w:tcBorders>
          </w:tcPr>
          <w:p>
            <w:pPr>
              <w:jc w:val="right"/>
              <w:ind w:right="164"/>
              <w:spacing w:after="0" w:line="169" w:lineRule="exact"/>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7.23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004483"/>
            </w:tcBorders>
          </w:tcPr>
          <w:p>
            <w:pPr>
              <w:jc w:val="right"/>
              <w:ind w:right="699"/>
              <w:spacing w:after="0" w:line="170" w:lineRule="exact"/>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b w:val="1"/>
                <w:bCs w:val="1"/>
                <w:color w:val="auto"/>
              </w:rPr>
              <w:t>6.43</w:t>
            </w:r>
          </w:p>
        </w:tc>
        <w:tc>
          <w:tcPr>
            <w:tcW w:w="100" w:type="dxa"/>
            <w:vAlign w:val="bottom"/>
          </w:tcPr>
          <w:p>
            <w:pPr>
              <w:spacing w:after="0"/>
              <w:rPr>
                <w:sz w:val="14"/>
                <w:szCs w:val="14"/>
                <w:color w:val="auto"/>
              </w:rPr>
            </w:pPr>
          </w:p>
        </w:tc>
        <w:tc>
          <w:tcPr>
            <w:tcW w:w="1460" w:type="dxa"/>
            <w:vAlign w:val="bottom"/>
            <w:gridSpan w:val="2"/>
          </w:tcPr>
          <w:p>
            <w:pPr>
              <w:jc w:val="right"/>
              <w:spacing w:after="0" w:line="170" w:lineRule="exact"/>
              <w:rPr>
                <w:sz w:val="20"/>
                <w:szCs w:val="20"/>
                <w:color w:val="auto"/>
              </w:rPr>
            </w:pPr>
            <w:r>
              <w:rPr>
                <w:rFonts w:ascii="Arial" w:cs="Arial" w:eastAsia="Arial" w:hAnsi="Arial"/>
                <w:sz w:val="16"/>
                <w:szCs w:val="16"/>
                <w:b w:val="1"/>
                <w:bCs w:val="1"/>
                <w:color w:val="auto"/>
              </w:rPr>
              <w:t>12 %</w:t>
            </w:r>
          </w:p>
        </w:tc>
        <w:tc>
          <w:tcPr>
            <w:tcW w:w="0" w:type="dxa"/>
            <w:vAlign w:val="bottom"/>
          </w:tcPr>
          <w:p>
            <w:pPr>
              <w:spacing w:after="0"/>
              <w:rPr>
                <w:sz w:val="1"/>
                <w:szCs w:val="1"/>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6A6A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Revenue increased by $169.1 million, or 13%, to $1,448.4 million for the nine months ended December 31, 2021. The increase in Revenue was due to higher gross sales prices and Sales Volume, which positively affected Revenue by approximately $141.2 million and $27.9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Cost of Goods Sold increased by $87.2 million, or 9%, to $1,028.0 million for the nine months ended December 31, 2021. The increase was due to higher Sales Volume and operating costs of $20.4 million and $66.7 million, respectively. The increase in operating costs was primarily related to our Gypsum Wallboard and Recycled Paperboard segments, which are discussed further in the segment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Gross Profit increased 24% to $420.4 million during the nine months ended December 31, 2021. The improvement was mainly due to higher gross sales prices and Sales Volume, partially offset by increased operating costs. The gross margin increased to 29% from 26%, primarily because of higher gross sales prices, partially offset by an increase in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6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Equity in Earnings of our Unconsolidated Joint Venture decreased $3.7 million, or 13%, for the nine months ended December 31, 2021. The decrease was primarily due to lower Sales Volume and higher operating costs, which reduced earnings by $2.7 million and $5.9 million, respectively. This was partially offset by higher net sales prices, which raised earnings by approximately $4.9 million. The increase in operating costs was due primarily to maintenance, energy, and purchased cement, which reduced earnings by approximately $2.3 million, $0.6 million, and $2.3 million, respectively.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66" w:lineRule="exact"/>
        <w:rPr>
          <w:sz w:val="20"/>
          <w:szCs w:val="20"/>
          <w:color w:val="auto"/>
        </w:rPr>
      </w:pPr>
    </w:p>
    <w:p>
      <w:pPr>
        <w:jc w:val="both"/>
        <w:ind w:right="260"/>
        <w:spacing w:after="0" w:line="284" w:lineRule="auto"/>
        <w:rPr>
          <w:sz w:val="20"/>
          <w:szCs w:val="20"/>
          <w:color w:val="auto"/>
        </w:rPr>
      </w:pPr>
      <w:r>
        <w:rPr>
          <w:rFonts w:ascii="Arial" w:cs="Arial" w:eastAsia="Arial" w:hAnsi="Arial"/>
          <w:sz w:val="18"/>
          <w:szCs w:val="18"/>
          <w:color w:val="auto"/>
        </w:rPr>
        <w:t>Corporate General and Administrative expenses declined by approximately $7.2 million, or 18%, for the nine months ended December 31, 2021. The decrease was primarily due to lower professional and transaction fees incurred in fiscal 2021 of approximately $5.1 million and $3.4 million, respectively. The professional fees related primarily to our strategic portfolio review in the prior year, and the transaction fees mostly related to the prior year sale of Mathews Readymix and Western Aggregates, as well as preparation for the sale of the Oil and Gas Proppants business. The decrease was partially offset by an increase of $1.4 million in insurance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RETIREMENT OF SENIOR NOTES</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July 2021, the Company redeemed and retired its 4.500% Senior Unsecured Notes due in 2026 prior to the maturity date. As a result of the early retirement, the Company paid a premium of $8.4 million. See Footnote (M) to the Unaudited Consolidated Financial Statements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BUSINESSES</w:t>
      </w:r>
    </w:p>
    <w:p>
      <w:pPr>
        <w:spacing w:after="0" w:line="15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On April 17, 2020 we sold Western and Mathews for approximately $93.5 million. See Footnote (C) to the Unaudited Consolidated Financial Statements for more information regarding the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53"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 The increase in Other Non-Operating Income was primarily due to the current year sale of land that resulted in a gain of approximately $1.7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Interest Expense, net decreased by approximately $11.1 million, or 31%, during the nine months ended December 31, 2021. The decrease was primarily due to lower interest on borrowings under our Revolving Credit Facility and Term Loan of approximately $7.1 million and $11.4 million, respectively. Interest Expense related to our Revolving Credit Facility was lower because our average outstanding borrowings under the Revolving Credit Facility were significantly less in the first nine months of fiscal 2022, compared with average borrowings during the same period in fiscal 2021. Interest Expense on our Term Loan declined because of lower average interest rates and because we repaid the loan on July 1, 2021. The lower interest amounts were partially offset by higher interest expense on our public notes and loan amortization expense, which increased by $2.2 million and $5.5 million, respectively. Interest on our public notes was higher because our public notes outstanding increased to $750.0 million from $350.0 million in July 2021. Loan amortization expense increased as a result of our $6.1 million write-off of debt issuance costs related to our 4.500% Unsecured Senior Notes Due in 2026 and our Term Loan in July 2021. See Footnote (M) to the Unaudited Consolidated Financial Statements 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 BEFORE INCOME TAXES</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Earnings From Continuing Operations Before Income Taxes increased to $384.9 million during the nine months ended December 31, 2021, primarily as a result of higher Gross Profit and Other Non-Operating Income, as well as lower Corporate General and Administrative expenses and Interest Expense than the prior-year period. This was partially offset by lower Gross Equity in Earnings of Unconsolidated Joint Venture and Gain on Sale of Business, as well as the Premium Paid on Early Retirement of Senior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INCOME TAX EXPENSE</w:t>
      </w:r>
    </w:p>
    <w:p>
      <w:pPr>
        <w:spacing w:after="0" w:line="166"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Income Tax Expense was $84.9 million for the nine months ended December 31, 2021, compared with $76.5 million for the nine months ended December 31, 2020. The effective tax rate remained consistent at 22% for both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 AND DILUTED EARNINGS PER SHARE FROM CONTINUING OPERATIONS</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Net Earnings from Continuing Operations increased 12% to $299.9 million for the nine months ended December 31, 2021. Diluted Earnings per Share from Continuing Operations increased 12% to $7.23 per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DISCONTINUED OPERATIONS</w:t>
      </w:r>
    </w:p>
    <w:p>
      <w:pPr>
        <w:spacing w:after="0" w:line="166"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Net Earnings from Discontinued Operations declined $5.3 million during the nine months ended December 31, 2021. The Oil and Gas Proppants business was sold in September 2020, and there was no activity related to this business during fiscal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10% to $299.9 million for the nine months ended December 31, 2021, as discussed above.</w:t>
      </w:r>
    </w:p>
    <w:p>
      <w:pPr>
        <w:spacing w:after="0" w:line="257" w:lineRule="exact"/>
        <w:rPr>
          <w:sz w:val="20"/>
          <w:szCs w:val="20"/>
          <w:color w:val="auto"/>
        </w:rPr>
      </w:pPr>
    </w:p>
    <w:p>
      <w:pPr>
        <w:ind w:right="740"/>
        <w:spacing w:after="0" w:line="318" w:lineRule="auto"/>
        <w:rPr>
          <w:sz w:val="20"/>
          <w:szCs w:val="20"/>
          <w:color w:val="auto"/>
        </w:rPr>
      </w:pPr>
      <w:r>
        <w:rPr>
          <w:rFonts w:ascii="Arial" w:cs="Arial" w:eastAsia="Arial" w:hAnsi="Arial"/>
          <w:sz w:val="18"/>
          <w:szCs w:val="18"/>
          <w:b w:val="1"/>
          <w:bCs w:val="1"/>
          <w:color w:val="auto"/>
        </w:rPr>
        <w:t>THREE AND NINE MONTHS ENDED DECEMBER 31, 2021 vs. THREE AND NINE MONTHS ENDED DECEMBER 31, 2020 BY SEGMENT</w:t>
      </w:r>
    </w:p>
    <w:p>
      <w:pPr>
        <w:spacing w:after="0" w:line="6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presents results within our two business sectors for the three and nine months ended December 31, 2021 and 2020. Revenue and operating results are organized by sector and discussed by individual business segment within each respective business sector.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16"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12"/>
          <w:szCs w:val="12"/>
          <w:b w:val="1"/>
          <w:bCs w:val="1"/>
          <w:color w:val="auto"/>
        </w:rPr>
        <w:t>(1)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380" w:type="dxa"/>
            <w:vAlign w:val="bottom"/>
            <w:gridSpan w:val="7"/>
            <w:shd w:val="clear" w:color="auto" w:fill="004483"/>
          </w:tcPr>
          <w:p>
            <w:pPr>
              <w:jc w:val="right"/>
              <w:ind w:right="99"/>
              <w:spacing w:after="0"/>
              <w:rPr>
                <w:sz w:val="20"/>
                <w:szCs w:val="20"/>
                <w:color w:val="auto"/>
              </w:rPr>
            </w:pPr>
            <w:r>
              <w:rPr>
                <w:rFonts w:ascii="Arial" w:cs="Arial" w:eastAsia="Arial" w:hAnsi="Arial"/>
                <w:sz w:val="13"/>
                <w:szCs w:val="13"/>
                <w:b w:val="1"/>
                <w:bCs w:val="1"/>
                <w:color w:val="FFFFFF"/>
                <w:w w:val="89"/>
              </w:rPr>
              <w:t>For the Three Months Ended December</w:t>
            </w: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7"/>
            <w:shd w:val="clear" w:color="auto" w:fill="004483"/>
          </w:tcPr>
          <w:p>
            <w:pPr>
              <w:ind w:left="40"/>
              <w:spacing w:after="0"/>
              <w:rPr>
                <w:sz w:val="20"/>
                <w:szCs w:val="20"/>
                <w:color w:val="auto"/>
              </w:rPr>
            </w:pPr>
            <w:r>
              <w:rPr>
                <w:rFonts w:ascii="Arial" w:cs="Arial" w:eastAsia="Arial" w:hAnsi="Arial"/>
                <w:sz w:val="13"/>
                <w:szCs w:val="13"/>
                <w:b w:val="1"/>
                <w:bCs w:val="1"/>
                <w:color w:val="FFFFFF"/>
                <w:w w:val="94"/>
              </w:rPr>
              <w:t>For the Nine Months Ended December</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300" w:type="dxa"/>
            <w:vAlign w:val="bottom"/>
            <w:tcBorders>
              <w:bottom w:val="single" w:sz="8" w:color="auto"/>
            </w:tcBorders>
            <w:shd w:val="clear" w:color="auto" w:fill="004483"/>
          </w:tcPr>
          <w:p>
            <w:pPr>
              <w:spacing w:after="0"/>
              <w:rPr>
                <w:sz w:val="14"/>
                <w:szCs w:val="14"/>
                <w:color w:val="auto"/>
              </w:rPr>
            </w:pPr>
          </w:p>
        </w:tc>
        <w:tc>
          <w:tcPr>
            <w:tcW w:w="940" w:type="dxa"/>
            <w:vAlign w:val="bottom"/>
            <w:tcBorders>
              <w:bottom w:val="single" w:sz="8" w:color="auto"/>
            </w:tcBorders>
            <w:gridSpan w:val="3"/>
            <w:shd w:val="clear" w:color="auto" w:fill="004483"/>
          </w:tcPr>
          <w:p>
            <w:pPr>
              <w:ind w:left="760"/>
              <w:spacing w:after="0"/>
              <w:rPr>
                <w:sz w:val="20"/>
                <w:szCs w:val="20"/>
                <w:color w:val="auto"/>
              </w:rPr>
            </w:pPr>
            <w:r>
              <w:rPr>
                <w:rFonts w:ascii="Arial" w:cs="Arial" w:eastAsia="Arial" w:hAnsi="Arial"/>
                <w:sz w:val="13"/>
                <w:szCs w:val="13"/>
                <w:b w:val="1"/>
                <w:bCs w:val="1"/>
                <w:color w:val="FFFFFF"/>
                <w:w w:val="88"/>
              </w:rPr>
              <w:t>31,</w:t>
            </w:r>
          </w:p>
        </w:tc>
        <w:tc>
          <w:tcPr>
            <w:tcW w:w="300" w:type="dxa"/>
            <w:vAlign w:val="bottom"/>
            <w:tcBorders>
              <w:bottom w:val="single" w:sz="8" w:color="auto"/>
            </w:tcBorders>
            <w:shd w:val="clear" w:color="auto" w:fill="004483"/>
          </w:tcPr>
          <w:p>
            <w:pPr>
              <w:spacing w:after="0"/>
              <w:rPr>
                <w:sz w:val="14"/>
                <w:szCs w:val="14"/>
                <w:color w:val="auto"/>
              </w:rPr>
            </w:pPr>
          </w:p>
        </w:tc>
        <w:tc>
          <w:tcPr>
            <w:tcW w:w="74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136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w w:val="85"/>
              </w:rPr>
              <w:t>Percentage</w:t>
            </w:r>
          </w:p>
        </w:tc>
        <w:tc>
          <w:tcPr>
            <w:tcW w:w="280" w:type="dxa"/>
            <w:vAlign w:val="bottom"/>
            <w:tcBorders>
              <w:bottom w:val="single" w:sz="8" w:color="auto"/>
            </w:tcBorders>
            <w:shd w:val="clear" w:color="auto" w:fill="004483"/>
          </w:tcPr>
          <w:p>
            <w:pPr>
              <w:spacing w:after="0"/>
              <w:rPr>
                <w:sz w:val="14"/>
                <w:szCs w:val="14"/>
                <w:color w:val="auto"/>
              </w:rPr>
            </w:pPr>
          </w:p>
        </w:tc>
        <w:tc>
          <w:tcPr>
            <w:tcW w:w="920" w:type="dxa"/>
            <w:vAlign w:val="bottom"/>
            <w:tcBorders>
              <w:bottom w:val="single" w:sz="8" w:color="auto"/>
            </w:tcBorders>
            <w:gridSpan w:val="3"/>
            <w:shd w:val="clear" w:color="auto" w:fill="004483"/>
          </w:tcPr>
          <w:p>
            <w:pPr>
              <w:ind w:left="740"/>
              <w:spacing w:after="0"/>
              <w:rPr>
                <w:sz w:val="20"/>
                <w:szCs w:val="20"/>
                <w:color w:val="auto"/>
              </w:rPr>
            </w:pPr>
            <w:r>
              <w:rPr>
                <w:rFonts w:ascii="Arial" w:cs="Arial" w:eastAsia="Arial" w:hAnsi="Arial"/>
                <w:sz w:val="13"/>
                <w:szCs w:val="13"/>
                <w:b w:val="1"/>
                <w:bCs w:val="1"/>
                <w:color w:val="FFFFFF"/>
                <w:w w:val="88"/>
              </w:rPr>
              <w:t>31,</w:t>
            </w:r>
          </w:p>
        </w:tc>
        <w:tc>
          <w:tcPr>
            <w:tcW w:w="260" w:type="dxa"/>
            <w:vAlign w:val="bottom"/>
            <w:tcBorders>
              <w:bottom w:val="single" w:sz="8" w:color="auto"/>
            </w:tcBorders>
            <w:shd w:val="clear" w:color="auto" w:fill="004483"/>
          </w:tcPr>
          <w:p>
            <w:pPr>
              <w:spacing w:after="0"/>
              <w:rPr>
                <w:sz w:val="14"/>
                <w:szCs w:val="14"/>
                <w:color w:val="auto"/>
              </w:rPr>
            </w:pPr>
          </w:p>
        </w:tc>
        <w:tc>
          <w:tcPr>
            <w:tcW w:w="740" w:type="dxa"/>
            <w:vAlign w:val="bottom"/>
            <w:tcBorders>
              <w:bottom w:val="single" w:sz="8" w:color="auto"/>
            </w:tcBorders>
            <w:shd w:val="clear" w:color="auto" w:fill="004483"/>
          </w:tcPr>
          <w:p>
            <w:pPr>
              <w:spacing w:after="0"/>
              <w:rPr>
                <w:sz w:val="14"/>
                <w:szCs w:val="14"/>
                <w:color w:val="auto"/>
              </w:rPr>
            </w:pPr>
          </w:p>
        </w:tc>
        <w:tc>
          <w:tcPr>
            <w:tcW w:w="80" w:type="dxa"/>
            <w:vAlign w:val="bottom"/>
            <w:tcBorders>
              <w:bottom w:val="single" w:sz="8" w:color="004483"/>
            </w:tcBorders>
            <w:shd w:val="clear" w:color="auto" w:fill="004483"/>
          </w:tcPr>
          <w:p>
            <w:pPr>
              <w:spacing w:after="0"/>
              <w:rPr>
                <w:sz w:val="14"/>
                <w:szCs w:val="14"/>
                <w:color w:val="auto"/>
              </w:rPr>
            </w:pPr>
          </w:p>
        </w:tc>
        <w:tc>
          <w:tcPr>
            <w:tcW w:w="1100" w:type="dxa"/>
            <w:vAlign w:val="bottom"/>
            <w:gridSpan w:val="2"/>
            <w:vMerge w:val="restart"/>
          </w:tcPr>
          <w:p>
            <w:pPr>
              <w:jc w:val="right"/>
              <w:ind w:right="23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01"/>
        </w:trPr>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340"/>
              <w:spacing w:after="0" w:line="148" w:lineRule="exact"/>
              <w:rPr>
                <w:sz w:val="20"/>
                <w:szCs w:val="20"/>
                <w:color w:val="auto"/>
              </w:rPr>
            </w:pPr>
            <w:r>
              <w:rPr>
                <w:rFonts w:ascii="Arial" w:cs="Arial" w:eastAsia="Arial" w:hAnsi="Arial"/>
                <w:sz w:val="13"/>
                <w:szCs w:val="13"/>
                <w:b w:val="1"/>
                <w:bCs w:val="1"/>
                <w:color w:val="auto"/>
                <w:w w:val="88"/>
              </w:rPr>
              <w:t>Change</w:t>
            </w: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19"/>
              <w:spacing w:after="0" w:line="14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380" w:type="dxa"/>
            <w:vAlign w:val="bottom"/>
            <w:gridSpan w:val="7"/>
          </w:tcPr>
          <w:p>
            <w:pPr>
              <w:jc w:val="right"/>
              <w:ind w:right="99"/>
              <w:spacing w:after="0"/>
              <w:rPr>
                <w:sz w:val="20"/>
                <w:szCs w:val="20"/>
                <w:color w:val="auto"/>
              </w:rPr>
            </w:pPr>
            <w:r>
              <w:rPr>
                <w:rFonts w:ascii="Arial" w:cs="Arial" w:eastAsia="Arial" w:hAnsi="Arial"/>
                <w:sz w:val="13"/>
                <w:szCs w:val="13"/>
                <w:color w:val="auto"/>
                <w:w w:val="90"/>
              </w:rPr>
              <w:t>(in thousands, except per ton information)</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7"/>
          </w:tcPr>
          <w:p>
            <w:pPr>
              <w:ind w:left="40"/>
              <w:spacing w:after="0"/>
              <w:rPr>
                <w:sz w:val="20"/>
                <w:szCs w:val="20"/>
                <w:color w:val="auto"/>
              </w:rPr>
            </w:pPr>
            <w:r>
              <w:rPr>
                <w:rFonts w:ascii="Arial" w:cs="Arial" w:eastAsia="Arial" w:hAnsi="Arial"/>
                <w:sz w:val="13"/>
                <w:szCs w:val="13"/>
                <w:color w:val="auto"/>
                <w:w w:val="92"/>
              </w:rPr>
              <w:t>(in thousands, except per ton information)</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4483"/>
                <w:w w:val="96"/>
              </w:rPr>
              <w:t>Gross Revenue, including Intersegment and Joint Venture</w:t>
            </w:r>
          </w:p>
        </w:tc>
        <w:tc>
          <w:tcPr>
            <w:tcW w:w="300" w:type="dxa"/>
            <w:vAlign w:val="bottom"/>
            <w:tcBorders>
              <w:top w:val="single" w:sz="8" w:color="17385E"/>
              <w:bottom w:val="single" w:sz="8" w:color="A6A6A6"/>
            </w:tcBorders>
          </w:tcPr>
          <w:p>
            <w:pPr>
              <w:jc w:val="right"/>
              <w:ind w:right="124"/>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261,155</w:t>
            </w:r>
          </w:p>
        </w:tc>
        <w:tc>
          <w:tcPr>
            <w:tcW w:w="120" w:type="dxa"/>
            <w:vAlign w:val="bottom"/>
            <w:tcBorders>
              <w:top w:val="single" w:sz="8" w:color="17385E"/>
            </w:tcBorders>
          </w:tcPr>
          <w:p>
            <w:pPr>
              <w:spacing w:after="0"/>
              <w:rPr>
                <w:sz w:val="16"/>
                <w:szCs w:val="16"/>
                <w:color w:val="auto"/>
              </w:rPr>
            </w:pPr>
          </w:p>
        </w:tc>
        <w:tc>
          <w:tcPr>
            <w:tcW w:w="100" w:type="dxa"/>
            <w:vAlign w:val="bottom"/>
            <w:tcBorders>
              <w:top w:val="single" w:sz="8" w:color="17385E"/>
              <w:bottom w:val="single" w:sz="8" w:color="A6A6A6"/>
            </w:tcBorders>
          </w:tcPr>
          <w:p>
            <w:pPr>
              <w:spacing w:after="0"/>
              <w:rPr>
                <w:sz w:val="16"/>
                <w:szCs w:val="16"/>
                <w:color w:val="auto"/>
              </w:rPr>
            </w:pPr>
          </w:p>
        </w:tc>
        <w:tc>
          <w:tcPr>
            <w:tcW w:w="300" w:type="dxa"/>
            <w:vAlign w:val="bottom"/>
            <w:tcBorders>
              <w:top w:val="single" w:sz="8" w:color="17385E"/>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234,092</w:t>
            </w:r>
          </w:p>
        </w:tc>
        <w:tc>
          <w:tcPr>
            <w:tcW w:w="100" w:type="dxa"/>
            <w:vAlign w:val="bottom"/>
          </w:tcPr>
          <w:p>
            <w:pPr>
              <w:spacing w:after="0"/>
              <w:rPr>
                <w:sz w:val="16"/>
                <w:szCs w:val="16"/>
                <w:color w:val="auto"/>
              </w:rPr>
            </w:pPr>
          </w:p>
        </w:tc>
        <w:tc>
          <w:tcPr>
            <w:tcW w:w="9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17385E"/>
              <w:bottom w:val="single" w:sz="8" w:color="A6A6A6"/>
            </w:tcBorders>
          </w:tcPr>
          <w:p>
            <w:pPr>
              <w:spacing w:after="0"/>
              <w:rPr>
                <w:sz w:val="16"/>
                <w:szCs w:val="16"/>
                <w:color w:val="auto"/>
              </w:rPr>
            </w:pPr>
          </w:p>
        </w:tc>
        <w:tc>
          <w:tcPr>
            <w:tcW w:w="280" w:type="dxa"/>
            <w:vAlign w:val="bottom"/>
            <w:tcBorders>
              <w:top w:val="single" w:sz="8" w:color="17385E"/>
              <w:bottom w:val="single" w:sz="8" w:color="A6A6A6"/>
            </w:tcBorders>
          </w:tcPr>
          <w:p>
            <w:pPr>
              <w:jc w:val="right"/>
              <w:ind w:right="104"/>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819,734</w:t>
            </w:r>
          </w:p>
        </w:tc>
        <w:tc>
          <w:tcPr>
            <w:tcW w:w="100" w:type="dxa"/>
            <w:vAlign w:val="bottom"/>
            <w:tcBorders>
              <w:top w:val="single" w:sz="8" w:color="17385E"/>
              <w:bottom w:val="single" w:sz="8" w:color="17385E"/>
            </w:tcBorders>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17385E"/>
              <w:bottom w:val="single" w:sz="8" w:color="A6A6A6"/>
            </w:tcBorders>
          </w:tcPr>
          <w:p>
            <w:pPr>
              <w:spacing w:after="0"/>
              <w:rPr>
                <w:sz w:val="16"/>
                <w:szCs w:val="16"/>
                <w:color w:val="auto"/>
              </w:rPr>
            </w:pPr>
          </w:p>
        </w:tc>
        <w:tc>
          <w:tcPr>
            <w:tcW w:w="260" w:type="dxa"/>
            <w:vAlign w:val="bottom"/>
            <w:tcBorders>
              <w:top w:val="single" w:sz="8" w:color="17385E"/>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773,565</w:t>
            </w:r>
          </w:p>
        </w:tc>
        <w:tc>
          <w:tcPr>
            <w:tcW w:w="80" w:type="dxa"/>
            <w:vAlign w:val="bottom"/>
          </w:tcPr>
          <w:p>
            <w:pPr>
              <w:spacing w:after="0"/>
              <w:rPr>
                <w:sz w:val="16"/>
                <w:szCs w:val="16"/>
                <w:color w:val="auto"/>
              </w:rPr>
            </w:pPr>
          </w:p>
        </w:tc>
        <w:tc>
          <w:tcPr>
            <w:tcW w:w="9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Less Intersegment Revenue</w:t>
            </w:r>
          </w:p>
        </w:tc>
        <w:tc>
          <w:tcPr>
            <w:tcW w:w="3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(5,301</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(5,241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34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(18,357</w:t>
            </w:r>
          </w:p>
        </w:tc>
        <w:tc>
          <w:tcPr>
            <w:tcW w:w="100" w:type="dxa"/>
            <w:vAlign w:val="bottom"/>
            <w:vMerge w:val="continue"/>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(17,539</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line="183" w:lineRule="exact"/>
              <w:rPr>
                <w:sz w:val="20"/>
                <w:szCs w:val="20"/>
                <w:color w:val="auto"/>
              </w:rPr>
            </w:pPr>
            <w:r>
              <w:rPr>
                <w:rFonts w:ascii="Arial" w:cs="Arial" w:eastAsia="Arial" w:hAnsi="Arial"/>
                <w:sz w:val="16"/>
                <w:szCs w:val="16"/>
                <w:color w:val="004483"/>
              </w:rPr>
              <w:t>Less Joint Venture Revenue</w:t>
            </w:r>
          </w:p>
        </w:tc>
        <w:tc>
          <w:tcPr>
            <w:tcW w:w="30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(27,406</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(27,110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6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(77,023</w:t>
            </w:r>
          </w:p>
        </w:tc>
        <w:tc>
          <w:tcPr>
            <w:tcW w:w="1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(79,603</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183"/>
        </w:trPr>
        <w:tc>
          <w:tcPr>
            <w:tcW w:w="40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Revenue, as reported</w:t>
            </w:r>
          </w:p>
        </w:tc>
        <w:tc>
          <w:tcPr>
            <w:tcW w:w="300" w:type="dxa"/>
            <w:vAlign w:val="bottom"/>
            <w:tcBorders>
              <w:top w:val="single" w:sz="8" w:color="004483"/>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228,448</w:t>
            </w:r>
          </w:p>
        </w:tc>
        <w:tc>
          <w:tcPr>
            <w:tcW w:w="12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00" w:type="dxa"/>
            <w:vAlign w:val="bottom"/>
            <w:tcBorders>
              <w:top w:val="single" w:sz="8" w:color="004483"/>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201,741</w:t>
            </w:r>
          </w:p>
        </w:tc>
        <w:tc>
          <w:tcPr>
            <w:tcW w:w="100" w:type="dxa"/>
            <w:vAlign w:val="bottom"/>
          </w:tcPr>
          <w:p>
            <w:pPr>
              <w:spacing w:after="0"/>
              <w:rPr>
                <w:sz w:val="15"/>
                <w:szCs w:val="15"/>
                <w:color w:val="auto"/>
              </w:rPr>
            </w:pPr>
          </w:p>
        </w:tc>
        <w:tc>
          <w:tcPr>
            <w:tcW w:w="9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w:t>
            </w:r>
          </w:p>
        </w:tc>
        <w:tc>
          <w:tcPr>
            <w:tcW w:w="34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4"/>
              </w:rPr>
              <w:t>%</w:t>
            </w:r>
          </w:p>
        </w:tc>
        <w:tc>
          <w:tcPr>
            <w:tcW w:w="100" w:type="dxa"/>
            <w:vAlign w:val="bottom"/>
            <w:tcBorders>
              <w:top w:val="single" w:sz="8" w:color="A6A6A6"/>
              <w:bottom w:val="single" w:sz="8" w:color="A6A6A6"/>
            </w:tcBorders>
          </w:tcPr>
          <w:p>
            <w:pPr>
              <w:spacing w:after="0"/>
              <w:rPr>
                <w:sz w:val="15"/>
                <w:szCs w:val="15"/>
                <w:color w:val="auto"/>
              </w:rPr>
            </w:pPr>
          </w:p>
        </w:tc>
        <w:tc>
          <w:tcPr>
            <w:tcW w:w="280" w:type="dxa"/>
            <w:vAlign w:val="bottom"/>
            <w:tcBorders>
              <w:top w:val="single" w:sz="8" w:color="004483"/>
              <w:bottom w:val="single" w:sz="8" w:color="A6A6A6"/>
            </w:tcBorders>
          </w:tcPr>
          <w:p>
            <w:pPr>
              <w:jc w:val="right"/>
              <w:ind w:right="10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724,354</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004483"/>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676,423</w:t>
            </w:r>
          </w:p>
        </w:tc>
        <w:tc>
          <w:tcPr>
            <w:tcW w:w="8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line="183" w:lineRule="exact"/>
              <w:rPr>
                <w:sz w:val="20"/>
                <w:szCs w:val="20"/>
                <w:color w:val="auto"/>
              </w:rPr>
            </w:pPr>
            <w:r>
              <w:rPr>
                <w:rFonts w:ascii="Arial" w:cs="Arial" w:eastAsia="Arial" w:hAnsi="Arial"/>
                <w:sz w:val="16"/>
                <w:szCs w:val="16"/>
                <w:color w:val="004483"/>
              </w:rPr>
              <w:t>Freight and Delivery Costs billed to Customers</w:t>
            </w:r>
          </w:p>
        </w:tc>
        <w:tc>
          <w:tcPr>
            <w:tcW w:w="30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(12,849</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(15,077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6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(51,501</w:t>
            </w:r>
          </w:p>
        </w:tc>
        <w:tc>
          <w:tcPr>
            <w:tcW w:w="1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(50,896</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83"/>
        </w:trPr>
        <w:tc>
          <w:tcPr>
            <w:tcW w:w="40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Revenue</w:t>
            </w:r>
          </w:p>
        </w:tc>
        <w:tc>
          <w:tcPr>
            <w:tcW w:w="300" w:type="dxa"/>
            <w:vAlign w:val="bottom"/>
            <w:tcBorders>
              <w:top w:val="single" w:sz="8" w:color="004483"/>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215,599</w:t>
            </w:r>
          </w:p>
        </w:tc>
        <w:tc>
          <w:tcPr>
            <w:tcW w:w="12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00" w:type="dxa"/>
            <w:vAlign w:val="bottom"/>
            <w:tcBorders>
              <w:top w:val="single" w:sz="8" w:color="004483"/>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186,664</w:t>
            </w:r>
          </w:p>
        </w:tc>
        <w:tc>
          <w:tcPr>
            <w:tcW w:w="100" w:type="dxa"/>
            <w:vAlign w:val="bottom"/>
          </w:tcPr>
          <w:p>
            <w:pPr>
              <w:spacing w:after="0"/>
              <w:rPr>
                <w:sz w:val="15"/>
                <w:szCs w:val="15"/>
                <w:color w:val="auto"/>
              </w:rPr>
            </w:pPr>
          </w:p>
        </w:tc>
        <w:tc>
          <w:tcPr>
            <w:tcW w:w="9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w:t>
            </w:r>
          </w:p>
        </w:tc>
        <w:tc>
          <w:tcPr>
            <w:tcW w:w="34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4"/>
              </w:rPr>
              <w:t>%</w:t>
            </w:r>
          </w:p>
        </w:tc>
        <w:tc>
          <w:tcPr>
            <w:tcW w:w="100" w:type="dxa"/>
            <w:vAlign w:val="bottom"/>
            <w:tcBorders>
              <w:top w:val="single" w:sz="8" w:color="A6A6A6"/>
              <w:bottom w:val="single" w:sz="8" w:color="A6A6A6"/>
            </w:tcBorders>
          </w:tcPr>
          <w:p>
            <w:pPr>
              <w:spacing w:after="0"/>
              <w:rPr>
                <w:sz w:val="15"/>
                <w:szCs w:val="15"/>
                <w:color w:val="auto"/>
              </w:rPr>
            </w:pPr>
          </w:p>
        </w:tc>
        <w:tc>
          <w:tcPr>
            <w:tcW w:w="280" w:type="dxa"/>
            <w:vAlign w:val="bottom"/>
            <w:tcBorders>
              <w:top w:val="single" w:sz="8" w:color="004483"/>
              <w:bottom w:val="single" w:sz="8" w:color="A6A6A6"/>
            </w:tcBorders>
          </w:tcPr>
          <w:p>
            <w:pPr>
              <w:jc w:val="right"/>
              <w:ind w:right="10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672,853</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004483"/>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625,527</w:t>
            </w:r>
          </w:p>
        </w:tc>
        <w:tc>
          <w:tcPr>
            <w:tcW w:w="8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 Tons)</w:t>
            </w:r>
          </w:p>
        </w:tc>
        <w:tc>
          <w:tcPr>
            <w:tcW w:w="30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1,963</w:t>
            </w:r>
          </w:p>
        </w:tc>
        <w:tc>
          <w:tcPr>
            <w:tcW w:w="12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0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1,842</w:t>
            </w:r>
          </w:p>
        </w:tc>
        <w:tc>
          <w:tcPr>
            <w:tcW w:w="100" w:type="dxa"/>
            <w:vAlign w:val="bottom"/>
          </w:tcPr>
          <w:p>
            <w:pPr>
              <w:spacing w:after="0"/>
              <w:rPr>
                <w:sz w:val="15"/>
                <w:szCs w:val="15"/>
                <w:color w:val="auto"/>
              </w:rPr>
            </w:pPr>
          </w:p>
        </w:tc>
        <w:tc>
          <w:tcPr>
            <w:tcW w:w="9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34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4"/>
              </w:rPr>
              <w:t>%</w:t>
            </w:r>
          </w:p>
        </w:tc>
        <w:tc>
          <w:tcPr>
            <w:tcW w:w="100" w:type="dxa"/>
            <w:vAlign w:val="bottom"/>
            <w:tcBorders>
              <w:top w:val="single" w:sz="8" w:color="A6A6A6"/>
              <w:bottom w:val="single" w:sz="8" w:color="A6A6A6"/>
            </w:tcBorders>
          </w:tcPr>
          <w:p>
            <w:pPr>
              <w:spacing w:after="0"/>
              <w:rPr>
                <w:sz w:val="15"/>
                <w:szCs w:val="15"/>
                <w:color w:val="auto"/>
              </w:rPr>
            </w:pPr>
          </w:p>
        </w:tc>
        <w:tc>
          <w:tcPr>
            <w:tcW w:w="28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6,197</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6,107</w:t>
            </w:r>
          </w:p>
        </w:tc>
        <w:tc>
          <w:tcPr>
            <w:tcW w:w="8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300" w:type="dxa"/>
            <w:vAlign w:val="bottom"/>
            <w:tcBorders>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118.44</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111.91</w:t>
            </w:r>
          </w:p>
        </w:tc>
        <w:tc>
          <w:tcPr>
            <w:tcW w:w="10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w:t>
            </w:r>
          </w:p>
        </w:tc>
        <w:tc>
          <w:tcPr>
            <w:tcW w:w="34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jc w:val="right"/>
              <w:ind w:right="10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117.49</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110.84</w:t>
            </w:r>
          </w:p>
        </w:tc>
        <w:tc>
          <w:tcPr>
            <w:tcW w:w="8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ton</w:t>
            </w:r>
          </w:p>
        </w:tc>
        <w:tc>
          <w:tcPr>
            <w:tcW w:w="300" w:type="dxa"/>
            <w:vAlign w:val="bottom"/>
            <w:tcBorders>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40.67</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38.24</w:t>
            </w:r>
          </w:p>
        </w:tc>
        <w:tc>
          <w:tcPr>
            <w:tcW w:w="10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w:t>
            </w:r>
          </w:p>
        </w:tc>
        <w:tc>
          <w:tcPr>
            <w:tcW w:w="34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jc w:val="right"/>
              <w:ind w:right="10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37.30</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34.52</w:t>
            </w:r>
          </w:p>
        </w:tc>
        <w:tc>
          <w:tcPr>
            <w:tcW w:w="8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300" w:type="dxa"/>
            <w:vAlign w:val="bottom"/>
            <w:tcBorders>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79,836</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70,434</w:t>
            </w:r>
          </w:p>
        </w:tc>
        <w:tc>
          <w:tcPr>
            <w:tcW w:w="10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w:t>
            </w:r>
          </w:p>
        </w:tc>
        <w:tc>
          <w:tcPr>
            <w:tcW w:w="34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jc w:val="right"/>
              <w:ind w:right="10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231,133</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210,802</w:t>
            </w:r>
          </w:p>
        </w:tc>
        <w:tc>
          <w:tcPr>
            <w:tcW w:w="8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-1744980</wp:posOffset>
            </wp:positionV>
            <wp:extent cx="13716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-1744980</wp:posOffset>
            </wp:positionV>
            <wp:extent cx="1200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4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91" w:lineRule="exact"/>
        <w:rPr>
          <w:rFonts w:ascii="Arial" w:cs="Arial" w:eastAsia="Arial" w:hAnsi="Arial"/>
          <w:sz w:val="12"/>
          <w:szCs w:val="12"/>
          <w:color w:val="auto"/>
        </w:rPr>
      </w:pPr>
    </w:p>
    <w:p>
      <w:pPr>
        <w:ind w:left="180" w:hanging="172"/>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w:t>
      </w:r>
    </w:p>
    <w:p>
      <w:pPr>
        <w:spacing w:after="0" w:line="16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Cement Revenue was $261.2 million, a 12% increase, for the three months ended December 31, 2021. The increase was primarily due to higher gross sales prices and Sales Volume, which improved Cement Revenue by approximately $11.8 million and $15.3 million, respectively.</w:t>
      </w:r>
    </w:p>
    <w:p>
      <w:pPr>
        <w:spacing w:after="0" w:line="94"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Cement Operating Earnings increased by 13% to $79.8 million for the three months ended December 31, 2021. The increase was due to higher gross sales prices and Sales Volume, which positively affected Operating Earnings by approximately $11.8 million and $4.4 million, respectively. This was partially offset by increased operating costs, which negatively affected Operating Earnings by $6.9 million. The increase in operating costs was primarily due to higher energy and maintenance costs of approximately $3.4 million and $5.4 million, respectively. These increases were partially offset by lower fixed costs of $1.6 million. The Operating Margin increased to 31%, primarily because of higher gross sales prices, partially offset by increased operating costs.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2021</w:t>
      </w:r>
    </w:p>
    <w:p>
      <w:pPr>
        <w:spacing w:after="0" w:line="16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Cement Revenue was $819.7 million, a 6% increase, for the nine months ended December 31, 2021. The increase was primarily due to higher gross sales prices and Sales Volume, which improved Cement Revenue by approximately $33.7 million and $12.4 million, respectively.</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Cement Operating Earnings increased by 10% to $231.1 million for the nine months ended December 31, 2021. The improvement was due to higher gross sales prices and Sales Volume, which positively affected Operating Earnings by approximately $33.7 million and $2.5 million, respectively. This was partially offset by increased operating costs, which negatively affected Operating Earnings by $15.8 million. The increase in operating costs was primarily due to higher maintenance and energy costs of approximately $12.1 million and $6.6 million, respectively. These increases were partially offset by a cost reduction of $3.7 million at Kosmos Cement related to the recording of acquired inventory at fair value in the first quarter of fiscal 2021. The Operating Margin increased to 28% because of higher gross sales prices, partially offset by the increase in operating costs.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27"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CONCRETE AND AGGREGATES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2360" w:type="dxa"/>
            <w:vAlign w:val="bottom"/>
            <w:gridSpan w:val="7"/>
            <w:shd w:val="clear" w:color="auto" w:fill="004483"/>
          </w:tcPr>
          <w:p>
            <w:pPr>
              <w:jc w:val="center"/>
              <w:ind w:right="140"/>
              <w:spacing w:after="0"/>
              <w:rPr>
                <w:sz w:val="20"/>
                <w:szCs w:val="20"/>
                <w:color w:val="auto"/>
              </w:rPr>
            </w:pPr>
            <w:r>
              <w:rPr>
                <w:rFonts w:ascii="Arial" w:cs="Arial" w:eastAsia="Arial" w:hAnsi="Arial"/>
                <w:sz w:val="13"/>
                <w:szCs w:val="13"/>
                <w:b w:val="1"/>
                <w:bCs w:val="1"/>
                <w:color w:val="FFFFFF"/>
                <w:w w:val="88"/>
              </w:rPr>
              <w:t>For the Three Months Ended December</w:t>
            </w: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7"/>
            <w:shd w:val="clear" w:color="auto" w:fill="004483"/>
          </w:tcPr>
          <w:p>
            <w:pPr>
              <w:jc w:val="center"/>
              <w:ind w:right="59"/>
              <w:spacing w:after="0"/>
              <w:rPr>
                <w:sz w:val="20"/>
                <w:szCs w:val="20"/>
                <w:color w:val="auto"/>
              </w:rPr>
            </w:pPr>
            <w:r>
              <w:rPr>
                <w:rFonts w:ascii="Arial" w:cs="Arial" w:eastAsia="Arial" w:hAnsi="Arial"/>
                <w:sz w:val="13"/>
                <w:szCs w:val="13"/>
                <w:b w:val="1"/>
                <w:bCs w:val="1"/>
                <w:color w:val="FFFFFF"/>
                <w:w w:val="88"/>
              </w:rPr>
              <w:t>For the Nine Months Ended December</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Borders>
              <w:bottom w:val="single" w:sz="8" w:color="auto"/>
            </w:tcBorders>
            <w:shd w:val="clear" w:color="auto" w:fill="004483"/>
          </w:tcPr>
          <w:p>
            <w:pPr>
              <w:spacing w:after="0"/>
              <w:rPr>
                <w:sz w:val="14"/>
                <w:szCs w:val="14"/>
                <w:color w:val="auto"/>
              </w:rPr>
            </w:pPr>
          </w:p>
        </w:tc>
        <w:tc>
          <w:tcPr>
            <w:tcW w:w="900" w:type="dxa"/>
            <w:vAlign w:val="bottom"/>
            <w:tcBorders>
              <w:bottom w:val="single" w:sz="8" w:color="auto"/>
            </w:tcBorders>
            <w:shd w:val="clear" w:color="auto" w:fill="004483"/>
          </w:tcPr>
          <w:p>
            <w:pPr>
              <w:spacing w:after="0"/>
              <w:rPr>
                <w:sz w:val="14"/>
                <w:szCs w:val="14"/>
                <w:color w:val="auto"/>
              </w:rPr>
            </w:pPr>
          </w:p>
        </w:tc>
        <w:tc>
          <w:tcPr>
            <w:tcW w:w="220" w:type="dxa"/>
            <w:vAlign w:val="bottom"/>
            <w:tcBorders>
              <w:bottom w:val="single" w:sz="8" w:color="auto"/>
            </w:tcBorders>
            <w:gridSpan w:val="2"/>
            <w:shd w:val="clear" w:color="auto" w:fill="004483"/>
          </w:tcPr>
          <w:p>
            <w:pPr>
              <w:jc w:val="center"/>
              <w:spacing w:after="0"/>
              <w:rPr>
                <w:sz w:val="20"/>
                <w:szCs w:val="20"/>
                <w:color w:val="auto"/>
              </w:rPr>
            </w:pPr>
            <w:r>
              <w:rPr>
                <w:rFonts w:ascii="Arial" w:cs="Arial" w:eastAsia="Arial" w:hAnsi="Arial"/>
                <w:sz w:val="13"/>
                <w:szCs w:val="13"/>
                <w:b w:val="1"/>
                <w:bCs w:val="1"/>
                <w:color w:val="FFFFFF"/>
                <w:w w:val="88"/>
              </w:rPr>
              <w:t>31,</w:t>
            </w:r>
          </w:p>
        </w:tc>
        <w:tc>
          <w:tcPr>
            <w:tcW w:w="320" w:type="dxa"/>
            <w:vAlign w:val="bottom"/>
            <w:tcBorders>
              <w:bottom w:val="single" w:sz="8" w:color="auto"/>
            </w:tcBorders>
            <w:shd w:val="clear" w:color="auto" w:fill="004483"/>
          </w:tcPr>
          <w:p>
            <w:pPr>
              <w:spacing w:after="0"/>
              <w:rPr>
                <w:sz w:val="14"/>
                <w:szCs w:val="14"/>
                <w:color w:val="auto"/>
              </w:rPr>
            </w:pPr>
          </w:p>
        </w:tc>
        <w:tc>
          <w:tcPr>
            <w:tcW w:w="70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132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85"/>
              </w:rPr>
              <w:t>Percentage</w:t>
            </w:r>
          </w:p>
        </w:tc>
        <w:tc>
          <w:tcPr>
            <w:tcW w:w="120" w:type="dxa"/>
            <w:vAlign w:val="bottom"/>
            <w:tcBorders>
              <w:bottom w:val="single" w:sz="8" w:color="auto"/>
            </w:tcBorders>
            <w:shd w:val="clear" w:color="auto" w:fill="004483"/>
          </w:tcPr>
          <w:p>
            <w:pPr>
              <w:spacing w:after="0"/>
              <w:rPr>
                <w:sz w:val="14"/>
                <w:szCs w:val="14"/>
                <w:color w:val="auto"/>
              </w:rPr>
            </w:pPr>
          </w:p>
        </w:tc>
        <w:tc>
          <w:tcPr>
            <w:tcW w:w="880" w:type="dxa"/>
            <w:vAlign w:val="bottom"/>
            <w:tcBorders>
              <w:bottom w:val="single" w:sz="8" w:color="auto"/>
            </w:tcBorders>
            <w:shd w:val="clear" w:color="auto" w:fill="004483"/>
          </w:tcPr>
          <w:p>
            <w:pPr>
              <w:spacing w:after="0"/>
              <w:rPr>
                <w:sz w:val="14"/>
                <w:szCs w:val="14"/>
                <w:color w:val="auto"/>
              </w:rPr>
            </w:pPr>
          </w:p>
        </w:tc>
        <w:tc>
          <w:tcPr>
            <w:tcW w:w="200" w:type="dxa"/>
            <w:vAlign w:val="bottom"/>
            <w:tcBorders>
              <w:bottom w:val="single" w:sz="8" w:color="auto"/>
            </w:tcBorders>
            <w:gridSpan w:val="2"/>
            <w:shd w:val="clear" w:color="auto" w:fill="004483"/>
          </w:tcPr>
          <w:p>
            <w:pPr>
              <w:jc w:val="center"/>
              <w:spacing w:after="0"/>
              <w:rPr>
                <w:sz w:val="20"/>
                <w:szCs w:val="20"/>
                <w:color w:val="auto"/>
              </w:rPr>
            </w:pPr>
            <w:r>
              <w:rPr>
                <w:rFonts w:ascii="Arial" w:cs="Arial" w:eastAsia="Arial" w:hAnsi="Arial"/>
                <w:sz w:val="13"/>
                <w:szCs w:val="13"/>
                <w:b w:val="1"/>
                <w:bCs w:val="1"/>
                <w:color w:val="FFFFFF"/>
                <w:w w:val="88"/>
              </w:rPr>
              <w:t>31,</w:t>
            </w:r>
          </w:p>
        </w:tc>
        <w:tc>
          <w:tcPr>
            <w:tcW w:w="280" w:type="dxa"/>
            <w:vAlign w:val="bottom"/>
            <w:tcBorders>
              <w:bottom w:val="single" w:sz="8" w:color="auto"/>
            </w:tcBorders>
            <w:shd w:val="clear" w:color="auto" w:fill="004483"/>
          </w:tcPr>
          <w:p>
            <w:pPr>
              <w:spacing w:after="0"/>
              <w:rPr>
                <w:sz w:val="14"/>
                <w:szCs w:val="14"/>
                <w:color w:val="auto"/>
              </w:rPr>
            </w:pPr>
          </w:p>
        </w:tc>
        <w:tc>
          <w:tcPr>
            <w:tcW w:w="72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1100" w:type="dxa"/>
            <w:vAlign w:val="bottom"/>
            <w:gridSpan w:val="2"/>
            <w:vMerge w:val="restart"/>
          </w:tcPr>
          <w:p>
            <w:pPr>
              <w:jc w:val="right"/>
              <w:ind w:right="23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88"/>
              </w:rPr>
              <w:t>Change</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19"/>
              <w:spacing w:after="0" w:line="14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center"/>
              <w:ind w:right="220"/>
              <w:spacing w:after="0"/>
              <w:rPr>
                <w:sz w:val="20"/>
                <w:szCs w:val="20"/>
                <w:color w:val="auto"/>
              </w:rPr>
            </w:pPr>
            <w:r>
              <w:rPr>
                <w:rFonts w:ascii="Arial" w:cs="Arial" w:eastAsia="Arial" w:hAnsi="Arial"/>
                <w:sz w:val="13"/>
                <w:szCs w:val="13"/>
                <w:color w:val="auto"/>
                <w:w w:val="85"/>
              </w:rPr>
              <w:t>(in thousands, except net sales prices)</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6"/>
          </w:tcPr>
          <w:p>
            <w:pPr>
              <w:jc w:val="center"/>
              <w:ind w:right="119"/>
              <w:spacing w:after="0"/>
              <w:rPr>
                <w:sz w:val="20"/>
                <w:szCs w:val="20"/>
                <w:color w:val="auto"/>
              </w:rPr>
            </w:pPr>
            <w:r>
              <w:rPr>
                <w:rFonts w:ascii="Arial" w:cs="Arial" w:eastAsia="Arial" w:hAnsi="Arial"/>
                <w:sz w:val="13"/>
                <w:szCs w:val="13"/>
                <w:color w:val="auto"/>
                <w:w w:val="85"/>
              </w:rPr>
              <w:t>(in thousands, except net sales prices)</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4483"/>
              </w:rPr>
              <w:t>Gross Revenue, including intersegment</w:t>
            </w:r>
          </w:p>
        </w:tc>
        <w:tc>
          <w:tcPr>
            <w:tcW w:w="1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42,384</w:t>
            </w:r>
          </w:p>
        </w:tc>
        <w:tc>
          <w:tcPr>
            <w:tcW w:w="100" w:type="dxa"/>
            <w:vAlign w:val="bottom"/>
            <w:tcBorders>
              <w:top w:val="single" w:sz="8" w:color="17385E"/>
            </w:tcBorders>
          </w:tcPr>
          <w:p>
            <w:pPr>
              <w:spacing w:after="0"/>
              <w:rPr>
                <w:sz w:val="16"/>
                <w:szCs w:val="16"/>
                <w:color w:val="auto"/>
              </w:rPr>
            </w:pPr>
          </w:p>
        </w:tc>
        <w:tc>
          <w:tcPr>
            <w:tcW w:w="440" w:type="dxa"/>
            <w:vAlign w:val="bottom"/>
            <w:tcBorders>
              <w:top w:val="single" w:sz="8" w:color="17385E"/>
              <w:bottom w:val="single" w:sz="8" w:color="A6A6A6"/>
            </w:tcBorders>
            <w:gridSpan w:val="2"/>
          </w:tcPr>
          <w:p>
            <w:pPr>
              <w:jc w:val="right"/>
              <w:ind w:right="164"/>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43,530</w:t>
            </w:r>
          </w:p>
        </w:tc>
        <w:tc>
          <w:tcPr>
            <w:tcW w:w="100" w:type="dxa"/>
            <w:vAlign w:val="bottom"/>
          </w:tcPr>
          <w:p>
            <w:pPr>
              <w:spacing w:after="0"/>
              <w:rPr>
                <w:sz w:val="16"/>
                <w:szCs w:val="16"/>
                <w:color w:val="auto"/>
              </w:rPr>
            </w:pPr>
          </w:p>
        </w:tc>
        <w:tc>
          <w:tcPr>
            <w:tcW w:w="9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17385E"/>
              <w:bottom w:val="single" w:sz="8" w:color="A6A6A6"/>
            </w:tcBorders>
          </w:tcPr>
          <w:p>
            <w:pPr>
              <w:spacing w:after="0"/>
              <w:rPr>
                <w:sz w:val="16"/>
                <w:szCs w:val="16"/>
                <w:color w:val="auto"/>
              </w:rPr>
            </w:pPr>
          </w:p>
        </w:tc>
        <w:tc>
          <w:tcPr>
            <w:tcW w:w="1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139,888</w:t>
            </w:r>
          </w:p>
        </w:tc>
        <w:tc>
          <w:tcPr>
            <w:tcW w:w="100" w:type="dxa"/>
            <w:vAlign w:val="bottom"/>
            <w:tcBorders>
              <w:top w:val="single" w:sz="8" w:color="17385E"/>
            </w:tcBorders>
          </w:tcPr>
          <w:p>
            <w:pPr>
              <w:spacing w:after="0"/>
              <w:rPr>
                <w:sz w:val="16"/>
                <w:szCs w:val="16"/>
                <w:color w:val="auto"/>
              </w:rPr>
            </w:pPr>
          </w:p>
        </w:tc>
        <w:tc>
          <w:tcPr>
            <w:tcW w:w="380" w:type="dxa"/>
            <w:vAlign w:val="bottom"/>
            <w:tcBorders>
              <w:top w:val="single" w:sz="8" w:color="17385E"/>
              <w:bottom w:val="single" w:sz="8" w:color="A6A6A6"/>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134,020</w:t>
            </w:r>
          </w:p>
        </w:tc>
        <w:tc>
          <w:tcPr>
            <w:tcW w:w="100" w:type="dxa"/>
            <w:vAlign w:val="bottom"/>
          </w:tcPr>
          <w:p>
            <w:pPr>
              <w:spacing w:after="0"/>
              <w:rPr>
                <w:sz w:val="16"/>
                <w:szCs w:val="16"/>
                <w:color w:val="auto"/>
              </w:rPr>
            </w:pPr>
          </w:p>
        </w:tc>
        <w:tc>
          <w:tcPr>
            <w:tcW w:w="9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line="183" w:lineRule="exact"/>
              <w:rPr>
                <w:sz w:val="20"/>
                <w:szCs w:val="20"/>
                <w:color w:val="auto"/>
              </w:rPr>
            </w:pPr>
            <w:r>
              <w:rPr>
                <w:rFonts w:ascii="Arial" w:cs="Arial" w:eastAsia="Arial" w:hAnsi="Arial"/>
                <w:sz w:val="16"/>
                <w:szCs w:val="16"/>
                <w:color w:val="004483"/>
              </w:rPr>
              <w:t>Less intersegment Revenue</w:t>
            </w:r>
          </w:p>
        </w:tc>
        <w:tc>
          <w:tcPr>
            <w:tcW w:w="12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(106</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83"/>
        </w:trPr>
        <w:tc>
          <w:tcPr>
            <w:tcW w:w="40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Revenue, as reported</w:t>
            </w:r>
          </w:p>
        </w:tc>
        <w:tc>
          <w:tcPr>
            <w:tcW w:w="1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42,384</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320" w:type="dxa"/>
            <w:vAlign w:val="bottom"/>
            <w:tcBorders>
              <w:top w:val="single" w:sz="8" w:color="004483"/>
              <w:bottom w:val="single" w:sz="8" w:color="A6A6A6"/>
            </w:tcBorders>
          </w:tcPr>
          <w:p>
            <w:pPr>
              <w:jc w:val="right"/>
              <w:ind w:right="16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43,530</w:t>
            </w:r>
          </w:p>
        </w:tc>
        <w:tc>
          <w:tcPr>
            <w:tcW w:w="100" w:type="dxa"/>
            <w:vAlign w:val="bottom"/>
          </w:tcPr>
          <w:p>
            <w:pPr>
              <w:spacing w:after="0"/>
              <w:rPr>
                <w:sz w:val="15"/>
                <w:szCs w:val="15"/>
                <w:color w:val="auto"/>
              </w:rPr>
            </w:pPr>
          </w:p>
        </w:tc>
        <w:tc>
          <w:tcPr>
            <w:tcW w:w="9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6A6A6"/>
              <w:bottom w:val="single" w:sz="8" w:color="A6A6A6"/>
            </w:tcBorders>
          </w:tcPr>
          <w:p>
            <w:pPr>
              <w:spacing w:after="0"/>
              <w:rPr>
                <w:sz w:val="15"/>
                <w:szCs w:val="15"/>
                <w:color w:val="auto"/>
              </w:rPr>
            </w:pPr>
          </w:p>
        </w:tc>
        <w:tc>
          <w:tcPr>
            <w:tcW w:w="1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139,888</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280" w:type="dxa"/>
            <w:vAlign w:val="bottom"/>
            <w:tcBorders>
              <w:top w:val="single" w:sz="8" w:color="004483"/>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133,914</w:t>
            </w:r>
          </w:p>
        </w:tc>
        <w:tc>
          <w:tcPr>
            <w:tcW w:w="10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w:t>
            </w:r>
          </w:p>
        </w:tc>
        <w:tc>
          <w:tcPr>
            <w:tcW w:w="12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M Cubic Yards of Concrete</w:t>
            </w:r>
          </w:p>
        </w:tc>
        <w:tc>
          <w:tcPr>
            <w:tcW w:w="12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317</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327</w:t>
            </w:r>
          </w:p>
        </w:tc>
        <w:tc>
          <w:tcPr>
            <w:tcW w:w="10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1,063</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1,032</w:t>
            </w:r>
          </w:p>
        </w:tc>
        <w:tc>
          <w:tcPr>
            <w:tcW w:w="10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M Tons of Aggregate</w:t>
            </w:r>
          </w:p>
        </w:tc>
        <w:tc>
          <w:tcPr>
            <w:tcW w:w="12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341</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583</w:t>
            </w:r>
          </w:p>
        </w:tc>
        <w:tc>
          <w:tcPr>
            <w:tcW w:w="10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1,183</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1,533</w:t>
            </w:r>
          </w:p>
        </w:tc>
        <w:tc>
          <w:tcPr>
            <w:tcW w:w="10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Average Net Sales Price</w:t>
            </w:r>
          </w:p>
        </w:tc>
        <w:tc>
          <w:tcPr>
            <w:tcW w:w="12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Concrete - Per Cubic Yard</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122.36</w:t>
            </w:r>
          </w:p>
        </w:tc>
        <w:tc>
          <w:tcPr>
            <w:tcW w:w="100" w:type="dxa"/>
            <w:vAlign w:val="bottom"/>
          </w:tcPr>
          <w:p>
            <w:pPr>
              <w:spacing w:after="0"/>
              <w:rPr>
                <w:sz w:val="15"/>
                <w:szCs w:val="15"/>
                <w:color w:val="auto"/>
              </w:rPr>
            </w:pPr>
          </w:p>
        </w:tc>
        <w:tc>
          <w:tcPr>
            <w:tcW w:w="440" w:type="dxa"/>
            <w:vAlign w:val="bottom"/>
            <w:tcBorders>
              <w:bottom w:val="single" w:sz="8" w:color="A6A6A6"/>
            </w:tcBorders>
            <w:gridSpan w:val="2"/>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116.88</w:t>
            </w:r>
          </w:p>
        </w:tc>
        <w:tc>
          <w:tcPr>
            <w:tcW w:w="10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120.17</w:t>
            </w:r>
          </w:p>
        </w:tc>
        <w:tc>
          <w:tcPr>
            <w:tcW w:w="100" w:type="dxa"/>
            <w:vAlign w:val="bottom"/>
          </w:tcPr>
          <w:p>
            <w:pPr>
              <w:spacing w:after="0"/>
              <w:rPr>
                <w:sz w:val="15"/>
                <w:szCs w:val="15"/>
                <w:color w:val="auto"/>
              </w:rPr>
            </w:pPr>
          </w:p>
        </w:tc>
        <w:tc>
          <w:tcPr>
            <w:tcW w:w="380" w:type="dxa"/>
            <w:vAlign w:val="bottom"/>
            <w:tcBorders>
              <w:bottom w:val="single" w:sz="8" w:color="A6A6A6"/>
            </w:tcBorders>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115.66</w:t>
            </w:r>
          </w:p>
        </w:tc>
        <w:tc>
          <w:tcPr>
            <w:tcW w:w="10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Aggregates - Per Ton</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10.38</w:t>
            </w:r>
          </w:p>
        </w:tc>
        <w:tc>
          <w:tcPr>
            <w:tcW w:w="100" w:type="dxa"/>
            <w:vAlign w:val="bottom"/>
          </w:tcPr>
          <w:p>
            <w:pPr>
              <w:spacing w:after="0"/>
              <w:rPr>
                <w:sz w:val="15"/>
                <w:szCs w:val="15"/>
                <w:color w:val="auto"/>
              </w:rPr>
            </w:pPr>
          </w:p>
        </w:tc>
        <w:tc>
          <w:tcPr>
            <w:tcW w:w="440" w:type="dxa"/>
            <w:vAlign w:val="bottom"/>
            <w:tcBorders>
              <w:bottom w:val="single" w:sz="8" w:color="A6A6A6"/>
            </w:tcBorders>
            <w:gridSpan w:val="2"/>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8.96</w:t>
            </w:r>
          </w:p>
        </w:tc>
        <w:tc>
          <w:tcPr>
            <w:tcW w:w="10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10.25</w:t>
            </w:r>
          </w:p>
        </w:tc>
        <w:tc>
          <w:tcPr>
            <w:tcW w:w="100" w:type="dxa"/>
            <w:vAlign w:val="bottom"/>
          </w:tcPr>
          <w:p>
            <w:pPr>
              <w:spacing w:after="0"/>
              <w:rPr>
                <w:sz w:val="15"/>
                <w:szCs w:val="15"/>
                <w:color w:val="auto"/>
              </w:rPr>
            </w:pPr>
          </w:p>
        </w:tc>
        <w:tc>
          <w:tcPr>
            <w:tcW w:w="380" w:type="dxa"/>
            <w:vAlign w:val="bottom"/>
            <w:tcBorders>
              <w:bottom w:val="single" w:sz="8" w:color="A6A6A6"/>
            </w:tcBorders>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9.54</w:t>
            </w:r>
          </w:p>
        </w:tc>
        <w:tc>
          <w:tcPr>
            <w:tcW w:w="10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4,115</w:t>
            </w:r>
          </w:p>
        </w:tc>
        <w:tc>
          <w:tcPr>
            <w:tcW w:w="100" w:type="dxa"/>
            <w:vAlign w:val="bottom"/>
          </w:tcPr>
          <w:p>
            <w:pPr>
              <w:spacing w:after="0"/>
              <w:rPr>
                <w:sz w:val="15"/>
                <w:szCs w:val="15"/>
                <w:color w:val="auto"/>
              </w:rPr>
            </w:pPr>
          </w:p>
        </w:tc>
        <w:tc>
          <w:tcPr>
            <w:tcW w:w="440" w:type="dxa"/>
            <w:vAlign w:val="bottom"/>
            <w:tcBorders>
              <w:top w:val="single" w:sz="8" w:color="A6A6A6"/>
              <w:bottom w:val="single" w:sz="8" w:color="A6A6A6"/>
            </w:tcBorders>
            <w:gridSpan w:val="2"/>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5,075</w:t>
            </w:r>
          </w:p>
        </w:tc>
        <w:tc>
          <w:tcPr>
            <w:tcW w:w="100" w:type="dxa"/>
            <w:vAlign w:val="bottom"/>
          </w:tcPr>
          <w:p>
            <w:pPr>
              <w:spacing w:after="0"/>
              <w:rPr>
                <w:sz w:val="15"/>
                <w:szCs w:val="15"/>
                <w:color w:val="auto"/>
              </w:rPr>
            </w:pPr>
          </w:p>
        </w:tc>
        <w:tc>
          <w:tcPr>
            <w:tcW w:w="9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6A6A6"/>
              <w:bottom w:val="single" w:sz="8" w:color="A6A6A6"/>
            </w:tcBorders>
          </w:tcPr>
          <w:p>
            <w:pPr>
              <w:spacing w:after="0"/>
              <w:rPr>
                <w:sz w:val="15"/>
                <w:szCs w:val="15"/>
                <w:color w:val="auto"/>
              </w:rPr>
            </w:pPr>
          </w:p>
        </w:tc>
        <w:tc>
          <w:tcPr>
            <w:tcW w:w="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16,998</w:t>
            </w:r>
          </w:p>
        </w:tc>
        <w:tc>
          <w:tcPr>
            <w:tcW w:w="100" w:type="dxa"/>
            <w:vAlign w:val="bottom"/>
          </w:tcPr>
          <w:p>
            <w:pPr>
              <w:spacing w:after="0"/>
              <w:rPr>
                <w:sz w:val="15"/>
                <w:szCs w:val="15"/>
                <w:color w:val="auto"/>
              </w:rPr>
            </w:pPr>
          </w:p>
        </w:tc>
        <w:tc>
          <w:tcPr>
            <w:tcW w:w="380" w:type="dxa"/>
            <w:vAlign w:val="bottom"/>
            <w:tcBorders>
              <w:top w:val="single" w:sz="8" w:color="A6A6A6"/>
              <w:bottom w:val="single" w:sz="8" w:color="A6A6A6"/>
            </w:tcBorders>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15,748</w:t>
            </w:r>
          </w:p>
        </w:tc>
        <w:tc>
          <w:tcPr>
            <w:tcW w:w="10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-1864995</wp:posOffset>
            </wp:positionV>
            <wp:extent cx="1371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-1864995</wp:posOffset>
            </wp:positionV>
            <wp:extent cx="1200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Concrete and Aggregates Revenue decreased 3% to $42.4 million for the three months ended December 31, 2021. The decline was mainly due to lower Sales Volume, primarily for Aggregates, which reduced Revenue by $3.3 million. This was partially offset by higher average gross selling prices, which increased Revenue by $2.2 million.</w:t>
      </w:r>
    </w:p>
    <w:p>
      <w:pPr>
        <w:spacing w:after="0" w:line="94"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Operating Earnings decreased 19% to approximately $4.1 million. The decrease was a result of lower Sales Volume and higher operating costs of approximately $0.5 million and $2.7 million, respectively, partially offset by higher average net sales prices of $2.2 million. The increase in operating costs was primarily due to higher cost of materials and delivery costs of approximately $0.5 million and $1.4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2021</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Concrete and Aggregates Revenue increased 4% to $139.9 million for the nine months ended December 31, 2021. The improvement was mainly due to higher gross sales prices and Sales Volume, primarily for Concrete, which increased Revenue by $5.6 million and $3.6 million, respectively. This was partially offset by lower Sales Volume in Aggregates, which reduced Revenue by $3.3 million.</w:t>
      </w:r>
    </w:p>
    <w:p>
      <w:pPr>
        <w:spacing w:after="0" w:line="94"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Operating Earnings increased 8% to approximately $17.0 million. The increase was a result of higher gross sales prices of approximately $5.7 million. This was partially offset by lower Sale Volume and higher operating costs of approximately $0.2 million and $4.2 million, respectively. The increase in operating costs was primarily due to higher cost of materials and delivery costs of approximately $0.9 million and $3.4 million,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16" w:right="41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400" w:type="dxa"/>
            <w:vAlign w:val="bottom"/>
            <w:gridSpan w:val="7"/>
            <w:shd w:val="clear" w:color="auto" w:fill="004483"/>
          </w:tcPr>
          <w:p>
            <w:pPr>
              <w:jc w:val="center"/>
              <w:ind w:right="59"/>
              <w:spacing w:after="0"/>
              <w:rPr>
                <w:sz w:val="20"/>
                <w:szCs w:val="20"/>
                <w:color w:val="auto"/>
              </w:rPr>
            </w:pPr>
            <w:r>
              <w:rPr>
                <w:rFonts w:ascii="Arial" w:cs="Arial" w:eastAsia="Arial" w:hAnsi="Arial"/>
                <w:sz w:val="13"/>
                <w:szCs w:val="13"/>
                <w:b w:val="1"/>
                <w:bCs w:val="1"/>
                <w:color w:val="FFFFFF"/>
                <w:w w:val="88"/>
              </w:rPr>
              <w:t>For the Three Months Ended December</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7"/>
            <w:shd w:val="clear" w:color="auto" w:fill="004483"/>
          </w:tcPr>
          <w:p>
            <w:pPr>
              <w:jc w:val="center"/>
              <w:ind w:right="59"/>
              <w:spacing w:after="0"/>
              <w:rPr>
                <w:sz w:val="20"/>
                <w:szCs w:val="20"/>
                <w:color w:val="auto"/>
              </w:rPr>
            </w:pPr>
            <w:r>
              <w:rPr>
                <w:rFonts w:ascii="Arial" w:cs="Arial" w:eastAsia="Arial" w:hAnsi="Arial"/>
                <w:sz w:val="13"/>
                <w:szCs w:val="13"/>
                <w:b w:val="1"/>
                <w:bCs w:val="1"/>
                <w:color w:val="FFFFFF"/>
                <w:w w:val="88"/>
              </w:rPr>
              <w:t>For the Nine Months Ended December</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300" w:type="dxa"/>
            <w:vAlign w:val="bottom"/>
            <w:tcBorders>
              <w:bottom w:val="single" w:sz="8" w:color="auto"/>
            </w:tcBorders>
            <w:shd w:val="clear" w:color="auto" w:fill="004483"/>
          </w:tcPr>
          <w:p>
            <w:pPr>
              <w:spacing w:after="0"/>
              <w:rPr>
                <w:sz w:val="14"/>
                <w:szCs w:val="14"/>
                <w:color w:val="auto"/>
              </w:rPr>
            </w:pPr>
          </w:p>
        </w:tc>
        <w:tc>
          <w:tcPr>
            <w:tcW w:w="960" w:type="dxa"/>
            <w:vAlign w:val="bottom"/>
            <w:tcBorders>
              <w:bottom w:val="single" w:sz="8" w:color="auto"/>
            </w:tcBorders>
            <w:gridSpan w:val="3"/>
            <w:shd w:val="clear" w:color="auto" w:fill="004483"/>
          </w:tcPr>
          <w:p>
            <w:pPr>
              <w:jc w:val="center"/>
              <w:ind w:left="643"/>
              <w:spacing w:after="0"/>
              <w:rPr>
                <w:sz w:val="20"/>
                <w:szCs w:val="20"/>
                <w:color w:val="auto"/>
              </w:rPr>
            </w:pPr>
            <w:r>
              <w:rPr>
                <w:rFonts w:ascii="Arial" w:cs="Arial" w:eastAsia="Arial" w:hAnsi="Arial"/>
                <w:sz w:val="13"/>
                <w:szCs w:val="13"/>
                <w:b w:val="1"/>
                <w:bCs w:val="1"/>
                <w:color w:val="FFFFFF"/>
                <w:w w:val="88"/>
              </w:rPr>
              <w:t>31,</w:t>
            </w:r>
          </w:p>
        </w:tc>
        <w:tc>
          <w:tcPr>
            <w:tcW w:w="300" w:type="dxa"/>
            <w:vAlign w:val="bottom"/>
            <w:tcBorders>
              <w:bottom w:val="single" w:sz="8" w:color="auto"/>
            </w:tcBorders>
            <w:shd w:val="clear" w:color="auto" w:fill="004483"/>
          </w:tcPr>
          <w:p>
            <w:pPr>
              <w:spacing w:after="0"/>
              <w:rPr>
                <w:sz w:val="14"/>
                <w:szCs w:val="14"/>
                <w:color w:val="auto"/>
              </w:rPr>
            </w:pPr>
          </w:p>
        </w:tc>
        <w:tc>
          <w:tcPr>
            <w:tcW w:w="74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134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w w:val="82"/>
              </w:rPr>
              <w:t>Percentage</w:t>
            </w:r>
          </w:p>
        </w:tc>
        <w:tc>
          <w:tcPr>
            <w:tcW w:w="200" w:type="dxa"/>
            <w:vAlign w:val="bottom"/>
            <w:tcBorders>
              <w:bottom w:val="single" w:sz="8" w:color="auto"/>
            </w:tcBorders>
            <w:shd w:val="clear" w:color="auto" w:fill="004483"/>
          </w:tcPr>
          <w:p>
            <w:pPr>
              <w:spacing w:after="0"/>
              <w:rPr>
                <w:sz w:val="14"/>
                <w:szCs w:val="14"/>
                <w:color w:val="auto"/>
              </w:rPr>
            </w:pPr>
          </w:p>
        </w:tc>
        <w:tc>
          <w:tcPr>
            <w:tcW w:w="1000" w:type="dxa"/>
            <w:vAlign w:val="bottom"/>
            <w:tcBorders>
              <w:bottom w:val="single" w:sz="8" w:color="auto"/>
            </w:tcBorders>
            <w:gridSpan w:val="3"/>
            <w:shd w:val="clear" w:color="auto" w:fill="004483"/>
          </w:tcPr>
          <w:p>
            <w:pPr>
              <w:ind w:left="820"/>
              <w:spacing w:after="0"/>
              <w:rPr>
                <w:sz w:val="20"/>
                <w:szCs w:val="20"/>
                <w:color w:val="auto"/>
              </w:rPr>
            </w:pPr>
            <w:r>
              <w:rPr>
                <w:rFonts w:ascii="Arial" w:cs="Arial" w:eastAsia="Arial" w:hAnsi="Arial"/>
                <w:sz w:val="13"/>
                <w:szCs w:val="13"/>
                <w:b w:val="1"/>
                <w:bCs w:val="1"/>
                <w:color w:val="FFFFFF"/>
                <w:w w:val="88"/>
              </w:rPr>
              <w:t>31,</w:t>
            </w:r>
          </w:p>
        </w:tc>
        <w:tc>
          <w:tcPr>
            <w:tcW w:w="340" w:type="dxa"/>
            <w:vAlign w:val="bottom"/>
            <w:tcBorders>
              <w:bottom w:val="single" w:sz="8" w:color="auto"/>
            </w:tcBorders>
            <w:shd w:val="clear" w:color="auto" w:fill="004483"/>
          </w:tcPr>
          <w:p>
            <w:pPr>
              <w:spacing w:after="0"/>
              <w:rPr>
                <w:sz w:val="14"/>
                <w:szCs w:val="14"/>
                <w:color w:val="auto"/>
              </w:rPr>
            </w:pPr>
          </w:p>
        </w:tc>
        <w:tc>
          <w:tcPr>
            <w:tcW w:w="680" w:type="dxa"/>
            <w:vAlign w:val="bottom"/>
            <w:tcBorders>
              <w:bottom w:val="single" w:sz="8" w:color="auto"/>
            </w:tcBorders>
            <w:shd w:val="clear" w:color="auto" w:fill="004483"/>
          </w:tcPr>
          <w:p>
            <w:pPr>
              <w:spacing w:after="0"/>
              <w:rPr>
                <w:sz w:val="14"/>
                <w:szCs w:val="14"/>
                <w:color w:val="auto"/>
              </w:rPr>
            </w:pPr>
          </w:p>
        </w:tc>
        <w:tc>
          <w:tcPr>
            <w:tcW w:w="80" w:type="dxa"/>
            <w:vAlign w:val="bottom"/>
            <w:tcBorders>
              <w:bottom w:val="single" w:sz="8" w:color="004483"/>
            </w:tcBorders>
            <w:shd w:val="clear" w:color="auto" w:fill="004483"/>
          </w:tcPr>
          <w:p>
            <w:pPr>
              <w:spacing w:after="0"/>
              <w:rPr>
                <w:sz w:val="14"/>
                <w:szCs w:val="14"/>
                <w:color w:val="auto"/>
              </w:rPr>
            </w:pPr>
          </w:p>
        </w:tc>
        <w:tc>
          <w:tcPr>
            <w:tcW w:w="1060" w:type="dxa"/>
            <w:vAlign w:val="bottom"/>
            <w:gridSpan w:val="2"/>
            <w:vMerge w:val="restart"/>
          </w:tcPr>
          <w:p>
            <w:pPr>
              <w:jc w:val="right"/>
              <w:ind w:right="19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01"/>
        </w:trPr>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320"/>
              <w:spacing w:after="0" w:line="148" w:lineRule="exact"/>
              <w:rPr>
                <w:sz w:val="20"/>
                <w:szCs w:val="20"/>
                <w:color w:val="auto"/>
              </w:rPr>
            </w:pPr>
            <w:r>
              <w:rPr>
                <w:rFonts w:ascii="Arial" w:cs="Arial" w:eastAsia="Arial" w:hAnsi="Arial"/>
                <w:sz w:val="13"/>
                <w:szCs w:val="13"/>
                <w:b w:val="1"/>
                <w:bCs w:val="1"/>
                <w:color w:val="auto"/>
                <w:w w:val="88"/>
              </w:rPr>
              <w:t>Change</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59"/>
              <w:spacing w:after="0" w:line="14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2400" w:type="dxa"/>
            <w:vAlign w:val="bottom"/>
            <w:gridSpan w:val="7"/>
            <w:vMerge w:val="restart"/>
          </w:tcPr>
          <w:p>
            <w:pPr>
              <w:jc w:val="center"/>
              <w:ind w:right="19"/>
              <w:spacing w:after="0"/>
              <w:rPr>
                <w:sz w:val="20"/>
                <w:szCs w:val="20"/>
                <w:color w:val="auto"/>
              </w:rPr>
            </w:pPr>
            <w:r>
              <w:rPr>
                <w:rFonts w:ascii="Arial" w:cs="Arial" w:eastAsia="Arial" w:hAnsi="Arial"/>
                <w:sz w:val="13"/>
                <w:szCs w:val="13"/>
                <w:color w:val="auto"/>
                <w:w w:val="89"/>
              </w:rPr>
              <w:t>(in thousands, except per MSF information)</w:t>
            </w: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gridSpan w:val="6"/>
          </w:tcPr>
          <w:p>
            <w:pPr>
              <w:jc w:val="center"/>
              <w:ind w:right="239"/>
              <w:spacing w:after="0" w:line="123" w:lineRule="exact"/>
              <w:rPr>
                <w:sz w:val="20"/>
                <w:szCs w:val="20"/>
                <w:color w:val="auto"/>
              </w:rPr>
            </w:pPr>
            <w:r>
              <w:rPr>
                <w:rFonts w:ascii="Arial" w:cs="Arial" w:eastAsia="Arial" w:hAnsi="Arial"/>
                <w:sz w:val="13"/>
                <w:szCs w:val="13"/>
                <w:color w:val="auto"/>
                <w:w w:val="86"/>
              </w:rPr>
              <w:t>(in thousands, except per MSF</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2400" w:type="dxa"/>
            <w:vAlign w:val="bottom"/>
            <w:gridSpan w:val="7"/>
            <w:vMerge w:val="continue"/>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4"/>
          </w:tcPr>
          <w:p>
            <w:pPr>
              <w:jc w:val="center"/>
              <w:ind w:left="385"/>
              <w:spacing w:after="0"/>
              <w:rPr>
                <w:sz w:val="20"/>
                <w:szCs w:val="20"/>
                <w:color w:val="auto"/>
              </w:rPr>
            </w:pPr>
            <w:r>
              <w:rPr>
                <w:rFonts w:ascii="Arial" w:cs="Arial" w:eastAsia="Arial" w:hAnsi="Arial"/>
                <w:sz w:val="13"/>
                <w:szCs w:val="13"/>
                <w:color w:val="auto"/>
                <w:w w:val="93"/>
              </w:rPr>
              <w:t>information)</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4483"/>
              </w:rPr>
              <w:t>Gross Revenue, as reported</w:t>
            </w:r>
          </w:p>
        </w:tc>
        <w:tc>
          <w:tcPr>
            <w:tcW w:w="300" w:type="dxa"/>
            <w:vAlign w:val="bottom"/>
            <w:tcBorders>
              <w:top w:val="single" w:sz="8" w:color="17385E"/>
              <w:bottom w:val="single" w:sz="8" w:color="A6A6A6"/>
            </w:tcBorders>
          </w:tcPr>
          <w:p>
            <w:pPr>
              <w:jc w:val="right"/>
              <w:ind w:right="12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163,584</w:t>
            </w:r>
          </w:p>
        </w:tc>
        <w:tc>
          <w:tcPr>
            <w:tcW w:w="100" w:type="dxa"/>
            <w:vAlign w:val="bottom"/>
            <w:tcBorders>
              <w:top w:val="single" w:sz="8" w:color="17385E"/>
            </w:tcBorders>
          </w:tcPr>
          <w:p>
            <w:pPr>
              <w:spacing w:after="0"/>
              <w:rPr>
                <w:sz w:val="16"/>
                <w:szCs w:val="16"/>
                <w:color w:val="auto"/>
              </w:rPr>
            </w:pPr>
          </w:p>
        </w:tc>
        <w:tc>
          <w:tcPr>
            <w:tcW w:w="120" w:type="dxa"/>
            <w:vAlign w:val="bottom"/>
            <w:tcBorders>
              <w:top w:val="single" w:sz="8" w:color="17385E"/>
              <w:bottom w:val="single" w:sz="8" w:color="A6A6A6"/>
            </w:tcBorders>
          </w:tcPr>
          <w:p>
            <w:pPr>
              <w:spacing w:after="0"/>
              <w:rPr>
                <w:sz w:val="16"/>
                <w:szCs w:val="16"/>
                <w:color w:val="auto"/>
              </w:rPr>
            </w:pPr>
          </w:p>
        </w:tc>
        <w:tc>
          <w:tcPr>
            <w:tcW w:w="300" w:type="dxa"/>
            <w:vAlign w:val="bottom"/>
            <w:tcBorders>
              <w:top w:val="single" w:sz="8" w:color="17385E"/>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135,658</w:t>
            </w:r>
          </w:p>
        </w:tc>
        <w:tc>
          <w:tcPr>
            <w:tcW w:w="100" w:type="dxa"/>
            <w:vAlign w:val="bottom"/>
          </w:tcPr>
          <w:p>
            <w:pPr>
              <w:spacing w:after="0"/>
              <w:rPr>
                <w:sz w:val="16"/>
                <w:szCs w:val="16"/>
                <w:color w:val="auto"/>
              </w:rPr>
            </w:pPr>
          </w:p>
        </w:tc>
        <w:tc>
          <w:tcPr>
            <w:tcW w:w="9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17385E"/>
              <w:bottom w:val="single" w:sz="8" w:color="A6A6A6"/>
            </w:tcBorders>
          </w:tcPr>
          <w:p>
            <w:pPr>
              <w:spacing w:after="0"/>
              <w:rPr>
                <w:sz w:val="16"/>
                <w:szCs w:val="16"/>
                <w:color w:val="auto"/>
              </w:rPr>
            </w:pPr>
          </w:p>
        </w:tc>
        <w:tc>
          <w:tcPr>
            <w:tcW w:w="200" w:type="dxa"/>
            <w:vAlign w:val="bottom"/>
            <w:tcBorders>
              <w:top w:val="single" w:sz="8" w:color="17385E"/>
              <w:bottom w:val="single" w:sz="8" w:color="A6A6A6"/>
            </w:tcBorders>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502,836</w:t>
            </w:r>
          </w:p>
        </w:tc>
        <w:tc>
          <w:tcPr>
            <w:tcW w:w="100" w:type="dxa"/>
            <w:vAlign w:val="bottom"/>
            <w:tcBorders>
              <w:top w:val="single" w:sz="8" w:color="17385E"/>
              <w:bottom w:val="single" w:sz="8" w:color="17385E"/>
            </w:tcBorders>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17385E"/>
              <w:bottom w:val="single" w:sz="8" w:color="A6A6A6"/>
            </w:tcBorders>
          </w:tcPr>
          <w:p>
            <w:pPr>
              <w:spacing w:after="0"/>
              <w:rPr>
                <w:sz w:val="16"/>
                <w:szCs w:val="16"/>
                <w:color w:val="auto"/>
              </w:rPr>
            </w:pPr>
          </w:p>
        </w:tc>
        <w:tc>
          <w:tcPr>
            <w:tcW w:w="340" w:type="dxa"/>
            <w:vAlign w:val="bottom"/>
            <w:tcBorders>
              <w:top w:val="single" w:sz="8" w:color="17385E"/>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397,018</w:t>
            </w:r>
          </w:p>
        </w:tc>
        <w:tc>
          <w:tcPr>
            <w:tcW w:w="80" w:type="dxa"/>
            <w:vAlign w:val="bottom"/>
          </w:tcPr>
          <w:p>
            <w:pPr>
              <w:spacing w:after="0"/>
              <w:rPr>
                <w:sz w:val="16"/>
                <w:szCs w:val="16"/>
                <w:color w:val="auto"/>
              </w:rPr>
            </w:pPr>
          </w:p>
        </w:tc>
        <w:tc>
          <w:tcPr>
            <w:tcW w:w="9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line="183" w:lineRule="exact"/>
              <w:rPr>
                <w:sz w:val="20"/>
                <w:szCs w:val="20"/>
                <w:color w:val="auto"/>
              </w:rPr>
            </w:pPr>
            <w:r>
              <w:rPr>
                <w:rFonts w:ascii="Arial" w:cs="Arial" w:eastAsia="Arial" w:hAnsi="Arial"/>
                <w:sz w:val="16"/>
                <w:szCs w:val="16"/>
                <w:color w:val="004483"/>
              </w:rPr>
              <w:t>Freight and Delivery Costs billed to Customers</w:t>
            </w:r>
          </w:p>
        </w:tc>
        <w:tc>
          <w:tcPr>
            <w:tcW w:w="30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(30,642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(28,235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4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20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(94,427</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6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(83,334</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0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83"/>
        </w:trPr>
        <w:tc>
          <w:tcPr>
            <w:tcW w:w="40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Revenue</w:t>
            </w:r>
          </w:p>
        </w:tc>
        <w:tc>
          <w:tcPr>
            <w:tcW w:w="300" w:type="dxa"/>
            <w:vAlign w:val="bottom"/>
            <w:tcBorders>
              <w:top w:val="single" w:sz="8" w:color="004483"/>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132,942</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300" w:type="dxa"/>
            <w:vAlign w:val="bottom"/>
            <w:tcBorders>
              <w:top w:val="single" w:sz="8" w:color="004483"/>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107,423</w:t>
            </w:r>
          </w:p>
        </w:tc>
        <w:tc>
          <w:tcPr>
            <w:tcW w:w="10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w:t>
            </w:r>
          </w:p>
        </w:tc>
        <w:tc>
          <w:tcPr>
            <w:tcW w:w="3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6A6A6"/>
              <w:bottom w:val="single" w:sz="8" w:color="A6A6A6"/>
            </w:tcBorders>
          </w:tcPr>
          <w:p>
            <w:pPr>
              <w:spacing w:after="0"/>
              <w:rPr>
                <w:sz w:val="15"/>
                <w:szCs w:val="15"/>
                <w:color w:val="auto"/>
              </w:rPr>
            </w:pPr>
          </w:p>
        </w:tc>
        <w:tc>
          <w:tcPr>
            <w:tcW w:w="200" w:type="dxa"/>
            <w:vAlign w:val="bottom"/>
            <w:tcBorders>
              <w:top w:val="single" w:sz="8" w:color="004483"/>
              <w:bottom w:val="single" w:sz="8" w:color="A6A6A6"/>
            </w:tcBorders>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408,409</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40" w:type="dxa"/>
            <w:vAlign w:val="bottom"/>
            <w:tcBorders>
              <w:top w:val="single" w:sz="8" w:color="004483"/>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313,684</w:t>
            </w:r>
          </w:p>
        </w:tc>
        <w:tc>
          <w:tcPr>
            <w:tcW w:w="80" w:type="dxa"/>
            <w:vAlign w:val="bottom"/>
          </w:tcPr>
          <w:p>
            <w:pPr>
              <w:spacing w:after="0"/>
              <w:rPr>
                <w:sz w:val="15"/>
                <w:szCs w:val="15"/>
                <w:color w:val="auto"/>
              </w:rPr>
            </w:pPr>
          </w:p>
        </w:tc>
        <w:tc>
          <w:tcPr>
            <w:tcW w:w="9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(MMSF)</w:t>
            </w:r>
          </w:p>
        </w:tc>
        <w:tc>
          <w:tcPr>
            <w:tcW w:w="30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695</w:t>
            </w:r>
          </w:p>
        </w:tc>
        <w:tc>
          <w:tcPr>
            <w:tcW w:w="10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30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727</w:t>
            </w:r>
          </w:p>
        </w:tc>
        <w:tc>
          <w:tcPr>
            <w:tcW w:w="10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3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6A6A6"/>
              <w:bottom w:val="single" w:sz="8" w:color="A6A6A6"/>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8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2,194</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40" w:type="dxa"/>
            <w:vAlign w:val="bottom"/>
            <w:tcBorders>
              <w:top w:val="single" w:sz="8" w:color="A6A6A6"/>
              <w:bottom w:val="single" w:sz="8" w:color="A6A6A6"/>
            </w:tcBorders>
          </w:tcPr>
          <w:p>
            <w:pPr>
              <w:spacing w:after="0"/>
              <w:rPr>
                <w:sz w:val="15"/>
                <w:szCs w:val="15"/>
                <w:color w:val="auto"/>
              </w:rPr>
            </w:pPr>
          </w:p>
        </w:tc>
        <w:tc>
          <w:tcPr>
            <w:tcW w:w="6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2,151</w:t>
            </w:r>
          </w:p>
        </w:tc>
        <w:tc>
          <w:tcPr>
            <w:tcW w:w="80" w:type="dxa"/>
            <w:vAlign w:val="bottom"/>
          </w:tcPr>
          <w:p>
            <w:pPr>
              <w:spacing w:after="0"/>
              <w:rPr>
                <w:sz w:val="15"/>
                <w:szCs w:val="15"/>
                <w:color w:val="auto"/>
              </w:rPr>
            </w:pPr>
          </w:p>
        </w:tc>
        <w:tc>
          <w:tcPr>
            <w:tcW w:w="9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300" w:type="dxa"/>
            <w:vAlign w:val="bottom"/>
            <w:tcBorders>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191.41</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147.87</w:t>
            </w:r>
          </w:p>
        </w:tc>
        <w:tc>
          <w:tcPr>
            <w:tcW w:w="10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w:t>
            </w:r>
          </w:p>
        </w:tc>
        <w:tc>
          <w:tcPr>
            <w:tcW w:w="3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186.16</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145.86</w:t>
            </w:r>
          </w:p>
        </w:tc>
        <w:tc>
          <w:tcPr>
            <w:tcW w:w="8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 per MSF</w:t>
            </w:r>
          </w:p>
        </w:tc>
        <w:tc>
          <w:tcPr>
            <w:tcW w:w="300" w:type="dxa"/>
            <w:vAlign w:val="bottom"/>
            <w:tcBorders>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44.09</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38.84</w:t>
            </w:r>
          </w:p>
        </w:tc>
        <w:tc>
          <w:tcPr>
            <w:tcW w:w="10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w:t>
            </w:r>
          </w:p>
        </w:tc>
        <w:tc>
          <w:tcPr>
            <w:tcW w:w="3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43.04</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38.74</w:t>
            </w:r>
          </w:p>
        </w:tc>
        <w:tc>
          <w:tcPr>
            <w:tcW w:w="8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MSF</w:t>
            </w:r>
          </w:p>
        </w:tc>
        <w:tc>
          <w:tcPr>
            <w:tcW w:w="300" w:type="dxa"/>
            <w:vAlign w:val="bottom"/>
            <w:tcBorders>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87.54</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56.11</w:t>
            </w:r>
          </w:p>
        </w:tc>
        <w:tc>
          <w:tcPr>
            <w:tcW w:w="10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w:t>
            </w:r>
          </w:p>
        </w:tc>
        <w:tc>
          <w:tcPr>
            <w:tcW w:w="3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86.79</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55.66</w:t>
            </w:r>
          </w:p>
        </w:tc>
        <w:tc>
          <w:tcPr>
            <w:tcW w:w="8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300" w:type="dxa"/>
            <w:vAlign w:val="bottom"/>
            <w:tcBorders>
              <w:bottom w:val="single" w:sz="8" w:color="A6A6A6"/>
            </w:tcBorders>
          </w:tcPr>
          <w:p>
            <w:pPr>
              <w:jc w:val="right"/>
              <w:ind w:right="124"/>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60,841</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40,792</w:t>
            </w:r>
          </w:p>
        </w:tc>
        <w:tc>
          <w:tcPr>
            <w:tcW w:w="10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w:t>
            </w:r>
          </w:p>
        </w:tc>
        <w:tc>
          <w:tcPr>
            <w:tcW w:w="3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190,425</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119,723</w:t>
            </w:r>
          </w:p>
        </w:tc>
        <w:tc>
          <w:tcPr>
            <w:tcW w:w="80" w:type="dxa"/>
            <w:vAlign w:val="bottom"/>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-1548130</wp:posOffset>
            </wp:positionV>
            <wp:extent cx="13716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-1548130</wp:posOffset>
            </wp:positionV>
            <wp:extent cx="1200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w:t>
      </w:r>
    </w:p>
    <w:p>
      <w:pPr>
        <w:spacing w:after="0" w:line="166"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Gypsum Wallboard Revenue increased 21% to $163.6 million for the three months ended December 31, 2021. The improvement was due to higher gross sales prices, which added approximately $33.9 million of Revenue. This was partially offset by lower Sales Volume, which reduced Revenue by approximately $6.0 million. Our market share remained relatively consistent during the three months ended December 31, 2021.</w:t>
      </w:r>
    </w:p>
    <w:p>
      <w:pPr>
        <w:spacing w:after="0" w:line="97"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Operating Earnings increased 49% to $60.8 million, primarily because of higher gross sales prices. The increase in gross sales prices positively affected Operating Earnings by approximately $33.9 million. This was partially offset by lower Sales Volume and higher operating costs, which adversely affected Operating Earnings by approximately $1.8 million and $12.1 million, respectively. The higher operating costs were primarily related to freight, energy, and raw material costs, which reduced Operating Earnings by approximately $3.6 million, $3.5 million, and $4.4 million, respectively. The Operating Margin increased to 37% for the three months ended December 31, 2021,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2021</w:t>
      </w:r>
    </w:p>
    <w:p>
      <w:pPr>
        <w:spacing w:after="0" w:line="16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Gypsum Wallboard Revenue increased 27% to $502.8 million for the nine months ended December 31, 2021. The increase was due to higher gross sales prices and Sales Volume, which contributed approximately $97.9 million and $7.9 million, respectively. Our market share remained relatively consistent during the nine months ended December 31, 2021.</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Operating Earnings increased 59% to $190.4 million, primarily because of higher gross sales prices and Sales Volume. The increase in gross sales prices and Sales Volume positively affected Operating Earnings by approximately $97.9 million and $2.4 million, respectively. This was partially offset by higher operating costs, which adversely affected Operating Earnings by approximately $29.6 million. The higher operating costs were primarily related to freight, energy, and raw material costs which reduced Operating Earnings by approximately $9.4 million, $8.6 million, and $7.8 million, respectively. The Operating Margin increased to 38% for the nine months ended December 31, 2021,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RECYCLED PAPERBOARD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380" w:type="dxa"/>
            <w:vAlign w:val="bottom"/>
            <w:gridSpan w:val="7"/>
            <w:shd w:val="clear" w:color="auto" w:fill="004483"/>
          </w:tcPr>
          <w:p>
            <w:pPr>
              <w:jc w:val="right"/>
              <w:ind w:right="99"/>
              <w:spacing w:after="0"/>
              <w:rPr>
                <w:sz w:val="20"/>
                <w:szCs w:val="20"/>
                <w:color w:val="auto"/>
              </w:rPr>
            </w:pPr>
            <w:r>
              <w:rPr>
                <w:rFonts w:ascii="Arial" w:cs="Arial" w:eastAsia="Arial" w:hAnsi="Arial"/>
                <w:sz w:val="13"/>
                <w:szCs w:val="13"/>
                <w:b w:val="1"/>
                <w:bCs w:val="1"/>
                <w:color w:val="FFFFFF"/>
                <w:w w:val="89"/>
              </w:rPr>
              <w:t>For the Three Months Ended December</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7"/>
            <w:shd w:val="clear" w:color="auto" w:fill="004483"/>
          </w:tcPr>
          <w:p>
            <w:pPr>
              <w:ind w:left="40"/>
              <w:spacing w:after="0"/>
              <w:rPr>
                <w:sz w:val="20"/>
                <w:szCs w:val="20"/>
                <w:color w:val="auto"/>
              </w:rPr>
            </w:pPr>
            <w:r>
              <w:rPr>
                <w:rFonts w:ascii="Arial" w:cs="Arial" w:eastAsia="Arial" w:hAnsi="Arial"/>
                <w:sz w:val="13"/>
                <w:szCs w:val="13"/>
                <w:b w:val="1"/>
                <w:bCs w:val="1"/>
                <w:color w:val="FFFFFF"/>
                <w:w w:val="94"/>
              </w:rPr>
              <w:t>For the Nine Months Ended December</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300" w:type="dxa"/>
            <w:vAlign w:val="bottom"/>
            <w:tcBorders>
              <w:bottom w:val="single" w:sz="8" w:color="auto"/>
            </w:tcBorders>
            <w:shd w:val="clear" w:color="auto" w:fill="004483"/>
          </w:tcPr>
          <w:p>
            <w:pPr>
              <w:spacing w:after="0"/>
              <w:rPr>
                <w:sz w:val="14"/>
                <w:szCs w:val="14"/>
                <w:color w:val="auto"/>
              </w:rPr>
            </w:pPr>
          </w:p>
        </w:tc>
        <w:tc>
          <w:tcPr>
            <w:tcW w:w="940" w:type="dxa"/>
            <w:vAlign w:val="bottom"/>
            <w:tcBorders>
              <w:bottom w:val="single" w:sz="8" w:color="auto"/>
            </w:tcBorders>
            <w:gridSpan w:val="3"/>
            <w:shd w:val="clear" w:color="auto" w:fill="004483"/>
          </w:tcPr>
          <w:p>
            <w:pPr>
              <w:ind w:left="760"/>
              <w:spacing w:after="0"/>
              <w:rPr>
                <w:sz w:val="20"/>
                <w:szCs w:val="20"/>
                <w:color w:val="auto"/>
              </w:rPr>
            </w:pPr>
            <w:r>
              <w:rPr>
                <w:rFonts w:ascii="Arial" w:cs="Arial" w:eastAsia="Arial" w:hAnsi="Arial"/>
                <w:sz w:val="13"/>
                <w:szCs w:val="13"/>
                <w:b w:val="1"/>
                <w:bCs w:val="1"/>
                <w:color w:val="FFFFFF"/>
                <w:w w:val="88"/>
              </w:rPr>
              <w:t>31,</w:t>
            </w:r>
          </w:p>
        </w:tc>
        <w:tc>
          <w:tcPr>
            <w:tcW w:w="300" w:type="dxa"/>
            <w:vAlign w:val="bottom"/>
            <w:tcBorders>
              <w:bottom w:val="single" w:sz="8" w:color="auto"/>
            </w:tcBorders>
            <w:shd w:val="clear" w:color="auto" w:fill="004483"/>
          </w:tcPr>
          <w:p>
            <w:pPr>
              <w:spacing w:after="0"/>
              <w:rPr>
                <w:sz w:val="14"/>
                <w:szCs w:val="14"/>
                <w:color w:val="auto"/>
              </w:rPr>
            </w:pPr>
          </w:p>
        </w:tc>
        <w:tc>
          <w:tcPr>
            <w:tcW w:w="74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136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w w:val="85"/>
              </w:rPr>
              <w:t>Percentage</w:t>
            </w:r>
          </w:p>
        </w:tc>
        <w:tc>
          <w:tcPr>
            <w:tcW w:w="280" w:type="dxa"/>
            <w:vAlign w:val="bottom"/>
            <w:tcBorders>
              <w:bottom w:val="single" w:sz="8" w:color="auto"/>
            </w:tcBorders>
            <w:shd w:val="clear" w:color="auto" w:fill="004483"/>
          </w:tcPr>
          <w:p>
            <w:pPr>
              <w:spacing w:after="0"/>
              <w:rPr>
                <w:sz w:val="14"/>
                <w:szCs w:val="14"/>
                <w:color w:val="auto"/>
              </w:rPr>
            </w:pPr>
          </w:p>
        </w:tc>
        <w:tc>
          <w:tcPr>
            <w:tcW w:w="920" w:type="dxa"/>
            <w:vAlign w:val="bottom"/>
            <w:tcBorders>
              <w:bottom w:val="single" w:sz="8" w:color="auto"/>
            </w:tcBorders>
            <w:gridSpan w:val="3"/>
            <w:shd w:val="clear" w:color="auto" w:fill="004483"/>
          </w:tcPr>
          <w:p>
            <w:pPr>
              <w:ind w:left="740"/>
              <w:spacing w:after="0"/>
              <w:rPr>
                <w:sz w:val="20"/>
                <w:szCs w:val="20"/>
                <w:color w:val="auto"/>
              </w:rPr>
            </w:pPr>
            <w:r>
              <w:rPr>
                <w:rFonts w:ascii="Arial" w:cs="Arial" w:eastAsia="Arial" w:hAnsi="Arial"/>
                <w:sz w:val="13"/>
                <w:szCs w:val="13"/>
                <w:b w:val="1"/>
                <w:bCs w:val="1"/>
                <w:color w:val="FFFFFF"/>
                <w:w w:val="88"/>
              </w:rPr>
              <w:t>31,</w:t>
            </w:r>
          </w:p>
        </w:tc>
        <w:tc>
          <w:tcPr>
            <w:tcW w:w="260" w:type="dxa"/>
            <w:vAlign w:val="bottom"/>
            <w:tcBorders>
              <w:bottom w:val="single" w:sz="8" w:color="auto"/>
            </w:tcBorders>
            <w:shd w:val="clear" w:color="auto" w:fill="004483"/>
          </w:tcPr>
          <w:p>
            <w:pPr>
              <w:spacing w:after="0"/>
              <w:rPr>
                <w:sz w:val="14"/>
                <w:szCs w:val="14"/>
                <w:color w:val="auto"/>
              </w:rPr>
            </w:pPr>
          </w:p>
        </w:tc>
        <w:tc>
          <w:tcPr>
            <w:tcW w:w="740" w:type="dxa"/>
            <w:vAlign w:val="bottom"/>
            <w:tcBorders>
              <w:bottom w:val="single" w:sz="8" w:color="auto"/>
            </w:tcBorders>
            <w:shd w:val="clear" w:color="auto" w:fill="004483"/>
          </w:tcPr>
          <w:p>
            <w:pPr>
              <w:spacing w:after="0"/>
              <w:rPr>
                <w:sz w:val="14"/>
                <w:szCs w:val="14"/>
                <w:color w:val="auto"/>
              </w:rPr>
            </w:pPr>
          </w:p>
        </w:tc>
        <w:tc>
          <w:tcPr>
            <w:tcW w:w="80" w:type="dxa"/>
            <w:vAlign w:val="bottom"/>
            <w:tcBorders>
              <w:bottom w:val="single" w:sz="8" w:color="004483"/>
            </w:tcBorders>
            <w:shd w:val="clear" w:color="auto" w:fill="004483"/>
          </w:tcPr>
          <w:p>
            <w:pPr>
              <w:spacing w:after="0"/>
              <w:rPr>
                <w:sz w:val="14"/>
                <w:szCs w:val="14"/>
                <w:color w:val="auto"/>
              </w:rPr>
            </w:pPr>
          </w:p>
        </w:tc>
        <w:tc>
          <w:tcPr>
            <w:tcW w:w="1100" w:type="dxa"/>
            <w:vAlign w:val="bottom"/>
            <w:gridSpan w:val="2"/>
            <w:vMerge w:val="restart"/>
          </w:tcPr>
          <w:p>
            <w:pPr>
              <w:jc w:val="right"/>
              <w:ind w:right="23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320"/>
              <w:spacing w:after="0" w:line="148" w:lineRule="exact"/>
              <w:rPr>
                <w:sz w:val="20"/>
                <w:szCs w:val="20"/>
                <w:color w:val="auto"/>
              </w:rPr>
            </w:pPr>
            <w:r>
              <w:rPr>
                <w:rFonts w:ascii="Arial" w:cs="Arial" w:eastAsia="Arial" w:hAnsi="Arial"/>
                <w:sz w:val="13"/>
                <w:szCs w:val="13"/>
                <w:b w:val="1"/>
                <w:bCs w:val="1"/>
                <w:color w:val="auto"/>
                <w:w w:val="83"/>
              </w:rPr>
              <w:t>Change</w:t>
            </w: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19"/>
              <w:spacing w:after="0" w:line="14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380" w:type="dxa"/>
            <w:vAlign w:val="bottom"/>
            <w:gridSpan w:val="7"/>
          </w:tcPr>
          <w:p>
            <w:pPr>
              <w:jc w:val="right"/>
              <w:ind w:right="99"/>
              <w:spacing w:after="0"/>
              <w:rPr>
                <w:sz w:val="20"/>
                <w:szCs w:val="20"/>
                <w:color w:val="auto"/>
              </w:rPr>
            </w:pPr>
            <w:r>
              <w:rPr>
                <w:rFonts w:ascii="Arial" w:cs="Arial" w:eastAsia="Arial" w:hAnsi="Arial"/>
                <w:sz w:val="13"/>
                <w:szCs w:val="13"/>
                <w:color w:val="auto"/>
                <w:w w:val="90"/>
              </w:rPr>
              <w:t>(in thousands, except per ton information)</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7"/>
          </w:tcPr>
          <w:p>
            <w:pPr>
              <w:ind w:left="40"/>
              <w:spacing w:after="0"/>
              <w:rPr>
                <w:sz w:val="20"/>
                <w:szCs w:val="20"/>
                <w:color w:val="auto"/>
              </w:rPr>
            </w:pPr>
            <w:r>
              <w:rPr>
                <w:rFonts w:ascii="Arial" w:cs="Arial" w:eastAsia="Arial" w:hAnsi="Arial"/>
                <w:sz w:val="13"/>
                <w:szCs w:val="13"/>
                <w:color w:val="auto"/>
                <w:w w:val="92"/>
              </w:rPr>
              <w:t>(in thousands, except per ton information)</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4483"/>
              </w:rPr>
              <w:t>Gross Revenue, including intersegment</w:t>
            </w:r>
          </w:p>
        </w:tc>
        <w:tc>
          <w:tcPr>
            <w:tcW w:w="300" w:type="dxa"/>
            <w:vAlign w:val="bottom"/>
            <w:tcBorders>
              <w:top w:val="single" w:sz="8" w:color="17385E"/>
              <w:bottom w:val="single" w:sz="8" w:color="A6A6A6"/>
            </w:tcBorders>
          </w:tcPr>
          <w:p>
            <w:pPr>
              <w:jc w:val="right"/>
              <w:ind w:right="123"/>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49,763</w:t>
            </w:r>
          </w:p>
        </w:tc>
        <w:tc>
          <w:tcPr>
            <w:tcW w:w="120" w:type="dxa"/>
            <w:vAlign w:val="bottom"/>
            <w:tcBorders>
              <w:top w:val="single" w:sz="8" w:color="17385E"/>
            </w:tcBorders>
          </w:tcPr>
          <w:p>
            <w:pPr>
              <w:spacing w:after="0"/>
              <w:rPr>
                <w:sz w:val="16"/>
                <w:szCs w:val="16"/>
                <w:color w:val="auto"/>
              </w:rPr>
            </w:pPr>
          </w:p>
        </w:tc>
        <w:tc>
          <w:tcPr>
            <w:tcW w:w="100" w:type="dxa"/>
            <w:vAlign w:val="bottom"/>
            <w:tcBorders>
              <w:top w:val="single" w:sz="8" w:color="17385E"/>
              <w:bottom w:val="single" w:sz="8" w:color="A6A6A6"/>
            </w:tcBorders>
          </w:tcPr>
          <w:p>
            <w:pPr>
              <w:spacing w:after="0"/>
              <w:rPr>
                <w:sz w:val="16"/>
                <w:szCs w:val="16"/>
                <w:color w:val="auto"/>
              </w:rPr>
            </w:pPr>
          </w:p>
        </w:tc>
        <w:tc>
          <w:tcPr>
            <w:tcW w:w="300" w:type="dxa"/>
            <w:vAlign w:val="bottom"/>
            <w:tcBorders>
              <w:top w:val="single" w:sz="8" w:color="17385E"/>
              <w:bottom w:val="single" w:sz="8" w:color="A6A6A6"/>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39,602</w:t>
            </w:r>
          </w:p>
        </w:tc>
        <w:tc>
          <w:tcPr>
            <w:tcW w:w="100" w:type="dxa"/>
            <w:vAlign w:val="bottom"/>
          </w:tcPr>
          <w:p>
            <w:pPr>
              <w:spacing w:after="0"/>
              <w:rPr>
                <w:sz w:val="16"/>
                <w:szCs w:val="16"/>
                <w:color w:val="auto"/>
              </w:rPr>
            </w:pPr>
          </w:p>
        </w:tc>
        <w:tc>
          <w:tcPr>
            <w:tcW w:w="9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17385E"/>
              <w:bottom w:val="single" w:sz="8" w:color="A6A6A6"/>
            </w:tcBorders>
          </w:tcPr>
          <w:p>
            <w:pPr>
              <w:spacing w:after="0"/>
              <w:rPr>
                <w:sz w:val="16"/>
                <w:szCs w:val="16"/>
                <w:color w:val="auto"/>
              </w:rPr>
            </w:pPr>
          </w:p>
        </w:tc>
        <w:tc>
          <w:tcPr>
            <w:tcW w:w="280" w:type="dxa"/>
            <w:vAlign w:val="bottom"/>
            <w:tcBorders>
              <w:top w:val="single" w:sz="8" w:color="17385E"/>
              <w:bottom w:val="single" w:sz="8" w:color="A6A6A6"/>
            </w:tcBorders>
          </w:tcPr>
          <w:p>
            <w:pPr>
              <w:jc w:val="right"/>
              <w:ind w:right="103"/>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140,828</w:t>
            </w:r>
          </w:p>
        </w:tc>
        <w:tc>
          <w:tcPr>
            <w:tcW w:w="100" w:type="dxa"/>
            <w:vAlign w:val="bottom"/>
            <w:tcBorders>
              <w:top w:val="single" w:sz="8" w:color="17385E"/>
              <w:bottom w:val="single" w:sz="8" w:color="17385E"/>
            </w:tcBorders>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17385E"/>
              <w:bottom w:val="single" w:sz="8" w:color="A6A6A6"/>
            </w:tcBorders>
          </w:tcPr>
          <w:p>
            <w:pPr>
              <w:spacing w:after="0"/>
              <w:rPr>
                <w:sz w:val="16"/>
                <w:szCs w:val="16"/>
                <w:color w:val="auto"/>
              </w:rPr>
            </w:pPr>
          </w:p>
        </w:tc>
        <w:tc>
          <w:tcPr>
            <w:tcW w:w="260" w:type="dxa"/>
            <w:vAlign w:val="bottom"/>
            <w:tcBorders>
              <w:top w:val="single" w:sz="8" w:color="17385E"/>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122,417</w:t>
            </w:r>
          </w:p>
        </w:tc>
        <w:tc>
          <w:tcPr>
            <w:tcW w:w="80" w:type="dxa"/>
            <w:vAlign w:val="bottom"/>
          </w:tcPr>
          <w:p>
            <w:pPr>
              <w:spacing w:after="0"/>
              <w:rPr>
                <w:sz w:val="16"/>
                <w:szCs w:val="16"/>
                <w:color w:val="auto"/>
              </w:rPr>
            </w:pPr>
          </w:p>
        </w:tc>
        <w:tc>
          <w:tcPr>
            <w:tcW w:w="9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line="183" w:lineRule="exact"/>
              <w:rPr>
                <w:sz w:val="20"/>
                <w:szCs w:val="20"/>
                <w:color w:val="auto"/>
              </w:rPr>
            </w:pPr>
            <w:r>
              <w:rPr>
                <w:rFonts w:ascii="Arial" w:cs="Arial" w:eastAsia="Arial" w:hAnsi="Arial"/>
                <w:sz w:val="16"/>
                <w:szCs w:val="16"/>
                <w:color w:val="004483"/>
              </w:rPr>
              <w:t>Less intersegment Revenue</w:t>
            </w:r>
          </w:p>
        </w:tc>
        <w:tc>
          <w:tcPr>
            <w:tcW w:w="30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(21,238</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(15,864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6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(59,501</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(50,432</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82"/>
        </w:trPr>
        <w:tc>
          <w:tcPr>
            <w:tcW w:w="40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Revenue, as reported</w:t>
            </w:r>
          </w:p>
        </w:tc>
        <w:tc>
          <w:tcPr>
            <w:tcW w:w="300" w:type="dxa"/>
            <w:vAlign w:val="bottom"/>
            <w:tcBorders>
              <w:top w:val="single" w:sz="8" w:color="004483"/>
              <w:bottom w:val="single" w:sz="8" w:color="A6A6A6"/>
            </w:tcBorders>
          </w:tcPr>
          <w:p>
            <w:pPr>
              <w:jc w:val="right"/>
              <w:ind w:right="12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28,525</w:t>
            </w:r>
          </w:p>
        </w:tc>
        <w:tc>
          <w:tcPr>
            <w:tcW w:w="12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00" w:type="dxa"/>
            <w:vAlign w:val="bottom"/>
            <w:tcBorders>
              <w:top w:val="single" w:sz="8" w:color="004483"/>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23,738</w:t>
            </w:r>
          </w:p>
        </w:tc>
        <w:tc>
          <w:tcPr>
            <w:tcW w:w="100" w:type="dxa"/>
            <w:vAlign w:val="bottom"/>
          </w:tcPr>
          <w:p>
            <w:pPr>
              <w:spacing w:after="0"/>
              <w:rPr>
                <w:sz w:val="15"/>
                <w:szCs w:val="15"/>
                <w:color w:val="auto"/>
              </w:rPr>
            </w:pPr>
          </w:p>
        </w:tc>
        <w:tc>
          <w:tcPr>
            <w:tcW w:w="9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6A6A6"/>
              <w:bottom w:val="single" w:sz="8" w:color="A6A6A6"/>
            </w:tcBorders>
          </w:tcPr>
          <w:p>
            <w:pPr>
              <w:spacing w:after="0"/>
              <w:rPr>
                <w:sz w:val="15"/>
                <w:szCs w:val="15"/>
                <w:color w:val="auto"/>
              </w:rPr>
            </w:pPr>
          </w:p>
        </w:tc>
        <w:tc>
          <w:tcPr>
            <w:tcW w:w="280" w:type="dxa"/>
            <w:vAlign w:val="bottom"/>
            <w:tcBorders>
              <w:top w:val="single" w:sz="8" w:color="004483"/>
              <w:bottom w:val="single" w:sz="8" w:color="A6A6A6"/>
            </w:tcBorders>
          </w:tcPr>
          <w:p>
            <w:pPr>
              <w:jc w:val="right"/>
              <w:ind w:right="10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81,327</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004483"/>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71,985</w:t>
            </w:r>
          </w:p>
        </w:tc>
        <w:tc>
          <w:tcPr>
            <w:tcW w:w="8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line="183" w:lineRule="exact"/>
              <w:rPr>
                <w:sz w:val="20"/>
                <w:szCs w:val="20"/>
                <w:color w:val="auto"/>
              </w:rPr>
            </w:pPr>
            <w:r>
              <w:rPr>
                <w:rFonts w:ascii="Arial" w:cs="Arial" w:eastAsia="Arial" w:hAnsi="Arial"/>
                <w:sz w:val="16"/>
                <w:szCs w:val="16"/>
                <w:color w:val="004483"/>
              </w:rPr>
              <w:t>Freight and Delivery Costs billed to Customers</w:t>
            </w:r>
          </w:p>
        </w:tc>
        <w:tc>
          <w:tcPr>
            <w:tcW w:w="30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(2,120</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(1,361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6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56 %</w:t>
            </w:r>
          </w:p>
        </w:tc>
        <w:tc>
          <w:tcPr>
            <w:tcW w:w="10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(5,691</w:t>
            </w:r>
          </w:p>
        </w:tc>
        <w:tc>
          <w:tcPr>
            <w:tcW w:w="1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(4,046</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183"/>
        </w:trPr>
        <w:tc>
          <w:tcPr>
            <w:tcW w:w="40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Revenue</w:t>
            </w:r>
          </w:p>
        </w:tc>
        <w:tc>
          <w:tcPr>
            <w:tcW w:w="300" w:type="dxa"/>
            <w:vAlign w:val="bottom"/>
            <w:tcBorders>
              <w:top w:val="single" w:sz="8" w:color="004483"/>
              <w:bottom w:val="single" w:sz="8" w:color="A6A6A6"/>
            </w:tcBorders>
          </w:tcPr>
          <w:p>
            <w:pPr>
              <w:jc w:val="right"/>
              <w:ind w:right="12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26,405</w:t>
            </w:r>
          </w:p>
        </w:tc>
        <w:tc>
          <w:tcPr>
            <w:tcW w:w="12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00" w:type="dxa"/>
            <w:vAlign w:val="bottom"/>
            <w:tcBorders>
              <w:top w:val="single" w:sz="8" w:color="004483"/>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22,377</w:t>
            </w:r>
          </w:p>
        </w:tc>
        <w:tc>
          <w:tcPr>
            <w:tcW w:w="100" w:type="dxa"/>
            <w:vAlign w:val="bottom"/>
          </w:tcPr>
          <w:p>
            <w:pPr>
              <w:spacing w:after="0"/>
              <w:rPr>
                <w:sz w:val="15"/>
                <w:szCs w:val="15"/>
                <w:color w:val="auto"/>
              </w:rPr>
            </w:pPr>
          </w:p>
        </w:tc>
        <w:tc>
          <w:tcPr>
            <w:tcW w:w="9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6A6A6"/>
              <w:bottom w:val="single" w:sz="8" w:color="A6A6A6"/>
            </w:tcBorders>
          </w:tcPr>
          <w:p>
            <w:pPr>
              <w:spacing w:after="0"/>
              <w:rPr>
                <w:sz w:val="15"/>
                <w:szCs w:val="15"/>
                <w:color w:val="auto"/>
              </w:rPr>
            </w:pPr>
          </w:p>
        </w:tc>
        <w:tc>
          <w:tcPr>
            <w:tcW w:w="280" w:type="dxa"/>
            <w:vAlign w:val="bottom"/>
            <w:tcBorders>
              <w:top w:val="single" w:sz="8" w:color="004483"/>
              <w:bottom w:val="single" w:sz="8" w:color="A6A6A6"/>
            </w:tcBorders>
          </w:tcPr>
          <w:p>
            <w:pPr>
              <w:jc w:val="right"/>
              <w:ind w:right="10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75,636</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004483"/>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67,939</w:t>
            </w:r>
          </w:p>
        </w:tc>
        <w:tc>
          <w:tcPr>
            <w:tcW w:w="8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Volume (M Tons)</w:t>
            </w:r>
          </w:p>
        </w:tc>
        <w:tc>
          <w:tcPr>
            <w:tcW w:w="30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81</w:t>
            </w:r>
          </w:p>
        </w:tc>
        <w:tc>
          <w:tcPr>
            <w:tcW w:w="12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30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w:t>
            </w:r>
          </w:p>
        </w:tc>
        <w:tc>
          <w:tcPr>
            <w:tcW w:w="100" w:type="dxa"/>
            <w:vAlign w:val="bottom"/>
          </w:tcPr>
          <w:p>
            <w:pPr>
              <w:spacing w:after="0"/>
              <w:rPr>
                <w:sz w:val="15"/>
                <w:szCs w:val="15"/>
                <w:color w:val="auto"/>
              </w:rPr>
            </w:pPr>
          </w:p>
        </w:tc>
        <w:tc>
          <w:tcPr>
            <w:tcW w:w="9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6A6A6"/>
              <w:bottom w:val="single" w:sz="8" w:color="A6A6A6"/>
            </w:tcBorders>
          </w:tcPr>
          <w:p>
            <w:pPr>
              <w:spacing w:after="0"/>
              <w:rPr>
                <w:sz w:val="15"/>
                <w:szCs w:val="15"/>
                <w:color w:val="auto"/>
              </w:rPr>
            </w:pPr>
          </w:p>
        </w:tc>
        <w:tc>
          <w:tcPr>
            <w:tcW w:w="28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252</w:t>
            </w:r>
          </w:p>
        </w:tc>
        <w:tc>
          <w:tcPr>
            <w:tcW w:w="100" w:type="dxa"/>
            <w:vAlign w:val="bottom"/>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243</w:t>
            </w:r>
          </w:p>
        </w:tc>
        <w:tc>
          <w:tcPr>
            <w:tcW w:w="80" w:type="dxa"/>
            <w:vAlign w:val="bottom"/>
          </w:tcPr>
          <w:p>
            <w:pPr>
              <w:spacing w:after="0"/>
              <w:rPr>
                <w:sz w:val="15"/>
                <w:szCs w:val="15"/>
                <w:color w:val="auto"/>
              </w:rPr>
            </w:pPr>
          </w:p>
        </w:tc>
        <w:tc>
          <w:tcPr>
            <w:tcW w:w="9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300" w:type="dxa"/>
            <w:vAlign w:val="bottom"/>
            <w:tcBorders>
              <w:bottom w:val="single" w:sz="8" w:color="A6A6A6"/>
            </w:tcBorders>
          </w:tcPr>
          <w:p>
            <w:pPr>
              <w:jc w:val="right"/>
              <w:ind w:right="12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585.54</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484.92</w:t>
            </w:r>
          </w:p>
        </w:tc>
        <w:tc>
          <w:tcPr>
            <w:tcW w:w="100" w:type="dxa"/>
            <w:vAlign w:val="bottom"/>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jc w:val="right"/>
              <w:ind w:right="10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535.55</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487.76</w:t>
            </w:r>
          </w:p>
        </w:tc>
        <w:tc>
          <w:tcPr>
            <w:tcW w:w="8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 per ton</w:t>
            </w:r>
          </w:p>
        </w:tc>
        <w:tc>
          <w:tcPr>
            <w:tcW w:w="300" w:type="dxa"/>
            <w:vAlign w:val="bottom"/>
            <w:tcBorders>
              <w:bottom w:val="single" w:sz="8" w:color="A6A6A6"/>
            </w:tcBorders>
          </w:tcPr>
          <w:p>
            <w:pPr>
              <w:jc w:val="right"/>
              <w:ind w:right="12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26.17</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17.23</w:t>
            </w:r>
          </w:p>
        </w:tc>
        <w:tc>
          <w:tcPr>
            <w:tcW w:w="100" w:type="dxa"/>
            <w:vAlign w:val="bottom"/>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jc w:val="right"/>
              <w:ind w:right="10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22.58</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16.65</w:t>
            </w:r>
          </w:p>
        </w:tc>
        <w:tc>
          <w:tcPr>
            <w:tcW w:w="8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Margin, per ton</w:t>
            </w:r>
          </w:p>
        </w:tc>
        <w:tc>
          <w:tcPr>
            <w:tcW w:w="300" w:type="dxa"/>
            <w:vAlign w:val="bottom"/>
            <w:tcBorders>
              <w:bottom w:val="single" w:sz="8" w:color="A6A6A6"/>
            </w:tcBorders>
          </w:tcPr>
          <w:p>
            <w:pPr>
              <w:jc w:val="right"/>
              <w:ind w:right="12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29.00</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90.65</w:t>
            </w:r>
          </w:p>
        </w:tc>
        <w:tc>
          <w:tcPr>
            <w:tcW w:w="100" w:type="dxa"/>
            <w:vAlign w:val="bottom"/>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(68</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jc w:val="right"/>
              <w:ind w:right="10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26.46</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85.22</w:t>
            </w:r>
          </w:p>
        </w:tc>
        <w:tc>
          <w:tcPr>
            <w:tcW w:w="8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300" w:type="dxa"/>
            <w:vAlign w:val="bottom"/>
            <w:tcBorders>
              <w:bottom w:val="single" w:sz="8" w:color="A6A6A6"/>
            </w:tcBorders>
          </w:tcPr>
          <w:p>
            <w:pPr>
              <w:jc w:val="right"/>
              <w:ind w:right="12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2,349</w:t>
            </w:r>
          </w:p>
        </w:tc>
        <w:tc>
          <w:tcPr>
            <w:tcW w:w="12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7,161</w:t>
            </w:r>
          </w:p>
        </w:tc>
        <w:tc>
          <w:tcPr>
            <w:tcW w:w="100" w:type="dxa"/>
            <w:vAlign w:val="bottom"/>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(67</w:t>
            </w:r>
          </w:p>
        </w:tc>
        <w:tc>
          <w:tcPr>
            <w:tcW w:w="3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80" w:type="dxa"/>
            <w:vAlign w:val="bottom"/>
            <w:tcBorders>
              <w:bottom w:val="single" w:sz="8" w:color="A6A6A6"/>
            </w:tcBorders>
          </w:tcPr>
          <w:p>
            <w:pPr>
              <w:jc w:val="right"/>
              <w:ind w:right="10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6,667</w:t>
            </w:r>
          </w:p>
        </w:tc>
        <w:tc>
          <w:tcPr>
            <w:tcW w:w="100" w:type="dxa"/>
            <w:vAlign w:val="bottom"/>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20,708</w:t>
            </w:r>
          </w:p>
        </w:tc>
        <w:tc>
          <w:tcPr>
            <w:tcW w:w="80" w:type="dxa"/>
            <w:vAlign w:val="bottom"/>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(68</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-1744980</wp:posOffset>
            </wp:positionV>
            <wp:extent cx="13716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-1744980</wp:posOffset>
            </wp:positionV>
            <wp:extent cx="1200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Recycled Paperboard Revenue increased 26% to $49.8 million during the three months ended December 31, 2021. The increase was primarily due to higher gross sales prices and Sales Volume, which positively affected Revenue by $8.9 million and $1.3 million, respectively. Higher gross sales prices were related to the pricing provisions in our long-term sales agreements.</w:t>
      </w:r>
    </w:p>
    <w:p>
      <w:pPr>
        <w:spacing w:after="0" w:line="94"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Operating Earnings decreased 67% to $2.3 million, primarily because of higher operating costs, which reduced Operating Earnings by approximately $13.9 million. This was partially offset by higher gross sales prices and Sales Volume, which increased Operating Earnings by $8.9 million and $0.2 million, respectively. The increase in operating costs was primarily related to higher input costs, namely fiber and energy, which lowered Operating Earnings by approximately $11.2 million and $1.4 million, respectively. The Operating Margin declined to 5% because of increased operating costs, partially offset by higher gross sales prices. Although the Company has certain pricing provisions in its long-term sales agreements, prices are only adjusted at certain times throughout the year so the timing of price adjustments is not always in the same period as the change in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2021</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Recycled Paperboard Revenue increased 15% to $140.8 million during the nine months ended December 31, 2021. The increase was due to higher gross sales prices and Sales Volume, which positively affected Revenue by $13.5 million and $4.9 million, respectively. Higher gross sales prices were related to the pricing provisions in our long-term sales agreements.</w:t>
      </w:r>
    </w:p>
    <w:p>
      <w:pPr>
        <w:spacing w:after="0" w:line="94"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Operating Earnings decreased 68% to $6.7 million, primarily because of higher operating costs, which adversely affected Operating Earnings by $28.4 million. This was partially offset by higher gross sales prices and Sales Volume, which positively affected Operating Earnings by approximately $13.5 million and $0.8 million, respectively. The increase in operating costs was mainly related to higher input costs, namely fiber, and energy, which lowered Operating Earnings by approximately $24.7 million and $3.0 million, respectively. The Operating Margin decreased to 5% primarily because of higher operating costs, partially offset by increased gross sales prices. Although the Company has certain pricing provisions in its long-term sales agreements, prices are only adjusted at certain times throughout the year so the timing of price adjustments is not always in the same period as the change in costs.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reflected and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9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relating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39"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believe at this time that we have access to sufficient financial resources from our liquidity sources to fund our business and operations, including contractual obligations, capital expenditures, and debt service obligations for at least the next twelve months. We will continue to monitor the potential impact of future COVID-19 outbreaks, or similar disruptions to the economy, and on our operations, as well as any other economic impacts related to changing fiscal policy or economic conditions. Please see the Debt Financing Activities section below for a discussion of our revolving credit facility and the amount of borrowings available to us in the next twelve-month period.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6"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40" w:type="dxa"/>
            <w:vAlign w:val="bottom"/>
          </w:tcPr>
          <w:p>
            <w:pPr>
              <w:spacing w:after="0"/>
              <w:rPr>
                <w:sz w:val="13"/>
                <w:szCs w:val="13"/>
                <w:color w:val="auto"/>
              </w:rPr>
            </w:pPr>
          </w:p>
        </w:tc>
        <w:tc>
          <w:tcPr>
            <w:tcW w:w="440" w:type="dxa"/>
            <w:vAlign w:val="bottom"/>
            <w:shd w:val="clear" w:color="auto" w:fill="004483"/>
          </w:tcPr>
          <w:p>
            <w:pPr>
              <w:spacing w:after="0"/>
              <w:rPr>
                <w:sz w:val="13"/>
                <w:szCs w:val="13"/>
                <w:color w:val="auto"/>
              </w:rPr>
            </w:pPr>
          </w:p>
        </w:tc>
        <w:tc>
          <w:tcPr>
            <w:tcW w:w="2760" w:type="dxa"/>
            <w:vAlign w:val="bottom"/>
            <w:gridSpan w:val="4"/>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For the Nine Months Ended December 31,</w:t>
            </w:r>
          </w:p>
        </w:tc>
        <w:tc>
          <w:tcPr>
            <w:tcW w:w="7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2760" w:type="dxa"/>
            <w:vAlign w:val="bottom"/>
            <w:tcBorders>
              <w:bottom w:val="single" w:sz="8" w:color="004483"/>
            </w:tcBorders>
            <w:gridSpan w:val="4"/>
          </w:tcPr>
          <w:p>
            <w:pPr>
              <w:jc w:val="right"/>
              <w:ind w:right="61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bottom w:val="single" w:sz="8" w:color="A6A6A6"/>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428,878</w:t>
            </w:r>
          </w:p>
        </w:tc>
        <w:tc>
          <w:tcPr>
            <w:tcW w:w="100" w:type="dxa"/>
            <w:vAlign w:val="bottom"/>
          </w:tcPr>
          <w:p>
            <w:pPr>
              <w:spacing w:after="0"/>
              <w:rPr>
                <w:sz w:val="16"/>
                <w:szCs w:val="16"/>
                <w:color w:val="auto"/>
              </w:rPr>
            </w:pPr>
          </w:p>
        </w:tc>
        <w:tc>
          <w:tcPr>
            <w:tcW w:w="1280" w:type="dxa"/>
            <w:vAlign w:val="bottom"/>
            <w:tcBorders>
              <w:bottom w:val="single" w:sz="8" w:color="A6A6A6"/>
            </w:tcBorders>
            <w:gridSpan w:val="2"/>
          </w:tcPr>
          <w:p>
            <w:pPr>
              <w:jc w:val="right"/>
              <w:ind w:right="9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542,017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Investing Activities</w:t>
            </w:r>
          </w:p>
        </w:tc>
        <w:tc>
          <w:tcPr>
            <w:tcW w:w="440" w:type="dxa"/>
            <w:vAlign w:val="bottom"/>
            <w:tcBorders>
              <w:bottom w:val="single" w:sz="8" w:color="A6A6A6"/>
            </w:tcBorders>
          </w:tcPr>
          <w:p>
            <w:pPr>
              <w:spacing w:after="0"/>
              <w:rPr>
                <w:sz w:val="17"/>
                <w:szCs w:val="17"/>
                <w:color w:val="auto"/>
              </w:rPr>
            </w:pPr>
          </w:p>
        </w:tc>
        <w:tc>
          <w:tcPr>
            <w:tcW w:w="13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40" w:type="dxa"/>
            <w:vAlign w:val="bottom"/>
            <w:tcBorders>
              <w:bottom w:val="single" w:sz="8" w:color="A6A6A6"/>
            </w:tcBorders>
          </w:tcPr>
          <w:p>
            <w:pPr>
              <w:spacing w:after="0"/>
              <w:rPr>
                <w:sz w:val="16"/>
                <w:szCs w:val="16"/>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(55,188</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(45,541</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Sale of Businesses</w:t>
            </w:r>
          </w:p>
        </w:tc>
        <w:tc>
          <w:tcPr>
            <w:tcW w:w="440" w:type="dxa"/>
            <w:vAlign w:val="bottom"/>
            <w:tcBorders>
              <w:bottom w:val="single" w:sz="8" w:color="004483"/>
            </w:tcBorders>
          </w:tcPr>
          <w:p>
            <w:pPr>
              <w:spacing w:after="0"/>
              <w:rPr>
                <w:sz w:val="18"/>
                <w:szCs w:val="18"/>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91,022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Cash Provided by (Used in) Investing Activities</w:t>
            </w:r>
          </w:p>
        </w:tc>
        <w:tc>
          <w:tcPr>
            <w:tcW w:w="440" w:type="dxa"/>
            <w:vAlign w:val="bottom"/>
            <w:tcBorders>
              <w:bottom w:val="single" w:sz="8" w:color="004483"/>
            </w:tcBorders>
          </w:tcPr>
          <w:p>
            <w:pPr>
              <w:spacing w:after="0"/>
              <w:rPr>
                <w:sz w:val="18"/>
                <w:szCs w:val="18"/>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(55,188</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45,481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Financing Activities</w:t>
            </w:r>
          </w:p>
        </w:tc>
        <w:tc>
          <w:tcPr>
            <w:tcW w:w="440" w:type="dxa"/>
            <w:vAlign w:val="bottom"/>
            <w:tcBorders>
              <w:bottom w:val="single" w:sz="8" w:color="A6A6A6"/>
            </w:tcBorders>
          </w:tcPr>
          <w:p>
            <w:pPr>
              <w:spacing w:after="0"/>
              <w:rPr>
                <w:sz w:val="17"/>
                <w:szCs w:val="17"/>
                <w:color w:val="auto"/>
              </w:rPr>
            </w:pPr>
          </w:p>
        </w:tc>
        <w:tc>
          <w:tcPr>
            <w:tcW w:w="13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(Decrease) in Credit Facility</w:t>
            </w:r>
          </w:p>
        </w:tc>
        <w:tc>
          <w:tcPr>
            <w:tcW w:w="440" w:type="dxa"/>
            <w:vAlign w:val="bottom"/>
            <w:tcBorders>
              <w:bottom w:val="single" w:sz="8" w:color="A6A6A6"/>
            </w:tcBorders>
          </w:tcPr>
          <w:p>
            <w:pPr>
              <w:spacing w:after="0"/>
              <w:rPr>
                <w:sz w:val="16"/>
                <w:szCs w:val="16"/>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(560,000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2.500% Senior Unsecured Notes</w:t>
            </w:r>
          </w:p>
        </w:tc>
        <w:tc>
          <w:tcPr>
            <w:tcW w:w="4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743,692</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4.500% Senior Unsecured Notes</w:t>
            </w:r>
          </w:p>
        </w:tc>
        <w:tc>
          <w:tcPr>
            <w:tcW w:w="4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(350,000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Term Loan</w:t>
            </w:r>
          </w:p>
        </w:tc>
        <w:tc>
          <w:tcPr>
            <w:tcW w:w="4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(665,000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Dividends Paid to Stockholders</w:t>
            </w:r>
          </w:p>
        </w:tc>
        <w:tc>
          <w:tcPr>
            <w:tcW w:w="4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(20,538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(4,163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4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(435,975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Stock Option Exercises</w:t>
            </w:r>
          </w:p>
        </w:tc>
        <w:tc>
          <w:tcPr>
            <w:tcW w:w="4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20,754</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Premium Paid on Early Retirement of Senior Notes</w:t>
            </w:r>
          </w:p>
        </w:tc>
        <w:tc>
          <w:tcPr>
            <w:tcW w:w="4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Payment of Debt Issuance Costs</w:t>
            </w:r>
          </w:p>
        </w:tc>
        <w:tc>
          <w:tcPr>
            <w:tcW w:w="440" w:type="dxa"/>
            <w:vAlign w:val="bottom"/>
            <w:tcBorders>
              <w:bottom w:val="single" w:sz="8" w:color="A6A6A6"/>
            </w:tcBorders>
          </w:tcPr>
          <w:p>
            <w:pPr>
              <w:spacing w:after="0"/>
              <w:rPr>
                <w:sz w:val="15"/>
                <w:szCs w:val="15"/>
                <w:color w:val="auto"/>
              </w:rPr>
            </w:pP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(7,985</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(1,718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Shares Redeemed to Settle Employee Taxes on Stock Compensation</w:t>
            </w:r>
          </w:p>
        </w:tc>
        <w:tc>
          <w:tcPr>
            <w:tcW w:w="440" w:type="dxa"/>
            <w:vAlign w:val="bottom"/>
            <w:tcBorders>
              <w:bottom w:val="single" w:sz="8" w:color="004483"/>
            </w:tcBorders>
          </w:tcPr>
          <w:p>
            <w:pPr>
              <w:spacing w:after="0"/>
              <w:rPr>
                <w:sz w:val="18"/>
                <w:szCs w:val="18"/>
                <w:color w:val="auto"/>
              </w:rPr>
            </w:pP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(1,359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(1,130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Cash Provided by (Used in) Financing Activities</w:t>
            </w:r>
          </w:p>
        </w:tc>
        <w:tc>
          <w:tcPr>
            <w:tcW w:w="44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(624,818</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(558,362</w:t>
            </w: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724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3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6A6A6"/>
            </w:tcBorders>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440" w:type="dxa"/>
            <w:vAlign w:val="bottom"/>
            <w:tcBorders>
              <w:bottom w:val="single" w:sz="8" w:color="004483"/>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(251,128</w:t>
            </w: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004483"/>
            </w:tcBorders>
          </w:tcPr>
          <w:p>
            <w:pPr>
              <w:jc w:val="right"/>
              <w:ind w:right="919"/>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29,136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Net Cash Provided by Operating Activities decreased by $113.2 million to $428.9 million during the nine months ended December 31, 2021. This decrease was primarily attributable to changes in working capital of $166.9 million and lower dividends from our Unconsolidated Joint Venture of $6.7 million. This was partially offset by higher Net Earnings, adjusted for non-cash charges, of approximately $60.5 million. The decline related to the changes in working capital was primarily due to approximately $130.0 million of Income Tax Receivables at March 31, 2020 being applied during the nine months ended December 31, 2020.</w:t>
      </w:r>
    </w:p>
    <w:p>
      <w:pPr>
        <w:spacing w:after="0" w:line="98"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Working capital decreased by $270.6 million to $221.7 million at December 31, 2021, because of lower Cash and Inventories of approximately $246.1 million and $23.7 million, respectively, and higher Accounts Payable and Accrued Liabilities of $23.7 million. This was partially offset by increased Accounts Receivable and Income Tax Receivable of approximately $23.6 million and $6.1 million, respectively. The reduction in Cash was due to the redemption and repayment of our 4.500% Senior Unsecured Notes due 2026 and Term Loan in July 2021. The reduction in inventory was due to our normal sales cycle where we build inventory in the winter months to meet demand in the spring and summer.</w:t>
      </w:r>
    </w:p>
    <w:p>
      <w:pPr>
        <w:spacing w:after="0" w:line="9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The increase in Accounts Receivable at December 31, 2021, was primarily related to higher Revenue during the three months ended December 31, 2021, compared with the three months ended March 31, 2021. As a percentage of quarterly sales generated for the respective quarter, Accounts Receivable was approximately 37% at December 31, 2021 and 43% at March 31, 2021.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December 31, 2021. Notes Receivable are monitored on an individual basis, and no significant deterioration in the collectability of our Notes Receivable was identified at December 31, 2021.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5" w:name="page36"/>
    <w:bookmarkEnd w:id="35"/>
    <w:p>
      <w:pPr>
        <w:ind w:right="20"/>
        <w:spacing w:after="0" w:line="301" w:lineRule="auto"/>
        <w:rPr>
          <w:sz w:val="20"/>
          <w:szCs w:val="20"/>
          <w:color w:val="auto"/>
        </w:rPr>
      </w:pPr>
      <w:r>
        <w:rPr>
          <w:rFonts w:ascii="Arial" w:cs="Arial" w:eastAsia="Arial" w:hAnsi="Arial"/>
          <w:sz w:val="17"/>
          <w:szCs w:val="17"/>
          <w:color w:val="auto"/>
        </w:rPr>
        <w:t>Our Inventory balance at December 31, 2021 declined by approximately $23.7 million from our balance at March 31, 2021. Within Inventory, raw materials and materials-in-progress decreased by approximately $29.6 million and finished cement decreased by approximately $2.3 million. The decline in raw materials and materials-in-progress and finished cement is consistent with our business cycle; we generally build up clinker inventory over the winter months to meet the demand for cement in the spring and summer. This was partially offset by increases in Gypsum Wallboard, Recycled Paperboard, and Repair Parts inventories of $2.0 million, $2.3 million, and $3.7 million, respectively. The increases in repair parts inventory is primarily due to the build-up of inventory necessary for our scheduled outages over the next several months.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86"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Net Cash Used in Investing Activities during the nine months ended December 31, 2021 was approximately $55.2 million, compared with Net Cash Provided by Investing Activities of $45.5 million during the same period in 2020, a decrease of approximately $100.7 million. The decrease was primarily related to the $91.0 million of cash received for the sale of businesses in fiscal 2021, and an increase of $9.7 million in capital spending in fiscal 2022 compared with fiscal 2021. The increase in capital spending was mainly related to higher spending in our Cement and Gypsum Wallboard businesses, partially offset by lower spending in our Recycled Paperboard business.</w:t>
      </w:r>
    </w:p>
    <w:p>
      <w:pPr>
        <w:spacing w:after="0" w:line="9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Net Cash Used in Financing Activities was approximately $624.8 million during the nine months ended December 31, 2021, compared with $558.4 million during the nine months ended December 31, 2020. During the first nine months of fiscal 2022, we had $436.0 million of share repurchases and retirements, increased Dividends Paid to Shareholders of $16.3 million, and Debt Issuance costs of $6.3 million. This was partially offset by an increase of $12.2 million of cash received from the exercise of stock options and a reduction in net borrowings of $388.7 million compared with fiscal 2021.</w:t>
      </w:r>
    </w:p>
    <w:p>
      <w:pPr>
        <w:spacing w:after="0" w:line="98"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Our debt-to-capitalization ratio and net-debt-to-capitalization ratio were 41.0% and 40.5%, respectively, at December 31, 2021, compared with 42.8% and 35.6%, respectively, at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December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80" w:type="dxa"/>
            <w:vAlign w:val="bottom"/>
            <w:tcBorders>
              <w:bottom w:val="single" w:sz="8" w:color="004483"/>
            </w:tcBorders>
          </w:tcPr>
          <w:p>
            <w:pPr>
              <w:spacing w:after="0"/>
              <w:rPr>
                <w:sz w:val="15"/>
                <w:szCs w:val="15"/>
                <w:color w:val="auto"/>
              </w:rPr>
            </w:pPr>
          </w:p>
        </w:tc>
        <w:tc>
          <w:tcPr>
            <w:tcW w:w="4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189"/>
        </w:trPr>
        <w:tc>
          <w:tcPr>
            <w:tcW w:w="63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2026</w:t>
            </w:r>
          </w:p>
        </w:tc>
      </w:tr>
      <w:tr>
        <w:trPr>
          <w:trHeight w:val="183"/>
        </w:trPr>
        <w:tc>
          <w:tcPr>
            <w:tcW w:w="6380" w:type="dxa"/>
            <w:vAlign w:val="bottom"/>
            <w:tcBorders>
              <w:bottom w:val="single" w:sz="8" w:color="A6A6A6"/>
            </w:tcBorders>
          </w:tcPr>
          <w:p>
            <w:pPr>
              <w:ind w:left="60"/>
              <w:spacing w:after="0" w:line="183" w:lineRule="exact"/>
              <w:rPr>
                <w:sz w:val="20"/>
                <w:szCs w:val="20"/>
                <w:color w:val="auto"/>
              </w:rPr>
            </w:pPr>
            <w:r>
              <w:rPr>
                <w:rFonts w:ascii="Arial" w:cs="Arial" w:eastAsia="Arial" w:hAnsi="Arial"/>
                <w:sz w:val="16"/>
                <w:szCs w:val="16"/>
                <w:color w:val="004483"/>
              </w:rPr>
              <w:t>2.500% Senior Unsecured Notes</w:t>
            </w:r>
          </w:p>
        </w:tc>
        <w:tc>
          <w:tcPr>
            <w:tcW w:w="4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July 2031</w:t>
            </w:r>
          </w:p>
        </w:tc>
      </w:tr>
    </w:tbl>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89"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The borrowing capacity of our Revolving Credit Facility is $750.0 million until July 1, 2026. The Revolving Credit Facility also includes a swingline loan sublimit of $25.0 million, and a $40.0 million letter of credit facility. At December 31, 2021 we had $100.0 million outstanding under the Revolving Credit Facility and $5.0 million of outstanding letters of credit. We are contingently liable for performance under $25.9 million in performance bonds relating primarily to our mining operations. We do not have any off-balance sheet debt, or any outstanding debt guarantees.</w:t>
      </w:r>
    </w:p>
    <w:p>
      <w:pPr>
        <w:spacing w:after="0" w:line="98"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spacing w:after="0" w:line="283"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COVID-19 or similar pandemics. These and other developments could reduce our cash flow or require that we seek additional sources of funding. We cannot predict what effect these factors will have on our future liquidity.</w:t>
      </w:r>
    </w:p>
    <w:p>
      <w:pPr>
        <w:spacing w:after="0" w:line="101"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98"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We have approximately $37.0 million of lease liabilities at December 31, 2021 that have an average remaining life of approximately 10.2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66"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Dividends paid were $20.5 million and $4.2 million for the nine months ended December 31, 2021 and 2020, respectively. On May 19, 2021, we announced the reinstatement of our quarterly dividend that was suspended in fiscal 2021. Each quarterly dividend payment is subject to review and approval by our Board of Directors, who will continue to evaluate our dividend payment amount on a quarterly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December 31, 2021, our share repurchases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22"/>
        </w:trPr>
        <w:tc>
          <w:tcPr>
            <w:tcW w:w="5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 Purchased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21"/>
        </w:trPr>
        <w:tc>
          <w:tcPr>
            <w:tcW w:w="5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Average Price Paid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as Part of Publicly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22"/>
        </w:trPr>
        <w:tc>
          <w:tcPr>
            <w:tcW w:w="54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Announced Plans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62"/>
        </w:trPr>
        <w:tc>
          <w:tcPr>
            <w:tcW w:w="5400" w:type="dxa"/>
            <w:vAlign w:val="bottom"/>
            <w:tcBorders>
              <w:bottom w:val="single" w:sz="8" w:color="004483"/>
            </w:tcBorders>
            <w:gridSpan w:val="2"/>
            <w:vMerge w:val="continue"/>
          </w:tcPr>
          <w:p>
            <w:pPr>
              <w:spacing w:after="0"/>
              <w:rPr>
                <w:sz w:val="14"/>
                <w:szCs w:val="14"/>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80" w:type="dxa"/>
            <w:vAlign w:val="bottom"/>
          </w:tcPr>
          <w:p>
            <w:pPr>
              <w:spacing w:after="0"/>
              <w:rPr>
                <w:sz w:val="14"/>
                <w:szCs w:val="14"/>
                <w:color w:val="auto"/>
              </w:rPr>
            </w:pPr>
          </w:p>
        </w:tc>
        <w:tc>
          <w:tcPr>
            <w:tcW w:w="120" w:type="dxa"/>
            <w:vAlign w:val="bottom"/>
            <w:tcBorders>
              <w:bottom w:val="single" w:sz="8" w:color="004483"/>
            </w:tcBorders>
          </w:tcPr>
          <w:p>
            <w:pPr>
              <w:spacing w:after="0"/>
              <w:rPr>
                <w:sz w:val="14"/>
                <w:szCs w:val="14"/>
                <w:color w:val="auto"/>
              </w:rPr>
            </w:pPr>
          </w:p>
        </w:tc>
        <w:tc>
          <w:tcPr>
            <w:tcW w:w="180" w:type="dxa"/>
            <w:vAlign w:val="bottom"/>
            <w:tcBorders>
              <w:bottom w:val="single" w:sz="8" w:color="004483"/>
            </w:tcBorders>
          </w:tcPr>
          <w:p>
            <w:pPr>
              <w:spacing w:after="0"/>
              <w:rPr>
                <w:sz w:val="14"/>
                <w:szCs w:val="14"/>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80" w:type="dxa"/>
            <w:vAlign w:val="bottom"/>
          </w:tcPr>
          <w:p>
            <w:pPr>
              <w:spacing w:after="0"/>
              <w:rPr>
                <w:sz w:val="14"/>
                <w:szCs w:val="14"/>
                <w:color w:val="auto"/>
              </w:rPr>
            </w:pPr>
          </w:p>
        </w:tc>
        <w:tc>
          <w:tcPr>
            <w:tcW w:w="140" w:type="dxa"/>
            <w:vAlign w:val="bottom"/>
            <w:tcBorders>
              <w:bottom w:val="single" w:sz="8" w:color="004483"/>
            </w:tcBorders>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80" w:type="dxa"/>
            <w:vAlign w:val="bottom"/>
          </w:tcPr>
          <w:p>
            <w:pPr>
              <w:spacing w:after="0"/>
              <w:rPr>
                <w:sz w:val="14"/>
                <w:szCs w:val="14"/>
                <w:color w:val="auto"/>
              </w:rPr>
            </w:pPr>
          </w:p>
        </w:tc>
        <w:tc>
          <w:tcPr>
            <w:tcW w:w="120" w:type="dxa"/>
            <w:vAlign w:val="bottom"/>
            <w:tcBorders>
              <w:bottom w:val="single" w:sz="8" w:color="004483"/>
            </w:tcBorders>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April 1 through April 30, 2021</w:t>
            </w:r>
          </w:p>
        </w:tc>
        <w:tc>
          <w:tcPr>
            <w:tcW w:w="13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May 1 through May 31, 2021</w:t>
            </w:r>
          </w:p>
        </w:tc>
        <w:tc>
          <w:tcPr>
            <w:tcW w:w="13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110,000</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143.77</w:t>
            </w:r>
          </w:p>
        </w:tc>
        <w:tc>
          <w:tcPr>
            <w:tcW w:w="80" w:type="dxa"/>
            <w:vAlign w:val="bottom"/>
          </w:tcPr>
          <w:p>
            <w:pPr>
              <w:spacing w:after="0"/>
              <w:rPr>
                <w:sz w:val="15"/>
                <w:szCs w:val="15"/>
                <w:color w:val="auto"/>
              </w:rPr>
            </w:pPr>
          </w:p>
        </w:tc>
        <w:tc>
          <w:tcPr>
            <w:tcW w:w="14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110,000</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June 1 through June 30, 2021</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315,500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146.16</w:t>
            </w:r>
          </w:p>
        </w:tc>
        <w:tc>
          <w:tcPr>
            <w:tcW w:w="8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315,500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0" w:type="dxa"/>
            <w:vAlign w:val="bottom"/>
            <w:tcBorders>
              <w:top w:val="single" w:sz="8" w:color="A6A6A6"/>
            </w:tcBorders>
            <w:gridSpan w:val="2"/>
          </w:tcPr>
          <w:p>
            <w:pPr>
              <w:ind w:left="200"/>
              <w:spacing w:after="0" w:line="183" w:lineRule="exact"/>
              <w:rPr>
                <w:sz w:val="20"/>
                <w:szCs w:val="20"/>
                <w:color w:val="auto"/>
              </w:rPr>
            </w:pPr>
            <w:r>
              <w:rPr>
                <w:rFonts w:ascii="Arial" w:cs="Arial" w:eastAsia="Arial" w:hAnsi="Arial"/>
                <w:sz w:val="16"/>
                <w:szCs w:val="16"/>
                <w:b w:val="1"/>
                <w:bCs w:val="1"/>
                <w:color w:val="auto"/>
              </w:rPr>
              <w:t>Quarter 1 Totals</w:t>
            </w:r>
          </w:p>
        </w:tc>
        <w:tc>
          <w:tcPr>
            <w:tcW w:w="130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425,500</w:t>
            </w:r>
          </w:p>
        </w:tc>
        <w:tc>
          <w:tcPr>
            <w:tcW w:w="8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18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145.54</w:t>
            </w:r>
          </w:p>
        </w:tc>
        <w:tc>
          <w:tcPr>
            <w:tcW w:w="80" w:type="dxa"/>
            <w:vAlign w:val="bottom"/>
          </w:tcPr>
          <w:p>
            <w:pPr>
              <w:spacing w:after="0"/>
              <w:rPr>
                <w:sz w:val="15"/>
                <w:szCs w:val="15"/>
                <w:color w:val="auto"/>
              </w:rPr>
            </w:pPr>
          </w:p>
        </w:tc>
        <w:tc>
          <w:tcPr>
            <w:tcW w:w="140" w:type="dxa"/>
            <w:vAlign w:val="bottom"/>
            <w:tcBorders>
              <w:top w:val="single" w:sz="8" w:color="A6A6A6"/>
            </w:tcBorders>
          </w:tcPr>
          <w:p>
            <w:pPr>
              <w:spacing w:after="0"/>
              <w:rPr>
                <w:sz w:val="15"/>
                <w:szCs w:val="15"/>
                <w:color w:val="auto"/>
              </w:rPr>
            </w:pPr>
          </w:p>
        </w:tc>
        <w:tc>
          <w:tcPr>
            <w:tcW w:w="128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425,500</w:t>
            </w:r>
          </w:p>
        </w:tc>
        <w:tc>
          <w:tcPr>
            <w:tcW w:w="8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80" w:type="dxa"/>
            <w:vAlign w:val="bottom"/>
            <w:tcBorders>
              <w:top w:val="single" w:sz="8" w:color="A6A6A6"/>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July 1 through July 31, 2021</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298,044</w:t>
            </w:r>
          </w:p>
        </w:tc>
        <w:tc>
          <w:tcPr>
            <w:tcW w:w="200" w:type="dxa"/>
            <w:vAlign w:val="bottom"/>
            <w:gridSpan w:val="2"/>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137.82</w:t>
            </w:r>
          </w:p>
        </w:tc>
        <w:tc>
          <w:tcPr>
            <w:tcW w:w="220" w:type="dxa"/>
            <w:vAlign w:val="bottom"/>
            <w:gridSpan w:val="2"/>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298,044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top w:val="single" w:sz="8" w:color="A6A6A6"/>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August 1 through August 31, 2021</w:t>
            </w:r>
          </w:p>
        </w:tc>
        <w:tc>
          <w:tcPr>
            <w:tcW w:w="13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509,402</w:t>
            </w:r>
          </w:p>
        </w:tc>
        <w:tc>
          <w:tcPr>
            <w:tcW w:w="8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11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150.19</w:t>
            </w:r>
          </w:p>
        </w:tc>
        <w:tc>
          <w:tcPr>
            <w:tcW w:w="80" w:type="dxa"/>
            <w:vAlign w:val="bottom"/>
          </w:tcPr>
          <w:p>
            <w:pPr>
              <w:spacing w:after="0"/>
              <w:rPr>
                <w:sz w:val="15"/>
                <w:szCs w:val="15"/>
                <w:color w:val="auto"/>
              </w:rPr>
            </w:pPr>
          </w:p>
        </w:tc>
        <w:tc>
          <w:tcPr>
            <w:tcW w:w="1420" w:type="dxa"/>
            <w:vAlign w:val="bottom"/>
            <w:tcBorders>
              <w:top w:val="single" w:sz="8" w:color="A6A6A6"/>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509,402</w:t>
            </w:r>
          </w:p>
        </w:tc>
        <w:tc>
          <w:tcPr>
            <w:tcW w:w="8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80" w:type="dxa"/>
            <w:vAlign w:val="bottom"/>
            <w:tcBorders>
              <w:top w:val="single" w:sz="8" w:color="A6A6A6"/>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September 1 through September 30, 2021</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470,000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145.39</w:t>
            </w:r>
          </w:p>
        </w:tc>
        <w:tc>
          <w:tcPr>
            <w:tcW w:w="8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470,000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top w:val="single" w:sz="8" w:color="A6A6A6"/>
            </w:tcBorders>
            <w:gridSpan w:val="2"/>
          </w:tcPr>
          <w:p>
            <w:pPr>
              <w:ind w:left="200"/>
              <w:spacing w:after="0" w:line="183" w:lineRule="exact"/>
              <w:rPr>
                <w:sz w:val="20"/>
                <w:szCs w:val="20"/>
                <w:color w:val="auto"/>
              </w:rPr>
            </w:pPr>
            <w:r>
              <w:rPr>
                <w:rFonts w:ascii="Arial" w:cs="Arial" w:eastAsia="Arial" w:hAnsi="Arial"/>
                <w:sz w:val="16"/>
                <w:szCs w:val="16"/>
                <w:b w:val="1"/>
                <w:bCs w:val="1"/>
                <w:color w:val="auto"/>
              </w:rPr>
              <w:t>Quarter 2 Totals</w:t>
            </w:r>
          </w:p>
        </w:tc>
        <w:tc>
          <w:tcPr>
            <w:tcW w:w="1300" w:type="dxa"/>
            <w:vAlign w:val="bottom"/>
            <w:tcBorders>
              <w:top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1,277,446</w:t>
            </w:r>
          </w:p>
        </w:tc>
        <w:tc>
          <w:tcPr>
            <w:tcW w:w="8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180" w:type="dxa"/>
            <w:vAlign w:val="bottom"/>
            <w:tcBorders>
              <w:top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145.54</w:t>
            </w:r>
          </w:p>
        </w:tc>
        <w:tc>
          <w:tcPr>
            <w:tcW w:w="80" w:type="dxa"/>
            <w:vAlign w:val="bottom"/>
          </w:tcPr>
          <w:p>
            <w:pPr>
              <w:spacing w:after="0"/>
              <w:rPr>
                <w:sz w:val="15"/>
                <w:szCs w:val="15"/>
                <w:color w:val="auto"/>
              </w:rPr>
            </w:pPr>
          </w:p>
        </w:tc>
        <w:tc>
          <w:tcPr>
            <w:tcW w:w="140" w:type="dxa"/>
            <w:vAlign w:val="bottom"/>
            <w:tcBorders>
              <w:top w:val="single" w:sz="8" w:color="A6A6A6"/>
            </w:tcBorders>
          </w:tcPr>
          <w:p>
            <w:pPr>
              <w:spacing w:after="0"/>
              <w:rPr>
                <w:sz w:val="15"/>
                <w:szCs w:val="15"/>
                <w:color w:val="auto"/>
              </w:rPr>
            </w:pPr>
          </w:p>
        </w:tc>
        <w:tc>
          <w:tcPr>
            <w:tcW w:w="1280" w:type="dxa"/>
            <w:vAlign w:val="bottom"/>
            <w:tcBorders>
              <w:top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1,277,446</w:t>
            </w:r>
          </w:p>
        </w:tc>
        <w:tc>
          <w:tcPr>
            <w:tcW w:w="8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1280" w:type="dxa"/>
            <w:vAlign w:val="bottom"/>
            <w:tcBorders>
              <w:top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ind w:left="20"/>
              <w:spacing w:after="0" w:line="183" w:lineRule="exact"/>
              <w:rPr>
                <w:sz w:val="20"/>
                <w:szCs w:val="20"/>
                <w:color w:val="auto"/>
              </w:rPr>
            </w:pPr>
            <w:r>
              <w:rPr>
                <w:rFonts w:ascii="Arial" w:cs="Arial" w:eastAsia="Arial" w:hAnsi="Arial"/>
                <w:sz w:val="16"/>
                <w:szCs w:val="16"/>
                <w:color w:val="004483"/>
              </w:rPr>
              <w:t>October 1 through October 31, 2021</w:t>
            </w:r>
          </w:p>
        </w:tc>
        <w:tc>
          <w:tcPr>
            <w:tcW w:w="160" w:type="dxa"/>
            <w:vAlign w:val="bottom"/>
            <w:tcBorders>
              <w:top w:val="single" w:sz="8" w:color="A3A3A3"/>
            </w:tcBorders>
          </w:tcPr>
          <w:p>
            <w:pPr>
              <w:spacing w:after="0"/>
              <w:rPr>
                <w:sz w:val="15"/>
                <w:szCs w:val="15"/>
                <w:color w:val="auto"/>
              </w:rPr>
            </w:pPr>
          </w:p>
        </w:tc>
        <w:tc>
          <w:tcPr>
            <w:tcW w:w="1300" w:type="dxa"/>
            <w:vAlign w:val="bottom"/>
            <w:tcBorders>
              <w:top w:val="single" w:sz="8" w:color="004483"/>
            </w:tcBorders>
          </w:tcPr>
          <w:p>
            <w:pPr>
              <w:jc w:val="right"/>
              <w:spacing w:after="0" w:line="183" w:lineRule="exact"/>
              <w:rPr>
                <w:sz w:val="20"/>
                <w:szCs w:val="20"/>
                <w:color w:val="auto"/>
              </w:rPr>
            </w:pPr>
            <w:r>
              <w:rPr>
                <w:rFonts w:ascii="Arial" w:cs="Arial" w:eastAsia="Arial" w:hAnsi="Arial"/>
                <w:sz w:val="16"/>
                <w:szCs w:val="16"/>
                <w:color w:val="auto"/>
              </w:rPr>
              <w:t>278,000</w:t>
            </w:r>
          </w:p>
        </w:tc>
        <w:tc>
          <w:tcPr>
            <w:tcW w:w="200" w:type="dxa"/>
            <w:vAlign w:val="bottom"/>
            <w:gridSpan w:val="2"/>
          </w:tcPr>
          <w:p>
            <w:pPr>
              <w:spacing w:after="0"/>
              <w:rPr>
                <w:sz w:val="15"/>
                <w:szCs w:val="15"/>
                <w:color w:val="auto"/>
              </w:rPr>
            </w:pPr>
          </w:p>
        </w:tc>
        <w:tc>
          <w:tcPr>
            <w:tcW w:w="180" w:type="dxa"/>
            <w:vAlign w:val="bottom"/>
            <w:tcBorders>
              <w:top w:val="single" w:sz="8" w:color="004483"/>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004483"/>
            </w:tcBorders>
          </w:tcPr>
          <w:p>
            <w:pPr>
              <w:jc w:val="right"/>
              <w:spacing w:after="0" w:line="183" w:lineRule="exact"/>
              <w:rPr>
                <w:sz w:val="20"/>
                <w:szCs w:val="20"/>
                <w:color w:val="auto"/>
              </w:rPr>
            </w:pPr>
            <w:r>
              <w:rPr>
                <w:rFonts w:ascii="Arial" w:cs="Arial" w:eastAsia="Arial" w:hAnsi="Arial"/>
                <w:sz w:val="16"/>
                <w:szCs w:val="16"/>
                <w:color w:val="auto"/>
              </w:rPr>
              <w:t>138.51</w:t>
            </w:r>
          </w:p>
        </w:tc>
        <w:tc>
          <w:tcPr>
            <w:tcW w:w="220" w:type="dxa"/>
            <w:vAlign w:val="bottom"/>
            <w:gridSpan w:val="2"/>
          </w:tcPr>
          <w:p>
            <w:pPr>
              <w:spacing w:after="0"/>
              <w:rPr>
                <w:sz w:val="15"/>
                <w:szCs w:val="15"/>
                <w:color w:val="auto"/>
              </w:rPr>
            </w:pPr>
          </w:p>
        </w:tc>
        <w:tc>
          <w:tcPr>
            <w:tcW w:w="1280" w:type="dxa"/>
            <w:vAlign w:val="bottom"/>
            <w:tcBorders>
              <w:top w:val="single" w:sz="8" w:color="004483"/>
            </w:tcBorders>
          </w:tcPr>
          <w:p>
            <w:pPr>
              <w:jc w:val="right"/>
              <w:spacing w:after="0" w:line="183" w:lineRule="exact"/>
              <w:rPr>
                <w:sz w:val="20"/>
                <w:szCs w:val="20"/>
                <w:color w:val="auto"/>
              </w:rPr>
            </w:pPr>
            <w:r>
              <w:rPr>
                <w:rFonts w:ascii="Arial" w:cs="Arial" w:eastAsia="Arial" w:hAnsi="Arial"/>
                <w:sz w:val="16"/>
                <w:szCs w:val="16"/>
                <w:color w:val="auto"/>
              </w:rPr>
              <w:t>278,000</w:t>
            </w:r>
          </w:p>
        </w:tc>
        <w:tc>
          <w:tcPr>
            <w:tcW w:w="8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1280" w:type="dxa"/>
            <w:vAlign w:val="bottom"/>
            <w:tcBorders>
              <w:top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November 1 through November 30, 2021</w:t>
            </w:r>
          </w:p>
        </w:tc>
        <w:tc>
          <w:tcPr>
            <w:tcW w:w="160" w:type="dxa"/>
            <w:vAlign w:val="bottom"/>
            <w:tcBorders>
              <w:top w:val="single" w:sz="8" w:color="A3A3A3"/>
              <w:bottom w:val="single" w:sz="8" w:color="A3A3A3"/>
            </w:tcBorders>
          </w:tcPr>
          <w:p>
            <w:pPr>
              <w:spacing w:after="0"/>
              <w:rPr>
                <w:sz w:val="15"/>
                <w:szCs w:val="15"/>
                <w:color w:val="auto"/>
              </w:rPr>
            </w:pPr>
          </w:p>
        </w:tc>
        <w:tc>
          <w:tcPr>
            <w:tcW w:w="13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451,500</w:t>
            </w:r>
          </w:p>
        </w:tc>
        <w:tc>
          <w:tcPr>
            <w:tcW w:w="8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11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158.87</w:t>
            </w:r>
          </w:p>
        </w:tc>
        <w:tc>
          <w:tcPr>
            <w:tcW w:w="80" w:type="dxa"/>
            <w:vAlign w:val="bottom"/>
          </w:tcPr>
          <w:p>
            <w:pPr>
              <w:spacing w:after="0"/>
              <w:rPr>
                <w:sz w:val="15"/>
                <w:szCs w:val="15"/>
                <w:color w:val="auto"/>
              </w:rPr>
            </w:pPr>
          </w:p>
        </w:tc>
        <w:tc>
          <w:tcPr>
            <w:tcW w:w="1420" w:type="dxa"/>
            <w:vAlign w:val="bottom"/>
            <w:tcBorders>
              <w:top w:val="single" w:sz="8" w:color="A6A6A6"/>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451,500</w:t>
            </w:r>
          </w:p>
        </w:tc>
        <w:tc>
          <w:tcPr>
            <w:tcW w:w="8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80" w:type="dxa"/>
            <w:vAlign w:val="bottom"/>
            <w:tcBorders>
              <w:top w:val="single" w:sz="8" w:color="A6A6A6"/>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ind w:left="20"/>
              <w:spacing w:after="0" w:line="183" w:lineRule="exact"/>
              <w:rPr>
                <w:sz w:val="20"/>
                <w:szCs w:val="20"/>
                <w:color w:val="auto"/>
              </w:rPr>
            </w:pPr>
            <w:r>
              <w:rPr>
                <w:rFonts w:ascii="Arial" w:cs="Arial" w:eastAsia="Arial" w:hAnsi="Arial"/>
                <w:sz w:val="16"/>
                <w:szCs w:val="16"/>
                <w:color w:val="004483"/>
              </w:rPr>
              <w:t>December 1 through December 31, 2021</w:t>
            </w:r>
          </w:p>
        </w:tc>
        <w:tc>
          <w:tcPr>
            <w:tcW w:w="16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484,000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160.94</w:t>
            </w:r>
          </w:p>
        </w:tc>
        <w:tc>
          <w:tcPr>
            <w:tcW w:w="8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484,000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Borders>
              <w:top w:val="single" w:sz="8" w:color="A6A6A6"/>
              <w:bottom w:val="single" w:sz="8" w:color="A3A3A3"/>
            </w:tcBorders>
          </w:tcPr>
          <w:p>
            <w:pPr>
              <w:ind w:left="200"/>
              <w:spacing w:after="0" w:line="183" w:lineRule="exact"/>
              <w:rPr>
                <w:sz w:val="20"/>
                <w:szCs w:val="20"/>
                <w:color w:val="auto"/>
              </w:rPr>
            </w:pPr>
            <w:r>
              <w:rPr>
                <w:rFonts w:ascii="Arial" w:cs="Arial" w:eastAsia="Arial" w:hAnsi="Arial"/>
                <w:sz w:val="16"/>
                <w:szCs w:val="16"/>
                <w:b w:val="1"/>
                <w:bCs w:val="1"/>
                <w:color w:val="auto"/>
              </w:rPr>
              <w:t>Quarter 3 Totals</w:t>
            </w:r>
          </w:p>
        </w:tc>
        <w:tc>
          <w:tcPr>
            <w:tcW w:w="160" w:type="dxa"/>
            <w:vAlign w:val="bottom"/>
            <w:tcBorders>
              <w:top w:val="single" w:sz="8" w:color="A3A3A3"/>
              <w:bottom w:val="single" w:sz="8" w:color="A3A3A3"/>
            </w:tcBorders>
          </w:tcPr>
          <w:p>
            <w:pPr>
              <w:spacing w:after="0"/>
              <w:rPr>
                <w:sz w:val="15"/>
                <w:szCs w:val="15"/>
                <w:color w:val="auto"/>
              </w:rPr>
            </w:pPr>
          </w:p>
        </w:tc>
        <w:tc>
          <w:tcPr>
            <w:tcW w:w="130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1,213,500</w:t>
            </w:r>
          </w:p>
        </w:tc>
        <w:tc>
          <w:tcPr>
            <w:tcW w:w="80" w:type="dxa"/>
            <w:vAlign w:val="bottom"/>
          </w:tcPr>
          <w:p>
            <w:pPr>
              <w:spacing w:after="0"/>
              <w:rPr>
                <w:sz w:val="15"/>
                <w:szCs w:val="15"/>
                <w:color w:val="auto"/>
              </w:rPr>
            </w:pPr>
          </w:p>
        </w:tc>
        <w:tc>
          <w:tcPr>
            <w:tcW w:w="120" w:type="dxa"/>
            <w:vAlign w:val="bottom"/>
            <w:tcBorders>
              <w:top w:val="single" w:sz="8" w:color="A6A6A6"/>
            </w:tcBorders>
          </w:tcPr>
          <w:p>
            <w:pPr>
              <w:spacing w:after="0"/>
              <w:rPr>
                <w:sz w:val="15"/>
                <w:szCs w:val="15"/>
                <w:color w:val="auto"/>
              </w:rPr>
            </w:pPr>
          </w:p>
        </w:tc>
        <w:tc>
          <w:tcPr>
            <w:tcW w:w="18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155.03</w:t>
            </w:r>
          </w:p>
        </w:tc>
        <w:tc>
          <w:tcPr>
            <w:tcW w:w="80" w:type="dxa"/>
            <w:vAlign w:val="bottom"/>
          </w:tcPr>
          <w:p>
            <w:pPr>
              <w:spacing w:after="0"/>
              <w:rPr>
                <w:sz w:val="15"/>
                <w:szCs w:val="15"/>
                <w:color w:val="auto"/>
              </w:rPr>
            </w:pPr>
          </w:p>
        </w:tc>
        <w:tc>
          <w:tcPr>
            <w:tcW w:w="140" w:type="dxa"/>
            <w:vAlign w:val="bottom"/>
            <w:tcBorders>
              <w:top w:val="single" w:sz="8" w:color="A6A6A6"/>
            </w:tcBorders>
          </w:tcPr>
          <w:p>
            <w:pPr>
              <w:spacing w:after="0"/>
              <w:rPr>
                <w:sz w:val="15"/>
                <w:szCs w:val="15"/>
                <w:color w:val="auto"/>
              </w:rPr>
            </w:pPr>
          </w:p>
        </w:tc>
        <w:tc>
          <w:tcPr>
            <w:tcW w:w="128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1,213,500</w:t>
            </w:r>
          </w:p>
        </w:tc>
        <w:tc>
          <w:tcPr>
            <w:tcW w:w="80" w:type="dxa"/>
            <w:vAlign w:val="bottom"/>
          </w:tcPr>
          <w:p>
            <w:pPr>
              <w:spacing w:after="0"/>
              <w:rPr>
                <w:sz w:val="15"/>
                <w:szCs w:val="15"/>
                <w:color w:val="auto"/>
              </w:rPr>
            </w:pPr>
          </w:p>
        </w:tc>
        <w:tc>
          <w:tcPr>
            <w:tcW w:w="120" w:type="dxa"/>
            <w:vAlign w:val="bottom"/>
            <w:tcBorders>
              <w:top w:val="single" w:sz="8" w:color="A6A6A6"/>
              <w:bottom w:val="single" w:sz="8" w:color="A6A6A6"/>
            </w:tcBorders>
          </w:tcPr>
          <w:p>
            <w:pPr>
              <w:spacing w:after="0"/>
              <w:rPr>
                <w:sz w:val="15"/>
                <w:szCs w:val="15"/>
                <w:color w:val="auto"/>
              </w:rPr>
            </w:pPr>
          </w:p>
        </w:tc>
        <w:tc>
          <w:tcPr>
            <w:tcW w:w="1280" w:type="dxa"/>
            <w:vAlign w:val="bottom"/>
            <w:tcBorders>
              <w:top w:val="single" w:sz="8" w:color="A3A3A3"/>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gridSpan w:val="2"/>
          </w:tcPr>
          <w:p>
            <w:pPr>
              <w:ind w:left="200"/>
              <w:spacing w:after="0" w:line="183" w:lineRule="exact"/>
              <w:rPr>
                <w:sz w:val="20"/>
                <w:szCs w:val="20"/>
                <w:color w:val="auto"/>
              </w:rPr>
            </w:pPr>
            <w:r>
              <w:rPr>
                <w:rFonts w:ascii="Arial" w:cs="Arial" w:eastAsia="Arial" w:hAnsi="Arial"/>
                <w:sz w:val="16"/>
                <w:szCs w:val="16"/>
                <w:b w:val="1"/>
                <w:bCs w:val="1"/>
                <w:color w:val="auto"/>
              </w:rPr>
              <w:t>Year-to-Date Totals</w:t>
            </w:r>
          </w:p>
        </w:tc>
        <w:tc>
          <w:tcPr>
            <w:tcW w:w="13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2,916,446</w:t>
            </w:r>
          </w:p>
        </w:tc>
        <w:tc>
          <w:tcPr>
            <w:tcW w:w="200" w:type="dxa"/>
            <w:vAlign w:val="bottom"/>
            <w:gridSpan w:val="2"/>
          </w:tcPr>
          <w:p>
            <w:pPr>
              <w:spacing w:after="0"/>
              <w:rPr>
                <w:sz w:val="15"/>
                <w:szCs w:val="15"/>
                <w:color w:val="auto"/>
              </w:rPr>
            </w:pPr>
          </w:p>
        </w:tc>
        <w:tc>
          <w:tcPr>
            <w:tcW w:w="1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149.49</w:t>
            </w:r>
          </w:p>
        </w:tc>
        <w:tc>
          <w:tcPr>
            <w:tcW w:w="220" w:type="dxa"/>
            <w:vAlign w:val="bottom"/>
            <w:gridSpan w:val="2"/>
          </w:tcPr>
          <w:p>
            <w:pPr>
              <w:spacing w:after="0"/>
              <w:rPr>
                <w:sz w:val="15"/>
                <w:szCs w:val="15"/>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2,916,446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4,389,203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560"/>
        <w:spacing w:after="0" w:line="287" w:lineRule="auto"/>
        <w:rPr>
          <w:sz w:val="20"/>
          <w:szCs w:val="20"/>
          <w:color w:val="auto"/>
        </w:rPr>
      </w:pPr>
      <w:r>
        <w:rPr>
          <w:rFonts w:ascii="Arial" w:cs="Arial" w:eastAsia="Arial" w:hAnsi="Arial"/>
          <w:sz w:val="18"/>
          <w:szCs w:val="18"/>
          <w:color w:val="auto"/>
        </w:rPr>
        <w:t>On April 18, 2019, the Board of Directors authorized us to repurchase an additional 10.0 million shares. This authorization brought the cumulative total of Common Stock our Board has approved for repurchase in the open market to 48.4 million shares since we became publicly held in April 1994. Through December 31, 2021, we have repurchased approximately 44.0 million shares.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7" w:name="page38"/>
    <w:bookmarkEnd w:id="37"/>
    <w:p>
      <w:pPr>
        <w:ind w:right="140"/>
        <w:spacing w:after="0" w:line="285"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9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During the nine months ended December 31, 2021, the Company withheld from employees 8,973 shares of stock upon the vesting of Restricted Shares that were granted under the Plan. We withheld these shares to satisfy the employees’ statutory tax withholding requirements, which is required once the Restricted Shares or Restricted Shares Units are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40" w:type="dxa"/>
            <w:vAlign w:val="bottom"/>
          </w:tcPr>
          <w:p>
            <w:pPr>
              <w:spacing w:after="0"/>
              <w:rPr>
                <w:sz w:val="13"/>
                <w:szCs w:val="13"/>
                <w:color w:val="auto"/>
              </w:rPr>
            </w:pPr>
          </w:p>
        </w:tc>
        <w:tc>
          <w:tcPr>
            <w:tcW w:w="440" w:type="dxa"/>
            <w:vAlign w:val="bottom"/>
            <w:shd w:val="clear" w:color="auto" w:fill="004483"/>
          </w:tcPr>
          <w:p>
            <w:pPr>
              <w:spacing w:after="0"/>
              <w:rPr>
                <w:sz w:val="13"/>
                <w:szCs w:val="13"/>
                <w:color w:val="auto"/>
              </w:rPr>
            </w:pPr>
          </w:p>
        </w:tc>
        <w:tc>
          <w:tcPr>
            <w:tcW w:w="2820" w:type="dxa"/>
            <w:vAlign w:val="bottom"/>
            <w:gridSpan w:val="4"/>
            <w:shd w:val="clear" w:color="auto" w:fill="004483"/>
          </w:tcPr>
          <w:p>
            <w:pPr>
              <w:jc w:val="right"/>
              <w:ind w:right="99"/>
              <w:spacing w:after="0"/>
              <w:rPr>
                <w:sz w:val="20"/>
                <w:szCs w:val="20"/>
                <w:color w:val="auto"/>
              </w:rPr>
            </w:pPr>
            <w:r>
              <w:rPr>
                <w:rFonts w:ascii="Arial" w:cs="Arial" w:eastAsia="Arial" w:hAnsi="Arial"/>
                <w:sz w:val="13"/>
                <w:szCs w:val="13"/>
                <w:b w:val="1"/>
                <w:bCs w:val="1"/>
                <w:color w:val="FFFFFF"/>
              </w:rPr>
              <w:t>For the Nine Months Ended December 31,</w:t>
            </w:r>
          </w:p>
        </w:tc>
        <w:tc>
          <w:tcPr>
            <w:tcW w:w="6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4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2820" w:type="dxa"/>
            <w:vAlign w:val="bottom"/>
            <w:tcBorders>
              <w:bottom w:val="single" w:sz="8" w:color="004483"/>
            </w:tcBorders>
            <w:gridSpan w:val="4"/>
          </w:tcPr>
          <w:p>
            <w:pPr>
              <w:jc w:val="right"/>
              <w:ind w:right="699"/>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14,034</w:t>
            </w:r>
          </w:p>
        </w:tc>
        <w:tc>
          <w:tcPr>
            <w:tcW w:w="1460" w:type="dxa"/>
            <w:vAlign w:val="bottom"/>
            <w:gridSpan w:val="3"/>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Plants</w:t>
            </w:r>
          </w:p>
        </w:tc>
        <w:tc>
          <w:tcPr>
            <w:tcW w:w="440" w:type="dxa"/>
            <w:vAlign w:val="bottom"/>
            <w:tcBorders>
              <w:top w:val="single" w:sz="8" w:color="A6A6A6"/>
              <w:bottom w:val="single" w:sz="8" w:color="A6A6A6"/>
            </w:tcBorders>
          </w:tcPr>
          <w:p>
            <w:pPr>
              <w:spacing w:after="0"/>
              <w:rPr>
                <w:sz w:val="15"/>
                <w:szCs w:val="15"/>
                <w:color w:val="auto"/>
              </w:rPr>
            </w:pPr>
          </w:p>
        </w:tc>
        <w:tc>
          <w:tcPr>
            <w:tcW w:w="13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28,660</w:t>
            </w:r>
          </w:p>
        </w:tc>
        <w:tc>
          <w:tcPr>
            <w:tcW w:w="100" w:type="dxa"/>
            <w:vAlign w:val="bottom"/>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1180" w:type="dxa"/>
            <w:vAlign w:val="bottom"/>
            <w:tcBorders>
              <w:top w:val="single" w:sz="8" w:color="A6A6A6"/>
              <w:bottom w:val="single" w:sz="8" w:color="A6A6A6"/>
            </w:tcBorders>
          </w:tcPr>
          <w:p>
            <w:pPr>
              <w:spacing w:after="0"/>
              <w:rPr>
                <w:sz w:val="15"/>
                <w:szCs w:val="15"/>
                <w:color w:val="auto"/>
              </w:rPr>
            </w:pPr>
          </w:p>
        </w:tc>
        <w:tc>
          <w:tcPr>
            <w:tcW w:w="6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6"/>
                <w:szCs w:val="16"/>
                <w:color w:val="004483"/>
              </w:rPr>
              <w:t>Buildings, Machinery, and Equipment</w:t>
            </w:r>
          </w:p>
        </w:tc>
        <w:tc>
          <w:tcPr>
            <w:tcW w:w="44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12,494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10,209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24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1180" w:type="dxa"/>
            <w:vAlign w:val="bottom"/>
            <w:tcBorders>
              <w:bottom w:val="single" w:sz="8" w:color="004483"/>
            </w:tcBorders>
            <w:shd w:val="clear" w:color="auto" w:fill="004483"/>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40" w:type="dxa"/>
            <w:vAlign w:val="bottom"/>
          </w:tcPr>
          <w:p>
            <w:pPr>
              <w:ind w:left="120"/>
              <w:spacing w:after="0" w:line="183" w:lineRule="exact"/>
              <w:rPr>
                <w:sz w:val="20"/>
                <w:szCs w:val="20"/>
                <w:color w:val="auto"/>
              </w:rPr>
            </w:pPr>
            <w:r>
              <w:rPr>
                <w:rFonts w:ascii="Arial" w:cs="Arial" w:eastAsia="Arial" w:hAnsi="Arial"/>
                <w:sz w:val="16"/>
                <w:szCs w:val="16"/>
                <w:b w:val="1"/>
                <w:bCs w:val="1"/>
                <w:color w:val="004483"/>
              </w:rPr>
              <w:t>Total Capital Expenditures</w:t>
            </w:r>
          </w:p>
        </w:tc>
        <w:tc>
          <w:tcPr>
            <w:tcW w:w="440" w:type="dxa"/>
            <w:vAlign w:val="bottom"/>
            <w:tcBorders>
              <w:bottom w:val="single" w:sz="8" w:color="004483"/>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55,188</w:t>
            </w: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bottom w:val="single" w:sz="8" w:color="004483"/>
            </w:tcBorders>
          </w:tcPr>
          <w:p>
            <w:pPr>
              <w:jc w:val="right"/>
              <w:ind w:right="999"/>
              <w:spacing w:after="0" w:line="183" w:lineRule="exact"/>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45,541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Capital expenditures for fiscal 2022 are expected to range from $80.0 million to $90.0 million and will be allocated across both Heavy Materials and Light Materials sectors. These estimated capital expenditures will include maintenance capital expenditures and improvements, as well as other safety and regulatory projects.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 LOOKING STATEMENTS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fluctuations in or changes in the nature of activity in the oil and gas industry;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and their effects on our facilities, operations and contractual arrangements with third parties; competition; cyber-attacks or data security breaches; announced increases in capacity in the gypsum wallboard and cement industries; changes in the demand for residential housing construction or commercial construction or construction projects undertaken by state or local governments;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natural gas, coal and oil) and the cost of our raw materials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pandemics or other unforeseen events, including, without limitation, the COVID-19 pandemic and responses thereto designed to contain its spread and mitigate its public health effects, as well as their impact on economic conditions, capital and financial markets. These and other factors are described in the Company’s Annual Report on Form 10-K for the fiscal year ended March 31, 2021.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6" w:right="37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50"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have a $750.0 million Revolving Credit Facility at December 31, 2021, under which borrowings bear interest at a variable rate. A hypothetical 100 basis point increase in interest rates on the $100.0 million of borrowings under the Revolving Credit Facility at December 31, 2021 would increase interest expense by approximately $1.0 million on an annual basis. At present, we do not utilize derivative financial instruments.</w:t>
      </w:r>
    </w:p>
    <w:p>
      <w:pPr>
        <w:spacing w:after="0" w:line="96"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50"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8" w:right="37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PART II.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50"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50"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For information regarding factors that could impact our results of operations, financial condition, and liquidity, see Part 1. Item 1A. Risk Factors in our Form 10-K for the fiscal year ended March 31, 2021, filed with the Securities and Exchange Commission on May 21, 2021.</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50"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50"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45" w:right="499" w:bottom="1440" w:gutter="0" w:footer="0" w:header="0"/>
        </w:sectPr>
      </w:pPr>
    </w:p>
    <w:bookmarkStart w:id="41" w:name="page42"/>
    <w:bookmarkEnd w:id="41"/>
    <w:p>
      <w:pPr>
        <w:spacing w:after="0"/>
        <w:rPr>
          <w:sz w:val="20"/>
          <w:szCs w:val="20"/>
          <w:color w:val="auto"/>
        </w:rPr>
      </w:pPr>
      <w:r>
        <w:rPr>
          <w:rFonts w:ascii="Arial" w:cs="Arial" w:eastAsia="Arial" w:hAnsi="Arial"/>
          <w:sz w:val="23"/>
          <w:szCs w:val="23"/>
          <w:b w:val="1"/>
          <w:bCs w:val="1"/>
          <w:color w:val="auto"/>
        </w:rPr>
        <w:t>Item 6. Exhibits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6"/>
          </w:tcPr>
          <w:p>
            <w:pPr>
              <w:spacing w:after="0"/>
              <w:rPr>
                <w:rFonts w:ascii="Arial" w:cs="Arial" w:eastAsia="Arial" w:hAnsi="Arial"/>
                <w:sz w:val="18"/>
                <w:szCs w:val="18"/>
                <w:color w:val="auto"/>
              </w:rPr>
            </w:pPr>
            <w:hyperlink w:anchor="page44">
              <w:r>
                <w:rPr>
                  <w:rFonts w:ascii="Arial" w:cs="Arial" w:eastAsia="Arial" w:hAnsi="Arial"/>
                  <w:sz w:val="18"/>
                  <w:szCs w:val="18"/>
                  <w:color w:val="auto"/>
                </w:rPr>
                <w:t>Certification of the Chief Executive Officer of Eagle Materials Inc. pursuant to Rules 13a-14 and 15d-14 promulgated under</w:t>
              </w:r>
            </w:hyperlink>
          </w:p>
        </w:tc>
        <w:tc>
          <w:tcPr>
            <w:tcW w:w="180" w:type="dxa"/>
            <w:vAlign w:val="bottom"/>
            <w:gridSpan w:val="2"/>
          </w:tcPr>
          <w:p>
            <w:pPr>
              <w:spacing w:after="0"/>
              <w:rPr>
                <w:sz w:val="17"/>
                <w:szCs w:val="17"/>
                <w:color w:val="auto"/>
              </w:rPr>
            </w:pPr>
          </w:p>
        </w:tc>
      </w:tr>
      <w:tr>
        <w:trPr>
          <w:trHeight w:val="223"/>
        </w:trPr>
        <w:tc>
          <w:tcPr>
            <w:tcW w:w="1200" w:type="dxa"/>
            <w:vAlign w:val="bottom"/>
          </w:tcPr>
          <w:p>
            <w:pPr>
              <w:spacing w:after="0"/>
              <w:rPr>
                <w:sz w:val="19"/>
                <w:szCs w:val="19"/>
                <w:color w:val="auto"/>
              </w:rPr>
            </w:pPr>
          </w:p>
        </w:tc>
        <w:tc>
          <w:tcPr>
            <w:tcW w:w="4060" w:type="dxa"/>
            <w:vAlign w:val="bottom"/>
            <w:tcBorders>
              <w:bottom w:val="single" w:sz="8" w:color="0000EE"/>
            </w:tcBorders>
            <w:gridSpan w:val="4"/>
          </w:tcPr>
          <w:p>
            <w:pPr>
              <w:spacing w:after="0"/>
              <w:rPr>
                <w:rFonts w:ascii="Arial" w:cs="Arial" w:eastAsia="Arial" w:hAnsi="Arial"/>
                <w:sz w:val="18"/>
                <w:szCs w:val="18"/>
                <w:color w:val="auto"/>
                <w:w w:val="99"/>
              </w:rPr>
            </w:pPr>
            <w:hyperlink w:anchor="page44">
              <w:r>
                <w:rPr>
                  <w:rFonts w:ascii="Arial" w:cs="Arial" w:eastAsia="Arial" w:hAnsi="Arial"/>
                  <w:sz w:val="18"/>
                  <w:szCs w:val="18"/>
                  <w:color w:val="auto"/>
                  <w:w w:val="99"/>
                </w:rPr>
                <w:t>the Securities Exchange Act of 1934, as amended.</w:t>
              </w:r>
            </w:hyperlink>
          </w:p>
        </w:tc>
        <w:tc>
          <w:tcPr>
            <w:tcW w:w="5920" w:type="dxa"/>
            <w:vAlign w:val="bottom"/>
            <w:gridSpan w:val="4"/>
          </w:tcPr>
          <w:p>
            <w:pPr>
              <w:spacing w:after="0"/>
              <w:rPr>
                <w:sz w:val="19"/>
                <w:szCs w:val="19"/>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EE"/>
            </w:tcBorders>
            <w:gridSpan w:val="5"/>
          </w:tcPr>
          <w:p>
            <w:pPr>
              <w:spacing w:after="0"/>
              <w:rPr>
                <w:rFonts w:ascii="Arial" w:cs="Arial" w:eastAsia="Arial" w:hAnsi="Arial"/>
                <w:sz w:val="18"/>
                <w:szCs w:val="18"/>
                <w:color w:val="auto"/>
              </w:rPr>
            </w:pPr>
            <w:hyperlink w:anchor="page45">
              <w:r>
                <w:rPr>
                  <w:rFonts w:ascii="Arial" w:cs="Arial" w:eastAsia="Arial" w:hAnsi="Arial"/>
                  <w:sz w:val="18"/>
                  <w:szCs w:val="18"/>
                  <w:color w:val="auto"/>
                </w:rPr>
                <w:t>Certification of the Chief Financial Officer of Eagle Materials Inc. pursuant to Rules 13a-14 and 15d-14 promulgated under</w:t>
              </w:r>
            </w:hyperlink>
          </w:p>
        </w:tc>
        <w:tc>
          <w:tcPr>
            <w:tcW w:w="240" w:type="dxa"/>
            <w:vAlign w:val="bottom"/>
            <w:gridSpan w:val="3"/>
          </w:tcPr>
          <w:p>
            <w:pPr>
              <w:spacing w:after="0"/>
              <w:rPr>
                <w:sz w:val="24"/>
                <w:szCs w:val="24"/>
                <w:color w:val="auto"/>
              </w:rPr>
            </w:pPr>
          </w:p>
        </w:tc>
      </w:tr>
      <w:tr>
        <w:trPr>
          <w:trHeight w:val="223"/>
        </w:trPr>
        <w:tc>
          <w:tcPr>
            <w:tcW w:w="1200" w:type="dxa"/>
            <w:vAlign w:val="bottom"/>
          </w:tcPr>
          <w:p>
            <w:pPr>
              <w:spacing w:after="0"/>
              <w:rPr>
                <w:sz w:val="19"/>
                <w:szCs w:val="19"/>
                <w:color w:val="auto"/>
              </w:rPr>
            </w:pPr>
          </w:p>
        </w:tc>
        <w:tc>
          <w:tcPr>
            <w:tcW w:w="9980" w:type="dxa"/>
            <w:vAlign w:val="bottom"/>
            <w:gridSpan w:val="8"/>
          </w:tcPr>
          <w:p>
            <w:pPr>
              <w:spacing w:after="0"/>
              <w:rPr>
                <w:rFonts w:ascii="Arial" w:cs="Arial" w:eastAsia="Arial" w:hAnsi="Arial"/>
                <w:sz w:val="18"/>
                <w:szCs w:val="18"/>
                <w:color w:val="auto"/>
              </w:rPr>
            </w:pPr>
            <w:hyperlink w:anchor="page45">
              <w:r>
                <w:rPr>
                  <w:rFonts w:ascii="Arial" w:cs="Arial" w:eastAsia="Arial" w:hAnsi="Arial"/>
                  <w:sz w:val="18"/>
                  <w:szCs w:val="18"/>
                  <w:color w:val="auto"/>
                </w:rPr>
                <w:t>the Securities Exchange Act of 1934, as amended.</w:t>
              </w:r>
            </w:hyperlink>
          </w:p>
        </w:tc>
      </w:tr>
      <w:tr>
        <w:trPr>
          <w:trHeight w:val="20"/>
        </w:trPr>
        <w:tc>
          <w:tcPr>
            <w:tcW w:w="12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40" w:type="dxa"/>
            <w:vAlign w:val="bottom"/>
            <w:tcBorders>
              <w:left w:val="single" w:sz="8" w:color="0000EE"/>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tcBorders>
              <w:bottom w:val="single" w:sz="8" w:color="0000EE"/>
            </w:tcBorders>
            <w:gridSpan w:val="7"/>
          </w:tcPr>
          <w:p>
            <w:pPr>
              <w:spacing w:after="0"/>
              <w:rPr>
                <w:rFonts w:ascii="Arial" w:cs="Arial" w:eastAsia="Arial" w:hAnsi="Arial"/>
                <w:sz w:val="18"/>
                <w:szCs w:val="18"/>
                <w:color w:val="auto"/>
              </w:rPr>
            </w:pPr>
            <w:hyperlink w:anchor="page46">
              <w:r>
                <w:rPr>
                  <w:rFonts w:ascii="Arial" w:cs="Arial" w:eastAsia="Arial" w:hAnsi="Arial"/>
                  <w:sz w:val="18"/>
                  <w:szCs w:val="18"/>
                  <w:color w:val="auto"/>
                </w:rPr>
                <w:t>Certification of the Chief Executive Officer of Eagle Materials Inc. pursuant to 18 U.S.C. Section 1350, as adopted pursuant</w:t>
              </w:r>
            </w:hyperlink>
          </w:p>
        </w:tc>
        <w:tc>
          <w:tcPr>
            <w:tcW w:w="140" w:type="dxa"/>
            <w:vAlign w:val="bottom"/>
          </w:tcPr>
          <w:p>
            <w:pPr>
              <w:spacing w:after="0"/>
              <w:rPr>
                <w:sz w:val="24"/>
                <w:szCs w:val="24"/>
                <w:color w:val="auto"/>
              </w:rPr>
            </w:pPr>
          </w:p>
        </w:tc>
      </w:tr>
      <w:tr>
        <w:trPr>
          <w:trHeight w:val="223"/>
        </w:trPr>
        <w:tc>
          <w:tcPr>
            <w:tcW w:w="1200" w:type="dxa"/>
            <w:vAlign w:val="bottom"/>
          </w:tcPr>
          <w:p>
            <w:pPr>
              <w:spacing w:after="0"/>
              <w:rPr>
                <w:sz w:val="19"/>
                <w:szCs w:val="19"/>
                <w:color w:val="auto"/>
              </w:rPr>
            </w:pPr>
          </w:p>
        </w:tc>
        <w:tc>
          <w:tcPr>
            <w:tcW w:w="9980" w:type="dxa"/>
            <w:vAlign w:val="bottom"/>
            <w:gridSpan w:val="8"/>
          </w:tcPr>
          <w:p>
            <w:pPr>
              <w:spacing w:after="0"/>
              <w:rPr>
                <w:rFonts w:ascii="Arial" w:cs="Arial" w:eastAsia="Arial" w:hAnsi="Arial"/>
                <w:sz w:val="18"/>
                <w:szCs w:val="18"/>
                <w:color w:val="auto"/>
              </w:rPr>
            </w:pPr>
            <w:hyperlink w:anchor="page46">
              <w:r>
                <w:rPr>
                  <w:rFonts w:ascii="Arial" w:cs="Arial" w:eastAsia="Arial" w:hAnsi="Arial"/>
                  <w:sz w:val="18"/>
                  <w:szCs w:val="18"/>
                  <w:color w:val="auto"/>
                </w:rPr>
                <w:t>to Section 906 of the Sarbanes-Oxley Act of 2002.</w:t>
              </w:r>
            </w:hyperlink>
          </w:p>
        </w:tc>
      </w:tr>
      <w:tr>
        <w:trPr>
          <w:trHeight w:val="20"/>
        </w:trPr>
        <w:tc>
          <w:tcPr>
            <w:tcW w:w="12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9980" w:type="dxa"/>
            <w:vAlign w:val="bottom"/>
            <w:tcBorders>
              <w:bottom w:val="single" w:sz="8" w:color="0000EE"/>
            </w:tcBorders>
            <w:gridSpan w:val="8"/>
          </w:tcPr>
          <w:p>
            <w:pPr>
              <w:spacing w:after="0"/>
              <w:rPr>
                <w:rFonts w:ascii="Arial" w:cs="Arial" w:eastAsia="Arial" w:hAnsi="Arial"/>
                <w:sz w:val="18"/>
                <w:szCs w:val="18"/>
                <w:color w:val="auto"/>
              </w:rPr>
            </w:pPr>
            <w:hyperlink w:anchor="page47">
              <w:r>
                <w:rPr>
                  <w:rFonts w:ascii="Arial" w:cs="Arial" w:eastAsia="Arial" w:hAnsi="Arial"/>
                  <w:sz w:val="18"/>
                  <w:szCs w:val="18"/>
                  <w:color w:val="auto"/>
                </w:rPr>
                <w:t>Certification of the Chief Financial Officer of Eagle Materials Inc. pursuant to 18 U.S.C. Section 1350, as adopted pursuant to</w:t>
              </w:r>
            </w:hyperlink>
          </w:p>
        </w:tc>
      </w:tr>
      <w:tr>
        <w:trPr>
          <w:trHeight w:val="223"/>
        </w:trPr>
        <w:tc>
          <w:tcPr>
            <w:tcW w:w="1200" w:type="dxa"/>
            <w:vAlign w:val="bottom"/>
          </w:tcPr>
          <w:p>
            <w:pPr>
              <w:spacing w:after="0"/>
              <w:rPr>
                <w:sz w:val="19"/>
                <w:szCs w:val="19"/>
                <w:color w:val="auto"/>
              </w:rPr>
            </w:pPr>
          </w:p>
        </w:tc>
        <w:tc>
          <w:tcPr>
            <w:tcW w:w="9980" w:type="dxa"/>
            <w:vAlign w:val="bottom"/>
            <w:gridSpan w:val="8"/>
          </w:tcPr>
          <w:p>
            <w:pPr>
              <w:spacing w:after="0"/>
              <w:rPr>
                <w:rFonts w:ascii="Arial" w:cs="Arial" w:eastAsia="Arial" w:hAnsi="Arial"/>
                <w:sz w:val="18"/>
                <w:szCs w:val="18"/>
                <w:color w:val="auto"/>
              </w:rPr>
            </w:pPr>
            <w:hyperlink w:anchor="page47">
              <w:r>
                <w:rPr>
                  <w:rFonts w:ascii="Arial" w:cs="Arial" w:eastAsia="Arial" w:hAnsi="Arial"/>
                  <w:sz w:val="18"/>
                  <w:szCs w:val="18"/>
                  <w:color w:val="auto"/>
                </w:rPr>
                <w:t>Section 906 of the Sarbanes-Oxley Act of 2002.</w:t>
              </w:r>
            </w:hyperlink>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95*</w:t>
            </w:r>
          </w:p>
        </w:tc>
        <w:tc>
          <w:tcPr>
            <w:tcW w:w="1900" w:type="dxa"/>
            <w:vAlign w:val="bottom"/>
            <w:tcBorders>
              <w:top w:val="single" w:sz="8" w:color="0000EE"/>
              <w:bottom w:val="single" w:sz="8" w:color="0000EE"/>
            </w:tcBorders>
          </w:tcPr>
          <w:p>
            <w:pPr>
              <w:spacing w:after="0"/>
              <w:rPr>
                <w:rFonts w:ascii="Arial" w:cs="Arial" w:eastAsia="Arial" w:hAnsi="Arial"/>
                <w:sz w:val="18"/>
                <w:szCs w:val="18"/>
                <w:color w:val="auto"/>
                <w:w w:val="99"/>
              </w:rPr>
            </w:pPr>
            <w:hyperlink w:anchor="page48">
              <w:r>
                <w:rPr>
                  <w:rFonts w:ascii="Arial" w:cs="Arial" w:eastAsia="Arial" w:hAnsi="Arial"/>
                  <w:sz w:val="18"/>
                  <w:szCs w:val="18"/>
                  <w:color w:val="auto"/>
                  <w:w w:val="99"/>
                </w:rPr>
                <w:t>Mine Safety Disclosure.</w:t>
              </w:r>
            </w:hyperlink>
          </w:p>
        </w:tc>
        <w:tc>
          <w:tcPr>
            <w:tcW w:w="1900" w:type="dxa"/>
            <w:vAlign w:val="bottom"/>
            <w:tcBorders>
              <w:top w:val="single" w:sz="8" w:color="0000EE"/>
            </w:tcBorders>
          </w:tcPr>
          <w:p>
            <w:pPr>
              <w:spacing w:after="0"/>
              <w:rPr>
                <w:sz w:val="24"/>
                <w:szCs w:val="24"/>
                <w:color w:val="auto"/>
              </w:rPr>
            </w:pPr>
          </w:p>
        </w:tc>
        <w:tc>
          <w:tcPr>
            <w:tcW w:w="6180" w:type="dxa"/>
            <w:vAlign w:val="bottom"/>
            <w:gridSpan w:val="6"/>
          </w:tcPr>
          <w:p>
            <w:pPr>
              <w:spacing w:after="0"/>
              <w:rPr>
                <w:sz w:val="24"/>
                <w:szCs w:val="24"/>
                <w:color w:val="auto"/>
              </w:rPr>
            </w:pPr>
          </w:p>
        </w:tc>
      </w:tr>
      <w:tr>
        <w:trPr>
          <w:trHeight w:val="64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43"/>
        </w:trPr>
        <w:tc>
          <w:tcPr>
            <w:tcW w:w="1200" w:type="dxa"/>
            <w:vAlign w:val="bottom"/>
          </w:tcPr>
          <w:p>
            <w:pPr>
              <w:spacing w:after="0"/>
              <w:rPr>
                <w:sz w:val="21"/>
                <w:szCs w:val="21"/>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78"/>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621"/>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621"/>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621"/>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621"/>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0" w:lineRule="exact"/>
        <w:rPr>
          <w:sz w:val="20"/>
          <w:szCs w:val="20"/>
          <w:color w:val="auto"/>
        </w:rPr>
      </w:pPr>
    </w:p>
    <w:p>
      <w:pPr>
        <w:spacing w:after="0" w:line="204" w:lineRule="exact"/>
        <w:rPr>
          <w:sz w:val="20"/>
          <w:szCs w:val="20"/>
          <w:color w:val="auto"/>
        </w:rPr>
      </w:pPr>
    </w:p>
    <w:p>
      <w:pPr>
        <w:ind w:right="2660" w:firstLine="21"/>
        <w:spacing w:after="0" w:line="414" w:lineRule="auto"/>
        <w:tabs>
          <w:tab w:leader="none" w:pos="12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3742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ind w:left="400" w:hanging="392"/>
        <w:spacing w:after="0" w:line="189" w:lineRule="auto"/>
        <w:tabs>
          <w:tab w:leader="none" w:pos="400" w:val="left"/>
        </w:tabs>
        <w:numPr>
          <w:ilvl w:val="0"/>
          <w:numId w:val="14"/>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8" w:right="37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5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January 27, 2022</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wp:posOffset>
            </wp:positionV>
            <wp:extent cx="28460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ind w:left="6740"/>
        <w:spacing w:after="0" w:line="219" w:lineRule="auto"/>
        <w:rPr>
          <w:sz w:val="20"/>
          <w:szCs w:val="20"/>
          <w:color w:val="auto"/>
        </w:rPr>
      </w:pPr>
      <w:r>
        <w:rPr>
          <w:rFonts w:ascii="Arial" w:cs="Arial" w:eastAsia="Arial" w:hAnsi="Arial"/>
          <w:sz w:val="18"/>
          <w:szCs w:val="18"/>
          <w:color w:val="auto"/>
        </w:rPr>
        <w:t>Michael R. Haack</w:t>
      </w:r>
    </w:p>
    <w:p>
      <w:pPr>
        <w:jc w:val="center"/>
        <w:ind w:left="674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21"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January 27, 2022</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wp:posOffset>
            </wp:positionV>
            <wp:extent cx="28460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left="6740"/>
        <w:spacing w:after="0" w:line="219" w:lineRule="auto"/>
        <w:rPr>
          <w:sz w:val="20"/>
          <w:szCs w:val="20"/>
          <w:color w:val="auto"/>
        </w:rPr>
      </w:pPr>
      <w:r>
        <w:rPr>
          <w:rFonts w:ascii="Arial" w:cs="Arial" w:eastAsia="Arial" w:hAnsi="Arial"/>
          <w:sz w:val="18"/>
          <w:szCs w:val="18"/>
          <w:color w:val="auto"/>
        </w:rPr>
        <w:t>D. Craig Kesler</w:t>
      </w:r>
    </w:p>
    <w:p>
      <w:pPr>
        <w:jc w:val="center"/>
        <w:ind w:left="6740"/>
        <w:spacing w:after="0" w:line="203" w:lineRule="auto"/>
        <w:rPr>
          <w:sz w:val="20"/>
          <w:szCs w:val="20"/>
          <w:color w:val="auto"/>
        </w:rPr>
      </w:pPr>
      <w:r>
        <w:rPr>
          <w:rFonts w:ascii="Arial" w:cs="Arial" w:eastAsia="Arial" w:hAnsi="Arial"/>
          <w:sz w:val="18"/>
          <w:szCs w:val="18"/>
          <w:color w:val="auto"/>
        </w:rPr>
        <w:t>Executive Vice President – Finance and</w:t>
      </w:r>
    </w:p>
    <w:p>
      <w:pPr>
        <w:jc w:val="center"/>
        <w:ind w:left="6740"/>
        <w:spacing w:after="0" w:line="204" w:lineRule="auto"/>
        <w:rPr>
          <w:sz w:val="20"/>
          <w:szCs w:val="20"/>
          <w:color w:val="auto"/>
        </w:rPr>
      </w:pPr>
      <w:r>
        <w:rPr>
          <w:rFonts w:ascii="Arial" w:cs="Arial" w:eastAsia="Arial" w:hAnsi="Arial"/>
          <w:sz w:val="18"/>
          <w:szCs w:val="18"/>
          <w:color w:val="auto"/>
        </w:rPr>
        <w:t>Administration and Chief Financial Officer</w:t>
      </w: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383" w:lineRule="exact"/>
        <w:rPr>
          <w:sz w:val="20"/>
          <w:szCs w:val="20"/>
          <w:color w:val="auto"/>
        </w:rPr>
      </w:pPr>
    </w:p>
    <w:p>
      <w:pPr>
        <w:ind w:left="20"/>
        <w:spacing w:after="0"/>
        <w:tabs>
          <w:tab w:leader="none" w:pos="8040" w:val="left"/>
        </w:tabs>
        <w:rPr>
          <w:sz w:val="20"/>
          <w:szCs w:val="20"/>
          <w:color w:val="auto"/>
        </w:rPr>
      </w:pPr>
      <w:r>
        <w:rPr>
          <w:rFonts w:ascii="Arial" w:cs="Arial" w:eastAsia="Arial" w:hAnsi="Arial"/>
          <w:sz w:val="18"/>
          <w:szCs w:val="18"/>
          <w:color w:val="auto"/>
        </w:rPr>
        <w:t>January 27, 2022</w:t>
      </w:r>
      <w:r>
        <w:rPr>
          <w:sz w:val="20"/>
          <w:szCs w:val="20"/>
          <w:color w:val="auto"/>
        </w:rPr>
        <w:tab/>
      </w:r>
      <w:r>
        <w:rPr>
          <w:rFonts w:ascii="Arial" w:cs="Arial" w:eastAsia="Arial" w:hAnsi="Arial"/>
          <w:sz w:val="17"/>
          <w:szCs w:val="17"/>
          <w:color w:val="auto"/>
        </w:rPr>
        <w:t>/s/ WILLIAM R. DEVLIN</w:t>
      </w:r>
    </w:p>
    <w:p>
      <w:pPr>
        <w:jc w:val="center"/>
        <w:ind w:left="6760"/>
        <w:spacing w:after="0" w:line="211" w:lineRule="auto"/>
        <w:rPr>
          <w:sz w:val="20"/>
          <w:szCs w:val="20"/>
          <w:color w:val="auto"/>
        </w:rPr>
      </w:pPr>
      <w:r>
        <w:rPr>
          <w:rFonts w:ascii="Arial" w:cs="Arial" w:eastAsia="Arial" w:hAnsi="Arial"/>
          <w:sz w:val="18"/>
          <w:szCs w:val="18"/>
          <w:color w:val="auto"/>
        </w:rPr>
        <w:t>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-109855</wp:posOffset>
            </wp:positionV>
            <wp:extent cx="2837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line="204" w:lineRule="auto"/>
        <w:rPr>
          <w:sz w:val="20"/>
          <w:szCs w:val="20"/>
          <w:color w:val="auto"/>
        </w:rPr>
      </w:pPr>
      <w:r>
        <w:rPr>
          <w:rFonts w:ascii="Arial" w:cs="Arial" w:eastAsia="Arial" w:hAnsi="Arial"/>
          <w:sz w:val="18"/>
          <w:szCs w:val="18"/>
          <w:color w:val="auto"/>
        </w:rPr>
        <w:t>Senior Vice President – Controller and</w:t>
      </w:r>
    </w:p>
    <w:p>
      <w:pPr>
        <w:jc w:val="center"/>
        <w:ind w:left="6760"/>
        <w:spacing w:after="0" w:line="203"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5" w:right="459" w:bottom="1440" w:gutter="0" w:footer="0" w:header="0"/>
        </w:sectPr>
      </w:pPr>
    </w:p>
    <w:bookmarkStart w:id="43" w:name="page44"/>
    <w:bookmarkEnd w:id="4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Michael R. Haack, certify that:</w:t>
      </w:r>
    </w:p>
    <w:p>
      <w:pPr>
        <w:spacing w:after="0" w:line="10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03" w:lineRule="exact"/>
        <w:rPr>
          <w:rFonts w:ascii="Arial" w:cs="Arial" w:eastAsia="Arial" w:hAnsi="Arial"/>
          <w:sz w:val="18"/>
          <w:szCs w:val="18"/>
          <w:color w:val="auto"/>
        </w:rPr>
      </w:pPr>
    </w:p>
    <w:p>
      <w:pPr>
        <w:ind w:firstLine="8"/>
        <w:spacing w:after="0" w:line="324" w:lineRule="auto"/>
        <w:tabs>
          <w:tab w:leader="none" w:pos="2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8"/>
        <w:spacing w:after="0" w:line="261" w:lineRule="auto"/>
        <w:tabs>
          <w:tab w:leader="none" w:pos="2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48" w:lineRule="auto"/>
        <w:tabs>
          <w:tab w:leader="none" w:pos="1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sz w:val="20"/>
          <w:szCs w:val="20"/>
          <w:color w:val="auto"/>
        </w:rPr>
      </w:pPr>
    </w:p>
    <w:p>
      <w:pPr>
        <w:jc w:val="both"/>
        <w:ind w:firstLine="8"/>
        <w:spacing w:after="0" w:line="248" w:lineRule="auto"/>
        <w:tabs>
          <w:tab w:leader="none" w:pos="1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8"/>
        <w:spacing w:after="0" w:line="24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8"/>
        <w:spacing w:after="0" w:line="261" w:lineRule="auto"/>
        <w:tabs>
          <w:tab w:leader="none" w:pos="1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48" w:lineRule="auto"/>
        <w:tabs>
          <w:tab w:leader="none" w:pos="2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sz w:val="20"/>
          <w:szCs w:val="20"/>
          <w:color w:val="auto"/>
        </w:rPr>
      </w:pPr>
    </w:p>
    <w:p>
      <w:pPr>
        <w:ind w:firstLine="8"/>
        <w:spacing w:after="0" w:line="291" w:lineRule="auto"/>
        <w:tabs>
          <w:tab w:leader="none" w:pos="19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sz w:val="20"/>
          <w:szCs w:val="20"/>
          <w:color w:val="auto"/>
        </w:rPr>
      </w:pPr>
    </w:p>
    <w:p>
      <w:pPr>
        <w:ind w:firstLine="8"/>
        <w:spacing w:after="0" w:line="261"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61" w:lineRule="auto"/>
        <w:tabs>
          <w:tab w:leader="none" w:pos="2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2022</w:t>
      </w:r>
    </w:p>
    <w:p>
      <w:pPr>
        <w:spacing w:after="0" w:line="225"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-111760</wp:posOffset>
            </wp:positionV>
            <wp:extent cx="2597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 Craig Kesler, certify that:</w:t>
      </w:r>
    </w:p>
    <w:p>
      <w:pPr>
        <w:spacing w:after="0" w:line="104"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03" w:lineRule="exact"/>
        <w:rPr>
          <w:rFonts w:ascii="Arial" w:cs="Arial" w:eastAsia="Arial" w:hAnsi="Arial"/>
          <w:sz w:val="18"/>
          <w:szCs w:val="18"/>
          <w:color w:val="auto"/>
        </w:rPr>
      </w:pPr>
    </w:p>
    <w:p>
      <w:pPr>
        <w:ind w:firstLine="8"/>
        <w:spacing w:after="0" w:line="324" w:lineRule="auto"/>
        <w:tabs>
          <w:tab w:leader="none" w:pos="2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8"/>
        <w:spacing w:after="0" w:line="261" w:lineRule="auto"/>
        <w:tabs>
          <w:tab w:leader="none" w:pos="2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48" w:lineRule="auto"/>
        <w:tabs>
          <w:tab w:leader="none" w:pos="1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sz w:val="20"/>
          <w:szCs w:val="20"/>
          <w:color w:val="auto"/>
        </w:rPr>
      </w:pPr>
    </w:p>
    <w:p>
      <w:pPr>
        <w:jc w:val="both"/>
        <w:ind w:firstLine="8"/>
        <w:spacing w:after="0" w:line="248" w:lineRule="auto"/>
        <w:tabs>
          <w:tab w:leader="none" w:pos="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8"/>
        <w:spacing w:after="0" w:line="248"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8"/>
        <w:spacing w:after="0" w:line="261" w:lineRule="auto"/>
        <w:tabs>
          <w:tab w:leader="none" w:pos="1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48" w:lineRule="auto"/>
        <w:tabs>
          <w:tab w:leader="none" w:pos="2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sz w:val="20"/>
          <w:szCs w:val="20"/>
          <w:color w:val="auto"/>
        </w:rPr>
      </w:pPr>
    </w:p>
    <w:p>
      <w:pPr>
        <w:ind w:firstLine="8"/>
        <w:spacing w:after="0" w:line="291" w:lineRule="auto"/>
        <w:tabs>
          <w:tab w:leader="none" w:pos="1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sz w:val="20"/>
          <w:szCs w:val="20"/>
          <w:color w:val="auto"/>
        </w:rPr>
      </w:pPr>
    </w:p>
    <w:p>
      <w:pPr>
        <w:ind w:firstLine="8"/>
        <w:spacing w:after="0" w:line="261"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61"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2022</w:t>
      </w:r>
    </w:p>
    <w:p>
      <w:pPr>
        <w:spacing w:after="0" w:line="19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-120650</wp:posOffset>
            </wp:positionV>
            <wp:extent cx="26060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0"/>
        <w:spacing w:after="0" w:line="203" w:lineRule="auto"/>
        <w:rPr>
          <w:sz w:val="20"/>
          <w:szCs w:val="20"/>
          <w:color w:val="auto"/>
        </w:rPr>
      </w:pPr>
      <w:r>
        <w:rPr>
          <w:rFonts w:ascii="Arial" w:cs="Arial" w:eastAsia="Arial" w:hAnsi="Arial"/>
          <w:sz w:val="18"/>
          <w:szCs w:val="18"/>
          <w:color w:val="auto"/>
        </w:rPr>
        <w:t>Chief Financial Officer</w:t>
      </w: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ind w:left="10260"/>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16"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8"/>
          <w:szCs w:val="18"/>
          <w:color w:val="auto"/>
        </w:rPr>
        <w:t>In connection with the Quarterly Report of Eagle Materials Inc. and subsidiaries (the “Company”) on Form 10-Q for the period ended December 31, 2021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80" w:lineRule="exact"/>
        <w:rPr>
          <w:sz w:val="20"/>
          <w:szCs w:val="20"/>
          <w:color w:val="auto"/>
        </w:rPr>
      </w:pPr>
    </w:p>
    <w:p>
      <w:pPr>
        <w:ind w:left="580" w:hanging="31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580" w:hanging="31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2022</w:t>
      </w:r>
    </w:p>
    <w:p>
      <w:pPr>
        <w:spacing w:after="0" w:line="19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-120650</wp:posOffset>
            </wp:positionV>
            <wp:extent cx="26060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ind w:left="10260"/>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16"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6"/>
          <w:szCs w:val="16"/>
          <w:color w:val="auto"/>
        </w:rPr>
        <w:t>In connection with the Quarterly Report of Eagle Materials Inc. and subsidiaries (the “Company”) on Form 10-Q for the period ended December 31, 2021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39" w:lineRule="exact"/>
        <w:rPr>
          <w:sz w:val="20"/>
          <w:szCs w:val="20"/>
          <w:color w:val="auto"/>
        </w:rPr>
      </w:pPr>
    </w:p>
    <w:p>
      <w:pPr>
        <w:ind w:left="580" w:hanging="317"/>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580" w:hanging="317"/>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Craig Kesler</w:t>
            </w:r>
          </w:p>
        </w:tc>
        <w:tc>
          <w:tcPr>
            <w:tcW w:w="6760" w:type="dxa"/>
            <w:vAlign w:val="bottom"/>
          </w:tcPr>
          <w:p>
            <w:pPr>
              <w:spacing w:after="0"/>
              <w:rPr>
                <w:sz w:val="17"/>
                <w:szCs w:val="17"/>
                <w:color w:val="auto"/>
              </w:rPr>
            </w:pPr>
          </w:p>
        </w:tc>
      </w:tr>
      <w:tr>
        <w:trPr>
          <w:trHeight w:val="155"/>
        </w:trPr>
        <w:tc>
          <w:tcPr>
            <w:tcW w:w="960" w:type="dxa"/>
            <w:vAlign w:val="bottom"/>
          </w:tcPr>
          <w:p>
            <w:pPr>
              <w:spacing w:after="0"/>
              <w:rPr>
                <w:sz w:val="13"/>
                <w:szCs w:val="13"/>
                <w:color w:val="auto"/>
              </w:rPr>
            </w:pPr>
          </w:p>
        </w:tc>
        <w:tc>
          <w:tcPr>
            <w:tcW w:w="3520" w:type="dxa"/>
            <w:vAlign w:val="bottom"/>
          </w:tcPr>
          <w:p>
            <w:pPr>
              <w:spacing w:after="0" w:line="156" w:lineRule="exact"/>
              <w:rPr>
                <w:sz w:val="20"/>
                <w:szCs w:val="20"/>
                <w:color w:val="auto"/>
              </w:rPr>
            </w:pPr>
            <w:r>
              <w:rPr>
                <w:rFonts w:ascii="Arial" w:cs="Arial" w:eastAsia="Arial" w:hAnsi="Arial"/>
                <w:sz w:val="18"/>
                <w:szCs w:val="18"/>
                <w:color w:val="auto"/>
              </w:rPr>
              <w:t>D. Craig Kesler</w:t>
            </w:r>
          </w:p>
        </w:tc>
        <w:tc>
          <w:tcPr>
            <w:tcW w:w="6760" w:type="dxa"/>
            <w:vAlign w:val="bottom"/>
          </w:tcPr>
          <w:p>
            <w:pPr>
              <w:spacing w:after="0"/>
              <w:rPr>
                <w:sz w:val="13"/>
                <w:szCs w:val="13"/>
                <w:color w:val="auto"/>
              </w:rPr>
            </w:pPr>
          </w:p>
        </w:tc>
      </w:tr>
      <w:tr>
        <w:trPr>
          <w:trHeight w:val="176"/>
        </w:trPr>
        <w:tc>
          <w:tcPr>
            <w:tcW w:w="960" w:type="dxa"/>
            <w:vAlign w:val="bottom"/>
          </w:tcPr>
          <w:p>
            <w:pPr>
              <w:spacing w:after="0"/>
              <w:rPr>
                <w:sz w:val="15"/>
                <w:szCs w:val="15"/>
                <w:color w:val="auto"/>
              </w:rPr>
            </w:pPr>
          </w:p>
        </w:tc>
        <w:tc>
          <w:tcPr>
            <w:tcW w:w="3520" w:type="dxa"/>
            <w:vAlign w:val="bottom"/>
          </w:tcPr>
          <w:p>
            <w:pPr>
              <w:spacing w:after="0" w:line="176" w:lineRule="exact"/>
              <w:rPr>
                <w:sz w:val="20"/>
                <w:szCs w:val="20"/>
                <w:color w:val="auto"/>
              </w:rPr>
            </w:pPr>
            <w:r>
              <w:rPr>
                <w:rFonts w:ascii="Arial" w:cs="Arial" w:eastAsia="Arial" w:hAnsi="Arial"/>
                <w:sz w:val="18"/>
                <w:szCs w:val="18"/>
                <w:color w:val="auto"/>
              </w:rPr>
              <w:t>Chief Financial Officer</w:t>
            </w:r>
          </w:p>
        </w:tc>
        <w:tc>
          <w:tcPr>
            <w:tcW w:w="6760" w:type="dxa"/>
            <w:vAlign w:val="bottom"/>
          </w:tcPr>
          <w:p>
            <w:pPr>
              <w:spacing w:after="0"/>
              <w:rPr>
                <w:sz w:val="15"/>
                <w:szCs w:val="15"/>
                <w:color w:val="auto"/>
              </w:rPr>
            </w:pPr>
          </w:p>
        </w:tc>
      </w:tr>
      <w:tr>
        <w:trPr>
          <w:trHeight w:val="230"/>
        </w:trPr>
        <w:tc>
          <w:tcPr>
            <w:tcW w:w="9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6760" w:type="dxa"/>
            <w:vAlign w:val="bottom"/>
          </w:tcPr>
          <w:p>
            <w:pPr>
              <w:spacing w:after="0"/>
              <w:rPr>
                <w:sz w:val="20"/>
                <w:szCs w:val="20"/>
                <w:color w:val="auto"/>
              </w:rPr>
            </w:pPr>
          </w:p>
        </w:tc>
      </w:tr>
      <w:tr>
        <w:trPr>
          <w:trHeight w:val="519"/>
        </w:trPr>
        <w:tc>
          <w:tcPr>
            <w:tcW w:w="9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28" w:lineRule="exact"/>
        <w:rPr>
          <w:sz w:val="20"/>
          <w:szCs w:val="20"/>
          <w:color w:val="auto"/>
        </w:rPr>
      </w:pPr>
    </w:p>
    <w:p>
      <w:pPr>
        <w:ind w:left="120" w:right="100"/>
        <w:spacing w:after="0" w:line="220" w:lineRule="auto"/>
        <w:rPr>
          <w:sz w:val="20"/>
          <w:szCs w:val="20"/>
          <w:color w:val="auto"/>
        </w:rPr>
      </w:pPr>
      <w:r>
        <w:rPr>
          <w:rFonts w:ascii="Arial" w:cs="Arial" w:eastAsia="Arial" w:hAnsi="Arial"/>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 month period ended December 31, 2021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889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-610235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-473075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-370205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-353060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89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-1270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140"/>
          </w:cols>
          <w:pgMar w:left="320" w:top="148" w:right="439" w:bottom="1440" w:gutter="0" w:footer="0" w:header="0"/>
        </w:sect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120"/>
              <w:spacing w:after="0"/>
              <w:rPr>
                <w:sz w:val="20"/>
                <w:szCs w:val="20"/>
                <w:color w:val="auto"/>
              </w:rPr>
            </w:pPr>
            <w:r>
              <w:rPr>
                <w:rFonts w:ascii="Arial" w:cs="Arial" w:eastAsia="Arial" w:hAnsi="Arial"/>
                <w:sz w:val="14"/>
                <w:szCs w:val="14"/>
                <w:color w:val="auto"/>
              </w:rPr>
              <w:t>Mine or</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Operating</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Name/MS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HA</w:t>
            </w:r>
          </w:p>
        </w:tc>
        <w:tc>
          <w:tcPr>
            <w:tcW w:w="66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Identificati</w:t>
            </w:r>
          </w:p>
        </w:tc>
        <w:tc>
          <w:tcPr>
            <w:tcW w:w="66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104 S&amp;S</w:t>
            </w:r>
          </w:p>
        </w:tc>
        <w:tc>
          <w:tcPr>
            <w:tcW w:w="0" w:type="dxa"/>
            <w:vAlign w:val="bottom"/>
          </w:tcPr>
          <w:p>
            <w:pPr>
              <w:spacing w:after="0"/>
              <w:rPr>
                <w:sz w:val="1"/>
                <w:szCs w:val="1"/>
                <w:color w:val="auto"/>
              </w:rPr>
            </w:pPr>
          </w:p>
        </w:tc>
      </w:tr>
      <w:tr>
        <w:trPr>
          <w:trHeight w:val="181"/>
        </w:trPr>
        <w:tc>
          <w:tcPr>
            <w:tcW w:w="880" w:type="dxa"/>
            <w:vAlign w:val="bottom"/>
          </w:tcPr>
          <w:p>
            <w:pPr>
              <w:ind w:left="120"/>
              <w:spacing w:after="0"/>
              <w:rPr>
                <w:sz w:val="20"/>
                <w:szCs w:val="20"/>
                <w:color w:val="auto"/>
              </w:rPr>
            </w:pPr>
            <w:r>
              <w:rPr>
                <w:rFonts w:ascii="Arial" w:cs="Arial" w:eastAsia="Arial" w:hAnsi="Arial"/>
                <w:sz w:val="14"/>
                <w:szCs w:val="14"/>
                <w:color w:val="auto"/>
              </w:rPr>
              <w:t>on Number</w:t>
            </w:r>
          </w:p>
        </w:tc>
        <w:tc>
          <w:tcPr>
            <w:tcW w:w="660" w:type="dxa"/>
            <w:vAlign w:val="bottom"/>
          </w:tcPr>
          <w:p>
            <w:pPr>
              <w:jc w:val="center"/>
              <w:ind w:left="68"/>
              <w:spacing w:after="0"/>
              <w:rPr>
                <w:sz w:val="20"/>
                <w:szCs w:val="20"/>
                <w:color w:val="auto"/>
              </w:rPr>
            </w:pPr>
            <w:r>
              <w:rPr>
                <w:rFonts w:ascii="Arial" w:cs="Arial" w:eastAsia="Arial" w:hAnsi="Arial"/>
                <w:sz w:val="14"/>
                <w:szCs w:val="14"/>
                <w:color w:val="auto"/>
                <w:w w:val="95"/>
              </w:rPr>
              <w:t>Citations</w:t>
            </w:r>
          </w:p>
        </w:tc>
        <w:tc>
          <w:tcPr>
            <w:tcW w:w="0" w:type="dxa"/>
            <w:vAlign w:val="bottom"/>
          </w:tcPr>
          <w:p>
            <w:pPr>
              <w:spacing w:after="0"/>
              <w:rPr>
                <w:sz w:val="1"/>
                <w:szCs w:val="1"/>
                <w:color w:val="auto"/>
              </w:rPr>
            </w:pPr>
          </w:p>
        </w:tc>
      </w:tr>
      <w:tr>
        <w:trPr>
          <w:trHeight w:val="143"/>
        </w:trPr>
        <w:tc>
          <w:tcPr>
            <w:tcW w:w="880" w:type="dxa"/>
            <w:vAlign w:val="bottom"/>
            <w:shd w:val="clear" w:color="auto" w:fill="DAEEF3"/>
          </w:tcPr>
          <w:p>
            <w:pPr>
              <w:ind w:left="120"/>
              <w:spacing w:after="0" w:line="143" w:lineRule="exact"/>
              <w:rPr>
                <w:sz w:val="20"/>
                <w:szCs w:val="20"/>
                <w:color w:val="auto"/>
              </w:rPr>
            </w:pPr>
            <w:r>
              <w:rPr>
                <w:rFonts w:ascii="Arial" w:cs="Arial" w:eastAsia="Arial" w:hAnsi="Arial"/>
                <w:sz w:val="14"/>
                <w:szCs w:val="14"/>
                <w:color w:val="auto"/>
              </w:rPr>
              <w:t>3D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Concrete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LLC</w:t>
            </w:r>
          </w:p>
        </w:tc>
        <w:tc>
          <w:tcPr>
            <w:tcW w:w="660" w:type="dxa"/>
            <w:vAlign w:val="bottom"/>
            <w:vMerge w:val="restart"/>
          </w:tcPr>
          <w:p>
            <w:pPr>
              <w:jc w:val="center"/>
              <w:ind w:left="6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880" w:type="dxa"/>
            <w:vAlign w:val="bottom"/>
            <w:vMerge w:val="restart"/>
            <w:shd w:val="clear" w:color="auto" w:fill="DAEEF3"/>
          </w:tcPr>
          <w:p>
            <w:pPr>
              <w:ind w:left="120"/>
              <w:spacing w:after="0" w:line="149" w:lineRule="exact"/>
              <w:rPr>
                <w:sz w:val="20"/>
                <w:szCs w:val="20"/>
                <w:color w:val="auto"/>
              </w:rPr>
            </w:pPr>
            <w:r>
              <w:rPr>
                <w:rFonts w:ascii="Arial" w:cs="Arial" w:eastAsia="Arial" w:hAnsi="Arial"/>
                <w:sz w:val="14"/>
                <w:szCs w:val="14"/>
                <w:color w:val="auto"/>
              </w:rPr>
              <w:t>Lander,</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80" w:type="dxa"/>
            <w:vAlign w:val="bottom"/>
            <w:vMerge w:val="continue"/>
            <w:shd w:val="clear" w:color="auto" w:fill="DAEEF3"/>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NV</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0" w:type="dxa"/>
            <w:vAlign w:val="bottom"/>
            <w:shd w:val="clear" w:color="auto" w:fill="DAEEF3"/>
          </w:tcPr>
          <w:p>
            <w:pPr>
              <w:ind w:left="120"/>
              <w:spacing w:after="0"/>
              <w:rPr>
                <w:sz w:val="20"/>
                <w:szCs w:val="20"/>
                <w:color w:val="auto"/>
              </w:rPr>
            </w:pPr>
            <w:r>
              <w:rPr>
                <w:rFonts w:ascii="Arial" w:cs="Arial" w:eastAsia="Arial" w:hAnsi="Arial"/>
                <w:sz w:val="14"/>
                <w:szCs w:val="14"/>
                <w:color w:val="auto"/>
              </w:rPr>
              <w:t>(2602434)</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80" w:type="dxa"/>
            <w:vAlign w:val="bottom"/>
          </w:tcPr>
          <w:p>
            <w:pPr>
              <w:ind w:left="120"/>
              <w:spacing w:after="0" w:line="143" w:lineRule="exact"/>
              <w:rPr>
                <w:sz w:val="20"/>
                <w:szCs w:val="20"/>
                <w:color w:val="auto"/>
              </w:rPr>
            </w:pPr>
            <w:r>
              <w:rPr>
                <w:rFonts w:ascii="Arial" w:cs="Arial" w:eastAsia="Arial" w:hAnsi="Arial"/>
                <w:sz w:val="14"/>
                <w:szCs w:val="14"/>
                <w:color w:val="auto"/>
              </w:rPr>
              <w:t>3D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Concrete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LLC</w:t>
            </w:r>
          </w:p>
        </w:tc>
        <w:tc>
          <w:tcPr>
            <w:tcW w:w="660" w:type="dxa"/>
            <w:vAlign w:val="bottom"/>
            <w:vMerge w:val="restart"/>
          </w:tcPr>
          <w:p>
            <w:pPr>
              <w:jc w:val="center"/>
              <w:ind w:left="6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880" w:type="dxa"/>
            <w:vAlign w:val="bottom"/>
            <w:vMerge w:val="restart"/>
          </w:tcPr>
          <w:p>
            <w:pPr>
              <w:ind w:left="120"/>
              <w:spacing w:after="0" w:line="149" w:lineRule="exact"/>
              <w:rPr>
                <w:sz w:val="20"/>
                <w:szCs w:val="20"/>
                <w:color w:val="auto"/>
              </w:rPr>
            </w:pPr>
            <w:r>
              <w:rPr>
                <w:rFonts w:ascii="Arial" w:cs="Arial" w:eastAsia="Arial" w:hAnsi="Arial"/>
                <w:sz w:val="14"/>
                <w:szCs w:val="14"/>
                <w:color w:val="auto"/>
              </w:rPr>
              <w:t>Lyon,</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Nevada</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0" w:type="dxa"/>
            <w:vAlign w:val="bottom"/>
          </w:tcPr>
          <w:p>
            <w:pPr>
              <w:ind w:left="120"/>
              <w:spacing w:after="0"/>
              <w:rPr>
                <w:sz w:val="20"/>
                <w:szCs w:val="20"/>
                <w:color w:val="auto"/>
              </w:rPr>
            </w:pPr>
            <w:r>
              <w:rPr>
                <w:rFonts w:ascii="Arial" w:cs="Arial" w:eastAsia="Arial" w:hAnsi="Arial"/>
                <w:sz w:val="14"/>
                <w:szCs w:val="14"/>
                <w:color w:val="auto"/>
              </w:rPr>
              <w:t>(2602412)</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80" w:type="dxa"/>
            <w:vAlign w:val="bottom"/>
            <w:shd w:val="clear" w:color="auto" w:fill="DAEEF3"/>
          </w:tcPr>
          <w:p>
            <w:pPr>
              <w:ind w:left="120"/>
              <w:spacing w:after="0" w:line="143" w:lineRule="exact"/>
              <w:rPr>
                <w:sz w:val="20"/>
                <w:szCs w:val="20"/>
                <w:color w:val="auto"/>
              </w:rPr>
            </w:pPr>
            <w:r>
              <w:rPr>
                <w:rFonts w:ascii="Arial" w:cs="Arial" w:eastAsia="Arial" w:hAnsi="Arial"/>
                <w:sz w:val="14"/>
                <w:szCs w:val="14"/>
                <w:color w:val="auto"/>
              </w:rPr>
              <w:t>American</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Gypsum</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Company</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LLC</w:t>
            </w:r>
          </w:p>
        </w:tc>
        <w:tc>
          <w:tcPr>
            <w:tcW w:w="660" w:type="dxa"/>
            <w:vAlign w:val="bottom"/>
          </w:tcPr>
          <w:p>
            <w:pPr>
              <w:jc w:val="center"/>
              <w:ind w:left="6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Albuquerq</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ue, NM</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0" w:type="dxa"/>
            <w:vAlign w:val="bottom"/>
            <w:shd w:val="clear" w:color="auto" w:fill="DAEEF3"/>
          </w:tcPr>
          <w:p>
            <w:pPr>
              <w:ind w:left="120"/>
              <w:spacing w:after="0"/>
              <w:rPr>
                <w:sz w:val="20"/>
                <w:szCs w:val="20"/>
                <w:color w:val="auto"/>
              </w:rPr>
            </w:pPr>
            <w:r>
              <w:rPr>
                <w:rFonts w:ascii="Arial" w:cs="Arial" w:eastAsia="Arial" w:hAnsi="Arial"/>
                <w:sz w:val="14"/>
                <w:szCs w:val="14"/>
                <w:color w:val="auto"/>
              </w:rPr>
              <w:t>(2900181)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80" w:type="dxa"/>
            <w:vAlign w:val="bottom"/>
          </w:tcPr>
          <w:p>
            <w:pPr>
              <w:ind w:left="120"/>
              <w:spacing w:after="0" w:line="143" w:lineRule="exact"/>
              <w:rPr>
                <w:sz w:val="20"/>
                <w:szCs w:val="20"/>
                <w:color w:val="auto"/>
              </w:rPr>
            </w:pPr>
            <w:r>
              <w:rPr>
                <w:rFonts w:ascii="Arial" w:cs="Arial" w:eastAsia="Arial" w:hAnsi="Arial"/>
                <w:sz w:val="14"/>
                <w:szCs w:val="14"/>
                <w:color w:val="auto"/>
              </w:rPr>
              <w:t>American</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Gypsum</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Company</w:t>
            </w:r>
          </w:p>
        </w:tc>
        <w:tc>
          <w:tcPr>
            <w:tcW w:w="660" w:type="dxa"/>
            <w:vAlign w:val="bottom"/>
            <w:vMerge w:val="restart"/>
          </w:tcPr>
          <w:p>
            <w:pPr>
              <w:jc w:val="center"/>
              <w:ind w:left="6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880" w:type="dxa"/>
            <w:vAlign w:val="bottom"/>
            <w:vMerge w:val="restart"/>
          </w:tcPr>
          <w:p>
            <w:pPr>
              <w:ind w:left="120"/>
              <w:spacing w:after="0" w:line="149" w:lineRule="exact"/>
              <w:rPr>
                <w:sz w:val="20"/>
                <w:szCs w:val="20"/>
                <w:color w:val="auto"/>
              </w:rPr>
            </w:pPr>
            <w:r>
              <w:rPr>
                <w:rFonts w:ascii="Arial" w:cs="Arial" w:eastAsia="Arial" w:hAnsi="Arial"/>
                <w:sz w:val="14"/>
                <w:szCs w:val="14"/>
                <w:color w:val="auto"/>
              </w:rPr>
              <w:t>LLC</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Duke, OK</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0" w:type="dxa"/>
            <w:vAlign w:val="bottom"/>
          </w:tcPr>
          <w:p>
            <w:pPr>
              <w:ind w:left="120"/>
              <w:spacing w:after="0"/>
              <w:rPr>
                <w:sz w:val="20"/>
                <w:szCs w:val="20"/>
                <w:color w:val="auto"/>
              </w:rPr>
            </w:pPr>
            <w:r>
              <w:rPr>
                <w:rFonts w:ascii="Arial" w:cs="Arial" w:eastAsia="Arial" w:hAnsi="Arial"/>
                <w:sz w:val="14"/>
                <w:szCs w:val="14"/>
                <w:color w:val="auto"/>
              </w:rPr>
              <w:t>(3400256)</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80" w:type="dxa"/>
            <w:vAlign w:val="bottom"/>
            <w:shd w:val="clear" w:color="auto" w:fill="DAEEF3"/>
          </w:tcPr>
          <w:p>
            <w:pPr>
              <w:ind w:left="120"/>
              <w:spacing w:after="0" w:line="143" w:lineRule="exact"/>
              <w:rPr>
                <w:sz w:val="20"/>
                <w:szCs w:val="20"/>
                <w:color w:val="auto"/>
              </w:rPr>
            </w:pPr>
            <w:r>
              <w:rPr>
                <w:rFonts w:ascii="Arial" w:cs="Arial" w:eastAsia="Arial" w:hAnsi="Arial"/>
                <w:sz w:val="14"/>
                <w:szCs w:val="14"/>
                <w:color w:val="auto"/>
              </w:rPr>
              <w:t>American</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Gypsum</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Company</w:t>
            </w:r>
          </w:p>
        </w:tc>
        <w:tc>
          <w:tcPr>
            <w:tcW w:w="660" w:type="dxa"/>
            <w:vAlign w:val="bottom"/>
            <w:vMerge w:val="restart"/>
          </w:tcPr>
          <w:p>
            <w:pPr>
              <w:jc w:val="center"/>
              <w:ind w:left="6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880" w:type="dxa"/>
            <w:vAlign w:val="bottom"/>
            <w:vMerge w:val="restart"/>
            <w:shd w:val="clear" w:color="auto" w:fill="DAEEF3"/>
          </w:tcPr>
          <w:p>
            <w:pPr>
              <w:ind w:left="120"/>
              <w:spacing w:after="0" w:line="149" w:lineRule="exact"/>
              <w:rPr>
                <w:sz w:val="20"/>
                <w:szCs w:val="20"/>
                <w:color w:val="auto"/>
              </w:rPr>
            </w:pPr>
            <w:r>
              <w:rPr>
                <w:rFonts w:ascii="Arial" w:cs="Arial" w:eastAsia="Arial" w:hAnsi="Arial"/>
                <w:sz w:val="14"/>
                <w:szCs w:val="14"/>
                <w:color w:val="auto"/>
              </w:rPr>
              <w:t>LLC</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80" w:type="dxa"/>
            <w:vAlign w:val="bottom"/>
            <w:vMerge w:val="continue"/>
            <w:shd w:val="clear" w:color="auto" w:fill="DAEEF3"/>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Eagle, CO</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0" w:type="dxa"/>
            <w:vAlign w:val="bottom"/>
            <w:shd w:val="clear" w:color="auto" w:fill="DAEEF3"/>
          </w:tcPr>
          <w:p>
            <w:pPr>
              <w:ind w:left="120"/>
              <w:spacing w:after="0"/>
              <w:rPr>
                <w:sz w:val="20"/>
                <w:szCs w:val="20"/>
                <w:color w:val="auto"/>
              </w:rPr>
            </w:pPr>
            <w:r>
              <w:rPr>
                <w:rFonts w:ascii="Arial" w:cs="Arial" w:eastAsia="Arial" w:hAnsi="Arial"/>
                <w:sz w:val="14"/>
                <w:szCs w:val="14"/>
                <w:color w:val="auto"/>
              </w:rPr>
              <w:t>(0503997)</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80" w:type="dxa"/>
            <w:vAlign w:val="bottom"/>
          </w:tcPr>
          <w:p>
            <w:pPr>
              <w:ind w:left="120"/>
              <w:spacing w:after="0" w:line="143" w:lineRule="exact"/>
              <w:rPr>
                <w:sz w:val="20"/>
                <w:szCs w:val="20"/>
                <w:color w:val="auto"/>
              </w:rPr>
            </w:pPr>
            <w:r>
              <w:rPr>
                <w:rFonts w:ascii="Arial" w:cs="Arial" w:eastAsia="Arial" w:hAnsi="Arial"/>
                <w:sz w:val="14"/>
                <w:szCs w:val="14"/>
                <w:color w:val="auto"/>
              </w:rPr>
              <w:t>Centex</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Materials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LLC</w:t>
            </w:r>
          </w:p>
        </w:tc>
        <w:tc>
          <w:tcPr>
            <w:tcW w:w="660" w:type="dxa"/>
            <w:vAlign w:val="bottom"/>
          </w:tcPr>
          <w:p>
            <w:pPr>
              <w:jc w:val="center"/>
              <w:ind w:left="6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Buda, TX</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120"/>
              <w:spacing w:after="0"/>
              <w:rPr>
                <w:sz w:val="20"/>
                <w:szCs w:val="20"/>
                <w:color w:val="auto"/>
              </w:rPr>
            </w:pPr>
            <w:r>
              <w:rPr>
                <w:rFonts w:ascii="Arial" w:cs="Arial" w:eastAsia="Arial" w:hAnsi="Arial"/>
                <w:sz w:val="14"/>
                <w:szCs w:val="14"/>
                <w:color w:val="auto"/>
              </w:rPr>
              <w:t>(4102241)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-4346575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-4329430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-4312285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-4295140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-4277995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-4243705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-4226560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-4209415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-4192270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-4175125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-4157980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-4140835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-4123690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-4106545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-4072255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-4055110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-4037965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-4020820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-4003675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-3986530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-3969385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-3952240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-3935095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-3900805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-3883660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-3866515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-3849370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-3832225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-3815080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-3797935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-3780790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-3763645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-3729355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-3712210</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-3695065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-3677920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-3660775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-3643630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-3626485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-3609340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-3592195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-3557905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-3540760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-3523615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-3506470</wp:posOffset>
            </wp:positionV>
            <wp:extent cx="889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-3472180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-3455035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-3437890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-3420745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-3386455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-3369310</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-3352165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-3335020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-3317875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-3300730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-3283585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-3266440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-3249295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-3232150</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-3215005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-3197860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-3180715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-3163570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-3146425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-3129280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-3112135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-3094990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-3077845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-3060700</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-3043555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-3026410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-3009265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-2992120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-2974975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-2957830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-2923540</wp:posOffset>
            </wp:positionV>
            <wp:extent cx="889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-2872105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-2854960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-2820670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-2803525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-2786380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-2769235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-2752090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-2734945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-2700655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-2683510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-2666365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-2649220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-2614930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-2597785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-2580640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-2563495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-2529205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-2512060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-2494915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-2477770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-2443480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-2426335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-2409190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-2357755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-2340610</wp:posOffset>
            </wp:positionV>
            <wp:extent cx="889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-2314575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-2298065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-2246630</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-2212340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-2160905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-2126615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-2091690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-2075180</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-2040890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-2023110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-1989455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-1971675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-1955165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-1937385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-1903730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-1869440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-1852295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-1834515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-1818005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-1800225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-1783715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-1766570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-1732280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-1697990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-1680845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-1663065</wp:posOffset>
            </wp:positionV>
            <wp:extent cx="889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-1612265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-1595120</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-1560830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-1526540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-1509395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-1475105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-1440815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-1423670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-1405890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-1389380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-1355090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-1337945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-1320165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-1303655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-1285875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-1269365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-1252220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-1217930</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-1200785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-1183640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-1166495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-1132205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-1115060</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-1097915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-1080770</wp:posOffset>
            </wp:positionV>
            <wp:extent cx="8890"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-1046480</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-1029335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-1012190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-995045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-960755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-943610</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-926465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-909320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-875030</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-857885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-840740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-789305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-772160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-755015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-737870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889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ind w:left="220"/>
              <w:spacing w:after="0" w:line="141" w:lineRule="exact"/>
              <w:rPr>
                <w:sz w:val="20"/>
                <w:szCs w:val="20"/>
                <w:color w:val="auto"/>
              </w:rPr>
            </w:pPr>
            <w:r>
              <w:rPr>
                <w:rFonts w:ascii="Arial" w:cs="Arial" w:eastAsia="Arial" w:hAnsi="Arial"/>
                <w:sz w:val="14"/>
                <w:szCs w:val="14"/>
                <w:color w:val="auto"/>
              </w:rPr>
              <w:t>Received</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9"/>
              </w:rPr>
              <w:t>Received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1"/>
              </w:rPr>
              <w:t>Have</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940" w:type="dxa"/>
            <w:vAlign w:val="bottom"/>
          </w:tcPr>
          <w:p>
            <w:pPr>
              <w:ind w:left="160"/>
              <w:spacing w:after="0" w:line="149" w:lineRule="exact"/>
              <w:rPr>
                <w:sz w:val="20"/>
                <w:szCs w:val="20"/>
                <w:color w:val="auto"/>
              </w:rPr>
            </w:pPr>
            <w:r>
              <w:rPr>
                <w:rFonts w:ascii="Arial" w:cs="Arial" w:eastAsia="Arial" w:hAnsi="Arial"/>
                <w:sz w:val="14"/>
                <w:szCs w:val="14"/>
                <w:color w:val="auto"/>
              </w:rPr>
              <w:t>Violations</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8"/>
              </w:rPr>
              <w:t>Pattern</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7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9"/>
              </w:rPr>
              <w:t>Legal</w:t>
            </w:r>
          </w:p>
        </w:tc>
      </w:tr>
      <w:tr>
        <w:trPr>
          <w:trHeight w:val="148"/>
        </w:trPr>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7"/>
              </w:rPr>
              <w:t>Value of</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700" w:type="dxa"/>
            <w:vAlign w:val="bottom"/>
          </w:tcPr>
          <w:p>
            <w:pPr>
              <w:jc w:val="center"/>
              <w:ind w:left="88"/>
              <w:spacing w:after="0" w:line="149" w:lineRule="exact"/>
              <w:rPr>
                <w:sz w:val="20"/>
                <w:szCs w:val="20"/>
                <w:color w:val="auto"/>
              </w:rPr>
            </w:pPr>
            <w:r>
              <w:rPr>
                <w:rFonts w:ascii="Arial" w:cs="Arial" w:eastAsia="Arial" w:hAnsi="Arial"/>
                <w:sz w:val="14"/>
                <w:szCs w:val="14"/>
                <w:color w:val="auto"/>
              </w:rPr>
              <w:t>Actions</w:t>
            </w:r>
          </w:p>
        </w:tc>
      </w:tr>
      <w:tr>
        <w:trPr>
          <w:trHeight w:val="149"/>
        </w:trPr>
        <w:tc>
          <w:tcPr>
            <w:tcW w:w="5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89"/>
              </w:rPr>
              <w:t>Section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240" w:type="dxa"/>
            <w:vAlign w:val="bottom"/>
          </w:tcPr>
          <w:p>
            <w:pPr>
              <w:spacing w:after="0"/>
              <w:rPr>
                <w:sz w:val="12"/>
                <w:szCs w:val="12"/>
                <w:color w:val="auto"/>
              </w:rPr>
            </w:pPr>
          </w:p>
        </w:tc>
        <w:tc>
          <w:tcPr>
            <w:tcW w:w="780" w:type="dxa"/>
            <w:vAlign w:val="bottom"/>
          </w:tcPr>
          <w:p>
            <w:pPr>
              <w:jc w:val="center"/>
              <w:ind w:right="168"/>
              <w:spacing w:after="0" w:line="149" w:lineRule="exact"/>
              <w:rPr>
                <w:sz w:val="20"/>
                <w:szCs w:val="20"/>
                <w:color w:val="auto"/>
              </w:rPr>
            </w:pPr>
            <w:r>
              <w:rPr>
                <w:rFonts w:ascii="Arial" w:cs="Arial" w:eastAsia="Arial" w:hAnsi="Arial"/>
                <w:sz w:val="14"/>
                <w:szCs w:val="14"/>
                <w:color w:val="auto"/>
              </w:rPr>
              <w:t>MSHA</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Mining</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7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2"/>
              </w:rPr>
              <w:t>Resolved</w:t>
            </w:r>
          </w:p>
        </w:tc>
      </w:tr>
      <w:tr>
        <w:trPr>
          <w:trHeight w:val="148"/>
        </w:trPr>
        <w:tc>
          <w:tcPr>
            <w:tcW w:w="5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104(b)</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Assessments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104(e)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700" w:type="dxa"/>
            <w:vAlign w:val="bottom"/>
          </w:tcPr>
          <w:p>
            <w:pPr>
              <w:jc w:val="center"/>
              <w:ind w:left="88"/>
              <w:spacing w:after="0" w:line="149" w:lineRule="exact"/>
              <w:rPr>
                <w:sz w:val="20"/>
                <w:szCs w:val="20"/>
                <w:color w:val="auto"/>
              </w:rPr>
            </w:pPr>
            <w:r>
              <w:rPr>
                <w:rFonts w:ascii="Arial" w:cs="Arial" w:eastAsia="Arial" w:hAnsi="Arial"/>
                <w:sz w:val="14"/>
                <w:szCs w:val="14"/>
                <w:color w:val="auto"/>
              </w:rPr>
              <w:t>During</w:t>
            </w:r>
          </w:p>
        </w:tc>
      </w:tr>
      <w:tr>
        <w:trPr>
          <w:trHeight w:val="182"/>
        </w:trPr>
        <w:tc>
          <w:tcPr>
            <w:tcW w:w="560" w:type="dxa"/>
            <w:vAlign w:val="bottom"/>
          </w:tcPr>
          <w:p>
            <w:pPr>
              <w:jc w:val="center"/>
              <w:ind w:right="28"/>
              <w:spacing w:after="0"/>
              <w:rPr>
                <w:sz w:val="20"/>
                <w:szCs w:val="20"/>
                <w:color w:val="auto"/>
              </w:rPr>
            </w:pPr>
            <w:r>
              <w:rPr>
                <w:rFonts w:ascii="Arial" w:cs="Arial" w:eastAsia="Arial" w:hAnsi="Arial"/>
                <w:sz w:val="14"/>
                <w:szCs w:val="14"/>
                <w:color w:val="auto"/>
                <w:w w:val="88"/>
              </w:rPr>
              <w:t>Orders</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880" w:type="dxa"/>
            <w:vAlign w:val="bottom"/>
          </w:tcPr>
          <w:p>
            <w:pPr>
              <w:ind w:left="160"/>
              <w:spacing w:after="0"/>
              <w:rPr>
                <w:sz w:val="20"/>
                <w:szCs w:val="20"/>
                <w:color w:val="auto"/>
              </w:rPr>
            </w:pPr>
            <w:r>
              <w:rPr>
                <w:rFonts w:ascii="Arial" w:cs="Arial" w:eastAsia="Arial" w:hAnsi="Arial"/>
                <w:sz w:val="14"/>
                <w:szCs w:val="14"/>
                <w:color w:val="auto"/>
              </w:rPr>
              <w:t>Violations</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240" w:type="dxa"/>
            <w:vAlign w:val="bottom"/>
          </w:tcPr>
          <w:p>
            <w:pPr>
              <w:spacing w:after="0"/>
              <w:rPr>
                <w:sz w:val="15"/>
                <w:szCs w:val="15"/>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0"/>
              </w:rPr>
              <w:t>Proposed</w:t>
            </w:r>
          </w:p>
        </w:tc>
        <w:tc>
          <w:tcPr>
            <w:tcW w:w="920" w:type="dxa"/>
            <w:vAlign w:val="bottom"/>
          </w:tcPr>
          <w:p>
            <w:pPr>
              <w:ind w:left="200"/>
              <w:spacing w:after="0"/>
              <w:rPr>
                <w:sz w:val="20"/>
                <w:szCs w:val="20"/>
                <w:color w:val="auto"/>
              </w:rPr>
            </w:pPr>
            <w:r>
              <w:rPr>
                <w:rFonts w:ascii="Arial" w:cs="Arial" w:eastAsia="Arial" w:hAnsi="Arial"/>
                <w:sz w:val="14"/>
                <w:szCs w:val="14"/>
                <w:color w:val="auto"/>
              </w:rPr>
              <w:t>Fatalities</w:t>
            </w: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Pr>
          <w:p>
            <w:pPr>
              <w:jc w:val="center"/>
              <w:ind w:left="28"/>
              <w:spacing w:after="0"/>
              <w:rPr>
                <w:sz w:val="20"/>
                <w:szCs w:val="20"/>
                <w:color w:val="auto"/>
              </w:rPr>
            </w:pPr>
            <w:r>
              <w:rPr>
                <w:rFonts w:ascii="Arial" w:cs="Arial" w:eastAsia="Arial" w:hAnsi="Arial"/>
                <w:sz w:val="14"/>
                <w:szCs w:val="14"/>
                <w:color w:val="auto"/>
                <w:w w:val="94"/>
              </w:rPr>
              <w:t>(yes/no)</w:t>
            </w: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of Period</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Period</w:t>
            </w:r>
          </w:p>
        </w:tc>
        <w:tc>
          <w:tcPr>
            <w:tcW w:w="700" w:type="dxa"/>
            <w:vAlign w:val="bottom"/>
          </w:tcPr>
          <w:p>
            <w:pPr>
              <w:jc w:val="center"/>
              <w:ind w:left="128"/>
              <w:spacing w:after="0"/>
              <w:rPr>
                <w:sz w:val="20"/>
                <w:szCs w:val="20"/>
                <w:color w:val="auto"/>
              </w:rPr>
            </w:pPr>
            <w:r>
              <w:rPr>
                <w:rFonts w:ascii="Arial" w:cs="Arial" w:eastAsia="Arial" w:hAnsi="Arial"/>
                <w:sz w:val="14"/>
                <w:szCs w:val="14"/>
                <w:color w:val="auto"/>
                <w:w w:val="93"/>
              </w:rPr>
              <w:t>Period</w:t>
            </w:r>
          </w:p>
        </w:tc>
      </w:tr>
      <w:tr>
        <w:trPr>
          <w:trHeight w:val="540"/>
        </w:trPr>
        <w:tc>
          <w:tcPr>
            <w:tcW w:w="56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tcPr>
          <w:p>
            <w:pPr>
              <w:jc w:val="center"/>
              <w:spacing w:after="0"/>
              <w:rPr>
                <w:sz w:val="20"/>
                <w:szCs w:val="20"/>
                <w:color w:val="auto"/>
              </w:rPr>
            </w:pPr>
            <w:r>
              <w:rPr>
                <w:rFonts w:ascii="Arial" w:cs="Arial" w:eastAsia="Arial" w:hAnsi="Arial"/>
                <w:sz w:val="14"/>
                <w:szCs w:val="14"/>
                <w:color w:val="auto"/>
              </w:rPr>
              <w:t>0</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700" w:type="dxa"/>
            <w:vAlign w:val="bottom"/>
          </w:tcPr>
          <w:p>
            <w:pPr>
              <w:jc w:val="center"/>
              <w:ind w:left="128"/>
              <w:spacing w:after="0"/>
              <w:rPr>
                <w:sz w:val="20"/>
                <w:szCs w:val="20"/>
                <w:color w:val="auto"/>
              </w:rPr>
            </w:pPr>
            <w:r>
              <w:rPr>
                <w:rFonts w:ascii="Arial" w:cs="Arial" w:eastAsia="Arial" w:hAnsi="Arial"/>
                <w:sz w:val="14"/>
                <w:szCs w:val="14"/>
                <w:color w:val="auto"/>
                <w:w w:val="76"/>
              </w:rPr>
              <w:t>0</w:t>
            </w:r>
          </w:p>
        </w:tc>
      </w:tr>
      <w:tr>
        <w:trPr>
          <w:trHeight w:val="918"/>
        </w:trPr>
        <w:tc>
          <w:tcPr>
            <w:tcW w:w="56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tcPr>
          <w:p>
            <w:pPr>
              <w:jc w:val="center"/>
              <w:spacing w:after="0"/>
              <w:rPr>
                <w:sz w:val="20"/>
                <w:szCs w:val="20"/>
                <w:color w:val="auto"/>
              </w:rPr>
            </w:pPr>
            <w:r>
              <w:rPr>
                <w:rFonts w:ascii="Arial" w:cs="Arial" w:eastAsia="Arial" w:hAnsi="Arial"/>
                <w:sz w:val="14"/>
                <w:szCs w:val="14"/>
                <w:color w:val="auto"/>
              </w:rPr>
              <w:t>0</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700" w:type="dxa"/>
            <w:vAlign w:val="bottom"/>
          </w:tcPr>
          <w:p>
            <w:pPr>
              <w:jc w:val="center"/>
              <w:ind w:left="128"/>
              <w:spacing w:after="0"/>
              <w:rPr>
                <w:sz w:val="20"/>
                <w:szCs w:val="20"/>
                <w:color w:val="auto"/>
              </w:rPr>
            </w:pPr>
            <w:r>
              <w:rPr>
                <w:rFonts w:ascii="Arial" w:cs="Arial" w:eastAsia="Arial" w:hAnsi="Arial"/>
                <w:sz w:val="14"/>
                <w:szCs w:val="14"/>
                <w:color w:val="auto"/>
                <w:w w:val="76"/>
              </w:rPr>
              <w:t>0</w:t>
            </w:r>
          </w:p>
        </w:tc>
      </w:tr>
      <w:tr>
        <w:trPr>
          <w:trHeight w:val="999"/>
        </w:trPr>
        <w:tc>
          <w:tcPr>
            <w:tcW w:w="56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tcPr>
          <w:p>
            <w:pPr>
              <w:jc w:val="center"/>
              <w:spacing w:after="0"/>
              <w:rPr>
                <w:sz w:val="20"/>
                <w:szCs w:val="20"/>
                <w:color w:val="auto"/>
              </w:rPr>
            </w:pPr>
            <w:r>
              <w:rPr>
                <w:rFonts w:ascii="Arial" w:cs="Arial" w:eastAsia="Arial" w:hAnsi="Arial"/>
                <w:sz w:val="14"/>
                <w:szCs w:val="14"/>
                <w:color w:val="auto"/>
              </w:rPr>
              <w:t>0</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700" w:type="dxa"/>
            <w:vAlign w:val="bottom"/>
          </w:tcPr>
          <w:p>
            <w:pPr>
              <w:jc w:val="center"/>
              <w:ind w:left="128"/>
              <w:spacing w:after="0"/>
              <w:rPr>
                <w:sz w:val="20"/>
                <w:szCs w:val="20"/>
                <w:color w:val="auto"/>
              </w:rPr>
            </w:pPr>
            <w:r>
              <w:rPr>
                <w:rFonts w:ascii="Arial" w:cs="Arial" w:eastAsia="Arial" w:hAnsi="Arial"/>
                <w:sz w:val="14"/>
                <w:szCs w:val="14"/>
                <w:color w:val="auto"/>
                <w:w w:val="76"/>
              </w:rPr>
              <w:t>0</w:t>
            </w:r>
          </w:p>
        </w:tc>
      </w:tr>
      <w:tr>
        <w:trPr>
          <w:trHeight w:val="985"/>
        </w:trPr>
        <w:tc>
          <w:tcPr>
            <w:tcW w:w="56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tcPr>
          <w:p>
            <w:pPr>
              <w:jc w:val="center"/>
              <w:spacing w:after="0"/>
              <w:rPr>
                <w:sz w:val="20"/>
                <w:szCs w:val="20"/>
                <w:color w:val="auto"/>
              </w:rPr>
            </w:pPr>
            <w:r>
              <w:rPr>
                <w:rFonts w:ascii="Arial" w:cs="Arial" w:eastAsia="Arial" w:hAnsi="Arial"/>
                <w:sz w:val="14"/>
                <w:szCs w:val="14"/>
                <w:color w:val="auto"/>
              </w:rPr>
              <w:t>0</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700" w:type="dxa"/>
            <w:vAlign w:val="bottom"/>
          </w:tcPr>
          <w:p>
            <w:pPr>
              <w:jc w:val="center"/>
              <w:ind w:left="128"/>
              <w:spacing w:after="0"/>
              <w:rPr>
                <w:sz w:val="20"/>
                <w:szCs w:val="20"/>
                <w:color w:val="auto"/>
              </w:rPr>
            </w:pPr>
            <w:r>
              <w:rPr>
                <w:rFonts w:ascii="Arial" w:cs="Arial" w:eastAsia="Arial" w:hAnsi="Arial"/>
                <w:sz w:val="14"/>
                <w:szCs w:val="14"/>
                <w:color w:val="auto"/>
                <w:w w:val="76"/>
              </w:rPr>
              <w:t>0</w:t>
            </w:r>
          </w:p>
        </w:tc>
      </w:tr>
      <w:tr>
        <w:trPr>
          <w:trHeight w:val="918"/>
        </w:trPr>
        <w:tc>
          <w:tcPr>
            <w:tcW w:w="56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tcPr>
          <w:p>
            <w:pPr>
              <w:jc w:val="center"/>
              <w:spacing w:after="0"/>
              <w:rPr>
                <w:sz w:val="20"/>
                <w:szCs w:val="20"/>
                <w:color w:val="auto"/>
              </w:rPr>
            </w:pPr>
            <w:r>
              <w:rPr>
                <w:rFonts w:ascii="Arial" w:cs="Arial" w:eastAsia="Arial" w:hAnsi="Arial"/>
                <w:sz w:val="14"/>
                <w:szCs w:val="14"/>
                <w:color w:val="auto"/>
              </w:rPr>
              <w:t>0</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700" w:type="dxa"/>
            <w:vAlign w:val="bottom"/>
          </w:tcPr>
          <w:p>
            <w:pPr>
              <w:jc w:val="center"/>
              <w:ind w:left="128"/>
              <w:spacing w:after="0"/>
              <w:rPr>
                <w:sz w:val="20"/>
                <w:szCs w:val="20"/>
                <w:color w:val="auto"/>
              </w:rPr>
            </w:pPr>
            <w:r>
              <w:rPr>
                <w:rFonts w:ascii="Arial" w:cs="Arial" w:eastAsia="Arial" w:hAnsi="Arial"/>
                <w:sz w:val="14"/>
                <w:szCs w:val="14"/>
                <w:color w:val="auto"/>
                <w:w w:val="76"/>
              </w:rPr>
              <w:t>0</w:t>
            </w:r>
          </w:p>
        </w:tc>
      </w:tr>
      <w:tr>
        <w:trPr>
          <w:trHeight w:val="850"/>
        </w:trPr>
        <w:tc>
          <w:tcPr>
            <w:tcW w:w="560" w:type="dxa"/>
            <w:vAlign w:val="bottom"/>
          </w:tcPr>
          <w:p>
            <w:pPr>
              <w:jc w:val="center"/>
              <w:ind w:right="28"/>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20" w:type="dxa"/>
            <w:vAlign w:val="bottom"/>
          </w:tcPr>
          <w:p>
            <w:pPr>
              <w:jc w:val="center"/>
              <w:spacing w:after="0"/>
              <w:rPr>
                <w:sz w:val="20"/>
                <w:szCs w:val="20"/>
                <w:color w:val="auto"/>
              </w:rPr>
            </w:pPr>
            <w:r>
              <w:rPr>
                <w:rFonts w:ascii="Arial" w:cs="Arial" w:eastAsia="Arial" w:hAnsi="Arial"/>
                <w:sz w:val="14"/>
                <w:szCs w:val="14"/>
                <w:color w:val="auto"/>
              </w:rPr>
              <w:t>0</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700" w:type="dxa"/>
            <w:vAlign w:val="bottom"/>
          </w:tcPr>
          <w:p>
            <w:pPr>
              <w:jc w:val="center"/>
              <w:ind w:left="128"/>
              <w:spacing w:after="0"/>
              <w:rPr>
                <w:sz w:val="20"/>
                <w:szCs w:val="20"/>
                <w:color w:val="auto"/>
              </w:rPr>
            </w:pPr>
            <w:r>
              <w:rPr>
                <w:rFonts w:ascii="Arial" w:cs="Arial" w:eastAsia="Arial" w:hAnsi="Arial"/>
                <w:sz w:val="14"/>
                <w:szCs w:val="14"/>
                <w:color w:val="auto"/>
                <w:w w:val="76"/>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-4157980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-4140835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-4123690</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-4106545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-4089400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-4072255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-4055110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-4037965</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-4020820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-4003675</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-3986530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-3969385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-3952240</wp:posOffset>
            </wp:positionV>
            <wp:extent cx="82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-3935095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-3917950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-3900805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-3883660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-3866515</wp:posOffset>
            </wp:positionV>
            <wp:extent cx="825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-3849370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-3832225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-3815080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-3797935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-3780790</wp:posOffset>
            </wp:positionV>
            <wp:extent cx="82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-3763645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-3746500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-3729355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-3712210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-3695065</wp:posOffset>
            </wp:positionV>
            <wp:extent cx="825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-3677920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-3660775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-3643630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-3626485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-3609340</wp:posOffset>
            </wp:positionV>
            <wp:extent cx="82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-3592195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-3575050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-3557905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-3540760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-3523615</wp:posOffset>
            </wp:positionV>
            <wp:extent cx="825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-3506470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-3489325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-3472180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-3455035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-3437890</wp:posOffset>
            </wp:positionV>
            <wp:extent cx="825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-3420745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-3403600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-3386455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-3369310</wp:posOffset>
            </wp:positionV>
            <wp:extent cx="7157720" cy="37846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378460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-3369310</wp:posOffset>
            </wp:positionV>
            <wp:extent cx="7157720" cy="37846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3784600"/>
                    </a:xfrm>
                    <a:prstGeom prst="rect">
                      <a:avLst/>
                    </a:prstGeom>
                    <a:noFill/>
                  </pic:spPr>
                </pic:pic>
              </a:graphicData>
            </a:graphic>
          </wp:anchor>
        </w:drawing>
      </w:r>
    </w:p>
    <w:p>
      <w:pPr>
        <w:sectPr>
          <w:pgSz w:w="11900" w:h="16838" w:orient="portrait"/>
          <w:cols w:equalWidth="0" w:num="2">
            <w:col w:w="1540" w:space="280"/>
            <w:col w:w="9320"/>
          </w:cols>
          <w:pgMar w:left="320" w:top="148" w:right="439" w:bottom="1440" w:gutter="0" w:footer="0" w:header="0"/>
          <w:type w:val="continuous"/>
        </w:sectPr>
      </w:pPr>
    </w:p>
    <w:bookmarkStart w:id="48" w:name="page49"/>
    <w:bookmarkEnd w:id="48"/>
    <w:p>
      <w:pPr>
        <w:ind w:right="200"/>
        <w:spacing w:after="0" w:line="265" w:lineRule="auto"/>
        <w:rPr>
          <w:sz w:val="20"/>
          <w:szCs w:val="20"/>
          <w:color w:val="auto"/>
        </w:rPr>
      </w:pPr>
      <w:r>
        <w:rPr>
          <w:rFonts w:ascii="Arial" w:cs="Arial" w:eastAsia="Arial" w:hAnsi="Arial"/>
          <w:sz w:val="12"/>
          <w:szCs w:val="12"/>
          <w:color w:val="auto"/>
        </w:rPr>
        <w:t>Central Plains 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-286385</wp:posOffset>
            </wp:positionV>
            <wp:extent cx="548640" cy="6769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48640" cy="676910"/>
                    </a:xfrm>
                    <a:prstGeom prst="rect">
                      <a:avLst/>
                    </a:prstGeom>
                    <a:noFill/>
                  </pic:spPr>
                </pic:pic>
              </a:graphicData>
            </a:graphic>
          </wp:anchor>
        </w:drawing>
      </w:r>
    </w:p>
    <w:p>
      <w:pPr>
        <w:spacing w:after="0" w:line="247" w:lineRule="auto"/>
        <w:rPr>
          <w:sz w:val="20"/>
          <w:szCs w:val="20"/>
          <w:color w:val="auto"/>
        </w:rPr>
      </w:pPr>
      <w:r>
        <w:rPr>
          <w:rFonts w:ascii="Arial" w:cs="Arial" w:eastAsia="Arial" w:hAnsi="Arial"/>
          <w:sz w:val="13"/>
          <w:szCs w:val="13"/>
          <w:color w:val="auto"/>
        </w:rPr>
        <w:t>Company Sugar Creek, MO (2302171)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0</wp:posOffset>
            </wp:positionV>
            <wp:extent cx="889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ind w:right="200"/>
        <w:spacing w:after="0" w:line="261" w:lineRule="auto"/>
        <w:rPr>
          <w:sz w:val="20"/>
          <w:szCs w:val="20"/>
          <w:color w:val="auto"/>
        </w:rPr>
      </w:pPr>
      <w:r>
        <w:rPr>
          <w:rFonts w:ascii="Arial" w:cs="Arial" w:eastAsia="Arial" w:hAnsi="Arial"/>
          <w:sz w:val="12"/>
          <w:szCs w:val="12"/>
          <w:color w:val="auto"/>
        </w:rPr>
        <w:t>Central Plains 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-260350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-243205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-226060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-208915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-191770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-174625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-157480</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-140335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-123190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-106045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-88900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-71755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-54610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-37465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-20320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-3175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jc w:val="both"/>
        <w:ind w:right="40"/>
        <w:spacing w:after="0" w:line="250" w:lineRule="auto"/>
        <w:rPr>
          <w:sz w:val="20"/>
          <w:szCs w:val="20"/>
          <w:color w:val="auto"/>
        </w:rPr>
      </w:pPr>
      <w:r>
        <w:rPr>
          <w:rFonts w:ascii="Arial" w:cs="Arial" w:eastAsia="Arial" w:hAnsi="Arial"/>
          <w:sz w:val="13"/>
          <w:szCs w:val="13"/>
          <w:color w:val="auto"/>
        </w:rPr>
        <w:t>Company Tulsa, OK (3400026)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-283210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-266065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-248920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-231775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-214630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-197485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-180340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-163195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-146050</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-128905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-111760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-94615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-77470</wp:posOffset>
            </wp:positionV>
            <wp:extent cx="548640" cy="8489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48640" cy="84899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4"/>
          <w:szCs w:val="14"/>
          <w:color w:val="auto"/>
        </w:rPr>
        <w:t>Fairborn</w:t>
      </w:r>
    </w:p>
    <w:p>
      <w:pPr>
        <w:spacing w:after="0" w:line="221" w:lineRule="auto"/>
        <w:rPr>
          <w:sz w:val="20"/>
          <w:szCs w:val="20"/>
          <w:color w:val="auto"/>
        </w:rPr>
      </w:pPr>
      <w:r>
        <w:rPr>
          <w:rFonts w:ascii="Arial" w:cs="Arial" w:eastAsia="Arial" w:hAnsi="Arial"/>
          <w:sz w:val="14"/>
          <w:szCs w:val="14"/>
          <w:color w:val="auto"/>
        </w:rPr>
        <w:t>Cement</w:t>
      </w:r>
    </w:p>
    <w:p>
      <w:pPr>
        <w:spacing w:after="0" w:line="222" w:lineRule="auto"/>
        <w:rPr>
          <w:sz w:val="20"/>
          <w:szCs w:val="20"/>
          <w:color w:val="auto"/>
        </w:rPr>
      </w:pPr>
      <w:r>
        <w:rPr>
          <w:rFonts w:ascii="Arial" w:cs="Arial" w:eastAsia="Arial" w:hAnsi="Arial"/>
          <w:sz w:val="14"/>
          <w:szCs w:val="14"/>
          <w:color w:val="auto"/>
        </w:rPr>
        <w:t>Company</w:t>
      </w:r>
    </w:p>
    <w:p>
      <w:pPr>
        <w:spacing w:after="0" w:line="221" w:lineRule="auto"/>
        <w:rPr>
          <w:sz w:val="20"/>
          <w:szCs w:val="20"/>
          <w:color w:val="auto"/>
        </w:rPr>
      </w:pPr>
      <w:r>
        <w:rPr>
          <w:rFonts w:ascii="Arial" w:cs="Arial" w:eastAsia="Arial" w:hAnsi="Arial"/>
          <w:sz w:val="14"/>
          <w:szCs w:val="14"/>
          <w:color w:val="auto"/>
        </w:rPr>
        <w:t>LLC</w:t>
      </w:r>
    </w:p>
    <w:p>
      <w:pPr>
        <w:spacing w:after="0" w:line="221" w:lineRule="auto"/>
        <w:rPr>
          <w:sz w:val="20"/>
          <w:szCs w:val="20"/>
          <w:color w:val="auto"/>
        </w:rPr>
      </w:pPr>
      <w:r>
        <w:rPr>
          <w:rFonts w:ascii="Arial" w:cs="Arial" w:eastAsia="Arial" w:hAnsi="Arial"/>
          <w:sz w:val="14"/>
          <w:szCs w:val="14"/>
          <w:color w:val="auto"/>
        </w:rPr>
        <w:t>Greene</w:t>
      </w:r>
    </w:p>
    <w:p>
      <w:pPr>
        <w:spacing w:after="0" w:line="222" w:lineRule="auto"/>
        <w:rPr>
          <w:sz w:val="20"/>
          <w:szCs w:val="20"/>
          <w:color w:val="auto"/>
        </w:rPr>
      </w:pPr>
      <w:r>
        <w:rPr>
          <w:rFonts w:ascii="Arial" w:cs="Arial" w:eastAsia="Arial" w:hAnsi="Arial"/>
          <w:sz w:val="14"/>
          <w:szCs w:val="14"/>
          <w:color w:val="auto"/>
        </w:rPr>
        <w:t>County,</w:t>
      </w:r>
    </w:p>
    <w:p>
      <w:pPr>
        <w:spacing w:after="0" w:line="221" w:lineRule="auto"/>
        <w:rPr>
          <w:sz w:val="20"/>
          <w:szCs w:val="20"/>
          <w:color w:val="auto"/>
        </w:rPr>
      </w:pPr>
      <w:r>
        <w:rPr>
          <w:rFonts w:ascii="Arial" w:cs="Arial" w:eastAsia="Arial" w:hAnsi="Arial"/>
          <w:sz w:val="14"/>
          <w:szCs w:val="14"/>
          <w:color w:val="auto"/>
        </w:rPr>
        <w:t>OH</w:t>
      </w:r>
    </w:p>
    <w:p>
      <w:pPr>
        <w:spacing w:after="0"/>
        <w:rPr>
          <w:sz w:val="20"/>
          <w:szCs w:val="20"/>
          <w:color w:val="auto"/>
        </w:rPr>
      </w:pPr>
      <w:r>
        <w:rPr>
          <w:rFonts w:ascii="Arial" w:cs="Arial" w:eastAsia="Arial" w:hAnsi="Arial"/>
          <w:sz w:val="14"/>
          <w:szCs w:val="14"/>
          <w:color w:val="auto"/>
        </w:rPr>
        <w:t>(3300161)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-80645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-63500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-46355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-29210</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-12065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47" w:lineRule="auto"/>
        <w:rPr>
          <w:sz w:val="20"/>
          <w:szCs w:val="20"/>
          <w:color w:val="auto"/>
        </w:rPr>
      </w:pPr>
      <w:r>
        <w:rPr>
          <w:rFonts w:ascii="Arial" w:cs="Arial" w:eastAsia="Arial" w:hAnsi="Arial"/>
          <w:sz w:val="13"/>
          <w:szCs w:val="13"/>
          <w:color w:val="auto"/>
        </w:rPr>
        <w:t>Cement Company LaSalle, IL (1100003)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-386080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-368935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-351790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-334645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-317500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-300355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-283210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-266065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-248920</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-231775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-214630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-197485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-180340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-163195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-146050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-128905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-111760</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-94615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-77470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-60325</wp:posOffset>
            </wp:positionV>
            <wp:extent cx="548640" cy="7372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48640" cy="73723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4"/>
          <w:szCs w:val="14"/>
          <w:color w:val="auto"/>
        </w:rPr>
        <w:t>Kosmos</w:t>
      </w:r>
    </w:p>
    <w:p>
      <w:pPr>
        <w:spacing w:after="0" w:line="222" w:lineRule="auto"/>
        <w:rPr>
          <w:sz w:val="20"/>
          <w:szCs w:val="20"/>
          <w:color w:val="auto"/>
        </w:rPr>
      </w:pPr>
      <w:r>
        <w:rPr>
          <w:rFonts w:ascii="Arial" w:cs="Arial" w:eastAsia="Arial" w:hAnsi="Arial"/>
          <w:sz w:val="14"/>
          <w:szCs w:val="14"/>
          <w:color w:val="auto"/>
        </w:rPr>
        <w:t>Cement</w:t>
      </w:r>
    </w:p>
    <w:p>
      <w:pPr>
        <w:spacing w:after="0" w:line="221" w:lineRule="auto"/>
        <w:rPr>
          <w:sz w:val="20"/>
          <w:szCs w:val="20"/>
          <w:color w:val="auto"/>
        </w:rPr>
      </w:pPr>
      <w:r>
        <w:rPr>
          <w:rFonts w:ascii="Arial" w:cs="Arial" w:eastAsia="Arial" w:hAnsi="Arial"/>
          <w:sz w:val="14"/>
          <w:szCs w:val="14"/>
          <w:color w:val="auto"/>
        </w:rPr>
        <w:t>Company</w:t>
      </w:r>
    </w:p>
    <w:p>
      <w:pPr>
        <w:spacing w:after="0" w:line="221" w:lineRule="auto"/>
        <w:rPr>
          <w:sz w:val="20"/>
          <w:szCs w:val="20"/>
          <w:color w:val="auto"/>
        </w:rPr>
      </w:pPr>
      <w:r>
        <w:rPr>
          <w:rFonts w:ascii="Arial" w:cs="Arial" w:eastAsia="Arial" w:hAnsi="Arial"/>
          <w:sz w:val="14"/>
          <w:szCs w:val="14"/>
          <w:color w:val="auto"/>
        </w:rPr>
        <w:t>LLC</w:t>
      </w:r>
    </w:p>
    <w:p>
      <w:pPr>
        <w:spacing w:after="0" w:line="222" w:lineRule="auto"/>
        <w:rPr>
          <w:sz w:val="20"/>
          <w:szCs w:val="20"/>
          <w:color w:val="auto"/>
        </w:rPr>
      </w:pPr>
      <w:r>
        <w:rPr>
          <w:rFonts w:ascii="Arial" w:cs="Arial" w:eastAsia="Arial" w:hAnsi="Arial"/>
          <w:sz w:val="14"/>
          <w:szCs w:val="14"/>
          <w:color w:val="auto"/>
        </w:rPr>
        <w:t>Jefferson,</w:t>
      </w:r>
    </w:p>
    <w:p>
      <w:pPr>
        <w:spacing w:after="0" w:line="221" w:lineRule="auto"/>
        <w:rPr>
          <w:sz w:val="20"/>
          <w:szCs w:val="20"/>
          <w:color w:val="auto"/>
        </w:rPr>
      </w:pPr>
      <w:r>
        <w:rPr>
          <w:rFonts w:ascii="Arial" w:cs="Arial" w:eastAsia="Arial" w:hAnsi="Arial"/>
          <w:sz w:val="14"/>
          <w:szCs w:val="14"/>
          <w:color w:val="auto"/>
        </w:rPr>
        <w:t>KY</w:t>
      </w:r>
    </w:p>
    <w:p>
      <w:pPr>
        <w:spacing w:after="0"/>
        <w:rPr>
          <w:sz w:val="20"/>
          <w:szCs w:val="20"/>
          <w:color w:val="auto"/>
        </w:rPr>
      </w:pPr>
      <w:r>
        <w:rPr>
          <w:rFonts w:ascii="Arial" w:cs="Arial" w:eastAsia="Arial" w:hAnsi="Arial"/>
          <w:sz w:val="14"/>
          <w:szCs w:val="14"/>
          <w:color w:val="auto"/>
        </w:rPr>
        <w:t>(1504469)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80"/>
        <w:spacing w:after="0" w:line="241" w:lineRule="auto"/>
        <w:rPr>
          <w:sz w:val="20"/>
          <w:szCs w:val="20"/>
          <w:color w:val="auto"/>
        </w:rPr>
      </w:pPr>
      <w:r>
        <w:rPr>
          <w:rFonts w:ascii="Arial" w:cs="Arial" w:eastAsia="Arial" w:hAnsi="Arial"/>
          <w:sz w:val="13"/>
          <w:szCs w:val="13"/>
          <w:color w:val="auto"/>
        </w:rPr>
        <w:t>Mountain Cement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-269240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-252095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-234950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-217805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-200660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-183515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-166370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-149225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-132080</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-114935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-97790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-80645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-63500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-46355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-29210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-12065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140"/>
        <w:spacing w:after="0" w:line="258" w:lineRule="auto"/>
        <w:rPr>
          <w:sz w:val="20"/>
          <w:szCs w:val="20"/>
          <w:color w:val="auto"/>
        </w:rPr>
      </w:pPr>
      <w:r>
        <w:rPr>
          <w:rFonts w:ascii="Arial" w:cs="Arial" w:eastAsia="Arial" w:hAnsi="Arial"/>
          <w:sz w:val="12"/>
          <w:szCs w:val="12"/>
          <w:color w:val="auto"/>
        </w:rPr>
        <w:t>LLC Laramie, 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-277495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-260350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-243205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-226060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-208915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-191770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-174625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-157480</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-140335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-123190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-106045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-88900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-71755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-54610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-37465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-20320</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-3175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(4800007)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-88900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-71755</wp:posOffset>
            </wp:positionV>
            <wp:extent cx="548640" cy="75438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48640" cy="75438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Nevada</w:t>
      </w:r>
    </w:p>
    <w:p>
      <w:pPr>
        <w:spacing w:after="0" w:line="221" w:lineRule="auto"/>
        <w:rPr>
          <w:sz w:val="20"/>
          <w:szCs w:val="20"/>
          <w:color w:val="auto"/>
        </w:rPr>
      </w:pPr>
      <w:r>
        <w:rPr>
          <w:rFonts w:ascii="Arial" w:cs="Arial" w:eastAsia="Arial" w:hAnsi="Arial"/>
          <w:sz w:val="14"/>
          <w:szCs w:val="14"/>
          <w:color w:val="auto"/>
        </w:rPr>
        <w:t>Cement</w:t>
      </w:r>
    </w:p>
    <w:p>
      <w:pPr>
        <w:spacing w:after="0" w:line="221" w:lineRule="auto"/>
        <w:rPr>
          <w:sz w:val="20"/>
          <w:szCs w:val="20"/>
          <w:color w:val="auto"/>
        </w:rPr>
      </w:pPr>
      <w:r>
        <w:rPr>
          <w:rFonts w:ascii="Arial" w:cs="Arial" w:eastAsia="Arial" w:hAnsi="Arial"/>
          <w:sz w:val="14"/>
          <w:szCs w:val="14"/>
          <w:color w:val="auto"/>
        </w:rPr>
        <w:t>Company</w:t>
      </w:r>
    </w:p>
    <w:p>
      <w:pPr>
        <w:spacing w:after="0" w:line="222" w:lineRule="auto"/>
        <w:rPr>
          <w:sz w:val="20"/>
          <w:szCs w:val="20"/>
          <w:color w:val="auto"/>
        </w:rPr>
      </w:pPr>
      <w:r>
        <w:rPr>
          <w:rFonts w:ascii="Arial" w:cs="Arial" w:eastAsia="Arial" w:hAnsi="Arial"/>
          <w:sz w:val="14"/>
          <w:szCs w:val="14"/>
          <w:color w:val="auto"/>
        </w:rPr>
        <w:t>LLC</w:t>
      </w:r>
    </w:p>
    <w:p>
      <w:pPr>
        <w:spacing w:after="0" w:line="221" w:lineRule="auto"/>
        <w:rPr>
          <w:sz w:val="20"/>
          <w:szCs w:val="20"/>
          <w:color w:val="auto"/>
        </w:rPr>
      </w:pPr>
      <w:r>
        <w:rPr>
          <w:rFonts w:ascii="Arial" w:cs="Arial" w:eastAsia="Arial" w:hAnsi="Arial"/>
          <w:sz w:val="14"/>
          <w:szCs w:val="14"/>
          <w:color w:val="auto"/>
        </w:rPr>
        <w:t>Fernley,</w:t>
      </w:r>
    </w:p>
    <w:p>
      <w:pPr>
        <w:spacing w:after="0" w:line="221" w:lineRule="auto"/>
        <w:rPr>
          <w:sz w:val="20"/>
          <w:szCs w:val="20"/>
          <w:color w:val="auto"/>
        </w:rPr>
      </w:pPr>
      <w:r>
        <w:rPr>
          <w:rFonts w:ascii="Arial" w:cs="Arial" w:eastAsia="Arial" w:hAnsi="Arial"/>
          <w:sz w:val="14"/>
          <w:szCs w:val="14"/>
          <w:color w:val="auto"/>
        </w:rPr>
        <w:t>NV</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(2600015)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514350" cy="1200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22"/>
        </w:trPr>
        <w:tc>
          <w:tcPr>
            <w:tcW w:w="78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5</w:t>
            </w:r>
          </w:p>
        </w:tc>
        <w:tc>
          <w:tcPr>
            <w:tcW w:w="76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800" w:type="dxa"/>
            <w:vAlign w:val="bottom"/>
            <w:shd w:val="clear" w:color="auto" w:fill="DAEEF3"/>
          </w:tcPr>
          <w:p>
            <w:pPr>
              <w:jc w:val="right"/>
              <w:ind w:right="308"/>
              <w:spacing w:after="0"/>
              <w:rPr>
                <w:sz w:val="20"/>
                <w:szCs w:val="20"/>
                <w:color w:val="auto"/>
              </w:rPr>
            </w:pPr>
            <w:r>
              <w:rPr>
                <w:rFonts w:ascii="Arial" w:cs="Arial" w:eastAsia="Arial" w:hAnsi="Arial"/>
                <w:sz w:val="14"/>
                <w:szCs w:val="14"/>
                <w:color w:val="auto"/>
              </w:rPr>
              <w:t>0</w:t>
            </w:r>
          </w:p>
        </w:tc>
        <w:tc>
          <w:tcPr>
            <w:tcW w:w="800" w:type="dxa"/>
            <w:vAlign w:val="bottom"/>
            <w:shd w:val="clear" w:color="auto" w:fill="DAEEF3"/>
          </w:tcPr>
          <w:p>
            <w:pPr>
              <w:jc w:val="right"/>
              <w:ind w:right="288"/>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right"/>
              <w:ind w:right="148"/>
              <w:spacing w:after="0"/>
              <w:rPr>
                <w:sz w:val="20"/>
                <w:szCs w:val="20"/>
                <w:color w:val="auto"/>
              </w:rPr>
            </w:pPr>
            <w:r>
              <w:rPr>
                <w:rFonts w:ascii="Arial" w:cs="Arial" w:eastAsia="Arial" w:hAnsi="Arial"/>
                <w:sz w:val="14"/>
                <w:szCs w:val="14"/>
                <w:color w:val="auto"/>
              </w:rPr>
              <w:t>0</w:t>
            </w:r>
          </w:p>
        </w:tc>
        <w:tc>
          <w:tcPr>
            <w:tcW w:w="360" w:type="dxa"/>
            <w:vAlign w:val="bottom"/>
            <w:shd w:val="clear" w:color="auto" w:fill="DAEE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AEEF3"/>
          </w:tcPr>
          <w:p>
            <w:pPr>
              <w:jc w:val="right"/>
              <w:ind w:right="328"/>
              <w:spacing w:after="0"/>
              <w:rPr>
                <w:sz w:val="20"/>
                <w:szCs w:val="20"/>
                <w:color w:val="auto"/>
              </w:rPr>
            </w:pPr>
            <w:r>
              <w:rPr>
                <w:rFonts w:ascii="Arial" w:cs="Arial" w:eastAsia="Arial" w:hAnsi="Arial"/>
                <w:sz w:val="14"/>
                <w:szCs w:val="14"/>
                <w:color w:val="auto"/>
              </w:rPr>
              <w:t>8,562</w:t>
            </w:r>
          </w:p>
        </w:tc>
        <w:tc>
          <w:tcPr>
            <w:tcW w:w="900" w:type="dxa"/>
            <w:vAlign w:val="bottom"/>
            <w:shd w:val="clear" w:color="auto" w:fill="DAEEF3"/>
          </w:tcPr>
          <w:p>
            <w:pPr>
              <w:jc w:val="right"/>
              <w:ind w:right="348"/>
              <w:spacing w:after="0"/>
              <w:rPr>
                <w:sz w:val="20"/>
                <w:szCs w:val="20"/>
                <w:color w:val="auto"/>
              </w:rPr>
            </w:pPr>
            <w:r>
              <w:rPr>
                <w:rFonts w:ascii="Arial" w:cs="Arial" w:eastAsia="Arial" w:hAnsi="Arial"/>
                <w:sz w:val="14"/>
                <w:szCs w:val="14"/>
                <w:color w:val="auto"/>
              </w:rPr>
              <w:t>0</w:t>
            </w:r>
          </w:p>
        </w:tc>
        <w:tc>
          <w:tcPr>
            <w:tcW w:w="980" w:type="dxa"/>
            <w:vAlign w:val="bottom"/>
            <w:shd w:val="clear" w:color="auto" w:fill="DAEEF3"/>
          </w:tcPr>
          <w:p>
            <w:pPr>
              <w:ind w:left="420"/>
              <w:spacing w:after="0"/>
              <w:rPr>
                <w:sz w:val="20"/>
                <w:szCs w:val="20"/>
                <w:color w:val="auto"/>
              </w:rPr>
            </w:pPr>
            <w:r>
              <w:rPr>
                <w:rFonts w:ascii="Arial" w:cs="Arial" w:eastAsia="Arial" w:hAnsi="Arial"/>
                <w:sz w:val="14"/>
                <w:szCs w:val="14"/>
                <w:color w:val="auto"/>
              </w:rPr>
              <w:t>no</w:t>
            </w:r>
          </w:p>
        </w:tc>
        <w:tc>
          <w:tcPr>
            <w:tcW w:w="940" w:type="dxa"/>
            <w:vAlign w:val="bottom"/>
            <w:shd w:val="clear" w:color="auto" w:fill="DAEEF3"/>
          </w:tcPr>
          <w:p>
            <w:pPr>
              <w:ind w:left="400"/>
              <w:spacing w:after="0"/>
              <w:rPr>
                <w:sz w:val="20"/>
                <w:szCs w:val="20"/>
                <w:color w:val="auto"/>
              </w:rPr>
            </w:pPr>
            <w:r>
              <w:rPr>
                <w:rFonts w:ascii="Arial" w:cs="Arial" w:eastAsia="Arial" w:hAnsi="Arial"/>
                <w:sz w:val="14"/>
                <w:szCs w:val="14"/>
                <w:color w:val="auto"/>
              </w:rPr>
              <w:t>no</w:t>
            </w:r>
          </w:p>
        </w:tc>
        <w:tc>
          <w:tcPr>
            <w:tcW w:w="880" w:type="dxa"/>
            <w:vAlign w:val="bottom"/>
            <w:shd w:val="clear" w:color="auto" w:fill="DAEEF3"/>
          </w:tcPr>
          <w:p>
            <w:pPr>
              <w:jc w:val="right"/>
              <w:ind w:right="328"/>
              <w:spacing w:after="0"/>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9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r>
      <w:tr>
        <w:trPr>
          <w:trHeight w:val="444"/>
        </w:trPr>
        <w:tc>
          <w:tcPr>
            <w:tcW w:w="780" w:type="dxa"/>
            <w:vAlign w:val="bottom"/>
            <w:shd w:val="clear" w:color="auto" w:fill="DAEEF3"/>
          </w:tcPr>
          <w:p>
            <w:pPr>
              <w:spacing w:after="0"/>
              <w:rPr>
                <w:sz w:val="24"/>
                <w:szCs w:val="24"/>
                <w:color w:val="auto"/>
              </w:rPr>
            </w:pPr>
          </w:p>
        </w:tc>
        <w:tc>
          <w:tcPr>
            <w:tcW w:w="760" w:type="dxa"/>
            <w:vAlign w:val="bottom"/>
            <w:shd w:val="clear" w:color="auto" w:fill="DAEEF3"/>
          </w:tcPr>
          <w:p>
            <w:pPr>
              <w:spacing w:after="0"/>
              <w:rPr>
                <w:sz w:val="24"/>
                <w:szCs w:val="24"/>
                <w:color w:val="auto"/>
              </w:rPr>
            </w:pPr>
          </w:p>
        </w:tc>
        <w:tc>
          <w:tcPr>
            <w:tcW w:w="800" w:type="dxa"/>
            <w:vAlign w:val="bottom"/>
            <w:shd w:val="clear" w:color="auto" w:fill="DAEEF3"/>
          </w:tcPr>
          <w:p>
            <w:pPr>
              <w:spacing w:after="0"/>
              <w:rPr>
                <w:sz w:val="24"/>
                <w:szCs w:val="24"/>
                <w:color w:val="auto"/>
              </w:rPr>
            </w:pPr>
          </w:p>
        </w:tc>
        <w:tc>
          <w:tcPr>
            <w:tcW w:w="800" w:type="dxa"/>
            <w:vAlign w:val="bottom"/>
            <w:shd w:val="clear" w:color="auto" w:fill="DAEEF3"/>
          </w:tcPr>
          <w:p>
            <w:pPr>
              <w:spacing w:after="0"/>
              <w:rPr>
                <w:sz w:val="24"/>
                <w:szCs w:val="24"/>
                <w:color w:val="auto"/>
              </w:rPr>
            </w:pPr>
          </w:p>
        </w:tc>
        <w:tc>
          <w:tcPr>
            <w:tcW w:w="660" w:type="dxa"/>
            <w:vAlign w:val="bottom"/>
            <w:shd w:val="clear" w:color="auto" w:fill="DAEEF3"/>
          </w:tcPr>
          <w:p>
            <w:pPr>
              <w:spacing w:after="0"/>
              <w:rPr>
                <w:sz w:val="24"/>
                <w:szCs w:val="24"/>
                <w:color w:val="auto"/>
              </w:rPr>
            </w:pPr>
          </w:p>
        </w:tc>
        <w:tc>
          <w:tcPr>
            <w:tcW w:w="360" w:type="dxa"/>
            <w:vAlign w:val="bottom"/>
            <w:shd w:val="clear" w:color="auto" w:fill="DAEEF3"/>
          </w:tcPr>
          <w:p>
            <w:pPr>
              <w:spacing w:after="0"/>
              <w:rPr>
                <w:sz w:val="24"/>
                <w:szCs w:val="24"/>
                <w:color w:val="auto"/>
              </w:rPr>
            </w:pPr>
          </w:p>
        </w:tc>
        <w:tc>
          <w:tcPr>
            <w:tcW w:w="780" w:type="dxa"/>
            <w:vAlign w:val="bottom"/>
            <w:shd w:val="clear" w:color="auto" w:fill="DAEEF3"/>
          </w:tcPr>
          <w:p>
            <w:pPr>
              <w:spacing w:after="0"/>
              <w:rPr>
                <w:sz w:val="24"/>
                <w:szCs w:val="24"/>
                <w:color w:val="auto"/>
              </w:rPr>
            </w:pPr>
          </w:p>
        </w:tc>
        <w:tc>
          <w:tcPr>
            <w:tcW w:w="900" w:type="dxa"/>
            <w:vAlign w:val="bottom"/>
            <w:shd w:val="clear" w:color="auto" w:fill="DAEEF3"/>
          </w:tcPr>
          <w:p>
            <w:pPr>
              <w:spacing w:after="0"/>
              <w:rPr>
                <w:sz w:val="24"/>
                <w:szCs w:val="24"/>
                <w:color w:val="auto"/>
              </w:rPr>
            </w:pPr>
          </w:p>
        </w:tc>
        <w:tc>
          <w:tcPr>
            <w:tcW w:w="980" w:type="dxa"/>
            <w:vAlign w:val="bottom"/>
            <w:shd w:val="clear" w:color="auto" w:fill="DAEEF3"/>
          </w:tcPr>
          <w:p>
            <w:pPr>
              <w:spacing w:after="0"/>
              <w:rPr>
                <w:sz w:val="24"/>
                <w:szCs w:val="24"/>
                <w:color w:val="auto"/>
              </w:rPr>
            </w:pPr>
          </w:p>
        </w:tc>
        <w:tc>
          <w:tcPr>
            <w:tcW w:w="940" w:type="dxa"/>
            <w:vAlign w:val="bottom"/>
            <w:shd w:val="clear" w:color="auto" w:fill="DAEEF3"/>
          </w:tcPr>
          <w:p>
            <w:pPr>
              <w:spacing w:after="0"/>
              <w:rPr>
                <w:sz w:val="24"/>
                <w:szCs w:val="24"/>
                <w:color w:val="auto"/>
              </w:rPr>
            </w:pPr>
          </w:p>
        </w:tc>
        <w:tc>
          <w:tcPr>
            <w:tcW w:w="880" w:type="dxa"/>
            <w:vAlign w:val="bottom"/>
            <w:shd w:val="clear" w:color="auto" w:fill="DAEEF3"/>
          </w:tcPr>
          <w:p>
            <w:pPr>
              <w:spacing w:after="0"/>
              <w:rPr>
                <w:sz w:val="24"/>
                <w:szCs w:val="24"/>
                <w:color w:val="auto"/>
              </w:rPr>
            </w:pPr>
          </w:p>
        </w:tc>
        <w:tc>
          <w:tcPr>
            <w:tcW w:w="820" w:type="dxa"/>
            <w:vAlign w:val="bottom"/>
            <w:shd w:val="clear" w:color="auto" w:fill="DAEEF3"/>
          </w:tcPr>
          <w:p>
            <w:pPr>
              <w:spacing w:after="0"/>
              <w:rPr>
                <w:sz w:val="24"/>
                <w:szCs w:val="24"/>
                <w:color w:val="auto"/>
              </w:rPr>
            </w:pPr>
          </w:p>
        </w:tc>
        <w:tc>
          <w:tcPr>
            <w:tcW w:w="900" w:type="dxa"/>
            <w:vAlign w:val="bottom"/>
            <w:shd w:val="clear" w:color="auto" w:fill="DAEEF3"/>
          </w:tcPr>
          <w:p>
            <w:pPr>
              <w:spacing w:after="0"/>
              <w:rPr>
                <w:sz w:val="24"/>
                <w:szCs w:val="24"/>
                <w:color w:val="auto"/>
              </w:rPr>
            </w:pPr>
          </w:p>
        </w:tc>
      </w:tr>
      <w:tr>
        <w:trPr>
          <w:trHeight w:val="542"/>
        </w:trPr>
        <w:tc>
          <w:tcPr>
            <w:tcW w:w="7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0</w:t>
            </w:r>
          </w:p>
        </w:tc>
        <w:tc>
          <w:tcPr>
            <w:tcW w:w="980" w:type="dxa"/>
            <w:vAlign w:val="bottom"/>
          </w:tcPr>
          <w:p>
            <w:pPr>
              <w:ind w:left="420"/>
              <w:spacing w:after="0"/>
              <w:rPr>
                <w:sz w:val="20"/>
                <w:szCs w:val="20"/>
                <w:color w:val="auto"/>
              </w:rPr>
            </w:pPr>
            <w:r>
              <w:rPr>
                <w:rFonts w:ascii="Arial" w:cs="Arial" w:eastAsia="Arial" w:hAnsi="Arial"/>
                <w:sz w:val="14"/>
                <w:szCs w:val="14"/>
                <w:color w:val="auto"/>
              </w:rPr>
              <w:t>no</w:t>
            </w:r>
          </w:p>
        </w:tc>
        <w:tc>
          <w:tcPr>
            <w:tcW w:w="940" w:type="dxa"/>
            <w:vAlign w:val="bottom"/>
          </w:tcPr>
          <w:p>
            <w:pPr>
              <w:ind w:left="400"/>
              <w:spacing w:after="0"/>
              <w:rPr>
                <w:sz w:val="20"/>
                <w:szCs w:val="20"/>
                <w:color w:val="auto"/>
              </w:rPr>
            </w:pPr>
            <w:r>
              <w:rPr>
                <w:rFonts w:ascii="Arial" w:cs="Arial" w:eastAsia="Arial" w:hAnsi="Arial"/>
                <w:sz w:val="14"/>
                <w:szCs w:val="14"/>
                <w:color w:val="auto"/>
              </w:rPr>
              <w:t>no</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0</w:t>
            </w:r>
          </w:p>
        </w:tc>
      </w:tr>
      <w:tr>
        <w:trPr>
          <w:trHeight w:val="377"/>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90"/>
        </w:trPr>
        <w:tc>
          <w:tcPr>
            <w:tcW w:w="78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76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800" w:type="dxa"/>
            <w:vAlign w:val="bottom"/>
            <w:shd w:val="clear" w:color="auto" w:fill="DAEEF3"/>
          </w:tcPr>
          <w:p>
            <w:pPr>
              <w:jc w:val="right"/>
              <w:ind w:right="308"/>
              <w:spacing w:after="0"/>
              <w:rPr>
                <w:sz w:val="20"/>
                <w:szCs w:val="20"/>
                <w:color w:val="auto"/>
              </w:rPr>
            </w:pPr>
            <w:r>
              <w:rPr>
                <w:rFonts w:ascii="Arial" w:cs="Arial" w:eastAsia="Arial" w:hAnsi="Arial"/>
                <w:sz w:val="14"/>
                <w:szCs w:val="14"/>
                <w:color w:val="auto"/>
              </w:rPr>
              <w:t>0</w:t>
            </w:r>
          </w:p>
        </w:tc>
        <w:tc>
          <w:tcPr>
            <w:tcW w:w="800" w:type="dxa"/>
            <w:vAlign w:val="bottom"/>
            <w:shd w:val="clear" w:color="auto" w:fill="DAEEF3"/>
          </w:tcPr>
          <w:p>
            <w:pPr>
              <w:jc w:val="right"/>
              <w:ind w:right="288"/>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right"/>
              <w:ind w:right="148"/>
              <w:spacing w:after="0"/>
              <w:rPr>
                <w:sz w:val="20"/>
                <w:szCs w:val="20"/>
                <w:color w:val="auto"/>
              </w:rPr>
            </w:pPr>
            <w:r>
              <w:rPr>
                <w:rFonts w:ascii="Arial" w:cs="Arial" w:eastAsia="Arial" w:hAnsi="Arial"/>
                <w:sz w:val="14"/>
                <w:szCs w:val="14"/>
                <w:color w:val="auto"/>
              </w:rPr>
              <w:t>0</w:t>
            </w:r>
          </w:p>
        </w:tc>
        <w:tc>
          <w:tcPr>
            <w:tcW w:w="360" w:type="dxa"/>
            <w:vAlign w:val="bottom"/>
            <w:shd w:val="clear" w:color="auto" w:fill="DAEE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AEEF3"/>
          </w:tcPr>
          <w:p>
            <w:pPr>
              <w:jc w:val="right"/>
              <w:ind w:right="508"/>
              <w:spacing w:after="0"/>
              <w:rPr>
                <w:sz w:val="20"/>
                <w:szCs w:val="20"/>
                <w:color w:val="auto"/>
              </w:rPr>
            </w:pPr>
            <w:r>
              <w:rPr>
                <w:rFonts w:ascii="Arial" w:cs="Arial" w:eastAsia="Arial" w:hAnsi="Arial"/>
                <w:sz w:val="14"/>
                <w:szCs w:val="14"/>
                <w:color w:val="auto"/>
              </w:rPr>
              <w:t>0</w:t>
            </w:r>
          </w:p>
        </w:tc>
        <w:tc>
          <w:tcPr>
            <w:tcW w:w="900" w:type="dxa"/>
            <w:vAlign w:val="bottom"/>
            <w:shd w:val="clear" w:color="auto" w:fill="DAEEF3"/>
          </w:tcPr>
          <w:p>
            <w:pPr>
              <w:jc w:val="right"/>
              <w:ind w:right="348"/>
              <w:spacing w:after="0"/>
              <w:rPr>
                <w:sz w:val="20"/>
                <w:szCs w:val="20"/>
                <w:color w:val="auto"/>
              </w:rPr>
            </w:pPr>
            <w:r>
              <w:rPr>
                <w:rFonts w:ascii="Arial" w:cs="Arial" w:eastAsia="Arial" w:hAnsi="Arial"/>
                <w:sz w:val="14"/>
                <w:szCs w:val="14"/>
                <w:color w:val="auto"/>
              </w:rPr>
              <w:t>0</w:t>
            </w:r>
          </w:p>
        </w:tc>
        <w:tc>
          <w:tcPr>
            <w:tcW w:w="980" w:type="dxa"/>
            <w:vAlign w:val="bottom"/>
            <w:shd w:val="clear" w:color="auto" w:fill="DAEEF3"/>
          </w:tcPr>
          <w:p>
            <w:pPr>
              <w:ind w:left="420"/>
              <w:spacing w:after="0"/>
              <w:rPr>
                <w:sz w:val="20"/>
                <w:szCs w:val="20"/>
                <w:color w:val="auto"/>
              </w:rPr>
            </w:pPr>
            <w:r>
              <w:rPr>
                <w:rFonts w:ascii="Arial" w:cs="Arial" w:eastAsia="Arial" w:hAnsi="Arial"/>
                <w:sz w:val="14"/>
                <w:szCs w:val="14"/>
                <w:color w:val="auto"/>
              </w:rPr>
              <w:t>no</w:t>
            </w:r>
          </w:p>
        </w:tc>
        <w:tc>
          <w:tcPr>
            <w:tcW w:w="940" w:type="dxa"/>
            <w:vAlign w:val="bottom"/>
            <w:shd w:val="clear" w:color="auto" w:fill="DAEEF3"/>
          </w:tcPr>
          <w:p>
            <w:pPr>
              <w:ind w:left="400"/>
              <w:spacing w:after="0"/>
              <w:rPr>
                <w:sz w:val="20"/>
                <w:szCs w:val="20"/>
                <w:color w:val="auto"/>
              </w:rPr>
            </w:pPr>
            <w:r>
              <w:rPr>
                <w:rFonts w:ascii="Arial" w:cs="Arial" w:eastAsia="Arial" w:hAnsi="Arial"/>
                <w:sz w:val="14"/>
                <w:szCs w:val="14"/>
                <w:color w:val="auto"/>
              </w:rPr>
              <w:t>no</w:t>
            </w:r>
          </w:p>
        </w:tc>
        <w:tc>
          <w:tcPr>
            <w:tcW w:w="880" w:type="dxa"/>
            <w:vAlign w:val="bottom"/>
            <w:shd w:val="clear" w:color="auto" w:fill="DAEEF3"/>
          </w:tcPr>
          <w:p>
            <w:pPr>
              <w:jc w:val="right"/>
              <w:ind w:right="328"/>
              <w:spacing w:after="0"/>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9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r>
      <w:tr>
        <w:trPr>
          <w:trHeight w:val="525"/>
        </w:trPr>
        <w:tc>
          <w:tcPr>
            <w:tcW w:w="780" w:type="dxa"/>
            <w:vAlign w:val="bottom"/>
            <w:shd w:val="clear" w:color="auto" w:fill="DAEEF3"/>
          </w:tcPr>
          <w:p>
            <w:pPr>
              <w:spacing w:after="0"/>
              <w:rPr>
                <w:sz w:val="24"/>
                <w:szCs w:val="24"/>
                <w:color w:val="auto"/>
              </w:rPr>
            </w:pPr>
          </w:p>
        </w:tc>
        <w:tc>
          <w:tcPr>
            <w:tcW w:w="760" w:type="dxa"/>
            <w:vAlign w:val="bottom"/>
            <w:shd w:val="clear" w:color="auto" w:fill="DAEEF3"/>
          </w:tcPr>
          <w:p>
            <w:pPr>
              <w:spacing w:after="0"/>
              <w:rPr>
                <w:sz w:val="24"/>
                <w:szCs w:val="24"/>
                <w:color w:val="auto"/>
              </w:rPr>
            </w:pPr>
          </w:p>
        </w:tc>
        <w:tc>
          <w:tcPr>
            <w:tcW w:w="800" w:type="dxa"/>
            <w:vAlign w:val="bottom"/>
            <w:shd w:val="clear" w:color="auto" w:fill="DAEEF3"/>
          </w:tcPr>
          <w:p>
            <w:pPr>
              <w:spacing w:after="0"/>
              <w:rPr>
                <w:sz w:val="24"/>
                <w:szCs w:val="24"/>
                <w:color w:val="auto"/>
              </w:rPr>
            </w:pPr>
          </w:p>
        </w:tc>
        <w:tc>
          <w:tcPr>
            <w:tcW w:w="800" w:type="dxa"/>
            <w:vAlign w:val="bottom"/>
            <w:shd w:val="clear" w:color="auto" w:fill="DAEEF3"/>
          </w:tcPr>
          <w:p>
            <w:pPr>
              <w:spacing w:after="0"/>
              <w:rPr>
                <w:sz w:val="24"/>
                <w:szCs w:val="24"/>
                <w:color w:val="auto"/>
              </w:rPr>
            </w:pPr>
          </w:p>
        </w:tc>
        <w:tc>
          <w:tcPr>
            <w:tcW w:w="660" w:type="dxa"/>
            <w:vAlign w:val="bottom"/>
            <w:shd w:val="clear" w:color="auto" w:fill="DAEEF3"/>
          </w:tcPr>
          <w:p>
            <w:pPr>
              <w:spacing w:after="0"/>
              <w:rPr>
                <w:sz w:val="24"/>
                <w:szCs w:val="24"/>
                <w:color w:val="auto"/>
              </w:rPr>
            </w:pPr>
          </w:p>
        </w:tc>
        <w:tc>
          <w:tcPr>
            <w:tcW w:w="360" w:type="dxa"/>
            <w:vAlign w:val="bottom"/>
            <w:shd w:val="clear" w:color="auto" w:fill="DAEEF3"/>
          </w:tcPr>
          <w:p>
            <w:pPr>
              <w:spacing w:after="0"/>
              <w:rPr>
                <w:sz w:val="24"/>
                <w:szCs w:val="24"/>
                <w:color w:val="auto"/>
              </w:rPr>
            </w:pPr>
          </w:p>
        </w:tc>
        <w:tc>
          <w:tcPr>
            <w:tcW w:w="780" w:type="dxa"/>
            <w:vAlign w:val="bottom"/>
            <w:shd w:val="clear" w:color="auto" w:fill="DAEEF3"/>
          </w:tcPr>
          <w:p>
            <w:pPr>
              <w:spacing w:after="0"/>
              <w:rPr>
                <w:sz w:val="24"/>
                <w:szCs w:val="24"/>
                <w:color w:val="auto"/>
              </w:rPr>
            </w:pPr>
          </w:p>
        </w:tc>
        <w:tc>
          <w:tcPr>
            <w:tcW w:w="900" w:type="dxa"/>
            <w:vAlign w:val="bottom"/>
            <w:shd w:val="clear" w:color="auto" w:fill="DAEEF3"/>
          </w:tcPr>
          <w:p>
            <w:pPr>
              <w:spacing w:after="0"/>
              <w:rPr>
                <w:sz w:val="24"/>
                <w:szCs w:val="24"/>
                <w:color w:val="auto"/>
              </w:rPr>
            </w:pPr>
          </w:p>
        </w:tc>
        <w:tc>
          <w:tcPr>
            <w:tcW w:w="980" w:type="dxa"/>
            <w:vAlign w:val="bottom"/>
            <w:shd w:val="clear" w:color="auto" w:fill="DAEEF3"/>
          </w:tcPr>
          <w:p>
            <w:pPr>
              <w:spacing w:after="0"/>
              <w:rPr>
                <w:sz w:val="24"/>
                <w:szCs w:val="24"/>
                <w:color w:val="auto"/>
              </w:rPr>
            </w:pPr>
          </w:p>
        </w:tc>
        <w:tc>
          <w:tcPr>
            <w:tcW w:w="940" w:type="dxa"/>
            <w:vAlign w:val="bottom"/>
            <w:shd w:val="clear" w:color="auto" w:fill="DAEEF3"/>
          </w:tcPr>
          <w:p>
            <w:pPr>
              <w:spacing w:after="0"/>
              <w:rPr>
                <w:sz w:val="24"/>
                <w:szCs w:val="24"/>
                <w:color w:val="auto"/>
              </w:rPr>
            </w:pPr>
          </w:p>
        </w:tc>
        <w:tc>
          <w:tcPr>
            <w:tcW w:w="880" w:type="dxa"/>
            <w:vAlign w:val="bottom"/>
            <w:shd w:val="clear" w:color="auto" w:fill="DAEEF3"/>
          </w:tcPr>
          <w:p>
            <w:pPr>
              <w:spacing w:after="0"/>
              <w:rPr>
                <w:sz w:val="24"/>
                <w:szCs w:val="24"/>
                <w:color w:val="auto"/>
              </w:rPr>
            </w:pPr>
          </w:p>
        </w:tc>
        <w:tc>
          <w:tcPr>
            <w:tcW w:w="820" w:type="dxa"/>
            <w:vAlign w:val="bottom"/>
            <w:shd w:val="clear" w:color="auto" w:fill="DAEEF3"/>
          </w:tcPr>
          <w:p>
            <w:pPr>
              <w:spacing w:after="0"/>
              <w:rPr>
                <w:sz w:val="24"/>
                <w:szCs w:val="24"/>
                <w:color w:val="auto"/>
              </w:rPr>
            </w:pPr>
          </w:p>
        </w:tc>
        <w:tc>
          <w:tcPr>
            <w:tcW w:w="900" w:type="dxa"/>
            <w:vAlign w:val="bottom"/>
            <w:shd w:val="clear" w:color="auto" w:fill="DAEEF3"/>
          </w:tcPr>
          <w:p>
            <w:pPr>
              <w:spacing w:after="0"/>
              <w:rPr>
                <w:sz w:val="24"/>
                <w:szCs w:val="24"/>
                <w:color w:val="auto"/>
              </w:rPr>
            </w:pPr>
          </w:p>
        </w:tc>
      </w:tr>
      <w:tr>
        <w:trPr>
          <w:trHeight w:val="474"/>
        </w:trPr>
        <w:tc>
          <w:tcPr>
            <w:tcW w:w="7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0</w:t>
            </w:r>
          </w:p>
        </w:tc>
        <w:tc>
          <w:tcPr>
            <w:tcW w:w="980" w:type="dxa"/>
            <w:vAlign w:val="bottom"/>
          </w:tcPr>
          <w:p>
            <w:pPr>
              <w:ind w:left="420"/>
              <w:spacing w:after="0"/>
              <w:rPr>
                <w:sz w:val="20"/>
                <w:szCs w:val="20"/>
                <w:color w:val="auto"/>
              </w:rPr>
            </w:pPr>
            <w:r>
              <w:rPr>
                <w:rFonts w:ascii="Arial" w:cs="Arial" w:eastAsia="Arial" w:hAnsi="Arial"/>
                <w:sz w:val="14"/>
                <w:szCs w:val="14"/>
                <w:color w:val="auto"/>
              </w:rPr>
              <w:t>no</w:t>
            </w:r>
          </w:p>
        </w:tc>
        <w:tc>
          <w:tcPr>
            <w:tcW w:w="940" w:type="dxa"/>
            <w:vAlign w:val="bottom"/>
          </w:tcPr>
          <w:p>
            <w:pPr>
              <w:ind w:left="400"/>
              <w:spacing w:after="0"/>
              <w:rPr>
                <w:sz w:val="20"/>
                <w:szCs w:val="20"/>
                <w:color w:val="auto"/>
              </w:rPr>
            </w:pPr>
            <w:r>
              <w:rPr>
                <w:rFonts w:ascii="Arial" w:cs="Arial" w:eastAsia="Arial" w:hAnsi="Arial"/>
                <w:sz w:val="14"/>
                <w:szCs w:val="14"/>
                <w:color w:val="auto"/>
              </w:rPr>
              <w:t>no</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0</w:t>
            </w:r>
          </w:p>
        </w:tc>
      </w:tr>
      <w:tr>
        <w:trPr>
          <w:trHeight w:val="296"/>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23"/>
        </w:trPr>
        <w:tc>
          <w:tcPr>
            <w:tcW w:w="78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76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800" w:type="dxa"/>
            <w:vAlign w:val="bottom"/>
            <w:shd w:val="clear" w:color="auto" w:fill="DAEEF3"/>
          </w:tcPr>
          <w:p>
            <w:pPr>
              <w:jc w:val="right"/>
              <w:ind w:right="308"/>
              <w:spacing w:after="0"/>
              <w:rPr>
                <w:sz w:val="20"/>
                <w:szCs w:val="20"/>
                <w:color w:val="auto"/>
              </w:rPr>
            </w:pPr>
            <w:r>
              <w:rPr>
                <w:rFonts w:ascii="Arial" w:cs="Arial" w:eastAsia="Arial" w:hAnsi="Arial"/>
                <w:sz w:val="14"/>
                <w:szCs w:val="14"/>
                <w:color w:val="auto"/>
              </w:rPr>
              <w:t>0</w:t>
            </w:r>
          </w:p>
        </w:tc>
        <w:tc>
          <w:tcPr>
            <w:tcW w:w="800" w:type="dxa"/>
            <w:vAlign w:val="bottom"/>
            <w:shd w:val="clear" w:color="auto" w:fill="DAEEF3"/>
          </w:tcPr>
          <w:p>
            <w:pPr>
              <w:jc w:val="right"/>
              <w:ind w:right="288"/>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right"/>
              <w:ind w:right="148"/>
              <w:spacing w:after="0"/>
              <w:rPr>
                <w:sz w:val="20"/>
                <w:szCs w:val="20"/>
                <w:color w:val="auto"/>
              </w:rPr>
            </w:pPr>
            <w:r>
              <w:rPr>
                <w:rFonts w:ascii="Arial" w:cs="Arial" w:eastAsia="Arial" w:hAnsi="Arial"/>
                <w:sz w:val="14"/>
                <w:szCs w:val="14"/>
                <w:color w:val="auto"/>
              </w:rPr>
              <w:t>0</w:t>
            </w:r>
          </w:p>
        </w:tc>
        <w:tc>
          <w:tcPr>
            <w:tcW w:w="360" w:type="dxa"/>
            <w:vAlign w:val="bottom"/>
            <w:shd w:val="clear" w:color="auto" w:fill="DAEE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AEEF3"/>
          </w:tcPr>
          <w:p>
            <w:pPr>
              <w:jc w:val="right"/>
              <w:ind w:right="508"/>
              <w:spacing w:after="0"/>
              <w:rPr>
                <w:sz w:val="20"/>
                <w:szCs w:val="20"/>
                <w:color w:val="auto"/>
              </w:rPr>
            </w:pPr>
            <w:r>
              <w:rPr>
                <w:rFonts w:ascii="Arial" w:cs="Arial" w:eastAsia="Arial" w:hAnsi="Arial"/>
                <w:sz w:val="14"/>
                <w:szCs w:val="14"/>
                <w:color w:val="auto"/>
              </w:rPr>
              <w:t>0</w:t>
            </w:r>
          </w:p>
        </w:tc>
        <w:tc>
          <w:tcPr>
            <w:tcW w:w="900" w:type="dxa"/>
            <w:vAlign w:val="bottom"/>
            <w:shd w:val="clear" w:color="auto" w:fill="DAEEF3"/>
          </w:tcPr>
          <w:p>
            <w:pPr>
              <w:jc w:val="right"/>
              <w:ind w:right="348"/>
              <w:spacing w:after="0"/>
              <w:rPr>
                <w:sz w:val="20"/>
                <w:szCs w:val="20"/>
                <w:color w:val="auto"/>
              </w:rPr>
            </w:pPr>
            <w:r>
              <w:rPr>
                <w:rFonts w:ascii="Arial" w:cs="Arial" w:eastAsia="Arial" w:hAnsi="Arial"/>
                <w:sz w:val="14"/>
                <w:szCs w:val="14"/>
                <w:color w:val="auto"/>
              </w:rPr>
              <w:t>0</w:t>
            </w:r>
          </w:p>
        </w:tc>
        <w:tc>
          <w:tcPr>
            <w:tcW w:w="980" w:type="dxa"/>
            <w:vAlign w:val="bottom"/>
            <w:shd w:val="clear" w:color="auto" w:fill="DAEEF3"/>
          </w:tcPr>
          <w:p>
            <w:pPr>
              <w:ind w:left="420"/>
              <w:spacing w:after="0"/>
              <w:rPr>
                <w:sz w:val="20"/>
                <w:szCs w:val="20"/>
                <w:color w:val="auto"/>
              </w:rPr>
            </w:pPr>
            <w:r>
              <w:rPr>
                <w:rFonts w:ascii="Arial" w:cs="Arial" w:eastAsia="Arial" w:hAnsi="Arial"/>
                <w:sz w:val="14"/>
                <w:szCs w:val="14"/>
                <w:color w:val="auto"/>
              </w:rPr>
              <w:t>no</w:t>
            </w:r>
          </w:p>
        </w:tc>
        <w:tc>
          <w:tcPr>
            <w:tcW w:w="940" w:type="dxa"/>
            <w:vAlign w:val="bottom"/>
            <w:shd w:val="clear" w:color="auto" w:fill="DAEEF3"/>
          </w:tcPr>
          <w:p>
            <w:pPr>
              <w:ind w:left="400"/>
              <w:spacing w:after="0"/>
              <w:rPr>
                <w:sz w:val="20"/>
                <w:szCs w:val="20"/>
                <w:color w:val="auto"/>
              </w:rPr>
            </w:pPr>
            <w:r>
              <w:rPr>
                <w:rFonts w:ascii="Arial" w:cs="Arial" w:eastAsia="Arial" w:hAnsi="Arial"/>
                <w:sz w:val="14"/>
                <w:szCs w:val="14"/>
                <w:color w:val="auto"/>
              </w:rPr>
              <w:t>no</w:t>
            </w:r>
          </w:p>
        </w:tc>
        <w:tc>
          <w:tcPr>
            <w:tcW w:w="880" w:type="dxa"/>
            <w:vAlign w:val="bottom"/>
            <w:shd w:val="clear" w:color="auto" w:fill="DAEEF3"/>
          </w:tcPr>
          <w:p>
            <w:pPr>
              <w:jc w:val="right"/>
              <w:ind w:right="328"/>
              <w:spacing w:after="0"/>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9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r>
      <w:tr>
        <w:trPr>
          <w:trHeight w:val="444"/>
        </w:trPr>
        <w:tc>
          <w:tcPr>
            <w:tcW w:w="780" w:type="dxa"/>
            <w:vAlign w:val="bottom"/>
            <w:shd w:val="clear" w:color="auto" w:fill="DAEEF3"/>
          </w:tcPr>
          <w:p>
            <w:pPr>
              <w:spacing w:after="0"/>
              <w:rPr>
                <w:sz w:val="24"/>
                <w:szCs w:val="24"/>
                <w:color w:val="auto"/>
              </w:rPr>
            </w:pPr>
          </w:p>
        </w:tc>
        <w:tc>
          <w:tcPr>
            <w:tcW w:w="760" w:type="dxa"/>
            <w:vAlign w:val="bottom"/>
            <w:shd w:val="clear" w:color="auto" w:fill="DAEEF3"/>
          </w:tcPr>
          <w:p>
            <w:pPr>
              <w:spacing w:after="0"/>
              <w:rPr>
                <w:sz w:val="24"/>
                <w:szCs w:val="24"/>
                <w:color w:val="auto"/>
              </w:rPr>
            </w:pPr>
          </w:p>
        </w:tc>
        <w:tc>
          <w:tcPr>
            <w:tcW w:w="800" w:type="dxa"/>
            <w:vAlign w:val="bottom"/>
            <w:shd w:val="clear" w:color="auto" w:fill="DAEEF3"/>
          </w:tcPr>
          <w:p>
            <w:pPr>
              <w:spacing w:after="0"/>
              <w:rPr>
                <w:sz w:val="24"/>
                <w:szCs w:val="24"/>
                <w:color w:val="auto"/>
              </w:rPr>
            </w:pPr>
          </w:p>
        </w:tc>
        <w:tc>
          <w:tcPr>
            <w:tcW w:w="800" w:type="dxa"/>
            <w:vAlign w:val="bottom"/>
            <w:shd w:val="clear" w:color="auto" w:fill="DAEEF3"/>
          </w:tcPr>
          <w:p>
            <w:pPr>
              <w:spacing w:after="0"/>
              <w:rPr>
                <w:sz w:val="24"/>
                <w:szCs w:val="24"/>
                <w:color w:val="auto"/>
              </w:rPr>
            </w:pPr>
          </w:p>
        </w:tc>
        <w:tc>
          <w:tcPr>
            <w:tcW w:w="660" w:type="dxa"/>
            <w:vAlign w:val="bottom"/>
            <w:shd w:val="clear" w:color="auto" w:fill="DAEEF3"/>
          </w:tcPr>
          <w:p>
            <w:pPr>
              <w:spacing w:after="0"/>
              <w:rPr>
                <w:sz w:val="24"/>
                <w:szCs w:val="24"/>
                <w:color w:val="auto"/>
              </w:rPr>
            </w:pPr>
          </w:p>
        </w:tc>
        <w:tc>
          <w:tcPr>
            <w:tcW w:w="360" w:type="dxa"/>
            <w:vAlign w:val="bottom"/>
            <w:shd w:val="clear" w:color="auto" w:fill="DAEEF3"/>
          </w:tcPr>
          <w:p>
            <w:pPr>
              <w:spacing w:after="0"/>
              <w:rPr>
                <w:sz w:val="24"/>
                <w:szCs w:val="24"/>
                <w:color w:val="auto"/>
              </w:rPr>
            </w:pPr>
          </w:p>
        </w:tc>
        <w:tc>
          <w:tcPr>
            <w:tcW w:w="780" w:type="dxa"/>
            <w:vAlign w:val="bottom"/>
            <w:shd w:val="clear" w:color="auto" w:fill="DAEEF3"/>
          </w:tcPr>
          <w:p>
            <w:pPr>
              <w:spacing w:after="0"/>
              <w:rPr>
                <w:sz w:val="24"/>
                <w:szCs w:val="24"/>
                <w:color w:val="auto"/>
              </w:rPr>
            </w:pPr>
          </w:p>
        </w:tc>
        <w:tc>
          <w:tcPr>
            <w:tcW w:w="900" w:type="dxa"/>
            <w:vAlign w:val="bottom"/>
            <w:shd w:val="clear" w:color="auto" w:fill="DAEEF3"/>
          </w:tcPr>
          <w:p>
            <w:pPr>
              <w:spacing w:after="0"/>
              <w:rPr>
                <w:sz w:val="24"/>
                <w:szCs w:val="24"/>
                <w:color w:val="auto"/>
              </w:rPr>
            </w:pPr>
          </w:p>
        </w:tc>
        <w:tc>
          <w:tcPr>
            <w:tcW w:w="980" w:type="dxa"/>
            <w:vAlign w:val="bottom"/>
            <w:shd w:val="clear" w:color="auto" w:fill="DAEEF3"/>
          </w:tcPr>
          <w:p>
            <w:pPr>
              <w:spacing w:after="0"/>
              <w:rPr>
                <w:sz w:val="24"/>
                <w:szCs w:val="24"/>
                <w:color w:val="auto"/>
              </w:rPr>
            </w:pPr>
          </w:p>
        </w:tc>
        <w:tc>
          <w:tcPr>
            <w:tcW w:w="940" w:type="dxa"/>
            <w:vAlign w:val="bottom"/>
            <w:shd w:val="clear" w:color="auto" w:fill="DAEEF3"/>
          </w:tcPr>
          <w:p>
            <w:pPr>
              <w:spacing w:after="0"/>
              <w:rPr>
                <w:sz w:val="24"/>
                <w:szCs w:val="24"/>
                <w:color w:val="auto"/>
              </w:rPr>
            </w:pPr>
          </w:p>
        </w:tc>
        <w:tc>
          <w:tcPr>
            <w:tcW w:w="880" w:type="dxa"/>
            <w:vAlign w:val="bottom"/>
            <w:shd w:val="clear" w:color="auto" w:fill="DAEEF3"/>
          </w:tcPr>
          <w:p>
            <w:pPr>
              <w:spacing w:after="0"/>
              <w:rPr>
                <w:sz w:val="24"/>
                <w:szCs w:val="24"/>
                <w:color w:val="auto"/>
              </w:rPr>
            </w:pPr>
          </w:p>
        </w:tc>
        <w:tc>
          <w:tcPr>
            <w:tcW w:w="820" w:type="dxa"/>
            <w:vAlign w:val="bottom"/>
            <w:shd w:val="clear" w:color="auto" w:fill="DAEEF3"/>
          </w:tcPr>
          <w:p>
            <w:pPr>
              <w:spacing w:after="0"/>
              <w:rPr>
                <w:sz w:val="24"/>
                <w:szCs w:val="24"/>
                <w:color w:val="auto"/>
              </w:rPr>
            </w:pPr>
          </w:p>
        </w:tc>
        <w:tc>
          <w:tcPr>
            <w:tcW w:w="900" w:type="dxa"/>
            <w:vAlign w:val="bottom"/>
            <w:shd w:val="clear" w:color="auto" w:fill="DAEEF3"/>
          </w:tcPr>
          <w:p>
            <w:pPr>
              <w:spacing w:after="0"/>
              <w:rPr>
                <w:sz w:val="24"/>
                <w:szCs w:val="24"/>
                <w:color w:val="auto"/>
              </w:rPr>
            </w:pPr>
          </w:p>
        </w:tc>
      </w:tr>
      <w:tr>
        <w:trPr>
          <w:trHeight w:val="622"/>
        </w:trPr>
        <w:tc>
          <w:tcPr>
            <w:tcW w:w="7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6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0</w:t>
            </w:r>
          </w:p>
        </w:tc>
        <w:tc>
          <w:tcPr>
            <w:tcW w:w="980" w:type="dxa"/>
            <w:vAlign w:val="bottom"/>
          </w:tcPr>
          <w:p>
            <w:pPr>
              <w:ind w:left="420"/>
              <w:spacing w:after="0"/>
              <w:rPr>
                <w:sz w:val="20"/>
                <w:szCs w:val="20"/>
                <w:color w:val="auto"/>
              </w:rPr>
            </w:pPr>
            <w:r>
              <w:rPr>
                <w:rFonts w:ascii="Arial" w:cs="Arial" w:eastAsia="Arial" w:hAnsi="Arial"/>
                <w:sz w:val="14"/>
                <w:szCs w:val="14"/>
                <w:color w:val="auto"/>
              </w:rPr>
              <w:t>no</w:t>
            </w:r>
          </w:p>
        </w:tc>
        <w:tc>
          <w:tcPr>
            <w:tcW w:w="940" w:type="dxa"/>
            <w:vAlign w:val="bottom"/>
          </w:tcPr>
          <w:p>
            <w:pPr>
              <w:ind w:left="400"/>
              <w:spacing w:after="0"/>
              <w:rPr>
                <w:sz w:val="20"/>
                <w:szCs w:val="20"/>
                <w:color w:val="auto"/>
              </w:rPr>
            </w:pPr>
            <w:r>
              <w:rPr>
                <w:rFonts w:ascii="Arial" w:cs="Arial" w:eastAsia="Arial" w:hAnsi="Arial"/>
                <w:sz w:val="14"/>
                <w:szCs w:val="14"/>
                <w:color w:val="auto"/>
              </w:rPr>
              <w:t>no</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3(1)</w:t>
            </w:r>
          </w:p>
        </w:tc>
      </w:tr>
      <w:tr>
        <w:trPr>
          <w:trHeight w:val="444"/>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23"/>
        </w:trPr>
        <w:tc>
          <w:tcPr>
            <w:tcW w:w="78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76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800" w:type="dxa"/>
            <w:vAlign w:val="bottom"/>
            <w:shd w:val="clear" w:color="auto" w:fill="DAEEF3"/>
          </w:tcPr>
          <w:p>
            <w:pPr>
              <w:jc w:val="right"/>
              <w:ind w:right="308"/>
              <w:spacing w:after="0"/>
              <w:rPr>
                <w:sz w:val="20"/>
                <w:szCs w:val="20"/>
                <w:color w:val="auto"/>
              </w:rPr>
            </w:pPr>
            <w:r>
              <w:rPr>
                <w:rFonts w:ascii="Arial" w:cs="Arial" w:eastAsia="Arial" w:hAnsi="Arial"/>
                <w:sz w:val="14"/>
                <w:szCs w:val="14"/>
                <w:color w:val="auto"/>
              </w:rPr>
              <w:t>0</w:t>
            </w:r>
          </w:p>
        </w:tc>
        <w:tc>
          <w:tcPr>
            <w:tcW w:w="800" w:type="dxa"/>
            <w:vAlign w:val="bottom"/>
            <w:shd w:val="clear" w:color="auto" w:fill="DAEEF3"/>
          </w:tcPr>
          <w:p>
            <w:pPr>
              <w:jc w:val="right"/>
              <w:ind w:right="288"/>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right"/>
              <w:ind w:right="148"/>
              <w:spacing w:after="0"/>
              <w:rPr>
                <w:sz w:val="20"/>
                <w:szCs w:val="20"/>
                <w:color w:val="auto"/>
              </w:rPr>
            </w:pPr>
            <w:r>
              <w:rPr>
                <w:rFonts w:ascii="Arial" w:cs="Arial" w:eastAsia="Arial" w:hAnsi="Arial"/>
                <w:sz w:val="14"/>
                <w:szCs w:val="14"/>
                <w:color w:val="auto"/>
              </w:rPr>
              <w:t>0</w:t>
            </w:r>
          </w:p>
        </w:tc>
        <w:tc>
          <w:tcPr>
            <w:tcW w:w="360" w:type="dxa"/>
            <w:vAlign w:val="bottom"/>
            <w:shd w:val="clear" w:color="auto" w:fill="DAEE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AEEF3"/>
          </w:tcPr>
          <w:p>
            <w:pPr>
              <w:jc w:val="right"/>
              <w:ind w:right="428"/>
              <w:spacing w:after="0"/>
              <w:rPr>
                <w:sz w:val="20"/>
                <w:szCs w:val="20"/>
                <w:color w:val="auto"/>
              </w:rPr>
            </w:pPr>
            <w:r>
              <w:rPr>
                <w:rFonts w:ascii="Arial" w:cs="Arial" w:eastAsia="Arial" w:hAnsi="Arial"/>
                <w:sz w:val="14"/>
                <w:szCs w:val="14"/>
                <w:color w:val="auto"/>
              </w:rPr>
              <w:t>0</w:t>
            </w:r>
          </w:p>
        </w:tc>
        <w:tc>
          <w:tcPr>
            <w:tcW w:w="900" w:type="dxa"/>
            <w:vAlign w:val="bottom"/>
            <w:shd w:val="clear" w:color="auto" w:fill="DAEEF3"/>
          </w:tcPr>
          <w:p>
            <w:pPr>
              <w:jc w:val="right"/>
              <w:ind w:right="348"/>
              <w:spacing w:after="0"/>
              <w:rPr>
                <w:sz w:val="20"/>
                <w:szCs w:val="20"/>
                <w:color w:val="auto"/>
              </w:rPr>
            </w:pPr>
            <w:r>
              <w:rPr>
                <w:rFonts w:ascii="Arial" w:cs="Arial" w:eastAsia="Arial" w:hAnsi="Arial"/>
                <w:sz w:val="14"/>
                <w:szCs w:val="14"/>
                <w:color w:val="auto"/>
              </w:rPr>
              <w:t>0</w:t>
            </w:r>
          </w:p>
        </w:tc>
        <w:tc>
          <w:tcPr>
            <w:tcW w:w="980" w:type="dxa"/>
            <w:vAlign w:val="bottom"/>
            <w:shd w:val="clear" w:color="auto" w:fill="DAEEF3"/>
          </w:tcPr>
          <w:p>
            <w:pPr>
              <w:ind w:left="420"/>
              <w:spacing w:after="0"/>
              <w:rPr>
                <w:sz w:val="20"/>
                <w:szCs w:val="20"/>
                <w:color w:val="auto"/>
              </w:rPr>
            </w:pPr>
            <w:r>
              <w:rPr>
                <w:rFonts w:ascii="Arial" w:cs="Arial" w:eastAsia="Arial" w:hAnsi="Arial"/>
                <w:sz w:val="14"/>
                <w:szCs w:val="14"/>
                <w:color w:val="auto"/>
              </w:rPr>
              <w:t>no</w:t>
            </w:r>
          </w:p>
        </w:tc>
        <w:tc>
          <w:tcPr>
            <w:tcW w:w="940" w:type="dxa"/>
            <w:vAlign w:val="bottom"/>
            <w:shd w:val="clear" w:color="auto" w:fill="DAEEF3"/>
          </w:tcPr>
          <w:p>
            <w:pPr>
              <w:ind w:left="400"/>
              <w:spacing w:after="0"/>
              <w:rPr>
                <w:sz w:val="20"/>
                <w:szCs w:val="20"/>
                <w:color w:val="auto"/>
              </w:rPr>
            </w:pPr>
            <w:r>
              <w:rPr>
                <w:rFonts w:ascii="Arial" w:cs="Arial" w:eastAsia="Arial" w:hAnsi="Arial"/>
                <w:sz w:val="14"/>
                <w:szCs w:val="14"/>
                <w:color w:val="auto"/>
              </w:rPr>
              <w:t>no</w:t>
            </w:r>
          </w:p>
        </w:tc>
        <w:tc>
          <w:tcPr>
            <w:tcW w:w="880" w:type="dxa"/>
            <w:vAlign w:val="bottom"/>
            <w:shd w:val="clear" w:color="auto" w:fill="DAEEF3"/>
          </w:tcPr>
          <w:p>
            <w:pPr>
              <w:jc w:val="right"/>
              <w:ind w:right="328"/>
              <w:spacing w:after="0"/>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right"/>
              <w:ind w:right="268"/>
              <w:spacing w:after="0"/>
              <w:rPr>
                <w:sz w:val="20"/>
                <w:szCs w:val="20"/>
                <w:color w:val="auto"/>
              </w:rPr>
            </w:pPr>
            <w:r>
              <w:rPr>
                <w:rFonts w:ascii="Arial" w:cs="Arial" w:eastAsia="Arial" w:hAnsi="Arial"/>
                <w:sz w:val="14"/>
                <w:szCs w:val="14"/>
                <w:color w:val="auto"/>
              </w:rPr>
              <w:t>0</w:t>
            </w:r>
          </w:p>
        </w:tc>
        <w:tc>
          <w:tcPr>
            <w:tcW w:w="9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r>
      <w:tr>
        <w:trPr>
          <w:trHeight w:val="444"/>
        </w:trPr>
        <w:tc>
          <w:tcPr>
            <w:tcW w:w="780" w:type="dxa"/>
            <w:vAlign w:val="bottom"/>
            <w:shd w:val="clear" w:color="auto" w:fill="DAEEF3"/>
          </w:tcPr>
          <w:p>
            <w:pPr>
              <w:spacing w:after="0"/>
              <w:rPr>
                <w:sz w:val="24"/>
                <w:szCs w:val="24"/>
                <w:color w:val="auto"/>
              </w:rPr>
            </w:pPr>
          </w:p>
        </w:tc>
        <w:tc>
          <w:tcPr>
            <w:tcW w:w="760" w:type="dxa"/>
            <w:vAlign w:val="bottom"/>
            <w:shd w:val="clear" w:color="auto" w:fill="DAEEF3"/>
          </w:tcPr>
          <w:p>
            <w:pPr>
              <w:spacing w:after="0"/>
              <w:rPr>
                <w:sz w:val="24"/>
                <w:szCs w:val="24"/>
                <w:color w:val="auto"/>
              </w:rPr>
            </w:pPr>
          </w:p>
        </w:tc>
        <w:tc>
          <w:tcPr>
            <w:tcW w:w="800" w:type="dxa"/>
            <w:vAlign w:val="bottom"/>
            <w:shd w:val="clear" w:color="auto" w:fill="DAEEF3"/>
          </w:tcPr>
          <w:p>
            <w:pPr>
              <w:spacing w:after="0"/>
              <w:rPr>
                <w:sz w:val="24"/>
                <w:szCs w:val="24"/>
                <w:color w:val="auto"/>
              </w:rPr>
            </w:pPr>
          </w:p>
        </w:tc>
        <w:tc>
          <w:tcPr>
            <w:tcW w:w="800" w:type="dxa"/>
            <w:vAlign w:val="bottom"/>
            <w:shd w:val="clear" w:color="auto" w:fill="DAEEF3"/>
          </w:tcPr>
          <w:p>
            <w:pPr>
              <w:spacing w:after="0"/>
              <w:rPr>
                <w:sz w:val="24"/>
                <w:szCs w:val="24"/>
                <w:color w:val="auto"/>
              </w:rPr>
            </w:pPr>
          </w:p>
        </w:tc>
        <w:tc>
          <w:tcPr>
            <w:tcW w:w="660" w:type="dxa"/>
            <w:vAlign w:val="bottom"/>
            <w:shd w:val="clear" w:color="auto" w:fill="DAEEF3"/>
          </w:tcPr>
          <w:p>
            <w:pPr>
              <w:spacing w:after="0"/>
              <w:rPr>
                <w:sz w:val="24"/>
                <w:szCs w:val="24"/>
                <w:color w:val="auto"/>
              </w:rPr>
            </w:pPr>
          </w:p>
        </w:tc>
        <w:tc>
          <w:tcPr>
            <w:tcW w:w="360" w:type="dxa"/>
            <w:vAlign w:val="bottom"/>
            <w:shd w:val="clear" w:color="auto" w:fill="DAEEF3"/>
          </w:tcPr>
          <w:p>
            <w:pPr>
              <w:spacing w:after="0"/>
              <w:rPr>
                <w:sz w:val="24"/>
                <w:szCs w:val="24"/>
                <w:color w:val="auto"/>
              </w:rPr>
            </w:pPr>
          </w:p>
        </w:tc>
        <w:tc>
          <w:tcPr>
            <w:tcW w:w="780" w:type="dxa"/>
            <w:vAlign w:val="bottom"/>
            <w:shd w:val="clear" w:color="auto" w:fill="DAEEF3"/>
          </w:tcPr>
          <w:p>
            <w:pPr>
              <w:spacing w:after="0"/>
              <w:rPr>
                <w:sz w:val="24"/>
                <w:szCs w:val="24"/>
                <w:color w:val="auto"/>
              </w:rPr>
            </w:pPr>
          </w:p>
        </w:tc>
        <w:tc>
          <w:tcPr>
            <w:tcW w:w="900" w:type="dxa"/>
            <w:vAlign w:val="bottom"/>
            <w:shd w:val="clear" w:color="auto" w:fill="DAEEF3"/>
          </w:tcPr>
          <w:p>
            <w:pPr>
              <w:spacing w:after="0"/>
              <w:rPr>
                <w:sz w:val="24"/>
                <w:szCs w:val="24"/>
                <w:color w:val="auto"/>
              </w:rPr>
            </w:pPr>
          </w:p>
        </w:tc>
        <w:tc>
          <w:tcPr>
            <w:tcW w:w="980" w:type="dxa"/>
            <w:vAlign w:val="bottom"/>
            <w:shd w:val="clear" w:color="auto" w:fill="DAEEF3"/>
          </w:tcPr>
          <w:p>
            <w:pPr>
              <w:spacing w:after="0"/>
              <w:rPr>
                <w:sz w:val="24"/>
                <w:szCs w:val="24"/>
                <w:color w:val="auto"/>
              </w:rPr>
            </w:pPr>
          </w:p>
        </w:tc>
        <w:tc>
          <w:tcPr>
            <w:tcW w:w="940" w:type="dxa"/>
            <w:vAlign w:val="bottom"/>
            <w:shd w:val="clear" w:color="auto" w:fill="DAEEF3"/>
          </w:tcPr>
          <w:p>
            <w:pPr>
              <w:spacing w:after="0"/>
              <w:rPr>
                <w:sz w:val="24"/>
                <w:szCs w:val="24"/>
                <w:color w:val="auto"/>
              </w:rPr>
            </w:pPr>
          </w:p>
        </w:tc>
        <w:tc>
          <w:tcPr>
            <w:tcW w:w="880" w:type="dxa"/>
            <w:vAlign w:val="bottom"/>
            <w:shd w:val="clear" w:color="auto" w:fill="DAEEF3"/>
          </w:tcPr>
          <w:p>
            <w:pPr>
              <w:spacing w:after="0"/>
              <w:rPr>
                <w:sz w:val="24"/>
                <w:szCs w:val="24"/>
                <w:color w:val="auto"/>
              </w:rPr>
            </w:pPr>
          </w:p>
        </w:tc>
        <w:tc>
          <w:tcPr>
            <w:tcW w:w="820" w:type="dxa"/>
            <w:vAlign w:val="bottom"/>
            <w:shd w:val="clear" w:color="auto" w:fill="DAEEF3"/>
          </w:tcPr>
          <w:p>
            <w:pPr>
              <w:spacing w:after="0"/>
              <w:rPr>
                <w:sz w:val="24"/>
                <w:szCs w:val="24"/>
                <w:color w:val="auto"/>
              </w:rPr>
            </w:pPr>
          </w:p>
        </w:tc>
        <w:tc>
          <w:tcPr>
            <w:tcW w:w="900" w:type="dxa"/>
            <w:vAlign w:val="bottom"/>
            <w:shd w:val="clear" w:color="auto" w:fill="DAEEF3"/>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6569710</wp:posOffset>
            </wp:positionH>
            <wp:positionV relativeFrom="paragraph">
              <wp:posOffset>-4551045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-4533900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-4516755</wp:posOffset>
            </wp:positionV>
            <wp:extent cx="825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-4499610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-4482465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-4465320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-4448175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-4431030</wp:posOffset>
            </wp:positionV>
            <wp:extent cx="82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-4413885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-4396740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-4379595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-4362450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-4345305</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-4328160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-4311015</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-4293870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-4276725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-4259580</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-4242435</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-4225290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-4208145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-4191000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-4173855</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-4156710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-4139565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-4122420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-4105275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-4088130</wp:posOffset>
            </wp:positionV>
            <wp:extent cx="8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-4070985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-4053840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-4036695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-4019550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-4002405</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-3985260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-3968115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-3950970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-3933825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-3916680</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-3899535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-3882390</wp:posOffset>
            </wp:positionV>
            <wp:extent cx="8255" cy="260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-3848100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-3830955</wp:posOffset>
            </wp:positionV>
            <wp:extent cx="825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-3813810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-3796665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-3779520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-3762375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-3745230</wp:posOffset>
            </wp:positionV>
            <wp:extent cx="825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-3728085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-3710940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-3693795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-3676650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-3659505</wp:posOffset>
            </wp:positionV>
            <wp:extent cx="82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-3642360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-3625215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-3608070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-3590925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-3573780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-3556635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-3539490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-3522345</wp:posOffset>
            </wp:positionV>
            <wp:extent cx="825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-3505200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-3488055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-3470910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-3453765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-3436620</wp:posOffset>
            </wp:positionV>
            <wp:extent cx="82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-3419475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-3402330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-3385185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-3368040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-3350895</wp:posOffset>
            </wp:positionV>
            <wp:extent cx="82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-3333750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-3316605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-3299460</wp:posOffset>
            </wp:positionV>
            <wp:extent cx="825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-3265170</wp:posOffset>
            </wp:positionV>
            <wp:extent cx="825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-3248025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-3230880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-3213735</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-3196590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-3179445</wp:posOffset>
            </wp:positionV>
            <wp:extent cx="825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-3162300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-3145155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-3128010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-3110865</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-3093720</wp:posOffset>
            </wp:positionV>
            <wp:extent cx="825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-3076575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-3059430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-3042285</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-3025140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-3007995</wp:posOffset>
            </wp:positionV>
            <wp:extent cx="82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-2990850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-2973705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-2956560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-2939415</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-2922270</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-2905125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-2887980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-2870835</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-2853690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-2836545</wp:posOffset>
            </wp:positionV>
            <wp:extent cx="825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-2819400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-2802255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-2785110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-2767965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-2750820</wp:posOffset>
            </wp:positionV>
            <wp:extent cx="825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-2733675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-2716530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-2699385</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-2682240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-2665095</wp:posOffset>
            </wp:positionV>
            <wp:extent cx="825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-2647950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-2630805</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-2613660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-2596515</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-2579370</wp:posOffset>
            </wp:positionV>
            <wp:extent cx="825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-2562225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-2545080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-2527935</wp:posOffset>
            </wp:positionV>
            <wp:extent cx="825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-2502535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-2485390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-2468245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-2451100</wp:posOffset>
            </wp:positionV>
            <wp:extent cx="825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-2433955</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-2416810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-2399665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-2382520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-2365375</wp:posOffset>
            </wp:positionV>
            <wp:extent cx="825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-2348230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-2331085</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-2313940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-2296795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-2279650</wp:posOffset>
            </wp:positionV>
            <wp:extent cx="825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-2262505</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-2245360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-2228215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-2211070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-2193925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-2176780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-2159635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-2142490</wp:posOffset>
            </wp:positionV>
            <wp:extent cx="825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-2125345</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-2108200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-2091055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-2073910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-2056765</wp:posOffset>
            </wp:positionV>
            <wp:extent cx="825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-2039620</wp:posOffset>
            </wp:positionV>
            <wp:extent cx="8255"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-2014220</wp:posOffset>
            </wp:positionV>
            <wp:extent cx="825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-1996440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-1979295</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-1962150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-1945005</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-1928495</wp:posOffset>
            </wp:positionV>
            <wp:extent cx="825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-1910715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-1893570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-1876425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-1859280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-1842770</wp:posOffset>
            </wp:positionV>
            <wp:extent cx="825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-1824990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-1807845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-1790700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-1773555</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-1757045</wp:posOffset>
            </wp:positionV>
            <wp:extent cx="825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-1739265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-1722120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-1704975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-1687830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-1671320</wp:posOffset>
            </wp:positionV>
            <wp:extent cx="825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-1653540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-1636395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-1619250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-1602105</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-1585595</wp:posOffset>
            </wp:positionV>
            <wp:extent cx="825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-1567815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-1550670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-1533525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-1516380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-1499870</wp:posOffset>
            </wp:positionV>
            <wp:extent cx="825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-1482090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-1464945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-1447800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-1430655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-1414145</wp:posOffset>
            </wp:positionV>
            <wp:extent cx="825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-1396365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-1379220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-1362075</wp:posOffset>
            </wp:positionV>
            <wp:extent cx="8255"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-1336675</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-1319530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-1302385</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-1285240</wp:posOffset>
            </wp:positionV>
            <wp:extent cx="825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-1268095</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-1250950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-1233805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-1216660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-1199515</wp:posOffset>
            </wp:positionV>
            <wp:extent cx="825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-1182370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-1165225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-1148080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-1130935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-1113790</wp:posOffset>
            </wp:positionV>
            <wp:extent cx="825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-1096645</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-1079500</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-1062355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-1045210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-1028065</wp:posOffset>
            </wp:positionV>
            <wp:extent cx="825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-1010920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-993775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-976630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-959485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-942340</wp:posOffset>
            </wp:positionV>
            <wp:extent cx="825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-925195</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-908050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-890905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-873760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-856615</wp:posOffset>
            </wp:positionV>
            <wp:extent cx="825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-839470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-822325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-805180</wp:posOffset>
            </wp:positionV>
            <wp:extent cx="825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-788035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-770890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-753745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-736600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-719455</wp:posOffset>
            </wp:positionV>
            <wp:extent cx="825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-702310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-685165</wp:posOffset>
            </wp:positionV>
            <wp:extent cx="8255"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-659130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-642620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-624840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-607695</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-591185</wp:posOffset>
            </wp:positionV>
            <wp:extent cx="825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-573405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-556895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-539115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-521970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-505460</wp:posOffset>
            </wp:positionV>
            <wp:extent cx="8255"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-487680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-471170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-453390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-436245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-419100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-401955</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-385445</wp:posOffset>
            </wp:positionV>
            <wp:extent cx="82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-367665</wp:posOffset>
            </wp:positionV>
            <wp:extent cx="825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-350520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-333375</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-316230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-299720</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-281940</wp:posOffset>
            </wp:positionV>
            <wp:extent cx="825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-264795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-247650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-230505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-213995</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-196215</wp:posOffset>
            </wp:positionV>
            <wp:extent cx="825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-179070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-161925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-144780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-128270</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-110490</wp:posOffset>
            </wp:positionV>
            <wp:extent cx="825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-93345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-76200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-59055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-42545</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-24765</wp:posOffset>
            </wp:positionV>
            <wp:extent cx="825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-7620</wp:posOffset>
            </wp:positionV>
            <wp:extent cx="6609080" cy="12827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609080" cy="12827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-7620</wp:posOffset>
            </wp:positionV>
            <wp:extent cx="6609080" cy="12827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60908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120"/>
            <w:col w:w="10360"/>
          </w:cols>
          <w:pgMar w:left="440" w:top="134" w:right="339" w:bottom="1440" w:gutter="0" w:footer="0" w:header="0"/>
        </w:sectPr>
      </w:pPr>
    </w:p>
    <w:p>
      <w:pPr>
        <w:spacing w:after="0" w:line="132" w:lineRule="exact"/>
        <w:rPr>
          <w:sz w:val="20"/>
          <w:szCs w:val="20"/>
          <w:color w:val="auto"/>
        </w:rPr>
      </w:pPr>
    </w:p>
    <w:p>
      <w:pPr>
        <w:ind w:left="580" w:hanging="318"/>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101600</wp:posOffset>
            </wp:positionV>
            <wp:extent cx="715772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34" w:right="339" w:bottom="1440" w:gutter="0" w:footer="0" w:header="0"/>
          <w:type w:val="continuous"/>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21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upperLetter"/>
      <w:start w:val="2"/>
    </w:lvl>
  </w:abstractNum>
  <w:abstractNum w:abstractNumId="7">
    <w:nsid w:val="4E6AFB66"/>
    <w:multiLevelType w:val="hybridMultilevel"/>
    <w:lvl w:ilvl="0">
      <w:lvlJc w:val="left"/>
      <w:lvlText w:val="(%1)"/>
      <w:numFmt w:val="upperLetter"/>
      <w:start w:val="3"/>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lvl w:ilvl="1">
      <w:lvlJc w:val="left"/>
      <w:lvlText w:val="%2"/>
      <w:numFmt w:val="decimal"/>
      <w:start w:val="104"/>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5"/>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5"/>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Roman"/>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2022-01-27T15:39:53Z</dcterms:created>
  <dcterms:modified xsi:type="dcterms:W3CDTF">2022-01-27T15:39:53Z</dcterms:modified>
</cp:coreProperties>
</file>