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EAGLE MATERIALS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-3409950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497205</wp:posOffset>
            </wp:positionV>
            <wp:extent cx="2975610"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3811 Turtle Creek Blvd, Suite 1100</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Dallas, Texas 75219-4487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my pleasure to invite you to our Annual Meeting of Stockholders, which will be held on Wednesday, August 7, 2013, at Arlington Hall at Lee Park, 3333 Turtle Creek Blvd., Dallas, Texas 75219, at 8:00 a.m. We hope that you will attend the meeting, but we encourage you to vote by proxy whether or not you plan to attend the meeting in person.</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year we are again taking advantage of the Securities and Exchange Commission rules that allow companies to furnish their proxy materials over the Internet. As a result, beginning on June 21, 2013,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Annual Meeting and desire to vote your shares personally rather than by proxy, you may withdraw your proxy at any time before it is exercised.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very important, whether you own one share or many.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37590"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75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Steven R. Rowley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75219-4487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7,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Arlington Hall at Lee Park, 3333 Turtle Creek Blvd., Dallas, Texas 75219 at 8:00 a.m., local time, on Wednesday, August 7, 2013. At the meeting, stockholders will vote on:</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three Class I directors identified in the accompanying proxy statement, each to hold office for three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our Amended and Restated Incentive Plan, which we refer to as the “2013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2014.</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Board of Directors has fixed the close of business on June 10, 2013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10"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James H. Graass, Secretary, 3811 Turtle Creek Blvd., Suite 1100, Dallas, Texas 75219-4487 (telephone: (214) 432-2000).</w:t>
      </w:r>
    </w:p>
    <w:p>
      <w:pPr>
        <w:spacing w:after="0" w:line="10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2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General Counsel and 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21, 2013</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7, 2013.</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2013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5"/>
            <w:vMerge w:val="restart"/>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INTRODUCTION</w:t>
              </w:r>
            </w:hyperlink>
          </w:p>
        </w:tc>
        <w:tc>
          <w:tcPr>
            <w:tcW w:w="9620" w:type="dxa"/>
            <w:vAlign w:val="bottom"/>
            <w:gridSpan w:val="4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420" w:type="dxa"/>
            <w:vAlign w:val="bottom"/>
            <w:tcBorders>
              <w:bottom w:val="single" w:sz="8" w:color="0000EE"/>
            </w:tcBorders>
            <w:gridSpan w:val="5"/>
            <w:vMerge w:val="continue"/>
          </w:tcPr>
          <w:p>
            <w:pPr>
              <w:spacing w:after="0"/>
              <w:rPr>
                <w:sz w:val="13"/>
                <w:szCs w:val="13"/>
                <w:color w:val="auto"/>
              </w:rPr>
            </w:pPr>
          </w:p>
        </w:tc>
        <w:tc>
          <w:tcPr>
            <w:tcW w:w="9620" w:type="dxa"/>
            <w:vAlign w:val="bottom"/>
            <w:gridSpan w:val="4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600" w:type="dxa"/>
            <w:vAlign w:val="bottom"/>
            <w:gridSpan w:val="4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Date, Time and Place of the Annual Meeting</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Purposes of the Annual Meeting and Recommendations of our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ABOUT THE MEETING</w:t>
              </w:r>
            </w:hyperlink>
          </w:p>
        </w:tc>
        <w:tc>
          <w:tcPr>
            <w:tcW w:w="910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Who Can Vote</w:t>
              </w:r>
            </w:hyperlink>
          </w:p>
        </w:tc>
        <w:tc>
          <w:tcPr>
            <w:tcW w:w="950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Proxies Will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How to Revoke Your Proxy</w:t>
              </w:r>
            </w:hyperlink>
          </w:p>
        </w:tc>
        <w:tc>
          <w:tcPr>
            <w:tcW w:w="854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Quorum and Required Vote</w:t>
              </w:r>
            </w:hyperlink>
          </w:p>
        </w:tc>
        <w:tc>
          <w:tcPr>
            <w:tcW w:w="850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Expenses of Soliciting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How You Can Vote</w:t>
              </w:r>
            </w:hyperlink>
          </w:p>
        </w:tc>
        <w:tc>
          <w:tcPr>
            <w:tcW w:w="838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43"/>
          </w:tcPr>
          <w:p>
            <w:pPr>
              <w:spacing w:after="0" w:line="196" w:lineRule="exact"/>
              <w:rPr>
                <w:rFonts w:ascii="Arial" w:cs="Arial" w:eastAsia="Arial" w:hAnsi="Arial"/>
                <w:sz w:val="18"/>
                <w:szCs w:val="18"/>
                <w:b w:val="1"/>
                <w:bCs w:val="1"/>
                <w:color w:val="0000EE"/>
                <w:w w:val="97"/>
              </w:rPr>
            </w:pPr>
            <w:hyperlink w:anchor="page10">
              <w:r>
                <w:rPr>
                  <w:rFonts w:ascii="Arial" w:cs="Arial" w:eastAsia="Arial" w:hAnsi="Arial"/>
                  <w:sz w:val="18"/>
                  <w:szCs w:val="18"/>
                  <w:b w:val="1"/>
                  <w:bCs w:val="1"/>
                  <w:color w:val="0000EE"/>
                  <w:w w:val="97"/>
                </w:rPr>
                <w:t>PROPOSAL NO. 1: ELECTION OF DIRECTORS AND RELATED MATTERS</w:t>
              </w:r>
            </w:hyperlink>
          </w:p>
        </w:tc>
        <w:tc>
          <w:tcPr>
            <w:tcW w:w="49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General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4"/>
              </w:rPr>
            </w:pPr>
            <w:hyperlink w:anchor="page10">
              <w:r>
                <w:rPr>
                  <w:rFonts w:ascii="Arial" w:cs="Arial" w:eastAsia="Arial" w:hAnsi="Arial"/>
                  <w:sz w:val="18"/>
                  <w:szCs w:val="18"/>
                  <w:b w:val="1"/>
                  <w:bCs w:val="1"/>
                  <w:color w:val="0000EE"/>
                  <w:w w:val="84"/>
                </w:rPr>
                <w:t>Director Independence</w:t>
              </w:r>
            </w:hyperlink>
          </w:p>
        </w:tc>
        <w:tc>
          <w:tcPr>
            <w:tcW w:w="89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3"/>
              </w:rPr>
            </w:pPr>
            <w:hyperlink w:anchor="page11">
              <w:r>
                <w:rPr>
                  <w:rFonts w:ascii="Arial" w:cs="Arial" w:eastAsia="Arial" w:hAnsi="Arial"/>
                  <w:sz w:val="18"/>
                  <w:szCs w:val="18"/>
                  <w:b w:val="1"/>
                  <w:bCs w:val="1"/>
                  <w:color w:val="0000EE"/>
                  <w:w w:val="83"/>
                </w:rPr>
                <w:t>Nominees</w:t>
              </w:r>
            </w:hyperlink>
          </w:p>
        </w:tc>
        <w:tc>
          <w:tcPr>
            <w:tcW w:w="9860" w:type="dxa"/>
            <w:vAlign w:val="bottom"/>
            <w:gridSpan w:val="4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86"/>
              </w:rPr>
            </w:pPr>
            <w:hyperlink w:anchor="page11">
              <w:r>
                <w:rPr>
                  <w:rFonts w:ascii="Arial" w:cs="Arial" w:eastAsia="Arial" w:hAnsi="Arial"/>
                  <w:sz w:val="18"/>
                  <w:szCs w:val="18"/>
                  <w:b w:val="1"/>
                  <w:bCs w:val="1"/>
                  <w:color w:val="0000EE"/>
                  <w:w w:val="86"/>
                </w:rPr>
                <w:t>Recommendation of the Board</w:t>
              </w:r>
            </w:hyperlink>
          </w:p>
        </w:tc>
        <w:tc>
          <w:tcPr>
            <w:tcW w:w="83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Director Qualifications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Board Meetings and Attendance Records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9"/>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BOARD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Non-Employee Director Compensation for Fiscal Year 2013</w:t>
              </w:r>
            </w:hyperlink>
          </w:p>
        </w:tc>
        <w:tc>
          <w:tcPr>
            <w:tcW w:w="61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0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Board Leadership Structure and Role in Risk Oversight</w:t>
              </w:r>
            </w:hyperlink>
          </w:p>
        </w:tc>
        <w:tc>
          <w:tcPr>
            <w:tcW w:w="64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70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Compensation Committee Interlocks and Insider Participation</w:t>
              </w:r>
            </w:hyperlink>
          </w:p>
        </w:tc>
        <w:tc>
          <w:tcPr>
            <w:tcW w:w="59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How to Contact Our Board</w:t>
              </w:r>
            </w:hyperlink>
          </w:p>
        </w:tc>
        <w:tc>
          <w:tcPr>
            <w:tcW w:w="852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EXECUTIVE OFFICERS WHO ARE NOT DIRECTORS</w:t>
              </w:r>
            </w:hyperlink>
          </w:p>
        </w:tc>
        <w:tc>
          <w:tcPr>
            <w:tcW w:w="66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COMPENSATION COMMITTEE REPORT</w:t>
              </w:r>
            </w:hyperlink>
          </w:p>
        </w:tc>
        <w:tc>
          <w:tcPr>
            <w:tcW w:w="76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96"/>
        </w:trPr>
        <w:tc>
          <w:tcPr>
            <w:tcW w:w="11040" w:type="dxa"/>
            <w:vAlign w:val="bottom"/>
            <w:gridSpan w:val="49"/>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Executive Summary</w:t>
              </w:r>
            </w:hyperlink>
          </w:p>
        </w:tc>
        <w:tc>
          <w:tcPr>
            <w:tcW w:w="1940" w:type="dxa"/>
            <w:vAlign w:val="bottom"/>
            <w:tcBorders>
              <w:top w:val="single" w:sz="8" w:color="0000EE"/>
            </w:tcBorders>
            <w:gridSpan w:val="19"/>
          </w:tcPr>
          <w:p>
            <w:pPr>
              <w:spacing w:after="0"/>
              <w:rPr>
                <w:sz w:val="17"/>
                <w:szCs w:val="17"/>
                <w:color w:val="auto"/>
              </w:rPr>
            </w:pPr>
          </w:p>
        </w:tc>
        <w:tc>
          <w:tcPr>
            <w:tcW w:w="7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6"/>
              </w:rPr>
            </w:pPr>
            <w:hyperlink w:anchor="page27">
              <w:r>
                <w:rPr>
                  <w:rFonts w:ascii="Arial" w:cs="Arial" w:eastAsia="Arial" w:hAnsi="Arial"/>
                  <w:sz w:val="18"/>
                  <w:szCs w:val="18"/>
                  <w:b w:val="1"/>
                  <w:bCs w:val="1"/>
                  <w:color w:val="0000EE"/>
                  <w:w w:val="86"/>
                </w:rPr>
                <w:t>Advisory Vote on Executive Compensation</w:t>
              </w:r>
            </w:hyperlink>
          </w:p>
        </w:tc>
        <w:tc>
          <w:tcPr>
            <w:tcW w:w="74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7"/>
              </w:rPr>
            </w:pPr>
            <w:hyperlink w:anchor="page27">
              <w:r>
                <w:rPr>
                  <w:rFonts w:ascii="Arial" w:cs="Arial" w:eastAsia="Arial" w:hAnsi="Arial"/>
                  <w:sz w:val="18"/>
                  <w:szCs w:val="18"/>
                  <w:b w:val="1"/>
                  <w:bCs w:val="1"/>
                  <w:color w:val="0000EE"/>
                  <w:w w:val="87"/>
                </w:rPr>
                <w:t>Named Executive Officers</w:t>
              </w:r>
            </w:hyperlink>
          </w:p>
        </w:tc>
        <w:tc>
          <w:tcPr>
            <w:tcW w:w="862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5"/>
              </w:rPr>
            </w:pPr>
            <w:hyperlink w:anchor="page27">
              <w:r>
                <w:rPr>
                  <w:rFonts w:ascii="Arial" w:cs="Arial" w:eastAsia="Arial" w:hAnsi="Arial"/>
                  <w:sz w:val="18"/>
                  <w:szCs w:val="18"/>
                  <w:b w:val="1"/>
                  <w:bCs w:val="1"/>
                  <w:color w:val="0000EE"/>
                  <w:w w:val="85"/>
                </w:rPr>
                <w:t>Compensation Philosophy</w:t>
              </w:r>
            </w:hyperlink>
          </w:p>
        </w:tc>
        <w:tc>
          <w:tcPr>
            <w:tcW w:w="864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Compensation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5"/>
          </w:tcPr>
          <w:p>
            <w:pPr>
              <w:spacing w:after="0" w:line="196" w:lineRule="exact"/>
              <w:rPr>
                <w:rFonts w:ascii="Arial" w:cs="Arial" w:eastAsia="Arial" w:hAnsi="Arial"/>
                <w:sz w:val="18"/>
                <w:szCs w:val="18"/>
                <w:b w:val="1"/>
                <w:bCs w:val="1"/>
                <w:color w:val="0000EE"/>
                <w:w w:val="87"/>
              </w:rPr>
            </w:pPr>
            <w:hyperlink w:anchor="page28">
              <w:r>
                <w:rPr>
                  <w:rFonts w:ascii="Arial" w:cs="Arial" w:eastAsia="Arial" w:hAnsi="Arial"/>
                  <w:sz w:val="18"/>
                  <w:szCs w:val="18"/>
                  <w:b w:val="1"/>
                  <w:bCs w:val="1"/>
                  <w:color w:val="0000EE"/>
                  <w:w w:val="87"/>
                </w:rPr>
                <w:t>Role of the Compensation Committee and Management in Executive Compensation</w:t>
              </w:r>
            </w:hyperlink>
          </w:p>
        </w:tc>
        <w:tc>
          <w:tcPr>
            <w:tcW w:w="4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2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Engagement of a Compensation Consultant</w:t>
              </w:r>
            </w:hyperlink>
          </w:p>
        </w:tc>
        <w:tc>
          <w:tcPr>
            <w:tcW w:w="72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Benchmarking</w:t>
              </w:r>
            </w:hyperlink>
          </w:p>
        </w:tc>
        <w:tc>
          <w:tcPr>
            <w:tcW w:w="9480" w:type="dxa"/>
            <w:vAlign w:val="bottom"/>
            <w:gridSpan w:val="4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Elements of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5"/>
              </w:rPr>
            </w:pPr>
            <w:hyperlink w:anchor="page39">
              <w:r>
                <w:rPr>
                  <w:rFonts w:ascii="Arial" w:cs="Arial" w:eastAsia="Arial" w:hAnsi="Arial"/>
                  <w:sz w:val="18"/>
                  <w:szCs w:val="18"/>
                  <w:b w:val="1"/>
                  <w:bCs w:val="1"/>
                  <w:color w:val="0000EE"/>
                  <w:w w:val="85"/>
                </w:rPr>
                <w:t>Fiscal 2014 Compensation Developments</w:t>
              </w:r>
            </w:hyperlink>
          </w:p>
        </w:tc>
        <w:tc>
          <w:tcPr>
            <w:tcW w:w="75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Change in Control Benefits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6"/>
              </w:rPr>
            </w:pPr>
            <w:hyperlink w:anchor="page40">
              <w:r>
                <w:rPr>
                  <w:rFonts w:ascii="Arial" w:cs="Arial" w:eastAsia="Arial" w:hAnsi="Arial"/>
                  <w:sz w:val="18"/>
                  <w:szCs w:val="18"/>
                  <w:b w:val="1"/>
                  <w:bCs w:val="1"/>
                  <w:color w:val="0000EE"/>
                  <w:w w:val="86"/>
                </w:rPr>
                <w:t>Stock Ownership Guidelines</w:t>
              </w:r>
            </w:hyperlink>
          </w:p>
        </w:tc>
        <w:tc>
          <w:tcPr>
            <w:tcW w:w="846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Limitations on Tax Deductibility of Compensation</w:t>
              </w:r>
            </w:hyperlink>
          </w:p>
        </w:tc>
        <w:tc>
          <w:tcPr>
            <w:tcW w:w="68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EXECUTIVE COMPENSATION</w:t>
              </w:r>
            </w:hyperlink>
          </w:p>
        </w:tc>
        <w:tc>
          <w:tcPr>
            <w:tcW w:w="850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w w:val="90"/>
              </w:rPr>
            </w:pPr>
            <w:hyperlink w:anchor="page43">
              <w:r>
                <w:rPr>
                  <w:rFonts w:ascii="Arial" w:cs="Arial" w:eastAsia="Arial" w:hAnsi="Arial"/>
                  <w:sz w:val="18"/>
                  <w:szCs w:val="18"/>
                  <w:b w:val="1"/>
                  <w:bCs w:val="1"/>
                  <w:color w:val="0000EE"/>
                  <w:w w:val="90"/>
                </w:rPr>
                <w:t>Grants of Plan-Based Awards</w:t>
              </w:r>
            </w:hyperlink>
          </w:p>
        </w:tc>
        <w:tc>
          <w:tcPr>
            <w:tcW w:w="828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Outstanding Equity Awards at Fiscal Year-End</w:t>
              </w:r>
            </w:hyperlink>
          </w:p>
        </w:tc>
        <w:tc>
          <w:tcPr>
            <w:tcW w:w="70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85"/>
              </w:rPr>
            </w:pPr>
            <w:hyperlink w:anchor="page47">
              <w:r>
                <w:rPr>
                  <w:rFonts w:ascii="Arial" w:cs="Arial" w:eastAsia="Arial" w:hAnsi="Arial"/>
                  <w:sz w:val="18"/>
                  <w:szCs w:val="18"/>
                  <w:b w:val="1"/>
                  <w:bCs w:val="1"/>
                  <w:color w:val="0000EE"/>
                  <w:w w:val="85"/>
                </w:rPr>
                <w:t>Option Exercises and Stock Vested</w:t>
              </w:r>
            </w:hyperlink>
          </w:p>
        </w:tc>
        <w:tc>
          <w:tcPr>
            <w:tcW w:w="80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88"/>
              </w:rPr>
            </w:pPr>
            <w:hyperlink w:anchor="page48">
              <w:r>
                <w:rPr>
                  <w:rFonts w:ascii="Arial" w:cs="Arial" w:eastAsia="Arial" w:hAnsi="Arial"/>
                  <w:sz w:val="18"/>
                  <w:szCs w:val="18"/>
                  <w:b w:val="1"/>
                  <w:bCs w:val="1"/>
                  <w:color w:val="0000EE"/>
                  <w:w w:val="88"/>
                </w:rPr>
                <w:t>Nonqualified Deferred Compensation in FY 2013</w:t>
              </w:r>
            </w:hyperlink>
          </w:p>
        </w:tc>
        <w:tc>
          <w:tcPr>
            <w:tcW w:w="69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96"/>
        </w:trPr>
        <w:tc>
          <w:tcPr>
            <w:tcW w:w="11040" w:type="dxa"/>
            <w:vAlign w:val="bottom"/>
            <w:gridSpan w:val="49"/>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POTENTIAL PAYMENTS UPON TERMINATION OR CHANGE IN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00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Payments Made Upon Any Termination</w:t>
              </w:r>
            </w:hyperlink>
          </w:p>
        </w:tc>
        <w:tc>
          <w:tcPr>
            <w:tcW w:w="2760" w:type="dxa"/>
            <w:vAlign w:val="bottom"/>
            <w:tcBorders>
              <w:top w:val="single" w:sz="8" w:color="0000EE"/>
            </w:tcBorders>
            <w:gridSpan w:val="15"/>
          </w:tcPr>
          <w:p>
            <w:pPr>
              <w:spacing w:after="0"/>
              <w:rPr>
                <w:sz w:val="17"/>
                <w:szCs w:val="17"/>
                <w:color w:val="auto"/>
              </w:rPr>
            </w:pPr>
          </w:p>
        </w:tc>
        <w:tc>
          <w:tcPr>
            <w:tcW w:w="48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7"/>
              </w:rPr>
            </w:pPr>
            <w:hyperlink w:anchor="page52">
              <w:r>
                <w:rPr>
                  <w:rFonts w:ascii="Arial" w:cs="Arial" w:eastAsia="Arial" w:hAnsi="Arial"/>
                  <w:sz w:val="18"/>
                  <w:szCs w:val="18"/>
                  <w:b w:val="1"/>
                  <w:bCs w:val="1"/>
                  <w:color w:val="0000EE"/>
                  <w:w w:val="97"/>
                </w:rPr>
                <w:t>STOCK OWNERSHIP</w:t>
              </w:r>
            </w:hyperlink>
          </w:p>
        </w:tc>
        <w:tc>
          <w:tcPr>
            <w:tcW w:w="928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Certain Beneficial Owners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7"/>
              </w:rPr>
            </w:pPr>
            <w:hyperlink w:anchor="page53">
              <w:r>
                <w:rPr>
                  <w:rFonts w:ascii="Arial" w:cs="Arial" w:eastAsia="Arial" w:hAnsi="Arial"/>
                  <w:sz w:val="18"/>
                  <w:szCs w:val="18"/>
                  <w:b w:val="1"/>
                  <w:bCs w:val="1"/>
                  <w:color w:val="0000EE"/>
                  <w:w w:val="87"/>
                </w:rPr>
                <w:t>Related Party Transactions</w:t>
              </w:r>
            </w:hyperlink>
          </w:p>
        </w:tc>
        <w:tc>
          <w:tcPr>
            <w:tcW w:w="854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38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87"/>
              </w:rPr>
            </w:pPr>
            <w:hyperlink w:anchor="page54">
              <w:r>
                <w:rPr>
                  <w:rFonts w:ascii="Arial" w:cs="Arial" w:eastAsia="Arial" w:hAnsi="Arial"/>
                  <w:sz w:val="18"/>
                  <w:szCs w:val="18"/>
                  <w:b w:val="1"/>
                  <w:bCs w:val="1"/>
                  <w:color w:val="0000EE"/>
                  <w:w w:val="87"/>
                </w:rPr>
                <w:t>Section 16(a) Beneficial Ownership Reporting Compliance</w:t>
              </w:r>
            </w:hyperlink>
          </w:p>
        </w:tc>
        <w:tc>
          <w:tcPr>
            <w:tcW w:w="62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Code of Conduct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48"/>
          </w:tcPr>
          <w:p>
            <w:pPr>
              <w:spacing w:after="0" w:line="196" w:lineRule="exact"/>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PROPOSAL NO. 2: ADVISORY VOTE ON COMPENSATION OF OUR NAMED EXECUTIVE OFFICERS</w:t>
              </w:r>
            </w:hyperlink>
          </w:p>
        </w:tc>
        <w:tc>
          <w:tcPr>
            <w:tcW w:w="2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86"/>
              </w:rPr>
            </w:pPr>
            <w:hyperlink w:anchor="page55">
              <w:r>
                <w:rPr>
                  <w:rFonts w:ascii="Arial" w:cs="Arial" w:eastAsia="Arial" w:hAnsi="Arial"/>
                  <w:sz w:val="18"/>
                  <w:szCs w:val="18"/>
                  <w:b w:val="1"/>
                  <w:bCs w:val="1"/>
                  <w:color w:val="0000EE"/>
                  <w:w w:val="86"/>
                </w:rPr>
                <w:t>Recommendation of the Board</w:t>
              </w:r>
            </w:hyperlink>
          </w:p>
        </w:tc>
        <w:tc>
          <w:tcPr>
            <w:tcW w:w="83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196"/>
        </w:trPr>
        <w:tc>
          <w:tcPr>
            <w:tcW w:w="11040" w:type="dxa"/>
            <w:vAlign w:val="bottom"/>
            <w:gridSpan w:val="49"/>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PROPOSAL NO. 3: APPROVAL OF OUR AMENDED AND RESTATED INCENTIVE PLAN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46"/>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Overview</w:t>
              </w:r>
            </w:hyperlink>
          </w:p>
        </w:tc>
        <w:tc>
          <w:tcPr>
            <w:tcW w:w="3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Share Summary and Historical Award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4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Summary of the 2013 Plan</w:t>
              </w:r>
            </w:hyperlink>
          </w:p>
        </w:tc>
        <w:tc>
          <w:tcPr>
            <w:tcW w:w="6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5"/>
              </w:rPr>
            </w:pPr>
            <w:hyperlink w:anchor="page61">
              <w:r>
                <w:rPr>
                  <w:rFonts w:ascii="Arial" w:cs="Arial" w:eastAsia="Arial" w:hAnsi="Arial"/>
                  <w:sz w:val="18"/>
                  <w:szCs w:val="18"/>
                  <w:b w:val="1"/>
                  <w:bCs w:val="1"/>
                  <w:color w:val="0000EE"/>
                  <w:w w:val="85"/>
                </w:rPr>
                <w:t>Plan Benefits</w:t>
              </w:r>
            </w:hyperlink>
          </w:p>
        </w:tc>
        <w:tc>
          <w:tcPr>
            <w:tcW w:w="980" w:type="dxa"/>
            <w:vAlign w:val="bottom"/>
            <w:tcBorders>
              <w:top w:val="single" w:sz="8" w:color="0000EE"/>
            </w:tcBorders>
            <w:gridSpan w:val="11"/>
          </w:tcPr>
          <w:p>
            <w:pPr>
              <w:spacing w:after="0"/>
              <w:rPr>
                <w:sz w:val="17"/>
                <w:szCs w:val="17"/>
                <w:color w:val="auto"/>
              </w:rPr>
            </w:pPr>
          </w:p>
        </w:tc>
        <w:tc>
          <w:tcPr>
            <w:tcW w:w="862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8"/>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Equity Compensation Plan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b w:val="1"/>
                <w:bCs w:val="1"/>
                <w:color w:val="0000EE"/>
                <w:w w:val="86"/>
              </w:rPr>
            </w:pPr>
            <w:hyperlink w:anchor="page62">
              <w:r>
                <w:rPr>
                  <w:rFonts w:ascii="Arial" w:cs="Arial" w:eastAsia="Arial" w:hAnsi="Arial"/>
                  <w:sz w:val="18"/>
                  <w:szCs w:val="18"/>
                  <w:b w:val="1"/>
                  <w:bCs w:val="1"/>
                  <w:color w:val="0000EE"/>
                  <w:w w:val="86"/>
                </w:rPr>
                <w:t>Recommendation of the Board</w:t>
              </w:r>
            </w:hyperlink>
          </w:p>
        </w:tc>
        <w:tc>
          <w:tcPr>
            <w:tcW w:w="680" w:type="dxa"/>
            <w:vAlign w:val="bottom"/>
            <w:tcBorders>
              <w:top w:val="single" w:sz="8" w:color="0000EE"/>
            </w:tcBorders>
            <w:gridSpan w:val="5"/>
          </w:tcPr>
          <w:p>
            <w:pPr>
              <w:spacing w:after="0"/>
              <w:rPr>
                <w:sz w:val="17"/>
                <w:szCs w:val="17"/>
                <w:color w:val="auto"/>
              </w:rPr>
            </w:pPr>
          </w:p>
        </w:tc>
        <w:tc>
          <w:tcPr>
            <w:tcW w:w="762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gridSpan w:val="11"/>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NO. 4: APPROVAL OF EXPECTED APPOINTMENT OF INDEPENDENT AUDITORS</w:t>
              </w:r>
            </w:hyperlink>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196"/>
        </w:trPr>
        <w:tc>
          <w:tcPr>
            <w:tcW w:w="44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General</w:t>
              </w:r>
            </w:hyperlink>
          </w:p>
        </w:tc>
        <w:tc>
          <w:tcPr>
            <w:tcW w:w="172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6"/>
              </w:rPr>
            </w:pPr>
            <w:hyperlink w:anchor="page63">
              <w:r>
                <w:rPr>
                  <w:rFonts w:ascii="Arial" w:cs="Arial" w:eastAsia="Arial" w:hAnsi="Arial"/>
                  <w:sz w:val="18"/>
                  <w:szCs w:val="18"/>
                  <w:b w:val="1"/>
                  <w:bCs w:val="1"/>
                  <w:color w:val="0000EE"/>
                  <w:w w:val="86"/>
                </w:rPr>
                <w:t>Recommendation of the Board</w:t>
              </w:r>
            </w:hyperlink>
          </w:p>
        </w:tc>
        <w:tc>
          <w:tcPr>
            <w:tcW w:w="6700" w:type="dxa"/>
            <w:vAlign w:val="bottom"/>
            <w:gridSpan w:val="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w:t>
            </w:r>
          </w:p>
        </w:tc>
      </w:tr>
      <w:tr>
        <w:trPr>
          <w:trHeight w:val="196"/>
        </w:trPr>
        <w:tc>
          <w:tcPr>
            <w:tcW w:w="53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RELATIONSHIP WITH INDEPENDENT PUBLIC ACCOUNTANTS</w:t>
              </w:r>
            </w:hyperlink>
          </w:p>
        </w:tc>
        <w:tc>
          <w:tcPr>
            <w:tcW w:w="4140" w:type="dxa"/>
            <w:vAlign w:val="bottom"/>
            <w:gridSpan w:val="4"/>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w:t>
            </w:r>
          </w:p>
        </w:tc>
      </w:tr>
      <w:tr>
        <w:trPr>
          <w:trHeight w:val="196"/>
        </w:trPr>
        <w:tc>
          <w:tcPr>
            <w:tcW w:w="25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AUDIT COMMITTEE REPORT</w:t>
              </w:r>
            </w:hyperlink>
          </w:p>
        </w:tc>
        <w:tc>
          <w:tcPr>
            <w:tcW w:w="6920" w:type="dxa"/>
            <w:vAlign w:val="bottom"/>
            <w:gridSpan w:val="8"/>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w:t>
            </w:r>
          </w:p>
        </w:tc>
      </w:tr>
      <w:tr>
        <w:trPr>
          <w:trHeight w:val="196"/>
        </w:trPr>
        <w:tc>
          <w:tcPr>
            <w:tcW w:w="68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8"/>
              </w:rPr>
            </w:pPr>
            <w:hyperlink w:anchor="page65">
              <w:r>
                <w:rPr>
                  <w:rFonts w:ascii="Arial" w:cs="Arial" w:eastAsia="Arial" w:hAnsi="Arial"/>
                  <w:sz w:val="18"/>
                  <w:szCs w:val="18"/>
                  <w:b w:val="1"/>
                  <w:bCs w:val="1"/>
                  <w:color w:val="0000EE"/>
                  <w:w w:val="98"/>
                </w:rPr>
                <w:t>OTHER MATTERS WHICH MAY BE PRESENTED FOR ACTION AT THE MEETING</w:t>
              </w:r>
            </w:hyperlink>
          </w:p>
        </w:tc>
        <w:tc>
          <w:tcPr>
            <w:tcW w:w="2640" w:type="dxa"/>
            <w:vAlign w:val="bottom"/>
            <w:gridSpan w:val="2"/>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9440" w:type="dxa"/>
            <w:vAlign w:val="bottom"/>
            <w:gridSpan w:val="11"/>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DELIVERY OF DOCUMENTS TO STOCKHOLDERS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20"/>
        </w:trPr>
        <w:tc>
          <w:tcPr>
            <w:tcW w:w="4200" w:type="dxa"/>
            <w:vAlign w:val="bottom"/>
            <w:gridSpan w:val="5"/>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7"/>
              </w:rPr>
            </w:pPr>
            <w:hyperlink w:anchor="page65">
              <w:r>
                <w:rPr>
                  <w:rFonts w:ascii="Arial" w:cs="Arial" w:eastAsia="Arial" w:hAnsi="Arial"/>
                  <w:sz w:val="18"/>
                  <w:szCs w:val="18"/>
                  <w:b w:val="1"/>
                  <w:bCs w:val="1"/>
                  <w:color w:val="0000EE"/>
                  <w:w w:val="97"/>
                </w:rPr>
                <w:t>DEADLINE FOR RECEIPT OF STOCKHOLDER PROPOSALS</w:t>
              </w:r>
            </w:hyperlink>
          </w:p>
        </w:tc>
        <w:tc>
          <w:tcPr>
            <w:tcW w:w="4460" w:type="dxa"/>
            <w:vAlign w:val="bottom"/>
            <w:gridSpan w:val="5"/>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304"/>
        </w:trPr>
        <w:tc>
          <w:tcPr>
            <w:tcW w:w="9440" w:type="dxa"/>
            <w:vAlign w:val="bottom"/>
            <w:gridSpan w:val="11"/>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Appendix A: Eagle Materials Inc. Amended and Restated Incentive Plan</w:t>
              </w:r>
            </w:hyperlink>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0"/>
        </w:trPr>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75219-4487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2013 annual meeting of our stockholders will be held at Arlington Hall at Lee Park, 3333 Turtle Creek Blvd., Dallas, Texas 75219 at 8:00 a.m., local time, on Wednesday, August 7,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90" w:lineRule="exact"/>
        <w:rPr>
          <w:sz w:val="20"/>
          <w:szCs w:val="20"/>
          <w:color w:val="auto"/>
        </w:rPr>
      </w:pPr>
    </w:p>
    <w:p>
      <w:pPr>
        <w:ind w:left="900" w:right="1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three Class 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119" w:lineRule="exact"/>
        <w:rPr>
          <w:sz w:val="20"/>
          <w:szCs w:val="20"/>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 advisory resolution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named executive officers as reported in this proxy statement.</w:t>
      </w:r>
    </w:p>
    <w:p>
      <w:pPr>
        <w:spacing w:after="0" w:line="45" w:lineRule="exact"/>
        <w:rPr>
          <w:sz w:val="20"/>
          <w:szCs w:val="20"/>
          <w:color w:val="auto"/>
        </w:rPr>
      </w:pPr>
    </w:p>
    <w:p>
      <w:pPr>
        <w:ind w:left="920" w:right="34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45" w:lineRule="exact"/>
        <w:rPr>
          <w:sz w:val="20"/>
          <w:szCs w:val="20"/>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Approval of our Amended and Restated Incentive Plan. </w:t>
      </w:r>
      <w:r>
        <w:rPr>
          <w:rFonts w:ascii="Arial" w:cs="Arial" w:eastAsia="Arial" w:hAnsi="Arial"/>
          <w:sz w:val="18"/>
          <w:szCs w:val="18"/>
          <w:color w:val="auto"/>
        </w:rPr>
        <w:t>We are asking you to approve our Amended and Restated Incentive Plan,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“2013 Plan.”</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Our Board of Directors recommends that you vote “for” the approval of the 2013 Plan.</w:t>
      </w:r>
    </w:p>
    <w:p>
      <w:pPr>
        <w:spacing w:after="0" w:line="96" w:lineRule="exact"/>
        <w:rPr>
          <w:sz w:val="20"/>
          <w:szCs w:val="20"/>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by our Audit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LLP as the Company’s independent auditors for the fiscal year ending March 31, 2014.</w:t>
      </w:r>
    </w:p>
    <w:p>
      <w:pPr>
        <w:spacing w:after="0" w:line="45"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2014.</w:t>
      </w:r>
    </w:p>
    <w:p>
      <w:pPr>
        <w:spacing w:after="0" w:line="45" w:lineRule="exact"/>
        <w:rPr>
          <w:sz w:val="20"/>
          <w:szCs w:val="20"/>
          <w:color w:val="auto"/>
        </w:rPr>
      </w:pPr>
    </w:p>
    <w:p>
      <w:pPr>
        <w:ind w:left="900" w:right="8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(4) above.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7, 2013.</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2013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10, 2013. In this proxy statement, we refer to this date as the “record date.” As of the record date, there were 49,553,441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9" w:right="239" w:bottom="1440" w:gutter="0" w:footer="0" w:header="0"/>
        </w:sectPr>
      </w:pPr>
    </w:p>
    <w:p>
      <w:pPr>
        <w:spacing w:after="0" w:line="31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55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Election of Directors</w:t>
      </w:r>
    </w:p>
    <w:p>
      <w:pPr>
        <w:spacing w:after="0" w:line="11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Approval of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Approval of the expected appointment of Ernst &amp; Young LLP as our independent auditors for the fiscal year ending March 31, 2014</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0840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Majority of votes 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Majority of votes cast</w:t>
      </w:r>
    </w:p>
    <w:p>
      <w:pPr>
        <w:spacing w:after="0" w:line="33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Affirmative vote of a majority of votes cast; provided, that the votes cast represent over 50% of our outstanding Common Stock entitled to vote on the proposal (“NYSE Voting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Affirmative vote of a majority of the shares of Common Stock present in person or represented by proxy at the meeting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 of Abstentions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775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 effect on outcome of vote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 effect on outcome of vote</w:t>
      </w:r>
    </w:p>
    <w:p>
      <w:pPr>
        <w:spacing w:after="0" w:line="3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Abstentions will have the same effect as votes against proposal. Broker non-votes will not be counted as votes cast on this matter; accordingly, broker non-votes will make it more difficult for the NYSE Voting Requirement to be achieved, but if the NYSE Voting Requirement is achieved, they will have no effect on the outcome of the vote.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Same effect as votes against proposal</w:t>
      </w:r>
    </w:p>
    <w:p>
      <w:pPr>
        <w:spacing w:after="0" w:line="626" w:lineRule="exact"/>
        <w:rPr>
          <w:sz w:val="20"/>
          <w:szCs w:val="20"/>
          <w:color w:val="auto"/>
        </w:rPr>
      </w:pPr>
    </w:p>
    <w:p>
      <w:pPr>
        <w:sectPr>
          <w:pgSz w:w="11900" w:h="16838" w:orient="portrait"/>
          <w:cols w:equalWidth="0" w:num="3">
            <w:col w:w="4020" w:space="720"/>
            <w:col w:w="3260" w:space="620"/>
            <w:col w:w="2800"/>
          </w:cols>
          <w:pgMar w:left="240" w:top="459" w:right="239" w:bottom="1440" w:gutter="0" w:footer="0" w:header="0"/>
          <w:type w:val="continuous"/>
        </w:sectPr>
      </w:pPr>
    </w:p>
    <w:p>
      <w:pPr>
        <w:jc w:val="both"/>
        <w:ind w:right="100" w:firstLine="456"/>
        <w:spacing w:after="0" w:line="256" w:lineRule="auto"/>
        <w:rPr>
          <w:sz w:val="20"/>
          <w:szCs w:val="20"/>
          <w:color w:val="auto"/>
        </w:rPr>
      </w:pPr>
      <w:r>
        <w:rPr>
          <w:rFonts w:ascii="Arial" w:cs="Arial" w:eastAsia="Arial" w:hAnsi="Arial"/>
          <w:sz w:val="18"/>
          <w:szCs w:val="18"/>
          <w:color w:val="auto"/>
        </w:rPr>
        <w:t>In the past, brokers had discretion to vote in the election of directors if they did not receive instructions from the beneficial owner. Due to a change in the rules of the NYSE, the election of directors is no longer considered a “routine” matter and thus brokers no longer have this discretionary authority. The advisory vote regarding executive compensation and the approval of the 2013 Plan are also not considered “routine,” and brokers may not vote your shares with respect to such matters without instructions from you.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ectPr>
          <w:pgSz w:w="11900" w:h="16838" w:orient="portrait"/>
          <w:cols w:equalWidth="0" w:num="1">
            <w:col w:w="11420"/>
          </w:cols>
          <w:pgMar w:left="240" w:top="459" w:right="239" w:bottom="1440" w:gutter="0" w:footer="0" w:header="0"/>
          <w:type w:val="continuous"/>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459"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we have three Class I directors, three Class II directors and three Class III directors. Our Board has determined that the Board shall consist of nine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composition of our Board after the annual meeting, assuming the election of the proposed slate of director nominees:</w:t>
      </w:r>
    </w:p>
    <w:p>
      <w:pPr>
        <w:sectPr>
          <w:pgSz w:w="11900" w:h="16838" w:orient="portrait"/>
          <w:cols w:equalWidth="0" w:num="1">
            <w:col w:w="11260"/>
          </w:cols>
          <w:pgMar w:left="240" w:top="459" w:right="39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Class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Class I</w:t>
      </w:r>
      <w:r>
        <w:rPr>
          <w:rFonts w:ascii="Arial" w:cs="Arial" w:eastAsia="Arial" w:hAnsi="Arial"/>
          <w:sz w:val="15"/>
          <w:szCs w:val="15"/>
          <w:color w:val="auto"/>
        </w:rPr>
        <w:t>: Term expires at the 2016 annual</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meeting and every three years thereafter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right"/>
        <w:ind w:right="2260"/>
        <w:spacing w:after="0"/>
        <w:rPr>
          <w:sz w:val="20"/>
          <w:szCs w:val="20"/>
          <w:color w:val="auto"/>
        </w:rPr>
      </w:pPr>
      <w:r>
        <w:rPr>
          <w:rFonts w:ascii="Arial" w:cs="Arial" w:eastAsia="Arial" w:hAnsi="Arial"/>
          <w:sz w:val="14"/>
          <w:szCs w:val="14"/>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L. Clarke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Martin M. Ellen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Rowley</w:t>
      </w:r>
    </w:p>
    <w:p>
      <w:pPr>
        <w:spacing w:after="0" w:line="124" w:lineRule="exact"/>
        <w:rPr>
          <w:sz w:val="20"/>
          <w:szCs w:val="20"/>
          <w:color w:val="auto"/>
        </w:rPr>
      </w:pPr>
    </w:p>
    <w:p>
      <w:pPr>
        <w:sectPr>
          <w:pgSz w:w="11900" w:h="16838" w:orient="portrait"/>
          <w:cols w:equalWidth="0" w:num="2">
            <w:col w:w="5340" w:space="720"/>
            <w:col w:w="5200"/>
          </w:cols>
          <w:pgMar w:left="240" w:top="459" w:right="39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i w:val="1"/>
          <w:iCs w:val="1"/>
          <w:color w:val="auto"/>
        </w:rPr>
        <w:t xml:space="preserve">Class II: </w:t>
      </w:r>
      <w:r>
        <w:rPr>
          <w:rFonts w:ascii="Arial" w:cs="Arial" w:eastAsia="Arial" w:hAnsi="Arial"/>
          <w:sz w:val="18"/>
          <w:szCs w:val="18"/>
          <w:color w:val="auto"/>
        </w:rPr>
        <w:t>Term expires at the 2014 annual</w:t>
      </w:r>
      <w:r>
        <w:rPr>
          <w:sz w:val="20"/>
          <w:szCs w:val="20"/>
          <w:color w:val="auto"/>
        </w:rPr>
        <w:tab/>
      </w:r>
      <w:r>
        <w:rPr>
          <w:rFonts w:ascii="Arial" w:cs="Arial" w:eastAsia="Arial" w:hAnsi="Arial"/>
          <w:sz w:val="15"/>
          <w:szCs w:val="15"/>
          <w:color w:val="auto"/>
        </w:rPr>
        <w:t>Laurence E. Hirsch</w:t>
      </w:r>
    </w:p>
    <w:p>
      <w:pPr>
        <w:spacing w:after="0" w:line="1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meeting and every three years thereafter</w:t>
      </w:r>
      <w:r>
        <w:rPr>
          <w:sz w:val="20"/>
          <w:szCs w:val="20"/>
          <w:color w:val="auto"/>
        </w:rPr>
        <w:tab/>
      </w:r>
      <w:r>
        <w:rPr>
          <w:rFonts w:ascii="Arial" w:cs="Arial" w:eastAsia="Arial" w:hAnsi="Arial"/>
          <w:sz w:val="16"/>
          <w:szCs w:val="16"/>
          <w:color w:val="auto"/>
        </w:rPr>
        <w:t>Michael R. Nicolais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R. Stewart</w:t>
      </w:r>
    </w:p>
    <w:p>
      <w:pPr>
        <w:spacing w:after="0" w:line="12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i w:val="1"/>
          <w:iCs w:val="1"/>
          <w:color w:val="auto"/>
        </w:rPr>
        <w:t xml:space="preserve">Class III: </w:t>
      </w:r>
      <w:r>
        <w:rPr>
          <w:rFonts w:ascii="Arial" w:cs="Arial" w:eastAsia="Arial" w:hAnsi="Arial"/>
          <w:sz w:val="18"/>
          <w:szCs w:val="18"/>
          <w:color w:val="auto"/>
        </w:rPr>
        <w:t>Term expires at the 2015 annual</w:t>
      </w:r>
      <w:r>
        <w:rPr>
          <w:sz w:val="20"/>
          <w:szCs w:val="20"/>
          <w:color w:val="auto"/>
        </w:rPr>
        <w:tab/>
      </w:r>
      <w:r>
        <w:rPr>
          <w:rFonts w:ascii="Arial" w:cs="Arial" w:eastAsia="Arial" w:hAnsi="Arial"/>
          <w:sz w:val="16"/>
          <w:szCs w:val="16"/>
          <w:color w:val="auto"/>
        </w:rPr>
        <w:t>F. William Barnett</w:t>
      </w:r>
    </w:p>
    <w:p>
      <w:pPr>
        <w:spacing w:after="0" w:line="1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meeting and every three years thereafter</w:t>
      </w:r>
      <w:r>
        <w:rPr>
          <w:sz w:val="20"/>
          <w:szCs w:val="20"/>
          <w:color w:val="auto"/>
        </w:rPr>
        <w:tab/>
      </w:r>
      <w:r>
        <w:rPr>
          <w:rFonts w:ascii="Arial" w:cs="Arial" w:eastAsia="Arial" w:hAnsi="Arial"/>
          <w:sz w:val="16"/>
          <w:szCs w:val="16"/>
          <w:color w:val="auto"/>
        </w:rPr>
        <w:t>Ed H. Bowman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W. Quinn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eight of our nine directors are “independent,” our Board of Directors considered the following facts:</w:t>
      </w:r>
    </w:p>
    <w:p>
      <w:pPr>
        <w:spacing w:after="0" w:line="90"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F. William Barnett, Ed H. Bowman, Robert L. Clarke, Martin M. Ellen and Richard R. Stewart have no relationship with the Company that potentially affects their independence.</w:t>
      </w:r>
    </w:p>
    <w:p>
      <w:pPr>
        <w:spacing w:after="0" w:line="5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62"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five years since Mr. Hirsch retired from Centex or served as an officer of the Company on an interim basis, and in light of the absence of any other material relationship with the Company (other than as a director of the Company), our Board of Directors has determined that Mr. Hirsch has no material relationship with the Company.</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8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(with Mr. Clarke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Although each of the nominees is standing for election to a three-year term, Mr. Clarke may (if elected) retire from the Board before the completion of his full term in accordance with the Company’s director retirement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 directors for a three-year term ending at our 2016 annual meeting of stockholders: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 Clarke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 Ellen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Steven R. Rowley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below is information about the nominees standing for election at our 2013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jc w:val="center"/>
              <w:ind w:right="2822"/>
              <w:spacing w:after="0"/>
              <w:rPr>
                <w:sz w:val="20"/>
                <w:szCs w:val="20"/>
                <w:color w:val="auto"/>
              </w:rPr>
            </w:pPr>
            <w:r>
              <w:rPr>
                <w:rFonts w:ascii="Arial" w:cs="Arial" w:eastAsia="Arial" w:hAnsi="Arial"/>
                <w:sz w:val="18"/>
                <w:szCs w:val="18"/>
                <w:b w:val="1"/>
                <w:bCs w:val="1"/>
                <w:color w:val="auto"/>
                <w:w w:val="89"/>
              </w:rPr>
              <w:t>Nominees for Director Whose Terms Expire at our 2013 Annual Meeting</w:t>
            </w:r>
          </w:p>
        </w:tc>
      </w:tr>
      <w:tr>
        <w:trPr>
          <w:trHeight w:val="228"/>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60" w:type="dxa"/>
            <w:vAlign w:val="bottom"/>
          </w:tcPr>
          <w:p>
            <w:pPr>
              <w:jc w:val="center"/>
              <w:ind w:right="3182"/>
              <w:spacing w:after="0"/>
              <w:rPr>
                <w:sz w:val="20"/>
                <w:szCs w:val="20"/>
                <w:color w:val="auto"/>
              </w:rPr>
            </w:pPr>
            <w:r>
              <w:rPr>
                <w:rFonts w:ascii="Arial" w:cs="Arial" w:eastAsia="Arial" w:hAnsi="Arial"/>
                <w:sz w:val="18"/>
                <w:szCs w:val="18"/>
                <w:b w:val="1"/>
                <w:bCs w:val="1"/>
                <w:color w:val="auto"/>
                <w:w w:val="89"/>
              </w:rPr>
              <w:t>(Class I Directors)</w:t>
            </w:r>
          </w:p>
        </w:tc>
      </w:tr>
      <w:tr>
        <w:trPr>
          <w:trHeight w:val="340"/>
        </w:trPr>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340" w:type="dxa"/>
            <w:vAlign w:val="bottom"/>
          </w:tcPr>
          <w:p>
            <w:pPr>
              <w:spacing w:after="0"/>
              <w:rPr>
                <w:sz w:val="24"/>
                <w:szCs w:val="24"/>
                <w:color w:val="auto"/>
              </w:rPr>
            </w:pPr>
          </w:p>
        </w:tc>
        <w:tc>
          <w:tcPr>
            <w:tcW w:w="8160" w:type="dxa"/>
            <w:vAlign w:val="bottom"/>
          </w:tcPr>
          <w:p>
            <w:pPr>
              <w:jc w:val="center"/>
              <w:spacing w:after="0"/>
              <w:rPr>
                <w:sz w:val="20"/>
                <w:szCs w:val="20"/>
                <w:color w:val="auto"/>
              </w:rPr>
            </w:pPr>
            <w:r>
              <w:rPr>
                <w:rFonts w:ascii="Arial" w:cs="Arial" w:eastAsia="Arial" w:hAnsi="Arial"/>
                <w:sz w:val="14"/>
                <w:szCs w:val="14"/>
                <w:b w:val="1"/>
                <w:bCs w:val="1"/>
                <w:color w:val="auto"/>
                <w:w w:val="86"/>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4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Elected</w:t>
            </w:r>
          </w:p>
        </w:tc>
        <w:tc>
          <w:tcPr>
            <w:tcW w:w="340" w:type="dxa"/>
            <w:vAlign w:val="bottom"/>
          </w:tcPr>
          <w:p>
            <w:pPr>
              <w:spacing w:after="0"/>
              <w:rPr>
                <w:sz w:val="15"/>
                <w:szCs w:val="15"/>
                <w:color w:val="auto"/>
              </w:rPr>
            </w:pPr>
          </w:p>
        </w:tc>
        <w:tc>
          <w:tcPr>
            <w:tcW w:w="816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Directorships in Public Corporations and Investment Companies</w:t>
            </w:r>
          </w:p>
        </w:tc>
      </w:tr>
      <w:tr>
        <w:trPr>
          <w:trHeight w:val="195"/>
        </w:trPr>
        <w:tc>
          <w:tcPr>
            <w:tcW w:w="18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Robert L. Clarke</w:t>
            </w: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70</w:t>
            </w:r>
          </w:p>
        </w:tc>
        <w:tc>
          <w:tcPr>
            <w:tcW w:w="3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1994</w:t>
            </w:r>
          </w:p>
        </w:tc>
        <w:tc>
          <w:tcPr>
            <w:tcW w:w="340" w:type="dxa"/>
            <w:vAlign w:val="bottom"/>
          </w:tcPr>
          <w:p>
            <w:pPr>
              <w:spacing w:after="0"/>
              <w:rPr>
                <w:sz w:val="16"/>
                <w:szCs w:val="16"/>
                <w:color w:val="auto"/>
              </w:rPr>
            </w:pPr>
          </w:p>
        </w:tc>
        <w:tc>
          <w:tcPr>
            <w:tcW w:w="8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Mr. Clarke was a partner in the law firm of Bracewell &amp; Giuliani LLP (formerly known as Bracewell &amp; Patterson)</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1"/>
              </w:rPr>
              <w:t>from 1971 to December 1985, returned to the firm as a partner in March 1992 and currently is a senior partner in</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that firm. From December 1985 to February 1992, he was Comptroller of the Currency of the United States. Mr.</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7"/>
              </w:rPr>
              <w:t>Clarke is also a director of Stewart Information Services Corporation. Mr. Clarke is a member of the Audit</w:t>
            </w:r>
          </w:p>
        </w:tc>
      </w:tr>
      <w:tr>
        <w:trPr>
          <w:trHeight w:val="222"/>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Committee and Compensation Committee of our Board of Directors.</w:t>
            </w:r>
          </w:p>
        </w:tc>
      </w:tr>
      <w:tr>
        <w:trPr>
          <w:trHeight w:val="291"/>
        </w:trPr>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Mr. Clarke brings to the Board, the Audit Committee and the Compensation Committee extensive financial and</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9"/>
              </w:rPr>
              <w:t>legal experience and knowledge of corporate governance and financial oversight gained from his long legal career,</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his membership on the boards of other public companies and his service as Comptroller of the Currency of the</w:t>
            </w:r>
          </w:p>
        </w:tc>
      </w:tr>
      <w:tr>
        <w:trPr>
          <w:trHeight w:val="222"/>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United States.</w:t>
            </w:r>
          </w:p>
        </w:tc>
      </w:tr>
      <w:tr>
        <w:trPr>
          <w:trHeight w:val="331"/>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Martin M. Ellen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59</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0"/>
              </w:rPr>
              <w:t>Mr. Ellen was appointed to our Board in May 2013. Mr. Ellen has served as Chief Financial Officer and Executive</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Vice President at Dr Pepper Snapple Group, Inc. since April 2010. Mr. Ellen also served as the Chief Financial</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Officer and Senior Vice President—Finance of Snap-on Inc. from November 2002 to March 2010. Mr. Ellen is a</w:t>
            </w:r>
          </w:p>
        </w:tc>
      </w:tr>
      <w:tr>
        <w:trPr>
          <w:trHeight w:val="222"/>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certified public accountant and serves on our Audit Committee.</w:t>
            </w:r>
          </w:p>
        </w:tc>
      </w:tr>
      <w:tr>
        <w:trPr>
          <w:trHeight w:val="291"/>
        </w:trPr>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1"/>
              </w:rPr>
              <w:t>Mr. Ellen brings to the Board and the Audit Committee his extensive management, finance and audit experience</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9"/>
              </w:rPr>
              <w:t>gained from over 25 years serving as chief financial officer with public and private companies and prior experience</w:t>
            </w:r>
          </w:p>
        </w:tc>
      </w:tr>
      <w:tr>
        <w:trPr>
          <w:trHeight w:val="222"/>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with a major accounting firm.</w:t>
            </w:r>
          </w:p>
        </w:tc>
      </w:tr>
      <w:tr>
        <w:trPr>
          <w:trHeight w:val="331"/>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Steven R. Rowley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6"/>
              </w:rPr>
              <w:t>Mr. Rowley has been the Company’s President and Chief Executive Officer and a member of our Board of</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5"/>
              </w:rPr>
              <w:t>Directors since September 2003. Mr. Rowley is also a member of the Executive Committee of our Board of</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4"/>
              </w:rPr>
              <w:t>Directors. Mr. Rowley joined the Company in 1991 as a plant manager at its Nevada cement operations and</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0"/>
              </w:rPr>
              <w:t>subsequently became Executive Vice President of the Company’s Illinois Cement Company subsidiary in June of</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2"/>
              </w:rPr>
              <w:t>1995. Mr. Rowley was named the Company’s Executive Vice President-Cement in 1998. In 2001, Mr. Rowley’s</w:t>
            </w:r>
          </w:p>
        </w:tc>
      </w:tr>
      <w:tr>
        <w:trPr>
          <w:trHeight w:val="216"/>
        </w:trPr>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1"/>
              </w:rPr>
              <w:t>operational responsibilities were expanded to include concrete and aggregates. Mr. Rowley was the Company’s</w:t>
            </w:r>
          </w:p>
        </w:tc>
      </w:tr>
      <w:tr>
        <w:trPr>
          <w:trHeight w:val="222"/>
        </w:trPr>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 from October 2002 until September 2003.</w:t>
            </w:r>
          </w:p>
        </w:tc>
      </w:tr>
    </w:tbl>
    <w:p>
      <w:pPr>
        <w:spacing w:after="0" w:line="75" w:lineRule="exact"/>
        <w:rPr>
          <w:sz w:val="20"/>
          <w:szCs w:val="20"/>
          <w:color w:val="auto"/>
        </w:rPr>
      </w:pPr>
    </w:p>
    <w:p>
      <w:pPr>
        <w:ind w:left="3260" w:right="380"/>
        <w:spacing w:after="0" w:line="268" w:lineRule="auto"/>
        <w:rPr>
          <w:sz w:val="20"/>
          <w:szCs w:val="20"/>
          <w:color w:val="auto"/>
        </w:rPr>
      </w:pPr>
      <w:r>
        <w:rPr>
          <w:rFonts w:ascii="Arial" w:cs="Arial" w:eastAsia="Arial" w:hAnsi="Arial"/>
          <w:sz w:val="18"/>
          <w:szCs w:val="18"/>
          <w:color w:val="auto"/>
        </w:rPr>
        <w:t>Mr. Rowley brings to the Board his extensive executive and operations experience in the construction products industry, including over 20 years of service with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2014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320" w:type="dxa"/>
            <w:vAlign w:val="bottom"/>
          </w:tcPr>
          <w:p>
            <w:pPr>
              <w:spacing w:after="0"/>
              <w:rPr>
                <w:sz w:val="14"/>
                <w:szCs w:val="14"/>
                <w:color w:val="auto"/>
              </w:rPr>
            </w:pPr>
          </w:p>
        </w:tc>
        <w:tc>
          <w:tcPr>
            <w:tcW w:w="7940" w:type="dxa"/>
            <w:vAlign w:val="bottom"/>
          </w:tcPr>
          <w:p>
            <w:pPr>
              <w:jc w:val="center"/>
              <w:spacing w:after="0"/>
              <w:rPr>
                <w:sz w:val="20"/>
                <w:szCs w:val="20"/>
                <w:color w:val="auto"/>
              </w:rPr>
            </w:pPr>
            <w:r>
              <w:rPr>
                <w:rFonts w:ascii="Arial" w:cs="Arial" w:eastAsia="Arial" w:hAnsi="Arial"/>
                <w:sz w:val="14"/>
                <w:szCs w:val="14"/>
                <w:b w:val="1"/>
                <w:bCs w:val="1"/>
                <w:color w:val="auto"/>
                <w:w w:val="86"/>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40" w:type="dxa"/>
            <w:vAlign w:val="bottom"/>
          </w:tcPr>
          <w:p>
            <w:pPr>
              <w:spacing w:after="0"/>
              <w:rPr>
                <w:sz w:val="15"/>
                <w:szCs w:val="15"/>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Age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Elected</w:t>
            </w:r>
          </w:p>
        </w:tc>
        <w:tc>
          <w:tcPr>
            <w:tcW w:w="320" w:type="dxa"/>
            <w:vAlign w:val="bottom"/>
          </w:tcPr>
          <w:p>
            <w:pPr>
              <w:spacing w:after="0"/>
              <w:rPr>
                <w:sz w:val="15"/>
                <w:szCs w:val="15"/>
                <w:color w:val="auto"/>
              </w:rPr>
            </w:pPr>
          </w:p>
        </w:tc>
        <w:tc>
          <w:tcPr>
            <w:tcW w:w="794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Directorships in Public Corporations and Investment Companies</w:t>
            </w:r>
          </w:p>
        </w:tc>
      </w:tr>
      <w:tr>
        <w:trPr>
          <w:trHeight w:val="195"/>
        </w:trPr>
        <w:tc>
          <w:tcPr>
            <w:tcW w:w="20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Laurence E. Hirsch</w:t>
            </w:r>
          </w:p>
        </w:tc>
        <w:tc>
          <w:tcPr>
            <w:tcW w:w="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67</w:t>
            </w:r>
          </w:p>
        </w:tc>
        <w:tc>
          <w:tcPr>
            <w:tcW w:w="3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1985</w:t>
            </w:r>
          </w:p>
        </w:tc>
        <w:tc>
          <w:tcPr>
            <w:tcW w:w="320" w:type="dxa"/>
            <w:vAlign w:val="bottom"/>
          </w:tcPr>
          <w:p>
            <w:pPr>
              <w:spacing w:after="0"/>
              <w:rPr>
                <w:sz w:val="16"/>
                <w:szCs w:val="16"/>
                <w:color w:val="auto"/>
              </w:rPr>
            </w:pPr>
          </w:p>
        </w:tc>
        <w:tc>
          <w:tcPr>
            <w:tcW w:w="7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Mr. Hirsch is chairman of Highlander Partners, a private investment company. He has served as chairman of our</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1"/>
              </w:rPr>
              <w:t>Board of Directors from July 1999 to the present and also served in that capacity from January 1994 through</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3"/>
              </w:rPr>
              <w:t>December 1997. He was our interim Chief Executive Officer from April 2003 through September 2003. Mr.</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3"/>
              </w:rPr>
              <w:t>Hirsch is a member of the Executive Committee of our Board of Directors. Until his retirement on March 31,</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89"/>
              </w:rPr>
              <w:t>2004, Mr. Hirsch served Centex Corporation in various capacities, including as President beginning in 1985, as</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89"/>
              </w:rPr>
              <w:t>Chief Executive Officer beginning in July 1988 and as chairman of its board of directors beginning in July 1991.</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4"/>
              </w:rPr>
              <w:t>Mr. Hirsch served as a director of Belo Corp. from August 1999 through January 2008 and continued as a</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4"/>
              </w:rPr>
              <w:t>director of A. H. Belo until May 2011. Mr. Hirsch served as a director of the Federal Home Loan Mortgage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Corp. (Freddie Mac) from November 2009 until February 2012. Mr. Hirsch is currently Chairman of the Center</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rPr>
              <w:t>for European Policy Analysis.</w:t>
            </w:r>
          </w:p>
        </w:tc>
      </w:tr>
      <w:tr>
        <w:trPr>
          <w:trHeight w:val="291"/>
        </w:trPr>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Mr. Hirsch brings to the Board his extensive executive experience gained through his service as the CEO of a</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public company. In addition, Mr. Hirsch brings extensive knowledge of the Company through having served as</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our Chairman for nearly 20 years. Mr. Hirsch also brings valuable experience as an executive officer within the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construction products industry and his knowledge of corporate governance and financial oversight gained from</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rPr>
              <w:t>his membership on the boards of other public companies.</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In April 2004, Mr. Nicolais became president of Highlander Partners. From August 2002 until March 2004, Mr.</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Nicolais served as managing director of Stephens, Inc., an investment banking firm. Prior to joining Stephens,</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Inc., he was a partner in the private investment firm of Olivhan Investments, L.P. from March 2001 until August</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3"/>
              </w:rPr>
              <w:t>2002. From August 1986 to December 2000, he was employed by Donaldson, Lufkin &amp; Jenrette Securities</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1"/>
              </w:rPr>
              <w:t>Corporation’s Investment Banking Division, most recently in the position of Managing Director and co-head of</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that firm’s Dallas office. Mr. Nicolais has been a member of our Board of Directors since 2001. He also serves</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rPr>
              <w:t>as a member of the Compensation Committee and the Governance Committee.</w:t>
            </w:r>
          </w:p>
        </w:tc>
      </w:tr>
      <w:tr>
        <w:trPr>
          <w:trHeight w:val="291"/>
        </w:trPr>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1"/>
              </w:rPr>
              <w:t>Mr. Nicolais brings to the Board, the Governance Committee and the Compensation Committee his extensive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2"/>
              </w:rPr>
              <w:t>knowledge of capital markets, financial analysis and financial oversight gained through his experience as an</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rPr>
              <w:t>investment banker and investment manager.</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Richard R. Stewart</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2"/>
              </w:rPr>
              <w:t>From 1998 until 2006 Mr. Stewart served as President and CEO of GE Aero Energy, a division of GE Power</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color w:val="auto"/>
                <w:w w:val="90"/>
              </w:rPr>
              <w:t>Systems and as an officer of General Electric Company. Mr. Stewart retired from General Electric in 2006. Mr.</w:t>
            </w:r>
          </w:p>
        </w:tc>
      </w:tr>
    </w:tbl>
    <w:p>
      <w:pPr>
        <w:ind w:left="3480"/>
        <w:spacing w:after="0" w:line="281" w:lineRule="auto"/>
        <w:rPr>
          <w:sz w:val="20"/>
          <w:szCs w:val="20"/>
          <w:color w:val="auto"/>
        </w:rPr>
      </w:pPr>
      <w:r>
        <w:rPr>
          <w:rFonts w:ascii="Arial" w:cs="Arial" w:eastAsia="Arial" w:hAnsi="Arial"/>
          <w:sz w:val="16"/>
          <w:szCs w:val="16"/>
          <w:color w:val="auto"/>
        </w:rPr>
        <w:t>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became a director of Kirby Corporation in 2008 and a director of Lufkin Industries, Inc. in 2009. Mr.</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Stewart serves as chairman of the Compensation Committee of our Board of Directors.</w:t>
      </w:r>
    </w:p>
    <w:p>
      <w:pPr>
        <w:spacing w:after="0" w:line="84" w:lineRule="exact"/>
        <w:rPr>
          <w:sz w:val="20"/>
          <w:szCs w:val="20"/>
          <w:color w:val="auto"/>
        </w:rPr>
      </w:pPr>
    </w:p>
    <w:p>
      <w:pPr>
        <w:ind w:left="3480" w:right="180"/>
        <w:spacing w:after="0" w:line="256" w:lineRule="auto"/>
        <w:rPr>
          <w:sz w:val="20"/>
          <w:szCs w:val="20"/>
          <w:color w:val="auto"/>
        </w:rPr>
      </w:pPr>
      <w:r>
        <w:rPr>
          <w:rFonts w:ascii="Arial" w:cs="Arial" w:eastAsia="Arial" w:hAnsi="Arial"/>
          <w:sz w:val="18"/>
          <w:szCs w:val="18"/>
          <w:color w:val="auto"/>
        </w:rPr>
        <w:t>Mr. Stewart brings to the Board and the Compensation Committee his proven leadership and business experience as the former CEO of a manufacturing company. Mr. Stewart also brings corporate governance and compensation experience gained from membership on the boards of other public companies and as an officer with General Electric.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2015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 First</w:t>
            </w:r>
          </w:p>
        </w:tc>
        <w:tc>
          <w:tcPr>
            <w:tcW w:w="804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4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Elected</w:t>
            </w:r>
          </w:p>
        </w:tc>
        <w:tc>
          <w:tcPr>
            <w:tcW w:w="8040" w:type="dxa"/>
            <w:vAlign w:val="bottom"/>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195"/>
        </w:trPr>
        <w:tc>
          <w:tcPr>
            <w:tcW w:w="19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F. William Barnett</w:t>
            </w: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66</w:t>
            </w:r>
          </w:p>
        </w:tc>
        <w:tc>
          <w:tcPr>
            <w:tcW w:w="3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2003</w:t>
            </w:r>
          </w:p>
        </w:tc>
        <w:tc>
          <w:tcPr>
            <w:tcW w:w="340" w:type="dxa"/>
            <w:vAlign w:val="bottom"/>
          </w:tcPr>
          <w:p>
            <w:pPr>
              <w:spacing w:after="0"/>
              <w:rPr>
                <w:sz w:val="16"/>
                <w:szCs w:val="16"/>
                <w:color w:val="auto"/>
              </w:rPr>
            </w:pPr>
          </w:p>
        </w:tc>
        <w:tc>
          <w:tcPr>
            <w:tcW w:w="8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Mr. Barnett retired in 2003 from his position as a Director in the Dallas office of McKinsey &amp; Company, Inc., an</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89"/>
              </w:rPr>
              <w:t>international consulting firm, after 23 years of employment, where he led the firm’s Strategy Practice. Mr. Barnett</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89"/>
              </w:rPr>
              <w:t>also served as a director of Papa John’s International, Inc. from 2003 until March 2009, and has been an Adjunct</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4"/>
              </w:rPr>
              <w:t>Professor at the Yale School of Management and the Jesse H. Jones Graduate School of Business at Rice</w:t>
            </w: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University. Mr. Barnett currently chairs our Governance Committee.</w:t>
            </w:r>
          </w:p>
        </w:tc>
      </w:tr>
      <w:tr>
        <w:trPr>
          <w:trHeight w:val="291"/>
        </w:trPr>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7"/>
              </w:rPr>
              <w:t>Mr. Barnett brings to the Board and the Governance Committee his corporate governance and strategy</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3"/>
              </w:rPr>
              <w:t>development and implementation experience gained from his long career in management consulting and his</w:t>
            </w: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service on another board.</w:t>
            </w:r>
          </w:p>
        </w:tc>
      </w:tr>
      <w:tr>
        <w:trPr>
          <w:trHeight w:val="331"/>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Ed H. Bowman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66</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4"/>
              </w:rPr>
              <w:t>Mr. Bowman served as Chief Executive Officer, President and a director of SOURCECORP from 1996 until</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4"/>
              </w:rPr>
              <w:t>2012. Prior to 1996, Mr. Bowman was a senior executive at First Data Corporation. Mr. Bowman joined our</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1"/>
              </w:rPr>
              <w:t>Board in May 2011. Mr. Bowman serves on the advisory board of the J. Mack Robinson College of Business at</w:t>
            </w: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Georgia State University.</w:t>
            </w:r>
          </w:p>
        </w:tc>
      </w:tr>
      <w:tr>
        <w:trPr>
          <w:trHeight w:val="291"/>
        </w:trPr>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88"/>
              </w:rPr>
              <w:t>Mr. Bowman brings to the Board his proven leadership and business experience as the recently retired CEO of an</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3"/>
              </w:rPr>
              <w:t>expanding company. Mr. Bowman also brings corporate governance, finance and compensation knowledge</w:t>
            </w: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gained from his experience at other public companies.</w:t>
            </w:r>
          </w:p>
        </w:tc>
      </w:tr>
      <w:tr>
        <w:trPr>
          <w:trHeight w:val="331"/>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David W. Quinn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71</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3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0"/>
              </w:rPr>
              <w:t>Mr. Quinn served as a director of Centex from 1989 until its merger with Pulte in 2009, as Vice Chairman of the</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6"/>
              </w:rPr>
              <w:t>Board of Directors of Centex from May 1996 to March 2002, as Executive Vice President of Centex from</w:t>
            </w: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89"/>
              </w:rPr>
              <w:t>February 1987 to May 1996, and Chief Financial Officer of Centex from February 1987 until June 1997 and again</w:t>
            </w: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0"/>
              </w:rPr>
              <w:t>from October 1997 until May 2000. Mr. Quinn is the chairman of the Audit Committee of our Board of Directors.</w:t>
            </w:r>
          </w:p>
        </w:tc>
      </w:tr>
    </w:tbl>
    <w:p>
      <w:pPr>
        <w:spacing w:after="0" w:line="75" w:lineRule="exact"/>
        <w:rPr>
          <w:sz w:val="20"/>
          <w:szCs w:val="20"/>
          <w:color w:val="auto"/>
        </w:rPr>
      </w:pPr>
    </w:p>
    <w:p>
      <w:pPr>
        <w:ind w:left="3380" w:right="40"/>
        <w:spacing w:after="0" w:line="298" w:lineRule="auto"/>
        <w:rPr>
          <w:sz w:val="20"/>
          <w:szCs w:val="20"/>
          <w:color w:val="auto"/>
        </w:rPr>
      </w:pPr>
      <w:r>
        <w:rPr>
          <w:rFonts w:ascii="Arial" w:cs="Arial" w:eastAsia="Arial" w:hAnsi="Arial"/>
          <w:sz w:val="16"/>
          <w:szCs w:val="16"/>
          <w:color w:val="auto"/>
        </w:rPr>
        <w:t>Mr. Quinn brings to the Board and the Audit Committee his extensive management, financial and audit experience gained from his 17 years as CFO and/or Vice Chairman of the Company’s former parent company and through prior experience as a partner with a major accounting firm. Mr. Quinn also brings corporate governance experience gained from membership on the boards of other public and private companies.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Company’s fiscal year ended March 31, 2013, our Board of Directors held four regularly scheduled meetings and two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2013 annual stockholders meeting. All of our directors attended our 2012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compensation for the 12 month period from August 2012 through July 2013 was approved by our Board of Directors in June 2012—at the same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long-term incentive compensation was approved for management. The Board approved the same compensation levels paid last year by adopting a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structure in which directors who are not employees of the Company or any of our subsidiaries received compensation for their services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month period from August 2012 through July 2013 by electing one of the following two compensation package alternatives: (1) total compensation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$150,000, of which $75,000 is paid in cash and the remainder is provided in the form of an equity grant valued at $75,000; or (2) an equity grant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$170,000. The grant date value of the equity grant under either alternative is comprised of half restricted stock and half options to purchase Common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of the Eagle Materials Inc. Incentive Plan, the exercise price of stock options is set at closing price of the Common Stock on the NYSE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 the date of grant. The number of option shares is determined as of the date of grant by using the Black-Scholes method, and the number of shares of restricted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is determined as of the date of grant using the closing price of the Common Stock on the NYSE on the date of grant. All the options granted to directors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2012 became exercisable in December 2012 and have a ten-year term. The restricted stock granted to directors in June 2012 became earned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but the restrictions will not lapse until the director’s service on the Board terminates because of the director’s death or the director’s retirement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Company’s director retirement policy, or under such circumstances as are approved by the Compensation Committee.</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elect to receive all Board compensation in the form of equity may also elect to receive this additional compensation in the form of options to purchase Common Stock, in which case a 26.67% premium is added to such fees when valuing the number of options to be received by such chairperson.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directors hold restricted stock units, which we refer to as “RSUs,” granted as part of director compensation in prior fiscal years (which currently includes all non-employee directors other than Ed Bowman, Martin Ellen, David Quinn and Richard Stewart), these directors will accrue dividend equivalent units as and when the Company pays a cash dividend on the Common Stock in accordance with the terms of the RSUs. If directors hold restricted stock granted as part of director compensation (which includes all non-employee directors), these directors will be paid cash dividends as and when the Company pays a cash dividend on the Common Stock in accordance with the terms of the restricted stock award agreements.</w:t>
      </w:r>
    </w:p>
    <w:p>
      <w:pPr>
        <w:spacing w:after="0" w:line="116"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18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Non-Employee Director Compensation for Fiscal Year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Change in Pension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Paid in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Cash</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Earnings</w:t>
            </w:r>
          </w:p>
        </w:tc>
        <w:tc>
          <w:tcPr>
            <w:tcW w:w="420" w:type="dxa"/>
            <w:vAlign w:val="bottom"/>
          </w:tcPr>
          <w:p>
            <w:pPr>
              <w:spacing w:after="0"/>
              <w:rPr>
                <w:sz w:val="11"/>
                <w:szCs w:val="11"/>
                <w:color w:val="auto"/>
              </w:rPr>
            </w:pPr>
          </w:p>
        </w:tc>
        <w:tc>
          <w:tcPr>
            <w:tcW w:w="134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200" w:type="dxa"/>
            <w:vAlign w:val="bottom"/>
          </w:tcPr>
          <w:p>
            <w:pPr>
              <w:spacing w:after="0"/>
              <w:rPr>
                <w:sz w:val="15"/>
                <w:szCs w:val="15"/>
                <w:color w:val="auto"/>
              </w:rPr>
            </w:pPr>
          </w:p>
        </w:tc>
        <w:tc>
          <w:tcPr>
            <w:tcW w:w="860" w:type="dxa"/>
            <w:vAlign w:val="bottom"/>
            <w:gridSpan w:val="2"/>
          </w:tcPr>
          <w:p>
            <w:pPr>
              <w:jc w:val="center"/>
              <w:ind w:left="138"/>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4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r>
              <w:rPr>
                <w:rFonts w:ascii="Arial" w:cs="Arial" w:eastAsia="Arial" w:hAnsi="Arial"/>
                <w:sz w:val="11"/>
                <w:szCs w:val="11"/>
                <w:color w:val="auto"/>
              </w:rPr>
              <w:t>(3)</w:t>
            </w:r>
          </w:p>
        </w:tc>
        <w:tc>
          <w:tcPr>
            <w:tcW w:w="7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$ 91,334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$ 91,336</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6"/>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$182,670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1"/>
                <w:szCs w:val="11"/>
                <w:color w:val="auto"/>
              </w:rPr>
              <w:t>(4)</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85,012</w:t>
            </w:r>
          </w:p>
        </w:tc>
        <w:tc>
          <w:tcPr>
            <w:tcW w:w="4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170,012</w:t>
            </w: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(4)</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85,012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170,012</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Martin M. Ellen</w:t>
            </w:r>
            <w:r>
              <w:rPr>
                <w:rFonts w:ascii="Arial" w:cs="Arial" w:eastAsia="Arial" w:hAnsi="Arial"/>
                <w:sz w:val="11"/>
                <w:szCs w:val="11"/>
                <w:color w:val="auto"/>
              </w:rPr>
              <w:t>(5)</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(6)</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116,669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233,342</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(7)</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  75,000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37,497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37,507</w:t>
            </w:r>
          </w:p>
        </w:tc>
        <w:tc>
          <w:tcPr>
            <w:tcW w:w="4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150,004</w:t>
            </w:r>
          </w:p>
        </w:tc>
        <w:tc>
          <w:tcPr>
            <w:tcW w:w="10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1"/>
                <w:szCs w:val="11"/>
                <w:color w:val="auto"/>
              </w:rPr>
              <w:t>(8)</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94,505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28,300</w:t>
            </w:r>
            <w:r>
              <w:rPr>
                <w:rFonts w:ascii="Arial" w:cs="Arial" w:eastAsia="Arial" w:hAnsi="Arial"/>
                <w:sz w:val="11"/>
                <w:szCs w:val="11"/>
                <w:color w:val="auto"/>
                <w:w w:val="90"/>
              </w:rPr>
              <w:t>(9)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217,305</w:t>
            </w:r>
          </w:p>
        </w:tc>
        <w:tc>
          <w:tcPr>
            <w:tcW w:w="100" w:type="dxa"/>
            <w:vAlign w:val="bottom"/>
            <w:shd w:val="clear" w:color="auto" w:fill="CCEEFF"/>
          </w:tcPr>
          <w:p>
            <w:pPr>
              <w:spacing w:after="0"/>
              <w:rPr>
                <w:sz w:val="18"/>
                <w:szCs w:val="18"/>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(10)</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37,497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37,507</w:t>
            </w:r>
          </w:p>
        </w:tc>
        <w:tc>
          <w:tcPr>
            <w:tcW w:w="42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directors in the fiscal year ended March 31, 2013 and are consistent with the grant date fair value of the award computed in accordance with FASB ASC Topic 718. For assumptions used in determining these values, refer to footnote (J) to the Company’s audited financial statements for the fiscal year ended March 31, 2013 included in the Company’s Annual Report on Form 10-K filed with the SEC on May 24, 2013, or “Fiscal 2013 Form 10-K.”</w:t>
      </w:r>
    </w:p>
    <w:p>
      <w:pPr>
        <w:spacing w:after="0" w:line="1" w:lineRule="exact"/>
        <w:rPr>
          <w:rFonts w:ascii="Arial" w:cs="Arial" w:eastAsia="Arial" w:hAnsi="Arial"/>
          <w:sz w:val="18"/>
          <w:szCs w:val="18"/>
          <w:color w:val="auto"/>
        </w:rPr>
      </w:pPr>
    </w:p>
    <w:p>
      <w:pPr>
        <w:ind w:left="460" w:right="120" w:hanging="452"/>
        <w:spacing w:after="0" w:line="30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directors in the fiscal year ended March 31, 2013 and are consistent with the grant date fair value of the award computed in accordance with FASB ASC Topic 718. For assumptions used in determining these values, refer to footnote</w:t>
      </w:r>
    </w:p>
    <w:p>
      <w:pPr>
        <w:ind w:left="460"/>
        <w:spacing w:after="0"/>
        <w:rPr>
          <w:rFonts w:ascii="Arial" w:cs="Arial" w:eastAsia="Arial" w:hAnsi="Arial"/>
          <w:sz w:val="15"/>
          <w:szCs w:val="15"/>
          <w:color w:val="auto"/>
        </w:rPr>
      </w:pPr>
      <w:r>
        <w:rPr>
          <w:rFonts w:ascii="Arial" w:cs="Arial" w:eastAsia="Arial" w:hAnsi="Arial"/>
          <w:sz w:val="18"/>
          <w:szCs w:val="18"/>
          <w:color w:val="auto"/>
        </w:rPr>
        <w:t>(J) to the Company’s audited financial statements for the fiscal year ended March 31, 2013 included in the Fiscal 2013 Form 10-K.</w:t>
      </w:r>
    </w:p>
    <w:p>
      <w:pPr>
        <w:spacing w:after="0" w:line="9" w:lineRule="exact"/>
        <w:rPr>
          <w:rFonts w:ascii="Arial" w:cs="Arial" w:eastAsia="Arial" w:hAnsi="Arial"/>
          <w:sz w:val="15"/>
          <w:szCs w:val="15"/>
          <w:color w:val="auto"/>
        </w:rPr>
      </w:pPr>
    </w:p>
    <w:p>
      <w:pPr>
        <w:ind w:left="460" w:right="7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fiscal 2013 in the form of equity (including his chairperson fee).</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Messrs. Bowman and Clarke elected to receive 100% of their director compensation for fiscal 2013 in the form of equity.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Ellen did not serve as a director during fiscal 2013. He was appointed to the Board on May 31, 2013.</w:t>
      </w:r>
    </w:p>
    <w:p>
      <w:pPr>
        <w:spacing w:after="0" w:line="9"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Hirsch is the Chairman of the Board. He elected to receive 100% of his director compensation for fiscal 2013 in the form of equity (including his chairperson fee).</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Nicolais elected to receive 50% of their director compensation for fiscal 2013 in the form of equity and 50% in cash.</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Quinn is the Chair of the Audit Committee. He elected to receive 100% of his director compensation for fiscal 2013 in the form of equity (including his chairperson fee).</w:t>
      </w:r>
    </w:p>
    <w:p>
      <w:pPr>
        <w:ind w:left="460" w:right="1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value of Common Stock paid during such fiscal year for dividend equivalent units accruing under RSUs. Dividend equivalent units are credited as additional RSUs to holders of our earned RSUs at any time we pay a cash dividend on our Common Stock. In fiscal 2013, Mr. Quinn was paid Common Stock for dividend equivalent units valued at $28,300. Dividend equivalent units credited to the other directors in fiscal 2013 in additional RSUs are included in the amounts reflected in the “RSUs” column of the chart immediately below</w:t>
      </w:r>
    </w:p>
    <w:p>
      <w:pPr>
        <w:spacing w:after="0" w:line="2"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Stewart is the Chair of the Compensation Committee. He elected to receive 50% of his director compensation for fiscal 2013 in the form of equity and 50% in the form of cash. Mr. Stewart also elected to receive his committee chairperson fee in cash.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number of outstanding stock options and RSUs held by each director as of March 31, 2013.</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73"/>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tcPr>
          <w:p>
            <w:pPr>
              <w:spacing w:after="0"/>
              <w:rPr>
                <w:sz w:val="23"/>
                <w:szCs w:val="23"/>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Stock Options</w:t>
            </w:r>
            <w:r>
              <w:rPr>
                <w:rFonts w:ascii="Arial" w:cs="Arial" w:eastAsia="Arial" w:hAnsi="Arial"/>
                <w:sz w:val="22"/>
                <w:szCs w:val="22"/>
                <w:color w:val="auto"/>
                <w:w w:val="81"/>
                <w:vertAlign w:val="superscript"/>
              </w:rPr>
              <w:t>(1)</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22"/>
                <w:szCs w:val="22"/>
                <w:color w:val="auto"/>
                <w:vertAlign w:val="superscript"/>
              </w:rPr>
              <w:t>(2)</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Restricted Stock</w:t>
            </w:r>
            <w:r>
              <w:rPr>
                <w:rFonts w:ascii="Arial" w:cs="Arial" w:eastAsia="Arial" w:hAnsi="Arial"/>
                <w:sz w:val="22"/>
                <w:szCs w:val="22"/>
                <w:color w:val="auto"/>
                <w:w w:val="82"/>
                <w:vertAlign w:val="superscript"/>
              </w:rPr>
              <w:t>(3)</w:t>
            </w: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108,274</w:t>
            </w: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8,523</w:t>
            </w:r>
          </w:p>
        </w:tc>
        <w:tc>
          <w:tcPr>
            <w:tcW w:w="6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Ed H. Bowman</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102,098</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E. Hirsch</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137,593</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11,058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38,534</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3,748</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28,243</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19,196</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these stock options are fully exercisable.</w:t>
      </w:r>
    </w:p>
    <w:p>
      <w:pPr>
        <w:spacing w:after="0" w:line="15" w:lineRule="exact"/>
        <w:rPr>
          <w:rFonts w:ascii="Arial" w:cs="Arial" w:eastAsia="Arial" w:hAnsi="Arial"/>
          <w:sz w:val="18"/>
          <w:szCs w:val="18"/>
          <w:color w:val="auto"/>
        </w:rPr>
      </w:pPr>
    </w:p>
    <w:p>
      <w:pPr>
        <w:ind w:left="460" w:right="60" w:hanging="452"/>
        <w:spacing w:after="0" w:line="30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RSUs granted to non-employee directors are vested in full on the date of grant but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1,011 RSUs;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Clarke – 1,011 RSUs; Mr. Hirsch – 1,315 RSUs; and Mr. Nicolais – 448 RSUs.</w:t>
      </w:r>
    </w:p>
    <w:p>
      <w:pPr>
        <w:spacing w:after="0" w:line="9" w:lineRule="exact"/>
        <w:rPr>
          <w:rFonts w:ascii="Arial" w:cs="Arial" w:eastAsia="Arial" w:hAnsi="Arial"/>
          <w:sz w:val="15"/>
          <w:szCs w:val="15"/>
          <w:color w:val="auto"/>
        </w:rPr>
      </w:pPr>
    </w:p>
    <w:p>
      <w:pPr>
        <w:ind w:left="460" w:right="14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restricted stock granted to non-employee directors is earned but the restrictions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positions of Chairman of the Board and CEO are performed by two different persons. Mr. Rowley, our CEO, focuses on the day-to-day operation of the Company’s businesses and participates in both operational and long-term strategy and development. Mr. Hirsch, our Chairman, oversees the Company’s general strategic direction and leads and manages the Board.</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 Assessment in Compensation Programs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 This assessment was overseen by the Compensation Committee, in consultation with management. We reviewed the compensation policies and practices in effect for our executive officers, senior management and other employees and assessed the features we have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2013, and the number of meetings held by each committee during the fiscal year ended March 31, 2013:</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73"/>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598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Audit</w:t>
            </w:r>
            <w:r>
              <w:rPr>
                <w:rFonts w:ascii="Arial" w:cs="Arial" w:eastAsia="Arial" w:hAnsi="Arial"/>
                <w:sz w:val="22"/>
                <w:szCs w:val="22"/>
                <w:color w:val="auto"/>
                <w:vertAlign w:val="superscript"/>
              </w:rPr>
              <w:t>(1)</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83"/>
              </w:rPr>
              <w:t>Governance</w:t>
            </w:r>
          </w:p>
        </w:tc>
        <w:tc>
          <w:tcPr>
            <w:tcW w:w="42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5"/>
              </w:rPr>
              <w:t>Executive</w:t>
            </w:r>
          </w:p>
        </w:tc>
      </w:tr>
      <w:tr>
        <w:trPr>
          <w:trHeight w:val="203"/>
        </w:trPr>
        <w:tc>
          <w:tcPr>
            <w:tcW w:w="6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Ed H. Bowman</w:t>
            </w:r>
          </w:p>
        </w:tc>
        <w:tc>
          <w:tcPr>
            <w:tcW w:w="104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2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Chair</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040" w:type="dxa"/>
            <w:vAlign w:val="bottom"/>
            <w:gridSpan w:val="2"/>
          </w:tcPr>
          <w:p>
            <w:pPr>
              <w:spacing w:after="0"/>
              <w:rPr>
                <w:sz w:val="20"/>
                <w:szCs w:val="20"/>
                <w:color w:val="auto"/>
              </w:rPr>
            </w:pPr>
            <w:r>
              <w:rPr>
                <w:rFonts w:ascii="Arial" w:cs="Arial" w:eastAsia="Arial" w:hAnsi="Arial"/>
                <w:sz w:val="18"/>
                <w:szCs w:val="18"/>
                <w:color w:val="auto"/>
              </w:rPr>
              <w:t>Chair</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7"/>
              </w:rPr>
              <w:t>Member</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Chair</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Meetings in Fiscal 2013</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940" w:hanging="452"/>
        <w:spacing w:after="0" w:line="438"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On May 31, 2013, Martin M. Ellen was appointed to the Board and as the fourth member of the Audit Committee.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seventeen (17) years as CFO and/or Vice Chairman of the Company’s former parent company and through prior experience as a partner with a major accounting firm, Mr. Quinn is an “audit committee financial expert” within the meaning of the rules of the SEC.</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Audit Committee are to:</w:t>
      </w:r>
    </w:p>
    <w:p>
      <w:pPr>
        <w:spacing w:after="0" w:line="90" w:lineRule="exact"/>
        <w:rPr>
          <w:sz w:val="20"/>
          <w:szCs w:val="20"/>
          <w:color w:val="auto"/>
        </w:rPr>
      </w:pPr>
    </w:p>
    <w:p>
      <w:pPr>
        <w:ind w:left="900" w:right="3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5"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prepare the report that is required to be included in our annual proxy statement regarding review of financial statements and auditor independence.</w:t>
      </w:r>
    </w:p>
    <w:p>
      <w:pPr>
        <w:spacing w:after="0" w:line="19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Audit Committee’s report on our financial statements for the fiscal year ended March 31, 2013 is presented below under the heading “Audit Committee Report.”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advisers. For additional information regarding outside advisers engaged by the Compensation Committee, please see “Compensation Discussion and Analysis” beginning on page 18 of this proxy statement.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90" w:lineRule="exact"/>
        <w:rPr>
          <w:sz w:val="20"/>
          <w:szCs w:val="20"/>
          <w:color w:val="auto"/>
        </w:rPr>
      </w:pPr>
    </w:p>
    <w:p>
      <w:pPr>
        <w:jc w:val="both"/>
        <w:ind w:left="900" w:right="4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59"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which expires on May 31, 2014,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2013, 36,000 stock options were granted to employees under this authority.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Committee’s report for the fiscal year ended March 31, 2013 is presented below under the heading “Compensation Committee Report” beginning on page 17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periodically review and recommend a set of corporate governance guidelines for the Company to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 the qualifications and performance of incumbent directors and determine whether to recommend them for re-election to the Board;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16" w:lineRule="exact"/>
        <w:rPr>
          <w:sz w:val="20"/>
          <w:szCs w:val="20"/>
          <w:color w:val="auto"/>
        </w:rPr>
      </w:pPr>
    </w:p>
    <w:p>
      <w:pPr>
        <w:ind w:right="600" w:firstLine="456"/>
        <w:spacing w:after="0" w:line="298"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Bylaws provide that, to be considered at the 2014 annual meeting, stockholder nominations for the Board of Directors must be submitted in writing and received by our Secretary at the executive offices of the Company during the period beginning on February 8, 2014 and ending May 9, 2014,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nominees for election to the Board at our 2013 annual meeting of stockholders were submitted by stockholders or groups of stockholders owning more than 5%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2013 that requires disclosure as a Compensation Committee interlock.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2013 and who is not also a member of our Board. Except as noted below, all of these persons have been elected to serve until the next annual meeting of our Board or until their earlier resignation or removal.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5"/>
              </w:rPr>
              <w:t>Age</w:t>
            </w:r>
          </w:p>
        </w:tc>
        <w:tc>
          <w:tcPr>
            <w:tcW w:w="46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4380" w:type="dxa"/>
            <w:vAlign w:val="bottom"/>
          </w:tcPr>
          <w:p>
            <w:pPr>
              <w:spacing w:after="0"/>
              <w:rPr>
                <w:sz w:val="14"/>
                <w:szCs w:val="14"/>
                <w:color w:val="auto"/>
              </w:rPr>
            </w:pPr>
          </w:p>
        </w:tc>
      </w:tr>
      <w:tr>
        <w:trPr>
          <w:trHeight w:val="201"/>
        </w:trPr>
        <w:tc>
          <w:tcPr>
            <w:tcW w:w="560" w:type="dxa"/>
            <w:vAlign w:val="bottom"/>
          </w:tcPr>
          <w:p>
            <w:pPr>
              <w:spacing w:after="0" w:line="201" w:lineRule="exact"/>
              <w:rPr>
                <w:sz w:val="20"/>
                <w:szCs w:val="20"/>
                <w:color w:val="auto"/>
              </w:rPr>
            </w:pPr>
            <w:r>
              <w:rPr>
                <w:rFonts w:ascii="Arial" w:cs="Arial" w:eastAsia="Arial" w:hAnsi="Arial"/>
                <w:sz w:val="18"/>
                <w:szCs w:val="18"/>
                <w:color w:val="auto"/>
                <w:w w:val="81"/>
              </w:rPr>
              <w:t>D. Craig</w:t>
            </w:r>
          </w:p>
        </w:tc>
        <w:tc>
          <w:tcPr>
            <w:tcW w:w="10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Kesler</w:t>
            </w:r>
          </w:p>
        </w:tc>
        <w:tc>
          <w:tcPr>
            <w:tcW w:w="24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Arial" w:cs="Arial" w:eastAsia="Arial" w:hAnsi="Arial"/>
                <w:sz w:val="18"/>
                <w:szCs w:val="18"/>
                <w:color w:val="auto"/>
              </w:rPr>
              <w:t>37</w:t>
            </w:r>
          </w:p>
        </w:tc>
        <w:tc>
          <w:tcPr>
            <w:tcW w:w="494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0"/>
              </w:rPr>
              <w:t>Executive Vice President – Finance and Administration and Chief</w:t>
            </w: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Financial Officer (has held current office since August 2009;</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89"/>
              </w:rPr>
              <w:t>Vice President – Investor Relations and Corporate Development from March 2005 through August 2009; Audit Manager of Ernst</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&amp; Young LLP from April 2002 through September 2005).</w:t>
            </w:r>
          </w:p>
        </w:tc>
      </w:tr>
      <w:tr>
        <w:trPr>
          <w:trHeight w:val="318"/>
        </w:trPr>
        <w:tc>
          <w:tcPr>
            <w:tcW w:w="15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63</w:t>
            </w: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 Cement/Aggregates and Concrete</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89"/>
              </w:rPr>
              <w:t>(has held current office since January 2003; President of Texas Lehigh Cement Company from 1985 through December 2002).</w:t>
            </w:r>
          </w:p>
        </w:tc>
      </w:tr>
      <w:tr>
        <w:trPr>
          <w:trHeight w:val="331"/>
        </w:trPr>
        <w:tc>
          <w:tcPr>
            <w:tcW w:w="15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55</w:t>
            </w: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88"/>
              </w:rPr>
              <w:t>(Executive Vice President and General Counsel since November 2000; Mr. Graass was named Secretary of the Company in July</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331"/>
        </w:trPr>
        <w:tc>
          <w:tcPr>
            <w:tcW w:w="15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63</w:t>
            </w: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 Gypsum and President of American Gypsum Company</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89"/>
              </w:rPr>
              <w:t>(has held current office since January 2005; Executive Vice President – Marketing, Sales and Distribution of American Gypsum</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90"/>
              </w:rPr>
              <w:t>Company from June 2002 through December 2004; Vice President, Customer Service of USG Corporation from 2000 through</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91"/>
              </w:rPr>
              <w:t>2002; Vice President, Specialty Products and Architectural Systems Business of USG Corporation from 1998 through 2000).</w:t>
            </w:r>
          </w:p>
        </w:tc>
      </w:tr>
      <w:tr>
        <w:trPr>
          <w:trHeight w:val="331"/>
        </w:trPr>
        <w:tc>
          <w:tcPr>
            <w:tcW w:w="15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59</w:t>
            </w: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 Strategy, Corporate Development and Communications</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93"/>
              </w:rPr>
              <w:t>(has held current office since August 2009; Senior Vice President of Centex Corporation from 2000 through August 2009).</w:t>
            </w:r>
          </w:p>
        </w:tc>
      </w:tr>
      <w:tr>
        <w:trPr>
          <w:trHeight w:val="331"/>
        </w:trPr>
        <w:tc>
          <w:tcPr>
            <w:tcW w:w="1560" w:type="dxa"/>
            <w:vAlign w:val="bottom"/>
            <w:gridSpan w:val="3"/>
          </w:tcPr>
          <w:p>
            <w:pPr>
              <w:spacing w:after="0"/>
              <w:rPr>
                <w:sz w:val="20"/>
                <w:szCs w:val="20"/>
                <w:color w:val="auto"/>
              </w:rPr>
            </w:pPr>
            <w:r>
              <w:rPr>
                <w:rFonts w:ascii="Arial" w:cs="Arial" w:eastAsia="Arial" w:hAnsi="Arial"/>
                <w:sz w:val="18"/>
                <w:szCs w:val="18"/>
                <w:color w:val="auto"/>
              </w:rPr>
              <w:t>William R. Devlin</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47</w:t>
            </w: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90"/>
              </w:rPr>
              <w:t>(has held current office since August 2009; Vice President and Controller from October 2005 through August 2009; Director of</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w w:val="89"/>
              </w:rPr>
              <w:t>Internal Audit from September 2004 through September 2005; Senior Manager of PricewaterhouseCoopers LLP from July 1999</w:t>
            </w: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3"/>
          </w:tcPr>
          <w:p>
            <w:pPr>
              <w:ind w:left="220"/>
              <w:spacing w:after="0"/>
              <w:rPr>
                <w:sz w:val="20"/>
                <w:szCs w:val="20"/>
                <w:color w:val="auto"/>
              </w:rPr>
            </w:pPr>
            <w:r>
              <w:rPr>
                <w:rFonts w:ascii="Arial" w:cs="Arial" w:eastAsia="Arial" w:hAnsi="Arial"/>
                <w:sz w:val="18"/>
                <w:szCs w:val="18"/>
                <w:color w:val="auto"/>
              </w:rPr>
              <w:t>through August 2004).</w:t>
            </w:r>
          </w:p>
        </w:tc>
      </w:tr>
      <w:tr>
        <w:trPr>
          <w:trHeight w:val="378"/>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tcPr>
          <w:p>
            <w:pPr>
              <w:ind w:left="35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Richard R. Stewart, </w:t>
      </w:r>
      <w:r>
        <w:rPr>
          <w:rFonts w:ascii="Arial" w:cs="Arial" w:eastAsia="Arial" w:hAnsi="Arial"/>
          <w:sz w:val="18"/>
          <w:szCs w:val="18"/>
          <w:i w:val="1"/>
          <w:iCs w:val="1"/>
          <w:color w:val="auto"/>
        </w:rPr>
        <w:t>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24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Strong Performance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Because Eagle Materials operates in the highly cyclical construction products industry,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that has bearing on management rewards. For purposes of the discussion that follows, our “direct peers” are four domestic public company competitors, our “industry peers” are the direct peers plus international industry participants, and our “compensation peers” are the direct peers plus supplemental peers, in each case as described more fully in the “Benchmarking” section below.</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Compensation Committee believes that certain operational/financial metrics, including those that are relevant to a company’s position as a low-cost producer, are important to maintaining a long-term competitive advantage in commodity businesses like those in which Eagle participates and are key factors in assessing the Company’s performance against its industry peers. In line with our belief, in setting compensation for our fiscal year ended March 31, 2013, our Compensation Committee reviewed (at the beginning of such fiscal year) the Company’s performance against its direct peers and industry peers using several different metrics, including net income growth (five- and three-year), revenue growth (five- and three-year), average return on total capital (ten-, five- and three-year), return on equity (five- and three-year), return on assets (five- and three-year), earnings per share, and total shareholder return (ten-, five-, three- and one-year). </w:t>
      </w:r>
      <w:r>
        <w:rPr>
          <w:rFonts w:ascii="Arial" w:cs="Arial" w:eastAsia="Arial" w:hAnsi="Arial"/>
          <w:sz w:val="16"/>
          <w:szCs w:val="16"/>
          <w:b w:val="1"/>
          <w:bCs w:val="1"/>
          <w:i w:val="1"/>
          <w:iCs w:val="1"/>
          <w:color w:val="auto"/>
        </w:rPr>
        <w:t>Against direct peers, the Company’s performance was at the 100th percentile in nine of the 16 categories, including every measure of total shareholder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return and average return on total capital, and below the median in only one category. Against the entire industry peer group, the Company’s performance was at the 100th percentile in two of the 16 categories and above the median in all but four categories.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During our fiscal year ended March 31, 2013, the Company continued its strong performance relative to its industry peers. The following graphs demonstrate Eagle’s superior performance as measured by total shareholder return relative to its peers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257165" cy="2349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716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Source: Longnecker &amp; Associates. All measures are for the periods ended as of our 3/31/13 fiscal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 Peers: Martin Marietta Materials, Inc., Texas Industries Inc., USG Corp., Vulcan Materials Company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Industry Peers: Martin Marietta Materials Inc., Texas Industries Inc., USG Corp., Vulcan Materials Company, Titan Cement Co. S.A., CRH, Buzzi Unicem S.p.A., Holcim Ltd., HeidelbergCement AG, Lafarge S.A., Cementos Bio-Bio S.A., Cementos Portland Valderrivas, Cemex S.A.B. de C.V., Italcementi S.p.A., Cementos Argos S.A., Headwaters Incorporated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Company’s prudent use of debt and its low-cost position in its markets left Eagle well-positioned to capitalize during fiscal 2013 on new opportunities in the emerging construction recovery, including its November 2012 acquisition of assets from Lafarge North America, the ongoing development of its frac sand line of business, and the expansion of its oil well cement production capabilities.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Compensation Practices</w:t>
      </w:r>
    </w:p>
    <w:p>
      <w:pPr>
        <w:spacing w:after="0" w:line="9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employment agreements with our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incentive plan (whether the current incentive plan or the amended and restated incentive plan submitted as Proposal No. 3 in this proxy statement) prohibits the re-pricing of options.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Profit Sharing and Retirement Plan are determined on the same basis as the benefits provided all salaried employees.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2013 Compensation Highlights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highlights of our executive compensation program in fiscal 2013 exemplify our long-standing commitment to sound compensation practices, including pay-for-performance.</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various components of the compensation payable to our Named Executive Officers, or “NEOs,” during fiscal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154305</wp:posOffset>
            </wp:positionV>
            <wp:extent cx="3404870" cy="141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base salaries for fiscal 2013 for our NEOs are on average between the median and the 75</w:t>
      </w:r>
      <w:r>
        <w:rPr>
          <w:rFonts w:ascii="Arial" w:cs="Arial" w:eastAsia="Arial" w:hAnsi="Arial"/>
          <w:sz w:val="11"/>
          <w:szCs w:val="11"/>
          <w:color w:val="auto"/>
        </w:rPr>
        <w:t>th</w:t>
      </w:r>
      <w:r>
        <w:rPr>
          <w:rFonts w:ascii="Arial" w:cs="Arial" w:eastAsia="Arial" w:hAnsi="Arial"/>
          <w:sz w:val="18"/>
          <w:szCs w:val="18"/>
          <w:color w:val="auto"/>
        </w:rPr>
        <w:t xml:space="preserve"> percentile base salary of our compensation peer group. Except for our CFO, none of our CEOs received an increase in their base salary for fiscal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40% of the total compensation of our CEO and our other NEOs for fiscal 2013 was performance-based.</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our cash annual incentive bonus for our NEOs for fiscal 2013 was performance-based in that the bonus pool amount varies with operating earnings. For example, the Eagle Annual Incentive Program bonus pool (in which three of our NEOs participate, along with other executives) was $1,795,327 in fiscal 2013, compared with $835,324 in fiscal 2012 and $3,716,614 in fiscal 2007 (record earnings year). Also, cash annual incentive bonuses were structured in all cases so that they could be adjusted downward by the Compensation Committee at the end of the fiscal year based on an individual NEO’s performance.</w:t>
      </w:r>
    </w:p>
    <w:p>
      <w:pPr>
        <w:spacing w:after="0" w:line="61" w:lineRule="exact"/>
        <w:rPr>
          <w:rFonts w:ascii="Arial" w:cs="Arial" w:eastAsia="Arial" w:hAnsi="Arial"/>
          <w:sz w:val="18"/>
          <w:szCs w:val="18"/>
          <w:color w:val="auto"/>
        </w:rPr>
      </w:pPr>
    </w:p>
    <w:p>
      <w:pPr>
        <w:ind w:left="900" w:right="160" w:hanging="325"/>
        <w:spacing w:after="0" w:line="323"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20% of the value of our annual long-term awards made during fiscal 2013 was in the form of performance-based restricted stock. This grant was to be earned if the Company attained a target level average return on invested capital for the ten years ended March 31, 2013. In May 2013, the Compensation Committee determined that this performance target had been satisfied. One-fifth of the shares vested on the first anniversary of the grant date. The remaining shares will vest ratably on March 31 of 2014, 2015, 2016 and 2017 (assuming continued service by the relevant officer).</w:t>
      </w:r>
    </w:p>
    <w:p>
      <w:pPr>
        <w:spacing w:after="0" w:line="16" w:lineRule="exact"/>
        <w:rPr>
          <w:rFonts w:ascii="Arial" w:cs="Arial" w:eastAsia="Arial" w:hAnsi="Arial"/>
          <w:sz w:val="15"/>
          <w:szCs w:val="15"/>
          <w:color w:val="auto"/>
        </w:rPr>
      </w:pPr>
    </w:p>
    <w:p>
      <w:pPr>
        <w:ind w:left="900" w:right="18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 of the value of our annual long-term awards made during fiscal 2013 was in the form of performance-based cash awards. This grant was to be earned if the Company attained a target level of earnings before interest and taxes for the fiscal year ended March 31, 2013. In May 2013, the Compensation Committee determined that this performance target had been satisfied, at which point one-fifth of the cash award was paid. The remaining cash will be paid ratably on March 31 of 2014, 2015, 2016 and 2017 (assuming continued service by the relevant officer).</w:t>
      </w:r>
    </w:p>
    <w:p>
      <w:pPr>
        <w:spacing w:after="0" w:line="31"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60% of the value of our annual long-term awards made during fiscal 2013 was in the form of time-vesting stock options. One-third of the stock options will vest in June 2013, one-third will vest in June 2014 and one-third will vest in June 2015 (assuming continued service by the relevant officer). Eagle views time-vesting stock options as pay-for-performance awards because they are of value only if and to the extent that the share price at the time of exercise exceeds the market price on the date of grant—executives receive nothing if the price of our stock does not rise above the exercise price.</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Some key features of our CEO’s fiscal 2013 compensation: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CEO’s base salary in fiscal 2013 was unchanged from fiscal 2012.</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CEO’s total compensation disclosed in the Summary Compensation Table on page 35 declined 10% from fiscal 2012.</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allocation of our CEO’s total compensation among compensation categories is in line with the fiscal 2013 average for our NEOs shown above.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38% of our CEO’s total compensation for fiscal 2013 was performance-based.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At the 2012 Annual Meeting of Stockholders, the Company’s stockholders voted to approve a non-binding advisory resolution approving the compensation paid to our Named Executive Officers as disclosed in the proxy statement for the 2012 Annual Meeting of Stockholders. The vote was 74.70% in favor, 25.25% against (with 0.03% abstaining). Although a substantial majority of the stockholders approved our compensation practices, the 2012 vote represented a decline in support from 2011 (97.6% in favor). The Compensation Committee believes the decrease in the percentage of votes cast in favor of the Company’s executive compensation was the result of a negative say-on-pay voting recommendation issued by a proxy advisory firm. The Company did not agree with the recommendation by that firm primarily because it was based on a comparison to a peer group that included companies that were not comparable to the Company. In response to the negative recommendation, the Company contacted its large institutional stockholders to discuss the Company’s disagreement with the negative recommendation. The Company’s discussions with those institutions indicated general support for the executive compensation program. In light of this feedback and the significant stockholder support of the executive compensation program, no substantive changes were made to the executive compensation program for fiscal 2013 as a result of the stockholder engagement process.</w:t>
      </w:r>
    </w:p>
    <w:p>
      <w:pPr>
        <w:spacing w:after="0" w:line="12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Compensation Discussion and Analysis is intended to provide investors with a more complete understanding of our compensation policies and decisions during fiscal 2013 for the following persons who were “Named Executive Officers” during such fiscal year: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40" w:lineRule="exact"/>
        <w:rPr>
          <w:sz w:val="20"/>
          <w:szCs w:val="20"/>
          <w:color w:val="auto"/>
        </w:rPr>
      </w:pPr>
    </w:p>
    <w:p>
      <w:pPr>
        <w:sectPr>
          <w:pgSz w:w="11900" w:h="16838" w:orient="portrait"/>
          <w:cols w:equalWidth="0" w:num="2">
            <w:col w:w="1760" w:space="320"/>
            <w:col w:w="9340"/>
          </w:cols>
          <w:pgMar w:left="240" w:top="459" w:right="239" w:bottom="1440" w:gutter="0" w:footer="0" w:header="0"/>
          <w:type w:val="continuous"/>
        </w:sectPr>
      </w:pPr>
    </w:p>
    <w:p>
      <w:pPr>
        <w:jc w:val="center"/>
        <w:ind w:left="48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140" w:lineRule="exact"/>
        <w:rPr>
          <w:sz w:val="20"/>
          <w:szCs w:val="20"/>
          <w:color w:val="auto"/>
        </w:rPr>
      </w:pPr>
    </w:p>
    <w:p>
      <w:pPr>
        <w:sectPr>
          <w:pgSz w:w="11900" w:h="16838" w:orient="portrait"/>
          <w:cols w:equalWidth="0" w:num="2">
            <w:col w:w="1580" w:space="500"/>
            <w:col w:w="9340"/>
          </w:cols>
          <w:pgMar w:left="240" w:top="459" w:right="23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Cement/Aggregates and Concrete</w:t>
      </w:r>
    </w:p>
    <w:p>
      <w:pPr>
        <w:spacing w:after="0" w:line="152" w:lineRule="exact"/>
        <w:rPr>
          <w:sz w:val="20"/>
          <w:szCs w:val="20"/>
          <w:color w:val="auto"/>
        </w:rPr>
      </w:pPr>
    </w:p>
    <w:p>
      <w:pPr>
        <w:sectPr>
          <w:pgSz w:w="11900" w:h="16838" w:orient="portrait"/>
          <w:cols w:equalWidth="0" w:num="2">
            <w:col w:w="1460" w:space="620"/>
            <w:col w:w="9340"/>
          </w:cols>
          <w:pgMar w:left="240" w:top="459"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David B.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Gypsum</w:t>
      </w:r>
    </w:p>
    <w:p>
      <w:pPr>
        <w:spacing w:after="0" w:line="151" w:lineRule="exact"/>
        <w:rPr>
          <w:sz w:val="20"/>
          <w:szCs w:val="20"/>
          <w:color w:val="auto"/>
        </w:rPr>
      </w:pPr>
    </w:p>
    <w:p>
      <w:pPr>
        <w:sectPr>
          <w:pgSz w:w="11900" w:h="16838" w:orient="portrait"/>
          <w:cols w:equalWidth="0" w:num="2">
            <w:col w:w="1680" w:space="400"/>
            <w:col w:w="9340"/>
          </w:cols>
          <w:pgMar w:left="240" w:top="459" w:right="239" w:bottom="1440" w:gutter="0" w:footer="0" w:header="0"/>
          <w:type w:val="continuous"/>
        </w:sectPr>
      </w:pPr>
    </w:p>
    <w:p>
      <w:pPr>
        <w:jc w:val="center"/>
        <w:ind w:left="480"/>
        <w:spacing w:after="0"/>
        <w:rPr>
          <w:sz w:val="20"/>
          <w:szCs w:val="20"/>
          <w:color w:val="auto"/>
        </w:rPr>
      </w:pPr>
      <w:r>
        <w:rPr>
          <w:rFonts w:ascii="Arial" w:cs="Arial" w:eastAsia="Arial" w:hAnsi="Arial"/>
          <w:sz w:val="15"/>
          <w:szCs w:val="15"/>
          <w:color w:val="auto"/>
        </w:rPr>
        <w:t>James H.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General Counsel and Secretary</w:t>
      </w:r>
    </w:p>
    <w:p>
      <w:pPr>
        <w:spacing w:after="0" w:line="200" w:lineRule="exact"/>
        <w:rPr>
          <w:sz w:val="20"/>
          <w:szCs w:val="20"/>
          <w:color w:val="auto"/>
        </w:rPr>
      </w:pPr>
    </w:p>
    <w:p>
      <w:pPr>
        <w:sectPr>
          <w:pgSz w:w="11900" w:h="16838" w:orient="portrait"/>
          <w:cols w:equalWidth="0" w:num="2">
            <w:col w:w="1640" w:space="440"/>
            <w:col w:w="9340"/>
          </w:cols>
          <w:pgMar w:left="240" w:top="459"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performance by both our executives and the Company relative to our peers’ performance in light of business conditions,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13" w:lineRule="exact"/>
        <w:rPr>
          <w:rFonts w:ascii="Arial" w:cs="Arial" w:eastAsia="Arial" w:hAnsi="Arial"/>
          <w:sz w:val="16"/>
          <w:szCs w:val="16"/>
          <w:color w:val="auto"/>
        </w:rPr>
      </w:pPr>
    </w:p>
    <w:p>
      <w:pPr>
        <w:ind w:left="1480" w:right="28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Structuring long-term compensation as predominantly equity awards, so that executives have an appropriate incentive to contribute to the creation of long-term stockholder value, and</w:t>
      </w:r>
    </w:p>
    <w:p>
      <w:pPr>
        <w:spacing w:after="0" w:line="50" w:lineRule="exact"/>
        <w:rPr>
          <w:rFonts w:ascii="Arial" w:cs="Arial" w:eastAsia="Arial" w:hAnsi="Arial"/>
          <w:sz w:val="18"/>
          <w:szCs w:val="18"/>
          <w:color w:val="auto"/>
        </w:rPr>
      </w:pPr>
    </w:p>
    <w:p>
      <w:pPr>
        <w:ind w:left="1480" w:right="74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Tying the vesting of a substantial majority of our equity-based awards to the achievement of financial and/or operating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achieve our compensation objectives for fiscal 2013, our executive compensation program used a combination of short-term and long-term elements:</w:t>
      </w:r>
    </w:p>
    <w:p>
      <w:pPr>
        <w:spacing w:after="0" w:line="38" w:lineRule="exact"/>
        <w:rPr>
          <w:sz w:val="20"/>
          <w:szCs w:val="20"/>
          <w:color w:val="auto"/>
        </w:rPr>
      </w:pPr>
    </w:p>
    <w:p>
      <w:pPr>
        <w:ind w:right="180" w:firstLine="8"/>
        <w:spacing w:after="0" w:line="323"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annual salary, (2) annual incentive bonus, and (3) long-term incentive compensation in the form of stock options, restricted stock and cash. Each element of long-term and short-term compensation is discussed more fully below under the heading “Elements of Executive Compensation.”</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No Employment Agreements; No Change-in-Control Agreements</w:t>
      </w:r>
      <w:r>
        <w:rPr>
          <w:rFonts w:ascii="Arial" w:cs="Arial" w:eastAsia="Arial" w:hAnsi="Arial"/>
          <w:sz w:val="18"/>
          <w:szCs w:val="18"/>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(including the recently adopted amendments to those standards that enhanced the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51" w:lineRule="exact"/>
        <w:rPr>
          <w:sz w:val="20"/>
          <w:szCs w:val="20"/>
          <w:color w:val="auto"/>
        </w:rPr>
      </w:pPr>
    </w:p>
    <w:p>
      <w:pPr>
        <w:ind w:left="900" w:right="380" w:hanging="446"/>
        <w:spacing w:after="0" w:line="303"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1" w:lineRule="exact"/>
        <w:rPr>
          <w:rFonts w:ascii="Arial" w:cs="Arial" w:eastAsia="Arial" w:hAnsi="Arial"/>
          <w:sz w:val="15"/>
          <w:szCs w:val="15"/>
          <w:color w:val="auto"/>
        </w:rPr>
      </w:pPr>
    </w:p>
    <w:p>
      <w:pPr>
        <w:ind w:left="900" w:right="440"/>
        <w:spacing w:after="0" w:line="261" w:lineRule="auto"/>
        <w:rPr>
          <w:rFonts w:ascii="Arial" w:cs="Arial" w:eastAsia="Arial" w:hAnsi="Arial"/>
          <w:sz w:val="15"/>
          <w:szCs w:val="15"/>
          <w:color w:val="auto"/>
        </w:rPr>
      </w:pPr>
      <w:r>
        <w:rPr>
          <w:rFonts w:ascii="Arial" w:cs="Arial" w:eastAsia="Arial" w:hAnsi="Arial"/>
          <w:sz w:val="18"/>
          <w:szCs w:val="18"/>
          <w:color w:val="auto"/>
        </w:rPr>
        <w:t>(3) whether the Compensation Committee will make any long-term incentive compensation awards in such fiscal year, (4) if the Compensation Committee decides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make long-term compensation awards for such fiscal year, the nature of and terms applicable to such awards, including the form any such awards will take (e.g., options, restricted stock, restricted stock units and/or cash), the individual long-term compensation potential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2013, the Compensation Committee made these determinations at six separate meetings held in April, May and June 2012.</w:t>
      </w:r>
    </w:p>
    <w:p>
      <w:pPr>
        <w:spacing w:after="0" w:line="39" w:lineRule="exact"/>
        <w:rPr>
          <w:sz w:val="20"/>
          <w:szCs w:val="20"/>
          <w:color w:val="auto"/>
        </w:rPr>
      </w:pPr>
    </w:p>
    <w:p>
      <w:pPr>
        <w:ind w:left="900" w:hanging="446"/>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After the end of the fiscal year, the Compensation Committee (1) reviews and approves the annual incentive bonus pools,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2013 at three separate meetings held in April and May 2013.</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Named Executive Officers, other than himself. At the end of each fiscal year, Mr. Rowley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a Compensation Consultant</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After several years of utilizing Mercer Human Resources Consulting as its compensation adviser, the Committee determined in late 2011 to interview additional firms for consideration. Following this interview process, in early 2012, the Compensation Committee retained Longnecker &amp; Associates (“L&amp;A”), an independent compensation consulting firm based in Houston, Texas, to provide the Committee with a fresh perspective and to review levels and incentive components of our executives’ compensation in an effort to align the compensation of our officers competitively with the market.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L&amp;A also provided assistance in reviewing this Compensation Discussion &amp; Analysis. The Compensation Committee has assessed the independence of L&amp;A pursuant to SEC rules and concluded that no conflict of interest exists that would prevent L&amp;A from independently representing the Compensation Committee.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data used by L&amp;A in its survey of the compensation peer group, which we refer to as our benchmarking study, was weighted so that 50% was from published surveys from Towers Watson, ERI and Mercer, and 50% was from disclosure in compensation peer group proxy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Peers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the beginning of fiscal 2013 (spring of 2012) L&amp;A identified multiple compensation peer candidates based on (1) prior peer groups used by the Company, (2) companies of similar size within industries related to the Company’s industry, and (3) other similar companies in the construction materials and related industries. L&amp;A then analyzed each company based on revenue, assets, net income, market capitalization, enterprise value, and a Peer 360 analysis. Based on this analysis, L&amp;A recommended a compensation peer group to the Compensation Committee.</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Based on L&amp;A’s recommendation, the Compensation Committee utilized the following 17-company peer group in analyzing fiscal 2013 compensation (“compensation peer group”):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Company Name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Ticker</w:t>
            </w:r>
          </w:p>
        </w:tc>
        <w:tc>
          <w:tcPr>
            <w:tcW w:w="7060" w:type="dxa"/>
            <w:vAlign w:val="bottom"/>
          </w:tcPr>
          <w:p>
            <w:pPr>
              <w:spacing w:after="0"/>
              <w:rPr>
                <w:sz w:val="20"/>
                <w:szCs w:val="20"/>
                <w:color w:val="auto"/>
              </w:rPr>
            </w:pPr>
            <w:r>
              <w:rPr>
                <w:rFonts w:ascii="Arial" w:cs="Arial" w:eastAsia="Arial" w:hAnsi="Arial"/>
                <w:sz w:val="14"/>
                <w:szCs w:val="14"/>
                <w:b w:val="1"/>
                <w:bCs w:val="1"/>
                <w:color w:val="auto"/>
              </w:rPr>
              <w:t>Business Description</w:t>
            </w:r>
          </w:p>
        </w:tc>
      </w:tr>
      <w:tr>
        <w:trPr>
          <w:trHeight w:val="209"/>
        </w:trPr>
        <w:tc>
          <w:tcPr>
            <w:tcW w:w="10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Armstrong</w:t>
            </w:r>
          </w:p>
        </w:tc>
        <w:tc>
          <w:tcPr>
            <w:tcW w:w="2560" w:type="dxa"/>
            <w:vAlign w:val="bottom"/>
            <w:gridSpan w:val="2"/>
          </w:tcPr>
          <w:p>
            <w:pPr>
              <w:spacing w:after="0" w:line="188" w:lineRule="exact"/>
              <w:rPr>
                <w:sz w:val="20"/>
                <w:szCs w:val="20"/>
                <w:color w:val="auto"/>
              </w:rPr>
            </w:pPr>
            <w:r>
              <w:rPr>
                <w:rFonts w:ascii="Arial" w:cs="Arial" w:eastAsia="Arial" w:hAnsi="Arial"/>
                <w:sz w:val="18"/>
                <w:szCs w:val="18"/>
                <w:color w:val="auto"/>
              </w:rPr>
              <w:t>Worldwide Industries, Inc.</w:t>
            </w: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AWI</w:t>
            </w:r>
          </w:p>
        </w:tc>
        <w:tc>
          <w:tcPr>
            <w:tcW w:w="220" w:type="dxa"/>
            <w:vAlign w:val="bottom"/>
          </w:tcPr>
          <w:p>
            <w:pPr>
              <w:spacing w:after="0"/>
              <w:rPr>
                <w:sz w:val="18"/>
                <w:szCs w:val="18"/>
                <w:color w:val="auto"/>
              </w:rPr>
            </w:pPr>
          </w:p>
        </w:tc>
        <w:tc>
          <w:tcPr>
            <w:tcW w:w="7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Designs, manufactures and sells flooring products and ceiling systems.</w:t>
            </w:r>
          </w:p>
        </w:tc>
      </w:tr>
      <w:tr>
        <w:trPr>
          <w:trHeight w:val="316"/>
        </w:trPr>
        <w:tc>
          <w:tcPr>
            <w:tcW w:w="3560" w:type="dxa"/>
            <w:vAlign w:val="bottom"/>
            <w:gridSpan w:val="3"/>
          </w:tcPr>
          <w:p>
            <w:pPr>
              <w:spacing w:after="0"/>
              <w:rPr>
                <w:sz w:val="20"/>
                <w:szCs w:val="20"/>
                <w:color w:val="auto"/>
              </w:rPr>
            </w:pPr>
            <w:r>
              <w:rPr>
                <w:rFonts w:ascii="Arial" w:cs="Arial" w:eastAsia="Arial" w:hAnsi="Arial"/>
                <w:sz w:val="18"/>
                <w:szCs w:val="18"/>
                <w:color w:val="auto"/>
              </w:rPr>
              <w:t>EnPro Industries,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NPO</w:t>
            </w:r>
          </w:p>
        </w:tc>
        <w:tc>
          <w:tcPr>
            <w:tcW w:w="7060" w:type="dxa"/>
            <w:vAlign w:val="bottom"/>
          </w:tcPr>
          <w:p>
            <w:pPr>
              <w:spacing w:after="0"/>
              <w:rPr>
                <w:sz w:val="20"/>
                <w:szCs w:val="20"/>
                <w:color w:val="auto"/>
              </w:rPr>
            </w:pPr>
            <w:r>
              <w:rPr>
                <w:rFonts w:ascii="Arial" w:cs="Arial" w:eastAsia="Arial" w:hAnsi="Arial"/>
                <w:sz w:val="18"/>
                <w:szCs w:val="18"/>
                <w:color w:val="auto"/>
              </w:rPr>
              <w:t>Designs, develops, manufactures and markets engineered industrial products.</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Globe Specialty Metals,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GSM</w:t>
            </w:r>
          </w:p>
        </w:tc>
        <w:tc>
          <w:tcPr>
            <w:tcW w:w="7060" w:type="dxa"/>
            <w:vAlign w:val="bottom"/>
          </w:tcPr>
          <w:p>
            <w:pPr>
              <w:spacing w:after="0"/>
              <w:rPr>
                <w:sz w:val="20"/>
                <w:szCs w:val="20"/>
                <w:color w:val="auto"/>
              </w:rPr>
            </w:pPr>
            <w:r>
              <w:rPr>
                <w:rFonts w:ascii="Arial" w:cs="Arial" w:eastAsia="Arial" w:hAnsi="Arial"/>
                <w:sz w:val="18"/>
                <w:szCs w:val="18"/>
                <w:color w:val="auto"/>
              </w:rPr>
              <w:t>Produces and sells silicon metal and silicon-based alloys.</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Granite Construction Incorporated</w:t>
            </w:r>
          </w:p>
        </w:tc>
        <w:tc>
          <w:tcPr>
            <w:tcW w:w="800" w:type="dxa"/>
            <w:vAlign w:val="bottom"/>
            <w:gridSpan w:val="2"/>
          </w:tcPr>
          <w:p>
            <w:pPr>
              <w:spacing w:after="0"/>
              <w:rPr>
                <w:sz w:val="20"/>
                <w:szCs w:val="20"/>
                <w:color w:val="auto"/>
              </w:rPr>
            </w:pPr>
            <w:r>
              <w:rPr>
                <w:rFonts w:ascii="Arial" w:cs="Arial" w:eastAsia="Arial" w:hAnsi="Arial"/>
                <w:sz w:val="18"/>
                <w:szCs w:val="18"/>
                <w:color w:val="auto"/>
              </w:rPr>
              <w:t>GVA</w:t>
            </w:r>
          </w:p>
        </w:tc>
        <w:tc>
          <w:tcPr>
            <w:tcW w:w="7060" w:type="dxa"/>
            <w:vAlign w:val="bottom"/>
          </w:tcPr>
          <w:p>
            <w:pPr>
              <w:spacing w:after="0"/>
              <w:rPr>
                <w:sz w:val="20"/>
                <w:szCs w:val="20"/>
                <w:color w:val="auto"/>
              </w:rPr>
            </w:pPr>
            <w:r>
              <w:rPr>
                <w:rFonts w:ascii="Arial" w:cs="Arial" w:eastAsia="Arial" w:hAnsi="Arial"/>
                <w:sz w:val="18"/>
                <w:szCs w:val="18"/>
                <w:color w:val="auto"/>
                <w:w w:val="92"/>
              </w:rPr>
              <w:t>Heavy civil contractor and a construction materials producer for public and private sector clients.</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Headwaters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HW</w:t>
            </w:r>
          </w:p>
        </w:tc>
        <w:tc>
          <w:tcPr>
            <w:tcW w:w="7060" w:type="dxa"/>
            <w:vAlign w:val="bottom"/>
          </w:tcPr>
          <w:p>
            <w:pPr>
              <w:spacing w:after="0"/>
              <w:rPr>
                <w:sz w:val="20"/>
                <w:szCs w:val="20"/>
                <w:color w:val="auto"/>
              </w:rPr>
            </w:pPr>
            <w:r>
              <w:rPr>
                <w:rFonts w:ascii="Arial" w:cs="Arial" w:eastAsia="Arial" w:hAnsi="Arial"/>
                <w:sz w:val="18"/>
                <w:szCs w:val="18"/>
                <w:color w:val="auto"/>
                <w:w w:val="91"/>
              </w:rPr>
              <w:t>Provides products, technologies and services for the building products, construction material and</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energy industries primarily.</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Intrepid Potash, Inc.</w:t>
            </w:r>
          </w:p>
        </w:tc>
        <w:tc>
          <w:tcPr>
            <w:tcW w:w="800" w:type="dxa"/>
            <w:vAlign w:val="bottom"/>
            <w:gridSpan w:val="2"/>
          </w:tcPr>
          <w:p>
            <w:pPr>
              <w:spacing w:after="0"/>
              <w:rPr>
                <w:sz w:val="20"/>
                <w:szCs w:val="20"/>
                <w:color w:val="auto"/>
              </w:rPr>
            </w:pPr>
            <w:r>
              <w:rPr>
                <w:rFonts w:ascii="Arial" w:cs="Arial" w:eastAsia="Arial" w:hAnsi="Arial"/>
                <w:sz w:val="18"/>
                <w:szCs w:val="18"/>
                <w:color w:val="auto"/>
              </w:rPr>
              <w:t>IPI</w:t>
            </w:r>
          </w:p>
        </w:tc>
        <w:tc>
          <w:tcPr>
            <w:tcW w:w="7060" w:type="dxa"/>
            <w:vAlign w:val="bottom"/>
          </w:tcPr>
          <w:p>
            <w:pPr>
              <w:spacing w:after="0"/>
              <w:rPr>
                <w:sz w:val="20"/>
                <w:szCs w:val="20"/>
                <w:color w:val="auto"/>
              </w:rPr>
            </w:pPr>
            <w:r>
              <w:rPr>
                <w:rFonts w:ascii="Arial" w:cs="Arial" w:eastAsia="Arial" w:hAnsi="Arial"/>
                <w:sz w:val="18"/>
                <w:szCs w:val="18"/>
                <w:color w:val="auto"/>
                <w:w w:val="92"/>
              </w:rPr>
              <w:t>Produces and markets chemicals, including potassium chloride and sulfate of potash magnesia.</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Louisiana-Pacific Corp.</w:t>
            </w:r>
          </w:p>
        </w:tc>
        <w:tc>
          <w:tcPr>
            <w:tcW w:w="800" w:type="dxa"/>
            <w:vAlign w:val="bottom"/>
            <w:gridSpan w:val="2"/>
          </w:tcPr>
          <w:p>
            <w:pPr>
              <w:spacing w:after="0"/>
              <w:rPr>
                <w:sz w:val="20"/>
                <w:szCs w:val="20"/>
                <w:color w:val="auto"/>
              </w:rPr>
            </w:pPr>
            <w:r>
              <w:rPr>
                <w:rFonts w:ascii="Arial" w:cs="Arial" w:eastAsia="Arial" w:hAnsi="Arial"/>
                <w:sz w:val="18"/>
                <w:szCs w:val="18"/>
                <w:color w:val="auto"/>
              </w:rPr>
              <w:t>LPX</w:t>
            </w:r>
          </w:p>
        </w:tc>
        <w:tc>
          <w:tcPr>
            <w:tcW w:w="7060" w:type="dxa"/>
            <w:vAlign w:val="bottom"/>
          </w:tcPr>
          <w:p>
            <w:pPr>
              <w:spacing w:after="0"/>
              <w:rPr>
                <w:sz w:val="20"/>
                <w:szCs w:val="20"/>
                <w:color w:val="auto"/>
              </w:rPr>
            </w:pPr>
            <w:r>
              <w:rPr>
                <w:rFonts w:ascii="Arial" w:cs="Arial" w:eastAsia="Arial" w:hAnsi="Arial"/>
                <w:sz w:val="18"/>
                <w:szCs w:val="18"/>
                <w:color w:val="auto"/>
                <w:w w:val="90"/>
              </w:rPr>
              <w:t>Manufactures and distributes building products for new home construction, repair and remodeling,</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manufactured housing, and light industrial and commercial construction.</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Martin Marietta Materials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MLM</w:t>
            </w:r>
          </w:p>
        </w:tc>
        <w:tc>
          <w:tcPr>
            <w:tcW w:w="7060" w:type="dxa"/>
            <w:vAlign w:val="bottom"/>
          </w:tcPr>
          <w:p>
            <w:pPr>
              <w:spacing w:after="0"/>
              <w:rPr>
                <w:sz w:val="20"/>
                <w:szCs w:val="20"/>
                <w:color w:val="auto"/>
              </w:rPr>
            </w:pPr>
            <w:r>
              <w:rPr>
                <w:rFonts w:ascii="Arial" w:cs="Arial" w:eastAsia="Arial" w:hAnsi="Arial"/>
                <w:sz w:val="18"/>
                <w:szCs w:val="18"/>
                <w:color w:val="auto"/>
              </w:rPr>
              <w:t>Produces and sells aggregates for the construction industry.</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Neenah Paper, Inc.</w:t>
            </w:r>
          </w:p>
        </w:tc>
        <w:tc>
          <w:tcPr>
            <w:tcW w:w="800" w:type="dxa"/>
            <w:vAlign w:val="bottom"/>
            <w:gridSpan w:val="2"/>
          </w:tcPr>
          <w:p>
            <w:pPr>
              <w:spacing w:after="0"/>
              <w:rPr>
                <w:sz w:val="20"/>
                <w:szCs w:val="20"/>
                <w:color w:val="auto"/>
              </w:rPr>
            </w:pPr>
            <w:r>
              <w:rPr>
                <w:rFonts w:ascii="Arial" w:cs="Arial" w:eastAsia="Arial" w:hAnsi="Arial"/>
                <w:sz w:val="18"/>
                <w:szCs w:val="18"/>
                <w:color w:val="auto"/>
              </w:rPr>
              <w:t>NP</w:t>
            </w:r>
          </w:p>
        </w:tc>
        <w:tc>
          <w:tcPr>
            <w:tcW w:w="7060" w:type="dxa"/>
            <w:vAlign w:val="bottom"/>
          </w:tcPr>
          <w:p>
            <w:pPr>
              <w:spacing w:after="0"/>
              <w:rPr>
                <w:sz w:val="20"/>
                <w:szCs w:val="20"/>
                <w:color w:val="auto"/>
              </w:rPr>
            </w:pPr>
            <w:r>
              <w:rPr>
                <w:rFonts w:ascii="Arial" w:cs="Arial" w:eastAsia="Arial" w:hAnsi="Arial"/>
                <w:sz w:val="18"/>
                <w:szCs w:val="18"/>
                <w:color w:val="auto"/>
              </w:rPr>
              <w:t>Produces and sells technical products and fine papers worldwide.</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Packaging Corp. of America</w:t>
            </w:r>
          </w:p>
        </w:tc>
        <w:tc>
          <w:tcPr>
            <w:tcW w:w="800" w:type="dxa"/>
            <w:vAlign w:val="bottom"/>
            <w:gridSpan w:val="2"/>
          </w:tcPr>
          <w:p>
            <w:pPr>
              <w:spacing w:after="0"/>
              <w:rPr>
                <w:sz w:val="20"/>
                <w:szCs w:val="20"/>
                <w:color w:val="auto"/>
              </w:rPr>
            </w:pPr>
            <w:r>
              <w:rPr>
                <w:rFonts w:ascii="Arial" w:cs="Arial" w:eastAsia="Arial" w:hAnsi="Arial"/>
                <w:sz w:val="18"/>
                <w:szCs w:val="18"/>
                <w:color w:val="auto"/>
              </w:rPr>
              <w:t>PKG</w:t>
            </w:r>
          </w:p>
        </w:tc>
        <w:tc>
          <w:tcPr>
            <w:tcW w:w="7060" w:type="dxa"/>
            <w:vAlign w:val="bottom"/>
          </w:tcPr>
          <w:p>
            <w:pPr>
              <w:spacing w:after="0"/>
              <w:rPr>
                <w:sz w:val="20"/>
                <w:szCs w:val="20"/>
                <w:color w:val="auto"/>
              </w:rPr>
            </w:pPr>
            <w:r>
              <w:rPr>
                <w:rFonts w:ascii="Arial" w:cs="Arial" w:eastAsia="Arial" w:hAnsi="Arial"/>
                <w:sz w:val="18"/>
                <w:szCs w:val="18"/>
                <w:color w:val="auto"/>
              </w:rPr>
              <w:t>Produces and sells containerboard and corrugated products.</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Quaker Chemical Corporation</w:t>
            </w:r>
          </w:p>
        </w:tc>
        <w:tc>
          <w:tcPr>
            <w:tcW w:w="800" w:type="dxa"/>
            <w:vAlign w:val="bottom"/>
            <w:gridSpan w:val="2"/>
          </w:tcPr>
          <w:p>
            <w:pPr>
              <w:spacing w:after="0"/>
              <w:rPr>
                <w:sz w:val="20"/>
                <w:szCs w:val="20"/>
                <w:color w:val="auto"/>
              </w:rPr>
            </w:pPr>
            <w:r>
              <w:rPr>
                <w:rFonts w:ascii="Arial" w:cs="Arial" w:eastAsia="Arial" w:hAnsi="Arial"/>
                <w:sz w:val="18"/>
                <w:szCs w:val="18"/>
                <w:color w:val="auto"/>
              </w:rPr>
              <w:t>KWR</w:t>
            </w:r>
          </w:p>
        </w:tc>
        <w:tc>
          <w:tcPr>
            <w:tcW w:w="7060" w:type="dxa"/>
            <w:vAlign w:val="bottom"/>
          </w:tcPr>
          <w:p>
            <w:pPr>
              <w:spacing w:after="0"/>
              <w:rPr>
                <w:sz w:val="20"/>
                <w:szCs w:val="20"/>
                <w:color w:val="auto"/>
              </w:rPr>
            </w:pPr>
            <w:r>
              <w:rPr>
                <w:rFonts w:ascii="Arial" w:cs="Arial" w:eastAsia="Arial" w:hAnsi="Arial"/>
                <w:sz w:val="18"/>
                <w:szCs w:val="18"/>
                <w:color w:val="auto"/>
                <w:w w:val="97"/>
              </w:rPr>
              <w:t>Develops, produces and markets various formulated chemical specialty products for heavy</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industrial and manufacturing applications worldwide.</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Texas Industries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TXI</w:t>
            </w:r>
          </w:p>
        </w:tc>
        <w:tc>
          <w:tcPr>
            <w:tcW w:w="7060" w:type="dxa"/>
            <w:vAlign w:val="bottom"/>
          </w:tcPr>
          <w:p>
            <w:pPr>
              <w:spacing w:after="0"/>
              <w:rPr>
                <w:sz w:val="20"/>
                <w:szCs w:val="20"/>
                <w:color w:val="auto"/>
              </w:rPr>
            </w:pPr>
            <w:r>
              <w:rPr>
                <w:rFonts w:ascii="Arial" w:cs="Arial" w:eastAsia="Arial" w:hAnsi="Arial"/>
                <w:sz w:val="18"/>
                <w:szCs w:val="18"/>
                <w:color w:val="auto"/>
                <w:w w:val="89"/>
              </w:rPr>
              <w:t>Manufactures and sells heavy construction materials, including cement, aggregates and consumer</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product building materials.</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United States Lime &amp; Minerals,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USLM</w:t>
            </w:r>
          </w:p>
        </w:tc>
        <w:tc>
          <w:tcPr>
            <w:tcW w:w="7060" w:type="dxa"/>
            <w:vAlign w:val="bottom"/>
          </w:tcPr>
          <w:p>
            <w:pPr>
              <w:spacing w:after="0"/>
              <w:rPr>
                <w:sz w:val="20"/>
                <w:szCs w:val="20"/>
                <w:color w:val="auto"/>
              </w:rPr>
            </w:pPr>
            <w:r>
              <w:rPr>
                <w:rFonts w:ascii="Arial" w:cs="Arial" w:eastAsia="Arial" w:hAnsi="Arial"/>
                <w:sz w:val="18"/>
                <w:szCs w:val="18"/>
                <w:color w:val="auto"/>
              </w:rPr>
              <w:t>Manufactures and sells lime and limestone products.</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Universal Forest Products Inc.</w:t>
            </w:r>
          </w:p>
        </w:tc>
        <w:tc>
          <w:tcPr>
            <w:tcW w:w="800" w:type="dxa"/>
            <w:vAlign w:val="bottom"/>
            <w:gridSpan w:val="2"/>
          </w:tcPr>
          <w:p>
            <w:pPr>
              <w:spacing w:after="0"/>
              <w:rPr>
                <w:sz w:val="20"/>
                <w:szCs w:val="20"/>
                <w:color w:val="auto"/>
              </w:rPr>
            </w:pPr>
            <w:r>
              <w:rPr>
                <w:rFonts w:ascii="Arial" w:cs="Arial" w:eastAsia="Arial" w:hAnsi="Arial"/>
                <w:sz w:val="18"/>
                <w:szCs w:val="18"/>
                <w:color w:val="auto"/>
              </w:rPr>
              <w:t>UPPI</w:t>
            </w:r>
          </w:p>
        </w:tc>
        <w:tc>
          <w:tcPr>
            <w:tcW w:w="7060" w:type="dxa"/>
            <w:vAlign w:val="bottom"/>
          </w:tcPr>
          <w:p>
            <w:pPr>
              <w:spacing w:after="0"/>
              <w:rPr>
                <w:sz w:val="20"/>
                <w:szCs w:val="20"/>
                <w:color w:val="auto"/>
              </w:rPr>
            </w:pPr>
            <w:r>
              <w:rPr>
                <w:rFonts w:ascii="Arial" w:cs="Arial" w:eastAsia="Arial" w:hAnsi="Arial"/>
                <w:sz w:val="18"/>
                <w:szCs w:val="18"/>
                <w:color w:val="auto"/>
                <w:w w:val="89"/>
              </w:rPr>
              <w:t>Engineers, manufactures, treats, distributes and installs lumber, composite wood, plastic and other</w:t>
            </w: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4"/>
              </w:rPr>
              <w:t>building products for the do-it-yourself/retail, site-built construction, manufactured housing and</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industrial markets.</w:t>
            </w:r>
          </w:p>
        </w:tc>
      </w:tr>
      <w:tr>
        <w:trPr>
          <w:trHeight w:val="318"/>
        </w:trPr>
        <w:tc>
          <w:tcPr>
            <w:tcW w:w="3560" w:type="dxa"/>
            <w:vAlign w:val="bottom"/>
            <w:gridSpan w:val="3"/>
          </w:tcPr>
          <w:p>
            <w:pPr>
              <w:spacing w:after="0"/>
              <w:rPr>
                <w:sz w:val="20"/>
                <w:szCs w:val="20"/>
                <w:color w:val="auto"/>
              </w:rPr>
            </w:pPr>
            <w:r>
              <w:rPr>
                <w:rFonts w:ascii="Arial" w:cs="Arial" w:eastAsia="Arial" w:hAnsi="Arial"/>
                <w:sz w:val="18"/>
                <w:szCs w:val="18"/>
                <w:color w:val="auto"/>
              </w:rPr>
              <w:t>US Concrete Inc.</w:t>
            </w:r>
          </w:p>
        </w:tc>
        <w:tc>
          <w:tcPr>
            <w:tcW w:w="800" w:type="dxa"/>
            <w:vAlign w:val="bottom"/>
            <w:gridSpan w:val="2"/>
          </w:tcPr>
          <w:p>
            <w:pPr>
              <w:spacing w:after="0"/>
              <w:rPr>
                <w:sz w:val="20"/>
                <w:szCs w:val="20"/>
                <w:color w:val="auto"/>
              </w:rPr>
            </w:pPr>
            <w:r>
              <w:rPr>
                <w:rFonts w:ascii="Arial" w:cs="Arial" w:eastAsia="Arial" w:hAnsi="Arial"/>
                <w:sz w:val="18"/>
                <w:szCs w:val="18"/>
                <w:color w:val="auto"/>
              </w:rPr>
              <w:t>USCR</w:t>
            </w:r>
          </w:p>
        </w:tc>
        <w:tc>
          <w:tcPr>
            <w:tcW w:w="7060" w:type="dxa"/>
            <w:vAlign w:val="bottom"/>
          </w:tcPr>
          <w:p>
            <w:pPr>
              <w:spacing w:after="0"/>
              <w:rPr>
                <w:sz w:val="20"/>
                <w:szCs w:val="20"/>
                <w:color w:val="auto"/>
              </w:rPr>
            </w:pPr>
            <w:r>
              <w:rPr>
                <w:rFonts w:ascii="Arial" w:cs="Arial" w:eastAsia="Arial" w:hAnsi="Arial"/>
                <w:sz w:val="18"/>
                <w:szCs w:val="18"/>
                <w:color w:val="auto"/>
                <w:w w:val="88"/>
              </w:rPr>
              <w:t>Produces and sells ready-mix concrete, precast concrete products and concrete-related products for</w:t>
            </w:r>
          </w:p>
        </w:tc>
      </w:tr>
      <w:tr>
        <w:trPr>
          <w:trHeight w:val="222"/>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use in commercial, residential and public works construction products.</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USG Corporation*</w:t>
            </w:r>
          </w:p>
        </w:tc>
        <w:tc>
          <w:tcPr>
            <w:tcW w:w="800" w:type="dxa"/>
            <w:vAlign w:val="bottom"/>
            <w:gridSpan w:val="2"/>
          </w:tcPr>
          <w:p>
            <w:pPr>
              <w:spacing w:after="0"/>
              <w:rPr>
                <w:sz w:val="20"/>
                <w:szCs w:val="20"/>
                <w:color w:val="auto"/>
              </w:rPr>
            </w:pPr>
            <w:r>
              <w:rPr>
                <w:rFonts w:ascii="Arial" w:cs="Arial" w:eastAsia="Arial" w:hAnsi="Arial"/>
                <w:sz w:val="18"/>
                <w:szCs w:val="18"/>
                <w:color w:val="auto"/>
              </w:rPr>
              <w:t>USG</w:t>
            </w:r>
          </w:p>
        </w:tc>
        <w:tc>
          <w:tcPr>
            <w:tcW w:w="7060" w:type="dxa"/>
            <w:vAlign w:val="bottom"/>
          </w:tcPr>
          <w:p>
            <w:pPr>
              <w:spacing w:after="0"/>
              <w:rPr>
                <w:sz w:val="20"/>
                <w:szCs w:val="20"/>
                <w:color w:val="auto"/>
              </w:rPr>
            </w:pPr>
            <w:r>
              <w:rPr>
                <w:rFonts w:ascii="Arial" w:cs="Arial" w:eastAsia="Arial" w:hAnsi="Arial"/>
                <w:sz w:val="18"/>
                <w:szCs w:val="18"/>
                <w:color w:val="auto"/>
                <w:w w:val="93"/>
              </w:rPr>
              <w:t>Manufactures and distributes gypsum wallboard and a wide range of related building materials.</w:t>
            </w:r>
          </w:p>
        </w:tc>
      </w:tr>
      <w:tr>
        <w:trPr>
          <w:trHeight w:val="324"/>
        </w:trPr>
        <w:tc>
          <w:tcPr>
            <w:tcW w:w="3560" w:type="dxa"/>
            <w:vAlign w:val="bottom"/>
            <w:gridSpan w:val="3"/>
          </w:tcPr>
          <w:p>
            <w:pPr>
              <w:spacing w:after="0"/>
              <w:rPr>
                <w:sz w:val="20"/>
                <w:szCs w:val="20"/>
                <w:color w:val="auto"/>
              </w:rPr>
            </w:pPr>
            <w:r>
              <w:rPr>
                <w:rFonts w:ascii="Arial" w:cs="Arial" w:eastAsia="Arial" w:hAnsi="Arial"/>
                <w:sz w:val="18"/>
                <w:szCs w:val="18"/>
                <w:color w:val="auto"/>
              </w:rPr>
              <w:t>Vulcan Materials Company*</w:t>
            </w:r>
          </w:p>
        </w:tc>
        <w:tc>
          <w:tcPr>
            <w:tcW w:w="800" w:type="dxa"/>
            <w:vAlign w:val="bottom"/>
            <w:gridSpan w:val="2"/>
          </w:tcPr>
          <w:p>
            <w:pPr>
              <w:spacing w:after="0"/>
              <w:rPr>
                <w:sz w:val="20"/>
                <w:szCs w:val="20"/>
                <w:color w:val="auto"/>
              </w:rPr>
            </w:pPr>
            <w:r>
              <w:rPr>
                <w:rFonts w:ascii="Arial" w:cs="Arial" w:eastAsia="Arial" w:hAnsi="Arial"/>
                <w:sz w:val="18"/>
                <w:szCs w:val="18"/>
                <w:color w:val="auto"/>
              </w:rPr>
              <w:t>VMC</w:t>
            </w:r>
          </w:p>
        </w:tc>
        <w:tc>
          <w:tcPr>
            <w:tcW w:w="7060" w:type="dxa"/>
            <w:vAlign w:val="bottom"/>
          </w:tcPr>
          <w:p>
            <w:pPr>
              <w:spacing w:after="0"/>
              <w:rPr>
                <w:sz w:val="20"/>
                <w:szCs w:val="20"/>
                <w:color w:val="auto"/>
              </w:rPr>
            </w:pPr>
            <w:r>
              <w:rPr>
                <w:rFonts w:ascii="Arial" w:cs="Arial" w:eastAsia="Arial" w:hAnsi="Arial"/>
                <w:sz w:val="18"/>
                <w:szCs w:val="18"/>
                <w:color w:val="auto"/>
              </w:rPr>
              <w:t>Produces and sells construction aggregates: primarily crushed stone, sand and gravel.</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2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60" w:type="dxa"/>
            <w:vAlign w:val="bottom"/>
          </w:tcPr>
          <w:p>
            <w:pPr>
              <w:spacing w:after="0"/>
              <w:rPr>
                <w:sz w:val="9"/>
                <w:szCs w:val="9"/>
                <w:color w:val="auto"/>
              </w:rPr>
            </w:pPr>
          </w:p>
        </w:tc>
      </w:tr>
      <w:tr>
        <w:trPr>
          <w:trHeight w:val="235"/>
        </w:trPr>
        <w:tc>
          <w:tcPr>
            <w:tcW w:w="3560" w:type="dxa"/>
            <w:vAlign w:val="bottom"/>
            <w:gridSpan w:val="3"/>
          </w:tcPr>
          <w:p>
            <w:pPr>
              <w:spacing w:after="0"/>
              <w:rPr>
                <w:sz w:val="20"/>
                <w:szCs w:val="20"/>
                <w:color w:val="auto"/>
              </w:rPr>
            </w:pPr>
            <w:r>
              <w:rPr>
                <w:rFonts w:ascii="Arial" w:cs="Arial" w:eastAsia="Arial" w:hAnsi="Arial"/>
                <w:sz w:val="18"/>
                <w:szCs w:val="18"/>
                <w:color w:val="auto"/>
              </w:rPr>
              <w:t>*  Direct peer.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60" w:type="dxa"/>
            <w:vAlign w:val="bottom"/>
          </w:tcPr>
          <w:p>
            <w:pPr>
              <w:spacing w:after="0"/>
              <w:rPr>
                <w:sz w:val="20"/>
                <w:szCs w:val="20"/>
                <w:color w:val="auto"/>
              </w:rPr>
            </w:pPr>
          </w:p>
        </w:tc>
      </w:tr>
    </w:tbl>
    <w:p>
      <w:pPr>
        <w:spacing w:after="0" w:line="15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L&amp;A delivered its peer analysis report to the Compensation Committee in March 2012, utilizing trailing 12 months financials for revenue, latest quarter valuation for assets, net income as of December 31, 2011, and market capitalization and enterprise value as of March 15, 2012. The Company’s ranking in each of the categories utilized by L&amp;A was as follows: revenue (11</w:t>
      </w:r>
      <w:r>
        <w:rPr>
          <w:rFonts w:ascii="Arial" w:cs="Arial" w:eastAsia="Arial" w:hAnsi="Arial"/>
          <w:sz w:val="11"/>
          <w:szCs w:val="11"/>
          <w:color w:val="auto"/>
        </w:rPr>
        <w:t>th</w:t>
      </w:r>
      <w:r>
        <w:rPr>
          <w:rFonts w:ascii="Arial" w:cs="Arial" w:eastAsia="Arial" w:hAnsi="Arial"/>
          <w:sz w:val="18"/>
          <w:szCs w:val="18"/>
          <w:color w:val="auto"/>
        </w:rPr>
        <w:t xml:space="preserve"> percentile); assets (45</w:t>
      </w:r>
      <w:r>
        <w:rPr>
          <w:rFonts w:ascii="Arial" w:cs="Arial" w:eastAsia="Arial" w:hAnsi="Arial"/>
          <w:sz w:val="11"/>
          <w:szCs w:val="11"/>
          <w:color w:val="auto"/>
        </w:rPr>
        <w:t>th</w:t>
      </w:r>
      <w:r>
        <w:rPr>
          <w:rFonts w:ascii="Arial" w:cs="Arial" w:eastAsia="Arial" w:hAnsi="Arial"/>
          <w:sz w:val="18"/>
          <w:szCs w:val="18"/>
          <w:color w:val="auto"/>
        </w:rPr>
        <w:t xml:space="preserve"> percentile); net income (41</w:t>
      </w:r>
      <w:r>
        <w:rPr>
          <w:rFonts w:ascii="Arial" w:cs="Arial" w:eastAsia="Arial" w:hAnsi="Arial"/>
          <w:sz w:val="11"/>
          <w:szCs w:val="11"/>
          <w:color w:val="auto"/>
        </w:rPr>
        <w:t>st</w:t>
      </w:r>
      <w:r>
        <w:rPr>
          <w:rFonts w:ascii="Arial" w:cs="Arial" w:eastAsia="Arial" w:hAnsi="Arial"/>
          <w:sz w:val="18"/>
          <w:szCs w:val="18"/>
          <w:color w:val="auto"/>
        </w:rPr>
        <w:t xml:space="preserve"> percentile); market value (65</w:t>
      </w:r>
      <w:r>
        <w:rPr>
          <w:rFonts w:ascii="Arial" w:cs="Arial" w:eastAsia="Arial" w:hAnsi="Arial"/>
          <w:sz w:val="11"/>
          <w:szCs w:val="11"/>
          <w:color w:val="auto"/>
        </w:rPr>
        <w:t>th</w:t>
      </w:r>
      <w:r>
        <w:rPr>
          <w:rFonts w:ascii="Arial" w:cs="Arial" w:eastAsia="Arial" w:hAnsi="Arial"/>
          <w:sz w:val="18"/>
          <w:szCs w:val="18"/>
          <w:color w:val="auto"/>
        </w:rPr>
        <w:t xml:space="preserve"> percentile); and enterprise value (69</w:t>
      </w:r>
      <w:r>
        <w:rPr>
          <w:rFonts w:ascii="Arial" w:cs="Arial" w:eastAsia="Arial" w:hAnsi="Arial"/>
          <w:sz w:val="11"/>
          <w:szCs w:val="11"/>
          <w:color w:val="auto"/>
        </w:rPr>
        <w:t>th</w:t>
      </w:r>
      <w:r>
        <w:rPr>
          <w:rFonts w:ascii="Arial" w:cs="Arial" w:eastAsia="Arial" w:hAnsi="Arial"/>
          <w:sz w:val="18"/>
          <w:szCs w:val="18"/>
          <w:color w:val="auto"/>
        </w:rPr>
        <w:t xml:space="preserve"> percentile). The Company’s ranking against the compensation peers in total stockholder return was as follows: 1 year (82</w:t>
      </w:r>
      <w:r>
        <w:rPr>
          <w:rFonts w:ascii="Arial" w:cs="Arial" w:eastAsia="Arial" w:hAnsi="Arial"/>
          <w:sz w:val="11"/>
          <w:szCs w:val="11"/>
          <w:color w:val="auto"/>
        </w:rPr>
        <w:t>nd</w:t>
      </w:r>
      <w:r>
        <w:rPr>
          <w:rFonts w:ascii="Arial" w:cs="Arial" w:eastAsia="Arial" w:hAnsi="Arial"/>
          <w:sz w:val="18"/>
          <w:szCs w:val="18"/>
          <w:color w:val="auto"/>
        </w:rPr>
        <w:t xml:space="preserve"> percentile); 3 year (32</w:t>
      </w:r>
      <w:r>
        <w:rPr>
          <w:rFonts w:ascii="Arial" w:cs="Arial" w:eastAsia="Arial" w:hAnsi="Arial"/>
          <w:sz w:val="11"/>
          <w:szCs w:val="11"/>
          <w:color w:val="auto"/>
        </w:rPr>
        <w:t>nd</w:t>
      </w:r>
      <w:r>
        <w:rPr>
          <w:rFonts w:ascii="Arial" w:cs="Arial" w:eastAsia="Arial" w:hAnsi="Arial"/>
          <w:sz w:val="18"/>
          <w:szCs w:val="18"/>
          <w:color w:val="auto"/>
        </w:rPr>
        <w:t xml:space="preserve"> percentile); and 5 year (59</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This peer group includes four domestic public company competitors, which we refer to as our “direct peers.” Included in the direct peer group are companies from each of our operating segments (wallboard, cement, concrete and aggregates), but none of the companies operates in all of our segments. The other companies listed above are referred to as our “supplemental peers” and include companies in related industries. We refer to our direct peers and our supplemental peers together as our “compensation peers.”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are dissimilar to ours.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assembling peers. For these reasons and in light of the peer analysis described above, we believe that the compensation peer group identified by our Compensation Committee for fiscal 2013 provide a more appropriate and meaningful basis for assessing our executive compensation.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Performance Peers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Because Eagle Materials operates in the highly cyclical construction products industry, the Compensation Committee believes that our performance relative to our industry peers is a critical consideration when evaluating management performance. Such peer comparisons help to distinguish the effects of management performance from the more general effects of business cycle trends, thereby providing important information bearing on management rewards. This peer group, which we refer to as our “industry peers” was constructed by L&amp;A with input from management and is comprised of the direct peers noted above, plus the following international industry participants: Titan Cement Co. S.A., CRH, Buzzi Unicem S.p.A., Holcim Ltd., HeidelbergCement AG, Lafarge S.A., Cementos Bio-Bio S.A., Cementos Portland Valderrivas, Cemex S.A.B. de C.V., Italcementi S.p.A., Cementos Argos S.A., and Headwaters Incorporated. In June 2012, L&amp;A presented the Compensation Committee with the Company’s performance results against this industry peer group as part of its compensation decision-making. The Compensation Committee reviewed the Company’s performance in the following 16 categories, in each case against the direct peers and against the entire industry peer group (all measures were trailing 12 months as of June 1, 2012, except for average return on total capital, which was based on the periods ending on March 31, 2012, our fiscal year-end):</w:t>
      </w:r>
    </w:p>
    <w:p>
      <w:pPr>
        <w:spacing w:after="0" w:line="4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growth (five- and three-year)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growth (five- and three-year)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return on total capital (ten-, five- and three-year)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 on equity (five- and three-year)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 on assets (five- and three-year)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stockholder return (ten-, five-, three- and one-year)</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Against direct peers, the Company’s performance was at the 100</w:t>
      </w:r>
      <w:r>
        <w:rPr>
          <w:rFonts w:ascii="Arial" w:cs="Arial" w:eastAsia="Arial" w:hAnsi="Arial"/>
          <w:sz w:val="11"/>
          <w:szCs w:val="11"/>
          <w:color w:val="auto"/>
        </w:rPr>
        <w:t>th</w:t>
      </w:r>
      <w:r>
        <w:rPr>
          <w:rFonts w:ascii="Arial" w:cs="Arial" w:eastAsia="Arial" w:hAnsi="Arial"/>
          <w:sz w:val="18"/>
          <w:szCs w:val="18"/>
          <w:color w:val="auto"/>
        </w:rPr>
        <w:t xml:space="preserve"> percentile in nine of the 16 categories, including every measure of total stockholder return and average return on total capital, and below the median in only one category. Against the entire industry peer group, the Company’s performance was at the 100</w:t>
      </w:r>
      <w:r>
        <w:rPr>
          <w:rFonts w:ascii="Arial" w:cs="Arial" w:eastAsia="Arial" w:hAnsi="Arial"/>
          <w:sz w:val="11"/>
          <w:szCs w:val="11"/>
          <w:color w:val="auto"/>
        </w:rPr>
        <w:t>th</w:t>
      </w:r>
      <w:r>
        <w:rPr>
          <w:rFonts w:ascii="Arial" w:cs="Arial" w:eastAsia="Arial" w:hAnsi="Arial"/>
          <w:sz w:val="18"/>
          <w:szCs w:val="18"/>
          <w:color w:val="auto"/>
        </w:rPr>
        <w:t xml:space="preserve"> percentile in two of the 16 categories and above the median in all but four categories.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Compensation Committee used the survey of the compensation peer group prepared by L&amp;A, which we refer to as our benchmarking study, and the performance comparisons to the industry peers prepared by L&amp;A, which we refer to as our industry performance study, to guide it in establishing the main components of Named Executive Officer compensation: salaries, annual incentive bonus opportunity and long-term compensation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L&amp;A to conduct the benchmarking study at the beginning of fiscal 2013. The Named Executive Officer base salaries for fiscal 2012 (which was the data reviewed in the L&amp;A benchmarking study) were on average between the median and the 75</w:t>
      </w:r>
      <w:r>
        <w:rPr>
          <w:rFonts w:ascii="Arial" w:cs="Arial" w:eastAsia="Arial" w:hAnsi="Arial"/>
          <w:sz w:val="10"/>
          <w:szCs w:val="10"/>
          <w:color w:val="auto"/>
        </w:rPr>
        <w:t>th</w:t>
      </w:r>
      <w:r>
        <w:rPr>
          <w:rFonts w:ascii="Arial" w:cs="Arial" w:eastAsia="Arial" w:hAnsi="Arial"/>
          <w:sz w:val="16"/>
          <w:szCs w:val="16"/>
          <w:color w:val="auto"/>
        </w:rPr>
        <w:t xml:space="preserve"> percentile of the salary levels for the equivalent positions at the companies reviewed in the compensation peer group in the benchmarking study. For fiscal 2013, consistent with the salary freeze in place at the operating level of the Company, the Committee froze Named Executive Officer base salaries, with the exception of Mr. Kesler, whose base salary was increased approximately 9% in light of his job performance and the fact that his base salary was well below the median for the equivalent position at companies reviewed in the benchmarking study. Considerations that may influence the salary level for a Named Executive Officer include individual performance, the Named Executive Officer’s skills or experience, our operating performance and the nature and responsibilities of the 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Compensation Committee is responsible for approving the annual incentive bonus for our CEO and the other Named Executive Officers. Annual incentive bonuses paid to our Named Executive Officers for fiscal 2013 were made under (1) the Eagle Materials Inc. Salaried Incentive Compensation Program for Fiscal Year 2013, which we refer to as the Eagle Annual Incentive Program, (2) annual incentive compensation programs for fiscal 2013 established for particular operating divisions of the Company, which we refer to as Divisional Annual Incentive Bonus Programs, and (3) the Eagle Materials Inc. Special Situation Program for Fiscal Year 2013, which we refer to as the SSP. In general, the Named Executive Officers whose responsibilities extend to the Company as a whole (Messrs. Rowley, Kesler and Graass) participate in the Eagle Annual Incentive Program, and the Named Executive Officers whose responsibilities relate primarily to a particular operating division (Messrs. Essl and Powers) participate in relevant Divisional Annual Incentive Bonus Programs. All of our Named Executive Officers are eligible to participate in the SSP. These programs were structured to create financial incentives and rewards that are directly related to corporate performance and the participating Named Executive Officer’s individual performance during the fiscal year.</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as adjusted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operating earnings change from year to year. For example, the maximum annual bonus potential (as calculated in the manner described below after the end of the fiscal year) for Mr. Rowley (a participant in the Eagle Annual Incentive Program) in fiscal 2013 was 52% lower than in fiscal 2007 (record earnings year), as a result of lower operating earnings and a corresponding reduction in the size of the Eagle Annual Incentive Program pool. Similarly, the maximum bonus potential (as calculated in the manner described below after the end of the fiscal year) for Messrs. Essl and Powers (participants in our Divisional Incentive Programs) in fiscal 2013 was 52% and 69%, respectively, lower than in fiscal 2007, as a result of lower comparative divisional earnings.</w:t>
      </w:r>
    </w:p>
    <w:p>
      <w:pPr>
        <w:spacing w:after="0" w:line="12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At the beginning of fiscal 2013, L&amp;A compared each Named Executive Officer’s actual total cash payments from fiscal 2012 (comprised of base salary plus actual annual incentive program payments) against (i) the targeted total cash (base salary plus targeted annual incentive payments) paid to the equivalent positions at the companies reviewed in the compensation peer group, and (ii) the actual total cash paid to the equivalent positions at the companies reviewed in the compensation peer group. The Named Executive Officers’ actual total cash payments from fiscal 2012 were on average slightly below the median of the targeted total cash of the compensation peer group, and were on average slightly above the median of the actual total cash paid by the compensation peer group. These comparisons indicate that although the Company’s base salaries are between the median and the 75</w:t>
      </w:r>
      <w:r>
        <w:rPr>
          <w:rFonts w:ascii="Arial" w:cs="Arial" w:eastAsia="Arial" w:hAnsi="Arial"/>
          <w:sz w:val="10"/>
          <w:szCs w:val="10"/>
          <w:color w:val="auto"/>
        </w:rPr>
        <w:t>th</w:t>
      </w:r>
      <w:r>
        <w:rPr>
          <w:rFonts w:ascii="Arial" w:cs="Arial" w:eastAsia="Arial" w:hAnsi="Arial"/>
          <w:sz w:val="16"/>
          <w:szCs w:val="16"/>
          <w:color w:val="auto"/>
        </w:rPr>
        <w:t xml:space="preserve"> percentile, the total cash received by NEOs is approximately at the median of the compensation peer group. In addition, L&amp;A presented comparative data on annual bonus payouts for each executive position in the compensation peer group.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fiscal 2013, Messrs. Rowley, Kesler and Graass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(as adjusted),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adjusted operating earnings, the share of the pool designated for such executive, and an assessment of such executive’s individual performance.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first quarter of fiscal 2013, the Compensation Committee approved the designation of 1.2% of annual operating earnings (before corporate general and administrative expenses) for annual incentive bonuses for all executives participating in the Eagle Annual Incentive Program, including the Named Executive Officers. The Committee believes that operating earnings (before corporate general and administrative expenses) is an appropriate measurement for annual incentive bonuses because this measure is tied more closely to operations and does not take into account certain items of non-operating income and expense. The bonus pool is not subject to a separate cap or maximum, but is merely a function of multiplying the pre-determined percentage by our operating earnings for the applicable fiscal year. At the end of fiscal 2013, the Compensation Committee determined that the aggregate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available for the Eagle Annual Incentive Program for fiscal 2013 was $1,795,327, reflecting the operating earnings (before corporate general and administrative expenses) of the operations that were part of our business at the time of the program’s approval, as adjusted for certain non-recurring items which the Committee believes are not reflective of operating performance. This pool amount was not quantifiable until the end of fiscal 2013 and includes amounts available for payment to officers and employees other than the Named Executive Officers. For comparison purposes, the aggregate pool available for payment under such program for fiscal 2012 was $835,324, and in fiscal 2007 (record earnings year) the available pool was $3,716,614. In deciding to keep the percentage of operating earnings which would fund the pool for the Eagle Annual Incentive Program the same as used in prior years (including the record earnings year of fiscal 2007), the Compensation Committee considered several factors, including our compensation philosophy that a significant portion of the executive’s compensation should be “at risk” and subject to the Company’s success (level of operating earnings).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2012,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the amount of annual incentive bonus compensation payable to executives in other companies who fulfill similar roles as illustrated in the benchmarking study prepared by L&amp;A and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3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Kesler’s annual incentive bonus potential was set at 16%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Graass’s annual incentive bonus potential was set at 16% of the bonus pool.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2013, each of Messrs. Essl and Powers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Because of his responsibilities for our Cement and Concrete and Aggregates operations, Mr. Essl participated in both the Eagle Materials Inc. Cement Companies Salaried Incentive Compensation Program for Fiscal Year 2013 and the Eagle Materials Inc. Concrete and Aggregates Companies Incentive Compensation Program for Fiscal Year 2013. Under these plans, the bonus pools equaled 2.25% of each of our concrete and aggregates subsidiaries’ operating earnings for fiscal 2013 and 2.25% of each of our cement subsidiaries’ operating earnings for fiscal 2013 (or, in the case of our 50% owned cement joint venture, 2.25% of our portion of that entity’s operating earnings for fiscal 2013),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2013, Mr. Powers participated in the Eagle Materials Inc. American Gypsum Company Salaried Incentive Compensation Program for Fiscal Year</w:t>
      </w:r>
    </w:p>
    <w:p>
      <w:pPr>
        <w:spacing w:after="0" w:line="3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2013. Under this plan, the bonus pool equaled 2.25% of American Gypsum’s operating earnings for fiscal 2013, which is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2013 were as follows: $560,595 (Cement); $0 (Concrete and Aggregates); and $1,569,606 (American Gypsum); which in each case was not quantifiable until the end of fiscal 2013 and includes amounts available for payment to officers and employees other than the Named Executive Officers. For comparison purposes, the equivalent amounts in fiscal 2012 were $420,105 (Cement); $1,473 (Concrete and Aggregates); and $136,503 (American Gypsum); and in fiscal 2007 (record earnings year) the available pools were $1,347,374 (Cement); $385,390 (Concrete and Aggregates); and $4,581,079 (American Gypsum).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May 2012, the Compensation Committee set the annual incentive bonus potential for Messrs. Essl and Powers under these Divisional Annual Incentive Bonus Programs. In determining their respective allocation of the pools, the Compensation Committee did not rely on mathematical formulas or apply any specific quantitative performance measures. Rather, the Compensation Committee’s determination took into consideration Mr. Rowley’s recommendation, the amount of annual incentive bonus compensation payable to executives in other companies who fulfill similar roles as illustrated in the benchmarking study prepared by L&amp;A, the portion of the pools historically allocated to their respective positions and the Compensation Committee’s assessment of their importance and contribution to their respective divisions’ performance, their importance as an officer within their respective divisions in driving the achievement of divisional goals and profitability and their respective levels of responsibility. The Compensation Committee set Mr. Essl’s annual incentive bonus potential at 20% of his divisional bonus pools, plus an amount equal to 20% of 2.25% of our half of Texas Lehigh’s fiscal 2013 operating earnings, and the Compensation Committee set Mr. Powers’s incentive bonus potential at 20% of his divisional bonus pool.</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2013 Special Situation Program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first quarter of fiscal 2013 (May 2012), the Compensation Committee approved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 provided,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2013, the Compensation Committee determined that 0.35% of our operating earnings (before corporate general and administrative expenses) for the ensuing fiscal year would fund the SSP, along with the portions of Eagle and subsidiary incentive compensation plans and subsidiary long-term cash compensation plans not paid out. In deciding to keep the percentage of operating earnings which would fund the SSP the same as the prior year, the Compensation Committee considered several factors, including the anticipated operating earnings for fiscal 2013.</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2013, the Compensation Committee approved the incentive bonus pools for fiscal 2013 for the Company and each Divisional Annual Incentive Bonus Program. In addition, at the end of fiscal 2013,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Rowley himself, the Compensation Committee, with input from the entire Board, performed its own evaluation of his performance and the extent to which the goals and objectives established for him for fiscal 2013 had been achieved.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Mr. Rowley’s goals and objectives for fiscal 2013 (none of which were quantitative) related to: operational execution; financial execution; maintaining effective communication with our Board; maintaining alignment between the Company’s stockholders and employees; maintaining the Company’s ability to execute its operating strategy; executing the Company’s investor relations strategy, including maintaining an appropriate level of communication with investors; and continuing development of the Company’s long-term business strategy. At the end of fiscal 2013, the Compensation Committee conducted its performance evaluation of Mr. Rowley after receiving input from the entire Board. Mr. Rowley also provided input on his achievement of his goals and objectives for fiscal 2013 under the Eagle Annual Incentive Program. Based on this evaluation, the Compensation Committee believes Mr. Rowley performed at a high level during fiscal 2013 and met or exceeded his goals and objectives. That evaluation resulted in Mr. Rowley receiving 100% of his bonus potential for fiscal 2013. The Compensation Committee approved an annual incentive bonus for Mr. Rowley under the Eagle Annual Incentive Program of $718,131, which is reflected in the “Non-Equity Incentive Plan Compensation” column of the Summary Compensation Table located on page 35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43" w:lineRule="exact"/>
        <w:rPr>
          <w:sz w:val="20"/>
          <w:szCs w:val="20"/>
          <w:color w:val="auto"/>
        </w:rPr>
      </w:pPr>
    </w:p>
    <w:p>
      <w:pPr>
        <w:ind w:left="900" w:right="7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Rowley’s leadership in pursuing strategic growth opportunities, including the acquisition of assets from Lafarge North America and the development of the Company’s emerging frac sand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Rowley’s leadership in the successful execution of the financing of our strategic growth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Rowley’s success in driving management’s continuing focus on maintaining a healthy balance sheet and continued prudent use of debt;</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Rowley’s leadership in maintaining the Company’s focus on continual operating improvements which drove additional operating profitability;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Rowley’s leadership based on a detailed knowledge of all aspects of the business, and demonstration of a hands-on leadership style on the most important matters requiring his attention, balanced with appropriate delegation of responsibilities in Eagle’s decentralized organization.</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Compensation Committee approved a cash award under the SSP to Mr. Rowley in the amount of $281,869. In making this discretionary award to Mr. Rowley, the Compensation Committee did not apply any specific quantitative performance measures. The Compensation Committee’s determination took into consideration Mr. Rowley’s significant work and leadership on the successful acquisition of assets from Lafarge North America and the related public equity offering, and his oversight of our entry into the frac sand business. The SSP cash award to Mr. Rowley is reflected in the “Bonus” column of the Summary Compensation Table located on page 35 of this proxy statement. Mr. Rowley did not receive an SSP award during the other years disclosed in the Summary Compensation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Early in fiscal 2013, the Compensation Committee established goals and objectives for Mr. Kesler for fiscal 2013 (none of which were quantitative). At the end of fiscal 2013, Mr. Rowley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$287,252, which is reflected in the “Non-Equity Incentive Plan Compensation” column of the Summary Compensation Table located on page 35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Kesler’s performance and his achievement of the following factors related to his goals and objectives: Mr. Kesler’s timely and effective completion and communication of required financial planning and analysis; his participation in execution of strategic growth of the Company, including the acquisition of assets from Lafarge North America; his assistance in continuing to develop the Company’s investor relations strategy and participation in industry-related investor conferences; his role in managing the Company’s SEC filings and communications; his oversight of the Company’s IT department; and his leadership in continuing to analyze the Company’s capital structure.</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the Compensation Committee approved a cash award under the SSP to Mr. Kesler in the amount of $50,000. In making this discretionary award to Mr. Kesler, the Compensation Committee did not apply any specific quantitative performance measures. The Compensation Committee’s determination took into consideration the recommendation of Mr. Rowley and Mr. Kesler’s significant work on the successful acquisition of assets from Lafarge North America, including the successful completion of the public equity offering, the successful modification of the Company’s revolving line of credit and senior unsecured notes, and the integration/transition of the financial systems to Eagle’s financial reporting system. The SSP cash award to Mr. Kesler is reflected in the “Bonus” column of the Summary Compensation Table located on page 35 of this proxy statement. Mr. Kesler did not receive an SSP award during the other years disclosed in the Summary Compensation Table.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Early in fiscal 2013, the Compensation Committee established goals and objectives for Mr. Essl for fiscal 2013, 50% of which were non-quantitative goals and 50% were discretionary. At the end of fiscal 2013, Mr. Rowley reviewed Mr. Essl’s performance. Based in part on this review, the Compensation Committee awarded Mr. Essl 100% of his incentive bonus potential and approved an annual incentive bonus for Mr. Essl under the Eagle Materials Inc. Cement Companies Salaried Incentive Compensation Program for Fiscal Year 2013 and the Eagle Materials Inc. Concrete and Aggregate Companies Incentive Compensation Program for Fiscal Year 2013 of $258,402, which is reflected in the “Non-Equity Incentive Plan Compensation” column of the Summary Compensation Table located on page 35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w:t>
      </w:r>
    </w:p>
    <w:p>
      <w:pPr>
        <w:ind w:right="100"/>
        <w:spacing w:after="0" w:line="295" w:lineRule="auto"/>
        <w:rPr>
          <w:sz w:val="20"/>
          <w:szCs w:val="20"/>
          <w:color w:val="auto"/>
        </w:rPr>
      </w:pPr>
      <w:r>
        <w:rPr>
          <w:rFonts w:ascii="Arial" w:cs="Arial" w:eastAsia="Arial" w:hAnsi="Arial"/>
          <w:sz w:val="16"/>
          <w:szCs w:val="16"/>
          <w:color w:val="auto"/>
        </w:rPr>
        <w:t>Mr. Rowley’s input regarding Mr. Essl’s performance and his achievement of the following factors related to his goals and objectives: Mr. Essl’s success in transitioning a management team from Mountan Cement to the newly acquired Lafarge assets and bringing in a replacement team at Mountain Cement; his success with monitoring safety programs; driving the execution of the Company’s strategic frac sand initiative; maintaining the emphasis on low-cost production at all cement, concrete and aggregates companies; and his effective involvement with various marketing and sales efforts.</w:t>
      </w:r>
    </w:p>
    <w:p>
      <w:pPr>
        <w:spacing w:after="0" w:line="11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Compensation Committee approved a cash award under the SSP to Mr. Essl in the amount of $100,000. In making this discretionary award to Mr. Essl, the Compensation Committee did not apply any specific quantitative performance measures. The Compensation Committee’s determination took into consideration the recommendation of Mr. Rowley and Mr. Essl’s significant work on the successful acquisition of assets from Lafarge North America (including his work in analyzing the target operations and their integration into the Eagle system) and his execution of our entry into the frac sand business. The SSP cash award to Mr. Essl is reflected in the “Bonus” column of the Summary Compensation Table located on page 35 of this proxy statement. Mr. Essl did not receive an SSP award during the other years disclosed in the Summary Compensation Table.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Powers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Early in fiscal 2013, the Compensation Committee established goals and objectives for Mr. Powers for fiscal 2013, 40% of which were based on quantitative goals, 10% on other non-quantitative goals and 50% were discretionary. At the end of fiscal 2013, Mr. Rowley reviewed Mr. Powers’s performance. Based in part on this review, the Compensation Committee awarded Mr. Powers 100% of his incentive bonus potential and approved an annual incentive bonus for Mr. Powers under the American Gypsum Salaried Incentive Compensation Program for Fiscal Year 2013 of $313,921, which is reflected in the “Non-Equity Incentive Plan Compensation” column of the Summary Compensation Table located on page 35 of this proxy statement. In making this determination with regard to the non-quantitative portion of the goals, the Compensation Committee did not rely on mathematical formulas or assign any specific weights to his goals and objectives. The Committee used its judgment to determine the appropriate award level after taking into consideration Mr. Rowley’s input regarding Mr. Powers’s performance and his achievement of the following factors related to his goals and objectives: his achievement of targets related to safety, mill net, waste, total plant costs, operating profit and product sales; his execution of American Gypsum’s long-term strategy; his successful sales and marketing efforts with customers; his participation in various industry and energy efficiency groups.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Graass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Early in fiscal 2013, the Compensation Committee established goals and objectives for Mr. Graass for fiscal 2013 (none of which were quantitative). At the end of fiscal 2013, Mr. Rowley reviewed Mr. Graass’s performance, finding that Mr. Graass had achieved his goals during the fiscal year. Based in part on this review, the Compensation Committee determined that Mr. Graass had met his goals and awarded Mr. Graass 100% of his incentive bonus potential, approving an annual incentive bonus for Mr. Graass under the Eagle Annual Incentive Program of $287,252, which is reflected in the “Non-Equity Incentive Plan Compensation” column of the Summary Compensation Table located on page 35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Graass’s performance and his achievement of the following factors related to his goals and objectives: his assistance in advancing certain strategic matters; oversight of all SEC filings; assistance of the Board in monitoring corporate governance issues; his management of our material contract policy; and his assistance in contract negotiations and litigation management for our subsidiaries.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Compensation Committee approved a cash award under the SSP to Mr. Graass in the amount of $50,000. In making this discretionary award to Mr. Graass, the Compensation Committee did not apply any specific quantitative performance measures. The Compensation Committee’s determination took into consideration the recommendation of Mr. Rowley and Mr. Graass’s significant work on the successful acquisition of assets from Lafarge North America, including the work on the negotiation of the asset purchase agreement, the successful equity offering and the closing of the acquisition. The SSP cash award to Mr. Graass is reflected in the “Bonus” column of the Summary Compensation Table located on page 35 of this proxy statement. Mr. Graass did not receive an SSP award during the other years disclosed in the Summary Compensation Table.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Consistent with the Compensation Committee’s philosophy of linking compensation to our performance, a significant portion of our long-term incentive compensation program has been structured to link the vesting of equity awards to the achievement by the Company of specific performance levels. To enhance retention of key employees, once earned, the performance awards also contain a further time-vesting component. Also, a portion of our long-term compensation program has been structured as purely time-vesting, which the Compensation Committee believes, based on the input of L&amp;A, is more in-line with the practice of our peers.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Burn Rate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three-year average burn rate (a measure of historical dilution) is below our industry norms. The Company’s three-year average burn rate (which is based on the number of awards granted—or, in the case of performance awards, awards earned—in each fiscal year, divided by the weighted-average common shares outstanding for such fiscal year) is 2.33%. The 2013 cap for our industry published by ISS is 3.08%.</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2013, the Compensation Committee approved equity grants and cash awards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which expires on May 31, 2014, is limited to an aggregate of 60,000 option shares; no one individual may receive more than 15,000 option shares in a given year; and Section 16 reporting persons may not receive awards pursuant to this authority. Stock options granted under this delegation of authority vest 20% per year commencing on the first anniversary of the grant date. During fiscal 2013, 36,000 stock options were granted to employees under this authority.</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2013 Grants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June 2012, the Compensation Committee made annual long-term incentive equity grants and cash award grants under our long-term Incentive Plan. As part of the benchmarking study delivered to the Compensation Committee in April 2012, L&amp;A had provided information regarding long-term compensation paid to the compensation peer group. In June 2012, L&amp;A provided the Compensation Committee with a comparison of proposed fiscal 2013 long-term incentive values against the compensation peer group values from the benchmarking study. On average, the Named Executive Officer long-term incentive compensation was between the median and the 75</w:t>
      </w:r>
      <w:r>
        <w:rPr>
          <w:rFonts w:ascii="Arial" w:cs="Arial" w:eastAsia="Arial" w:hAnsi="Arial"/>
          <w:sz w:val="10"/>
          <w:szCs w:val="10"/>
          <w:color w:val="auto"/>
        </w:rPr>
        <w:t>th</w:t>
      </w:r>
      <w:r>
        <w:rPr>
          <w:rFonts w:ascii="Arial" w:cs="Arial" w:eastAsia="Arial" w:hAnsi="Arial"/>
          <w:sz w:val="16"/>
          <w:szCs w:val="16"/>
          <w:color w:val="auto"/>
        </w:rPr>
        <w:t xml:space="preserve"> percentile of the compensation peer group. In determining the value of the equity to be granted, the Compensation Committee took into consideration the Company’s strong performance relative to its industry peers as demonstrated in the L&amp;A industry performance study (see “Benchmarking—Performance Peers” above), the L&amp;A benchmarking study, the fact that a significant portion of the long-term incentive compensation was to have performance-based vesting and not time-based vesting, Mr. Rowley’s input (on all individuals other than himself), the Compensation Committee’s assessment of the executive’s importance and contribution to the organization, and the executive’s level of responsibility.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value granted was allocated 20% to performance-vesting restricted stock (Company financial metric), 20% to performance-vesting cash awards (Company financial metric as well as individual performance metrics), and 60% to time-vesting stock options. The Committee views time-vesting stock options as pay-for-performance because they are of value only if and to the extent that the share price at the time of exercise exceeds the price on the date of grant. Time-vesting awards further enhance retention of key employees. The Committee believes that the structure of the fiscal 2013 long-term compensation program is consistent with the Compensation Committee’s philosophy of linking compensation to our performance.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June 19, 2012, the Compensation Committee approved restricted stock awards under the long-term Incentive Plan to a group of its key employees, including its Named Executive Officers. The awards are comprised of shares of restricted stock which vest based upon the achievement by the Company of an average return on equity for the ten years ended March 31, 2013 of at least 15%, and, if earned, become fully vested one-fifth upon the first anniversary of the date of grant and one-fifth on March 31 for each of the following four years (in each case assuming continued service through such dates). The terms and conditions of the restricted stock are substantially the same as the restricted stock grants made in fiscal 2012, except that the performance criterion is as described above and vesting of earned shares will occur ratably as described above. Any shares of restricted stock that were not earned at the end of fiscal 2013 were to be forfeited. As in the case of prior equity awards, the restricted stock will also vest upon a change in control of the Company. See “Change in Control Benefits” below.</w:t>
      </w:r>
    </w:p>
    <w:p>
      <w:pPr>
        <w:spacing w:after="0" w:line="1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number of shares of restricted stock granted was determined by reference to the market price of our Common Stock on the date of grant. The following table shows the restricted stock granted to each of the Company’s Named Executive Officers on June 19,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3780" w:type="dxa"/>
            <w:vAlign w:val="bottom"/>
            <w:gridSpan w:val="3"/>
          </w:tcPr>
          <w:p>
            <w:pPr>
              <w:jc w:val="center"/>
              <w:ind w:left="2536"/>
              <w:spacing w:after="0" w:line="148" w:lineRule="exact"/>
              <w:rPr>
                <w:sz w:val="20"/>
                <w:szCs w:val="20"/>
                <w:color w:val="auto"/>
              </w:rPr>
            </w:pPr>
            <w:r>
              <w:rPr>
                <w:rFonts w:ascii="Arial" w:cs="Arial" w:eastAsia="Arial" w:hAnsi="Arial"/>
                <w:sz w:val="14"/>
                <w:szCs w:val="14"/>
                <w:b w:val="1"/>
                <w:bCs w:val="1"/>
                <w:color w:val="auto"/>
                <w:w w:val="86"/>
              </w:rPr>
              <w:t>Restricted Stock</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2013, the Compensation Committee certified that 100% of the restricted stock was earned, based on the Company’s 16.6% average return on equity for the ten years ended March 31, 2013. One-fifth of the shares vested on the first anniversary of the date of grant, and the remaining four-fifths will vest ratably on March 31 of 2014, 2015, 2016 and 2017.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Awards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June 19, 2012, the Compensation Committee approved the Eagle Materials Inc. Long-Term Cash Compensation Program for Fiscal 2013. Participants in the program were a group of the Company’s key employees, including its Named Executive Officers. The awards are comprised of cash which vests based upon the achievement by the Company of earnings before interest and taxes for the fiscal year ended March 31, 2013 of over $40 million. If the Company performance vesting criterion is satisfied, then the Compensation Committee may exercise negative discretion with regard to the cash award based on the employee’s achievement of individual goals established by the Compensation Committee. Following any such exercise of negative discretion, the cash awards become fully vested one-fifth upon the vesting determination date and one-fifth on March 31 for each of the following four years (in each case assuming continued service through such dates). Any cash awards not earned at the end of fiscal 2013 were to be forfeited. As in the case of prior equity awards, the cash program provides that the awards will vest upon a change in control of the Company. See “Change in Control Benefits”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potential cash award granted to each of the Company’s Named Executive Officers on June 19, 2012:</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tcPr>
          <w:p>
            <w:pPr>
              <w:spacing w:after="0"/>
              <w:rPr>
                <w:sz w:val="15"/>
                <w:szCs w:val="15"/>
                <w:color w:val="auto"/>
              </w:rPr>
            </w:pPr>
          </w:p>
        </w:tc>
        <w:tc>
          <w:tcPr>
            <w:tcW w:w="3660" w:type="dxa"/>
            <w:vAlign w:val="bottom"/>
            <w:gridSpan w:val="3"/>
          </w:tcPr>
          <w:p>
            <w:pPr>
              <w:ind w:left="2840"/>
              <w:spacing w:after="0"/>
              <w:rPr>
                <w:sz w:val="20"/>
                <w:szCs w:val="20"/>
                <w:color w:val="auto"/>
              </w:rPr>
            </w:pPr>
            <w:r>
              <w:rPr>
                <w:rFonts w:ascii="Arial" w:cs="Arial" w:eastAsia="Arial" w:hAnsi="Arial"/>
                <w:sz w:val="14"/>
                <w:szCs w:val="14"/>
                <w:b w:val="1"/>
                <w:bCs w:val="1"/>
                <w:color w:val="auto"/>
                <w:w w:val="98"/>
              </w:rPr>
              <w:t>Cash Award</w:t>
            </w: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$ 520,000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2013, the Compensation Committee certified that the Company’s earnings before interest and taxes for the fiscal year ended March 31, 2013 satisfied the Company performance goal. The Committee then had the opportunity to exercise negative discretion based on a grantee’s achievement of individual non-quantitative goals that had been previously established by the Committee. No such negative discretion was exercised by the Committee with respect to the Named Executive Officers, who earned the following cash award amounts: Mr. Rowley—$520,000; Mr. Kesler—$138,750; Mr. Essl—$150,000; Mr. Powers— $150,000; and Mr. Graass—$138,750. One-fifth of the earned cash award was paid upon the vesting determination date, and the remaining four-fifths will be paid ratably on March 31 of 2014, 2015, 2016 and 2017.</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Grant</w:t>
      </w:r>
    </w:p>
    <w:p>
      <w:pPr>
        <w:spacing w:after="0" w:line="90"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Also on June 19, 2012, the Compensation Committee approved stock option awards under the long-term Incentive Plan to a group of its key employees, including its Named Executive Officers. The awards are comprised of stock options which vest ratably over three years on June 19, 2013; June 19, 2014; and June 19, 2015 (in each case assuming continued service through such dates). The Compensation Committee believes that the percentage of total long-term compensation represented by these options (60%) is consistent with competitive pay practices, preserves the Company’s compensation philosophy that a significant portion of an executive’s pay should be at risk, while at the same time creating a strong incentive for management to grow the Company.</w:t>
      </w:r>
    </w:p>
    <w:p>
      <w:pPr>
        <w:spacing w:after="0" w:line="10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and conditions of the stock options are substantially the same as the stock option grants in fiscal 2012. As in the case of prior equity awards, the stock options will also vest upon a change in control of the Company. See “Change in Control Benefits” below. In accordance with the terms of the Company’s Incentive Plan in effect on the date of grant, the exercise price of the stock options is the closing price of the Company’s Common Stock on the date of grant, June 19, 2012 ($33.69).</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number of option shares granted to our Named Executive Officers was determined by valuing the options on the date of grant using the Black-Scholes method. The following table shows the stock options granted to each of the Named Executive Officers on June 19,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620" w:type="dxa"/>
            <w:vAlign w:val="bottom"/>
            <w:gridSpan w:val="3"/>
          </w:tcPr>
          <w:p>
            <w:pPr>
              <w:jc w:val="center"/>
              <w:ind w:left="2696"/>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8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120,618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32,184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$17,500),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All of the Named Executive Officers have been employed by the Company or our affiliates long enough to be fully vested. Participants are entitled to direct the investment of contributions made to the PSRP on their behalf in various investment funds, including up to 15% in a common stock fund. Such amounts are payable upon a participant’s termination of employment,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2013 are reflected in the Summary Compensation Table located on page 35 of this proxy statement. A list of the investment funds provided under the PSRP is provided in the footnotes to the Nonqualified Deferred Compensation Table located on page 42 of this proxy statement.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($250,000 for the year covered by this proxy statement)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have been employed by the Company or our affiliates long enough to be fully vested. Employer contributions to the SERP of our Named Executive Officers in fiscal 2013 are reflected in the Summary Compensation Table located on page 35 of this proxy statement. A list of the investment funds provided under the PSRP is provided in the footnotes to the Nonqualified Deferred Compensation Table located on page 42 of this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2013 are reflected in the Summary Compensation Table located on page 35 of this proxy statement. Amounts potentially payable to the beneficiaries of our Named Executive Officers pursuant to the SCP are described in “Potential Payments Upon Termination or Change in Control” beginning on page 43 of this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Compensation Developments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fiscal 2014, the Compensation Committee instituted salary increases for the Named Executive Officers, who (with the exception of Mr. Kesler) had not received a salary increase in fiscal 2013. See “Elements of Executive Compensation—Base Salary” above. The base salary increases placed the Named Executive Officers, on average, between the median and the 75</w:t>
      </w:r>
      <w:r>
        <w:rPr>
          <w:rFonts w:ascii="Arial" w:cs="Arial" w:eastAsia="Arial" w:hAnsi="Arial"/>
          <w:sz w:val="10"/>
          <w:szCs w:val="10"/>
          <w:color w:val="auto"/>
        </w:rPr>
        <w:t>th</w:t>
      </w:r>
      <w:r>
        <w:rPr>
          <w:rFonts w:ascii="Arial" w:cs="Arial" w:eastAsia="Arial" w:hAnsi="Arial"/>
          <w:sz w:val="16"/>
          <w:szCs w:val="16"/>
          <w:color w:val="auto"/>
        </w:rPr>
        <w:t xml:space="preserve"> percentile of the L&amp;A benchmarking study. The fiscal 2014 base salaries for the Named Executive Officers were set as follows: Mr. Rowley—$885,000; Mr. Kesler—$330,000; Mr. Essl—$375,000; Mr. Powers—$375,000; and Mr. Graass—$365,000. Considerations that may influence the salary level for a Named Executive Officer include individual performance, the Named Executive Officer’s skills or experience, our operating performance and the nature and responsibilities of the position. The Compensation Committee has not made any long-term incentive equity grants for fiscal 2014, but anticipates considering making such grants following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Equity awards and cash 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common stock of the corporation resulting from such transaction, and (3) at least a majority of the members of the resulting corporation’s board of directors were members of our Board. If a change in control occurs, any unvested outstanding stock options, restricted stock, restricted stock units or cash awards would generally become immediately fully vested, and, in the case of stock options, exercisable or, the case of restricted stock, RSUs or cash awards, payable, in each case without regard to whether any applicable performance criteria have been or will be satisfied. See “Potential Payments Upon Termination or Change in Control” on page 43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guidelines for the Named Executive Officers are expressed as a multiple of base salary as set forth below (with actual ownership reflected as of the record date for the annual meeting):</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Multiple of Salary</w:t>
            </w:r>
          </w:p>
        </w:tc>
        <w:tc>
          <w:tcPr>
            <w:tcW w:w="212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Actual Ownership</w:t>
            </w:r>
            <w:r>
              <w:rPr>
                <w:rFonts w:ascii="Arial" w:cs="Arial" w:eastAsia="Arial" w:hAnsi="Arial"/>
                <w:sz w:val="22"/>
                <w:szCs w:val="22"/>
                <w:color w:val="auto"/>
                <w:w w:val="91"/>
                <w:vertAlign w:val="superscript"/>
              </w:rPr>
              <w:t>(2)</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tcPr>
          <w:p>
            <w:pPr>
              <w:spacing w:after="0"/>
              <w:rPr>
                <w:sz w:val="15"/>
                <w:szCs w:val="15"/>
                <w:color w:val="auto"/>
              </w:rPr>
            </w:pPr>
          </w:p>
        </w:tc>
        <w:tc>
          <w:tcPr>
            <w:tcW w:w="22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6"/>
              </w:rPr>
              <w:t>Ownership Guidelines</w:t>
            </w:r>
          </w:p>
        </w:tc>
        <w:tc>
          <w:tcPr>
            <w:tcW w:w="2120" w:type="dxa"/>
            <w:vAlign w:val="bottom"/>
            <w:gridSpan w:val="2"/>
          </w:tcPr>
          <w:p>
            <w:pPr>
              <w:jc w:val="right"/>
              <w:ind w:right="920"/>
              <w:spacing w:after="0" w:line="162" w:lineRule="exact"/>
              <w:rPr>
                <w:sz w:val="20"/>
                <w:szCs w:val="20"/>
                <w:color w:val="auto"/>
              </w:rPr>
            </w:pPr>
            <w:r>
              <w:rPr>
                <w:rFonts w:ascii="Arial" w:cs="Arial" w:eastAsia="Arial" w:hAnsi="Arial"/>
                <w:sz w:val="12"/>
                <w:szCs w:val="12"/>
                <w:b w:val="1"/>
                <w:bCs w:val="1"/>
                <w:color w:val="auto"/>
              </w:rPr>
              <w:t>of Common Stock</w:t>
            </w:r>
            <w:r>
              <w:rPr>
                <w:rFonts w:ascii="Arial" w:cs="Arial" w:eastAsia="Arial" w:hAnsi="Arial"/>
                <w:sz w:val="18"/>
                <w:szCs w:val="18"/>
                <w:color w:val="auto"/>
                <w:vertAlign w:val="superscript"/>
              </w:rPr>
              <w:t>(1)</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5X</w:t>
            </w:r>
          </w:p>
        </w:tc>
        <w:tc>
          <w:tcPr>
            <w:tcW w:w="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83,400</w:t>
            </w:r>
          </w:p>
        </w:tc>
        <w:tc>
          <w:tcPr>
            <w:tcW w:w="9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167,666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tcPr>
          <w:p>
            <w:pPr>
              <w:jc w:val="right"/>
              <w:spacing w:after="0"/>
              <w:rPr>
                <w:sz w:val="20"/>
                <w:szCs w:val="20"/>
                <w:color w:val="auto"/>
              </w:rPr>
            </w:pPr>
            <w:r>
              <w:rPr>
                <w:rFonts w:ascii="Arial" w:cs="Arial" w:eastAsia="Arial" w:hAnsi="Arial"/>
                <w:sz w:val="18"/>
                <w:szCs w:val="18"/>
                <w:color w:val="auto"/>
              </w:rPr>
              <w:t>26,900</w:t>
            </w:r>
          </w:p>
        </w:tc>
        <w:tc>
          <w:tcPr>
            <w:tcW w:w="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tcPr>
          <w:p>
            <w:pPr>
              <w:jc w:val="right"/>
              <w:spacing w:after="0"/>
              <w:rPr>
                <w:sz w:val="20"/>
                <w:szCs w:val="20"/>
                <w:color w:val="auto"/>
              </w:rPr>
            </w:pPr>
            <w:r>
              <w:rPr>
                <w:rFonts w:ascii="Arial" w:cs="Arial" w:eastAsia="Arial" w:hAnsi="Arial"/>
                <w:sz w:val="18"/>
                <w:szCs w:val="18"/>
                <w:color w:val="auto"/>
              </w:rPr>
              <w:t>22,200</w:t>
            </w:r>
          </w:p>
        </w:tc>
        <w:tc>
          <w:tcPr>
            <w:tcW w:w="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00" w:hanging="452"/>
        <w:spacing w:after="0" w:line="239"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ind w:left="460" w:hanging="452"/>
        <w:spacing w:after="0" w:line="20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Types of ownership counted toward the guidelines include the following:</w:t>
      </w:r>
    </w:p>
    <w:p>
      <w:pPr>
        <w:spacing w:after="0" w:line="74" w:lineRule="exact"/>
        <w:rPr>
          <w:rFonts w:ascii="Arial" w:cs="Arial" w:eastAsia="Arial" w:hAnsi="Arial"/>
          <w:sz w:val="22"/>
          <w:szCs w:val="22"/>
          <w:color w:val="auto"/>
          <w:vertAlign w:val="superscript"/>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represented by restricted stock or earned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-1454785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all fiscal 2011, 2012 and 2013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 in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Pension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Value and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Nonquali-</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fied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Deferred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1"/>
                <w:szCs w:val="11"/>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6"/>
              </w:rPr>
              <w:t>Salary</w:t>
            </w:r>
            <w:r>
              <w:rPr>
                <w:rFonts w:ascii="Arial" w:cs="Arial" w:eastAsia="Arial" w:hAnsi="Arial"/>
                <w:sz w:val="22"/>
                <w:szCs w:val="22"/>
                <w:b w:val="1"/>
                <w:bCs w:val="1"/>
                <w:color w:val="auto"/>
                <w:w w:val="96"/>
                <w:vertAlign w:val="superscript"/>
              </w:rPr>
              <w:t>(1)</w:t>
            </w:r>
          </w:p>
        </w:tc>
        <w:tc>
          <w:tcPr>
            <w:tcW w:w="18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Bonus</w:t>
            </w:r>
            <w:r>
              <w:rPr>
                <w:rFonts w:ascii="Arial" w:cs="Arial" w:eastAsia="Arial" w:hAnsi="Arial"/>
                <w:sz w:val="22"/>
                <w:szCs w:val="22"/>
                <w:b w:val="1"/>
                <w:bCs w:val="1"/>
                <w:color w:val="auto"/>
                <w:w w:val="91"/>
                <w:vertAlign w:val="superscript"/>
              </w:rPr>
              <w:t>(2)</w:t>
            </w: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Compensa-</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tion</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Compen-</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tion</w:t>
            </w:r>
            <w:r>
              <w:rPr>
                <w:rFonts w:ascii="Arial" w:cs="Arial" w:eastAsia="Arial" w:hAnsi="Arial"/>
                <w:sz w:val="17"/>
                <w:szCs w:val="17"/>
                <w:b w:val="1"/>
                <w:bCs w:val="1"/>
                <w:color w:val="auto"/>
                <w:vertAlign w:val="superscript"/>
              </w:rPr>
              <w:t>(5)</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Earnings</w:t>
            </w:r>
          </w:p>
        </w:tc>
        <w:tc>
          <w:tcPr>
            <w:tcW w:w="6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sation</w:t>
            </w:r>
            <w:r>
              <w:rPr>
                <w:rFonts w:ascii="Arial" w:cs="Arial" w:eastAsia="Arial" w:hAnsi="Arial"/>
                <w:sz w:val="17"/>
                <w:szCs w:val="17"/>
                <w:b w:val="1"/>
                <w:bCs w:val="1"/>
                <w:color w:val="auto"/>
                <w:vertAlign w:val="superscript"/>
              </w:rPr>
              <w:t>(6)</w:t>
            </w:r>
          </w:p>
        </w:tc>
        <w:tc>
          <w:tcPr>
            <w:tcW w:w="160" w:type="dxa"/>
            <w:vAlign w:val="bottom"/>
          </w:tcPr>
          <w:p>
            <w:pPr>
              <w:spacing w:after="0"/>
              <w:rPr>
                <w:sz w:val="12"/>
                <w:szCs w:val="12"/>
                <w:color w:val="auto"/>
              </w:rPr>
            </w:pP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860" w:type="dxa"/>
            <w:vAlign w:val="bottom"/>
            <w:gridSpan w:val="2"/>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54"/>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94"/>
              <w:spacing w:after="0" w:line="129" w:lineRule="exact"/>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center"/>
              <w:ind w:left="75"/>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right"/>
              <w:ind w:right="242"/>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Steven R. Rowley,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$860,000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$281,869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520,000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$1,560,000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$718,131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$125,656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$4,585,656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President and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334,130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Chief Executive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1,439,638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294,944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Officer</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50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138,750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416,250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426,002</w:t>
            </w:r>
          </w:p>
        </w:tc>
        <w:tc>
          <w:tcPr>
            <w:tcW w:w="18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43,844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1,374,846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Executive Vice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133,652</w:t>
            </w:r>
          </w:p>
        </w:tc>
        <w:tc>
          <w:tcPr>
            <w:tcW w:w="18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1,539,279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President —Finance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256,250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468,291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34,818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110,604</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894,101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and Administration &amp;</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CFO</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J. Essl,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408,402</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1,508,217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Executive 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212,693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President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209,460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Cement/Aggregates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and Concrete</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50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463,921</w:t>
            </w:r>
          </w:p>
        </w:tc>
        <w:tc>
          <w:tcPr>
            <w:tcW w:w="18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46,603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1,460,524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Executive Vice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918,750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306,250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26,208</w:t>
            </w:r>
          </w:p>
        </w:tc>
        <w:tc>
          <w:tcPr>
            <w:tcW w:w="18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33,563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President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333,125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78,349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496,768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43,708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5,545</w:t>
            </w:r>
          </w:p>
        </w:tc>
        <w:tc>
          <w:tcPr>
            <w:tcW w:w="18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984,752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3"/>
          </w:tcPr>
          <w:p>
            <w:pPr>
              <w:ind w:left="440"/>
              <w:spacing w:after="0"/>
              <w:rPr>
                <w:sz w:val="20"/>
                <w:szCs w:val="20"/>
                <w:color w:val="auto"/>
              </w:rPr>
            </w:pPr>
            <w:r>
              <w:rPr>
                <w:rFonts w:ascii="Arial" w:cs="Arial" w:eastAsia="Arial" w:hAnsi="Arial"/>
                <w:sz w:val="18"/>
                <w:szCs w:val="18"/>
                <w:i w:val="1"/>
                <w:iCs w:val="1"/>
                <w:color w:val="auto"/>
              </w:rPr>
              <w:t>Gypsum</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426,002</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1,429,897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Executive 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133,952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President, General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477,784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37,782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110,604</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Counsel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gridSpan w:val="3"/>
            <w:shd w:val="clear" w:color="auto" w:fill="CCEEFF"/>
          </w:tcPr>
          <w:p>
            <w:pPr>
              <w:ind w:left="440"/>
              <w:spacing w:after="0"/>
              <w:rPr>
                <w:sz w:val="20"/>
                <w:szCs w:val="20"/>
                <w:color w:val="auto"/>
              </w:rPr>
            </w:pPr>
            <w:r>
              <w:rPr>
                <w:rFonts w:ascii="Arial" w:cs="Arial" w:eastAsia="Arial" w:hAnsi="Arial"/>
                <w:sz w:val="18"/>
                <w:szCs w:val="18"/>
                <w:i w:val="1"/>
                <w:iCs w:val="1"/>
                <w:color w:val="auto"/>
              </w:rPr>
              <w:t>Secretary</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32 of this proxy statement.</w:t>
      </w:r>
    </w:p>
    <w:p>
      <w:pPr>
        <w:ind w:left="460" w:right="18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Company’s Special Situation Program for the applicable fiscal year.</w:t>
      </w:r>
    </w:p>
    <w:p>
      <w:pPr>
        <w:ind w:left="460" w:right="40" w:hanging="452"/>
        <w:spacing w:after="0" w:line="287"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in this column reflect the value of RSU awards and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2013 included in the Fiscal 2013 Form 10-K; (b) footnote (I) to the Company’s audited financial statements for the fiscal year ended March 31, 2012 included in the Fiscal 2012 Form 10-K; and (c) footnote (I) to the Company’s audited financial statements for the fiscal year ended March 31, 2011 included in the Company’s Annual Report on Form 10-K filed with the SEC on May 26, 2011, or “Fiscal 2011 Form 10-K.” A portion of the amounts in this column for fiscal 2011 assumes the achievement of less than the highest level of performance conditions. The following table reflects the amounts assuming the highest level of performance conditions (i.e., the maximum amounts payable):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at Highest Level of Performance (Fiscal 2011)</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Restricted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7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Hold To Retirement</w:t>
            </w: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160" w:type="dxa"/>
            <w:vAlign w:val="bottom"/>
          </w:tcPr>
          <w:p>
            <w:pPr>
              <w:spacing w:after="0"/>
              <w:rPr>
                <w:sz w:val="15"/>
                <w:szCs w:val="15"/>
                <w:color w:val="auto"/>
              </w:rPr>
            </w:pPr>
          </w:p>
        </w:tc>
        <w:tc>
          <w:tcPr>
            <w:tcW w:w="174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Restricted Stock</w:t>
            </w:r>
            <w:r>
              <w:rPr>
                <w:rFonts w:ascii="Arial" w:cs="Arial" w:eastAsia="Arial" w:hAnsi="Arial"/>
                <w:sz w:val="18"/>
                <w:szCs w:val="18"/>
                <w:color w:val="auto"/>
                <w:vertAlign w:val="superscript"/>
              </w:rPr>
              <w:t>(1)</w:t>
            </w:r>
          </w:p>
        </w:tc>
        <w:tc>
          <w:tcPr>
            <w:tcW w:w="110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8"/>
              </w:rPr>
              <w:t>Units</w:t>
            </w:r>
            <w:r>
              <w:rPr>
                <w:rFonts w:ascii="Arial" w:cs="Arial" w:eastAsia="Arial" w:hAnsi="Arial"/>
                <w:sz w:val="18"/>
                <w:szCs w:val="18"/>
                <w:color w:val="auto"/>
                <w:w w:val="98"/>
                <w:vertAlign w:val="superscript"/>
              </w:rPr>
              <w:t>(2)</w:t>
            </w:r>
          </w:p>
        </w:tc>
        <w:tc>
          <w:tcPr>
            <w:tcW w:w="32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03"/>
        </w:trPr>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1,012,490</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$1,708,594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$2,721,084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354,386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455,625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810,011</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354,386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569,532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923,917</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354,386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569,532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923,917</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354,386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493,594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847,979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The amount in the Summary Compensation Table column assumes the achievement of the highest level of performance conditions.</w:t>
      </w:r>
    </w:p>
    <w:p>
      <w:pPr>
        <w:spacing w:after="0" w:line="7" w:lineRule="exact"/>
        <w:rPr>
          <w:rFonts w:ascii="Arial" w:cs="Arial" w:eastAsia="Arial" w:hAnsi="Arial"/>
          <w:sz w:val="22"/>
          <w:szCs w:val="22"/>
          <w:color w:val="auto"/>
          <w:vertAlign w:val="superscript"/>
        </w:rPr>
      </w:pPr>
    </w:p>
    <w:p>
      <w:pPr>
        <w:ind w:left="460" w:right="60" w:hanging="452"/>
        <w:spacing w:after="0" w:line="230"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The amount in the Summary Compensation Table column assumes the achievement of less than the highest level of performance conditions with respect to this award. The fiscal 2011 awards to Messrs. Rowley, Kesler and Graass vested at 75.1%, the award to Mr. Powers vested at 62.5%, and the award to Mr. Essl vested at 85.96%. The unvested portion was forfeited.</w:t>
      </w:r>
    </w:p>
    <w:p>
      <w:pPr>
        <w:spacing w:after="0" w:line="76" w:lineRule="exact"/>
        <w:rPr>
          <w:sz w:val="20"/>
          <w:szCs w:val="20"/>
          <w:color w:val="auto"/>
        </w:rPr>
      </w:pPr>
    </w:p>
    <w:p>
      <w:pPr>
        <w:ind w:left="460" w:right="40" w:hanging="452"/>
        <w:spacing w:after="0" w:line="305"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w:t>
      </w:r>
    </w:p>
    <w:p>
      <w:pPr>
        <w:ind w:left="460"/>
        <w:spacing w:after="0"/>
        <w:rPr>
          <w:rFonts w:ascii="Arial" w:cs="Arial" w:eastAsia="Arial" w:hAnsi="Arial"/>
          <w:sz w:val="15"/>
          <w:szCs w:val="15"/>
          <w:color w:val="auto"/>
        </w:rPr>
      </w:pPr>
      <w:r>
        <w:rPr>
          <w:rFonts w:ascii="Arial" w:cs="Arial" w:eastAsia="Arial" w:hAnsi="Arial"/>
          <w:sz w:val="16"/>
          <w:szCs w:val="16"/>
          <w:color w:val="auto"/>
        </w:rPr>
        <w:t>(a) footnote (J) to the Company’s audited financial statements for the fiscal year ended March 31, 2013 included in the Fiscal 2013 Form 10-K; (b) footnote</w:t>
      </w:r>
    </w:p>
    <w:p>
      <w:pPr>
        <w:spacing w:after="0" w:line="32" w:lineRule="exact"/>
        <w:rPr>
          <w:rFonts w:ascii="Arial" w:cs="Arial" w:eastAsia="Arial" w:hAnsi="Arial"/>
          <w:sz w:val="15"/>
          <w:szCs w:val="15"/>
          <w:color w:val="auto"/>
        </w:rPr>
      </w:pPr>
    </w:p>
    <w:p>
      <w:pPr>
        <w:ind w:left="460" w:right="60"/>
        <w:spacing w:after="0" w:line="281" w:lineRule="auto"/>
        <w:rPr>
          <w:rFonts w:ascii="Arial" w:cs="Arial" w:eastAsia="Arial" w:hAnsi="Arial"/>
          <w:sz w:val="15"/>
          <w:szCs w:val="15"/>
          <w:color w:val="auto"/>
        </w:rPr>
      </w:pPr>
      <w:r>
        <w:rPr>
          <w:rFonts w:ascii="Arial" w:cs="Arial" w:eastAsia="Arial" w:hAnsi="Arial"/>
          <w:sz w:val="16"/>
          <w:szCs w:val="16"/>
          <w:color w:val="auto"/>
        </w:rPr>
        <w:t>(I) to the Company’s audited financial statements for the fiscal year ended March 31, 2012 included in the Fiscal 2012 Form 10-K; and (c) footnote (I) to the Company’s audited financial statements for the fiscal year ended March 31, 2011 included in the Fiscal 2011 Form 10-K. The amounts in this column for fiscal 2011 assume the achievement of less than the highest level of performance conditions; the amounts assuming the highest level of performance conditions would be as follows: Mr. Rowley – $524,500; Mr. Kesler – $139,274; Mr. Essl – $174,833; Mr. Powers – $174,833; and Mr. Graass – $151,127. The fiscal 2011 awards to Messrs. Rowley, Kesler and Graass vested at 75.1%, the award to Mr. Powers vested at 62.5%, and the award to Mr. Essl vested at 85.96%. The unvested portion was forfeited.</w:t>
      </w:r>
    </w:p>
    <w:p>
      <w:pPr>
        <w:spacing w:after="0" w:line="4" w:lineRule="exact"/>
        <w:rPr>
          <w:rFonts w:ascii="Arial" w:cs="Arial" w:eastAsia="Arial" w:hAnsi="Arial"/>
          <w:sz w:val="15"/>
          <w:szCs w:val="15"/>
          <w:color w:val="auto"/>
        </w:rPr>
      </w:pPr>
    </w:p>
    <w:p>
      <w:pPr>
        <w:ind w:left="460" w:right="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in this column represent payments to the Named Executive Officer under the applicable annual incentive compensation program for the applicable fiscal year. For fiscal 2013, the amounts also include the following awards to the Named Executive Officer under the Eagle Materials Inc. Long-Term Cash Compensation Program for Fiscal 2013, which are payable ratably to the Named Executive Officer over 5 years and are described in greater detail under “Cash Awards” on page 31 of this proxy statement: Mr. Rowley—$520,000; Mr. Kesler – $138,750; Mr. Essl—$150,000; Mr. Powers— $150,000; and Mr. Graass—$138,750. The amounts in this column do not reflect any dividend equivalent units which are accrued by or paid to holders of our RSUs at any time we pay a cash dividend on our Common Stock (see footnote 6 below).</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2"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(2) Company contributions to the account of the Named Executive Officer under our SERP; (3) premium costs to the Company of life insurance policies obtained by the Company in connection with our SCP; (4) wellness awards; and (5) dividend equivalent RSUs. The PSRP is described in greater detail under “Profit Sharing and Retirement Plan” on page 32 of this proxy statement. During fiscal 2013, the Named Executive Officers each received $25,000 in employer profit sharing contributions with respect to the PSRP. The SERP is described in greater detail under “SERP” on page 33 of this proxy statement. During fiscal 2013, the Named Executive Officers received the following employer contributions with respect to the SERP: Mr. Rowley – $61,000;</w:t>
      </w:r>
    </w:p>
    <w:p>
      <w:pPr>
        <w:spacing w:after="0" w:line="3"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Mr. Kesler – $4,375; Mr. Essl – $10,000; Mr. Powers – $10,000; and Mr. Graass – $10,000. The SCP is described in greater detail under “Salary Continuation Plan” on page 33 of this proxy statement. During fiscal 2013, the Company paid premium costs in the following amounts for life insurance policies obtained under the SCP with respect to the Named Executive Officers: Mr. Rowley – $5,274; Mr. Kesler – $5,274; Mr. Essl – $1,688; Mr. Powers – $1,938; and Mr. Graass – $3,967. For fiscal 2013,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 In fiscal 2013, the Named Executive Officers were paid Common Stock for dividend equivalent units valued as follows: Mr. Rowley – $34,382; Mr. Kesler – $9,195; Mr. Essl – $13,127; Mr. Powers – $9,529; and Mr. Graass – $9,928. See footnote (1) to the “Option Exercises and Stock Vested” table on page 41 of this proxy statement.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2013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Estimated Future Payouts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420" w:type="dxa"/>
            <w:vAlign w:val="bottom"/>
            <w:gridSpan w:val="6"/>
          </w:tcPr>
          <w:p>
            <w:pPr>
              <w:ind w:left="140"/>
              <w:spacing w:after="0" w:line="149" w:lineRule="exact"/>
              <w:rPr>
                <w:sz w:val="20"/>
                <w:szCs w:val="20"/>
                <w:color w:val="auto"/>
              </w:rPr>
            </w:pPr>
            <w:r>
              <w:rPr>
                <w:rFonts w:ascii="Arial" w:cs="Arial" w:eastAsia="Arial" w:hAnsi="Arial"/>
                <w:sz w:val="14"/>
                <w:szCs w:val="14"/>
                <w:b w:val="1"/>
                <w:bCs w:val="1"/>
                <w:color w:val="auto"/>
              </w:rPr>
              <w:t>Estimated Future Payouts Under</w:t>
            </w: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or Base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3"/>
          </w:tcPr>
          <w:p>
            <w:pPr>
              <w:jc w:val="center"/>
              <w:ind w:right="64"/>
              <w:spacing w:after="0"/>
              <w:rPr>
                <w:sz w:val="20"/>
                <w:szCs w:val="20"/>
                <w:color w:val="auto"/>
              </w:rPr>
            </w:pPr>
            <w:r>
              <w:rPr>
                <w:rFonts w:ascii="Arial" w:cs="Arial" w:eastAsia="Arial" w:hAnsi="Arial"/>
                <w:sz w:val="14"/>
                <w:szCs w:val="14"/>
                <w:b w:val="1"/>
                <w:bCs w:val="1"/>
                <w:color w:val="auto"/>
                <w:w w:val="88"/>
              </w:rPr>
              <w:t>Plan Awards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ind w:left="220"/>
              <w:spacing w:after="0"/>
              <w:rPr>
                <w:sz w:val="20"/>
                <w:szCs w:val="20"/>
                <w:color w:val="auto"/>
              </w:rPr>
            </w:pPr>
            <w:r>
              <w:rPr>
                <w:rFonts w:ascii="Arial" w:cs="Arial" w:eastAsia="Arial" w:hAnsi="Arial"/>
                <w:sz w:val="14"/>
                <w:szCs w:val="14"/>
                <w:b w:val="1"/>
                <w:bCs w:val="1"/>
                <w:color w:val="auto"/>
              </w:rPr>
              <w:t>Equity Incentive Plan Awards</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Price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Fair Value of</w:t>
            </w:r>
          </w:p>
        </w:tc>
      </w:tr>
      <w:tr>
        <w:trPr>
          <w:trHeight w:val="129"/>
        </w:trPr>
        <w:tc>
          <w:tcPr>
            <w:tcW w:w="3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Thresh-</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Maxi-</w:t>
            </w:r>
          </w:p>
        </w:tc>
        <w:tc>
          <w:tcPr>
            <w:tcW w:w="280" w:type="dxa"/>
            <w:vAlign w:val="bottom"/>
          </w:tcPr>
          <w:p>
            <w:pPr>
              <w:spacing w:after="0"/>
              <w:rPr>
                <w:sz w:val="11"/>
                <w:szCs w:val="11"/>
                <w:color w:val="auto"/>
              </w:rPr>
            </w:pPr>
          </w:p>
        </w:tc>
        <w:tc>
          <w:tcPr>
            <w:tcW w:w="8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Thresh-</w:t>
            </w: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Stock and</w:t>
            </w:r>
          </w:p>
        </w:tc>
      </w:tr>
      <w:tr>
        <w:trPr>
          <w:trHeight w:val="134"/>
        </w:trPr>
        <w:tc>
          <w:tcPr>
            <w:tcW w:w="3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Grant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old</w:t>
            </w:r>
          </w:p>
        </w:tc>
        <w:tc>
          <w:tcPr>
            <w:tcW w:w="300" w:type="dxa"/>
            <w:vAlign w:val="bottom"/>
          </w:tcPr>
          <w:p>
            <w:pPr>
              <w:spacing w:after="0"/>
              <w:rPr>
                <w:sz w:val="11"/>
                <w:szCs w:val="11"/>
                <w:color w:val="auto"/>
              </w:rPr>
            </w:pPr>
          </w:p>
        </w:tc>
        <w:tc>
          <w:tcPr>
            <w:tcW w:w="1040" w:type="dxa"/>
            <w:vAlign w:val="bottom"/>
            <w:gridSpan w:val="2"/>
          </w:tcPr>
          <w:p>
            <w:pPr>
              <w:jc w:val="center"/>
              <w:ind w:right="324"/>
              <w:spacing w:after="0" w:line="135"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mum</w:t>
            </w:r>
          </w:p>
        </w:tc>
        <w:tc>
          <w:tcPr>
            <w:tcW w:w="88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old</w:t>
            </w: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Target</w:t>
            </w: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Maximum</w:t>
            </w:r>
          </w:p>
        </w:tc>
        <w:tc>
          <w:tcPr>
            <w:tcW w:w="12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Option</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w:t>
            </w: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color w:val="auto"/>
                <w:w w:val="96"/>
                <w:vertAlign w:val="superscript"/>
              </w:rPr>
              <w:t>(1)</w:t>
            </w:r>
          </w:p>
        </w:tc>
      </w:tr>
      <w:tr>
        <w:trPr>
          <w:trHeight w:val="195"/>
        </w:trPr>
        <w:tc>
          <w:tcPr>
            <w:tcW w:w="36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R. Rowley</w:t>
            </w: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5/14/12</w:t>
            </w: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00"/>
              <w:spacing w:after="0" w:line="195"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5"/>
              </w:rPr>
              <w:t>$718,131</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color w:val="auto"/>
                <w:w w:val="88"/>
              </w:rPr>
              <w:t>(2)</w:t>
            </w:r>
          </w:p>
        </w:tc>
        <w:tc>
          <w:tcPr>
            <w:tcW w:w="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ind w:left="194"/>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18"/>
              <w:spacing w:after="0" w:line="195"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4"/>
              <w:spacing w:after="0" w:line="217" w:lineRule="exact"/>
              <w:rPr>
                <w:sz w:val="20"/>
                <w:szCs w:val="20"/>
                <w:color w:val="auto"/>
              </w:rPr>
            </w:pPr>
            <w:r>
              <w:rPr>
                <w:rFonts w:ascii="Arial" w:cs="Arial" w:eastAsia="Arial" w:hAnsi="Arial"/>
                <w:sz w:val="18"/>
                <w:szCs w:val="18"/>
                <w:color w:val="auto"/>
              </w:rPr>
              <w:t>520,000</w:t>
            </w:r>
            <w:r>
              <w:rPr>
                <w:rFonts w:ascii="Arial" w:cs="Arial" w:eastAsia="Arial" w:hAnsi="Arial"/>
                <w:sz w:val="22"/>
                <w:szCs w:val="22"/>
                <w:color w:val="auto"/>
                <w:vertAlign w:val="superscript"/>
              </w:rPr>
              <w:t>(3)</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8"/>
        </w:trPr>
        <w:tc>
          <w:tcPr>
            <w:tcW w:w="38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38" w:lineRule="exact"/>
              <w:rPr>
                <w:sz w:val="20"/>
                <w:szCs w:val="20"/>
                <w:color w:val="auto"/>
              </w:rPr>
            </w:pPr>
            <w:r>
              <w:rPr>
                <w:rFonts w:ascii="Arial" w:cs="Arial" w:eastAsia="Arial" w:hAnsi="Arial"/>
                <w:sz w:val="18"/>
                <w:szCs w:val="18"/>
                <w:color w:val="auto"/>
                <w:w w:val="89"/>
              </w:rPr>
              <w:t>120,618</w:t>
            </w:r>
            <w:r>
              <w:rPr>
                <w:rFonts w:ascii="Arial" w:cs="Arial" w:eastAsia="Arial" w:hAnsi="Arial"/>
                <w:sz w:val="22"/>
                <w:szCs w:val="22"/>
                <w:color w:val="auto"/>
                <w:w w:val="89"/>
                <w:vertAlign w:val="superscript"/>
              </w:rPr>
              <w:t>(4)</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$ 1,560,000</w:t>
            </w:r>
          </w:p>
        </w:tc>
        <w:tc>
          <w:tcPr>
            <w:tcW w:w="100" w:type="dxa"/>
            <w:vAlign w:val="bottom"/>
            <w:shd w:val="clear" w:color="auto" w:fill="CCEEFF"/>
          </w:tcPr>
          <w:p>
            <w:pPr>
              <w:spacing w:after="0"/>
              <w:rPr>
                <w:sz w:val="20"/>
                <w:szCs w:val="20"/>
                <w:color w:val="auto"/>
              </w:rPr>
            </w:pPr>
          </w:p>
        </w:tc>
      </w:tr>
      <w:tr>
        <w:trPr>
          <w:trHeight w:val="216"/>
        </w:trPr>
        <w:tc>
          <w:tcPr>
            <w:tcW w:w="3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15,435</w:t>
            </w:r>
            <w:r>
              <w:rPr>
                <w:rFonts w:ascii="Arial" w:cs="Arial" w:eastAsia="Arial" w:hAnsi="Arial"/>
                <w:sz w:val="11"/>
                <w:szCs w:val="11"/>
                <w:color w:val="auto"/>
                <w:w w:val="90"/>
              </w:rPr>
              <w:t>(5)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w:t>
            </w:r>
          </w:p>
        </w:tc>
        <w:tc>
          <w:tcPr>
            <w:tcW w:w="100" w:type="dxa"/>
            <w:vAlign w:val="bottom"/>
            <w:shd w:val="clear" w:color="auto" w:fill="CCEEFF"/>
          </w:tcPr>
          <w:p>
            <w:pPr>
              <w:spacing w:after="0"/>
              <w:rPr>
                <w:sz w:val="18"/>
                <w:szCs w:val="18"/>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5/14/12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4"/>
              <w:spacing w:after="0"/>
              <w:rPr>
                <w:sz w:val="20"/>
                <w:szCs w:val="20"/>
                <w:color w:val="auto"/>
              </w:rPr>
            </w:pPr>
            <w:r>
              <w:rPr>
                <w:rFonts w:ascii="Arial" w:cs="Arial" w:eastAsia="Arial" w:hAnsi="Arial"/>
                <w:sz w:val="18"/>
                <w:szCs w:val="18"/>
                <w:color w:val="auto"/>
              </w:rPr>
              <w:t>287,252</w:t>
            </w:r>
            <w:r>
              <w:rPr>
                <w:rFonts w:ascii="Arial" w:cs="Arial" w:eastAsia="Arial" w:hAnsi="Arial"/>
                <w:sz w:val="11"/>
                <w:szCs w:val="11"/>
                <w:color w:val="auto"/>
              </w:rPr>
              <w:t>(2)</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4"/>
              <w:spacing w:after="0"/>
              <w:rPr>
                <w:sz w:val="20"/>
                <w:szCs w:val="20"/>
                <w:color w:val="auto"/>
              </w:rPr>
            </w:pPr>
            <w:r>
              <w:rPr>
                <w:rFonts w:ascii="Arial" w:cs="Arial" w:eastAsia="Arial" w:hAnsi="Arial"/>
                <w:sz w:val="18"/>
                <w:szCs w:val="18"/>
                <w:color w:val="auto"/>
              </w:rPr>
              <w:t>138,750</w:t>
            </w:r>
            <w:r>
              <w:rPr>
                <w:rFonts w:ascii="Arial" w:cs="Arial" w:eastAsia="Arial" w:hAnsi="Arial"/>
                <w:sz w:val="11"/>
                <w:szCs w:val="11"/>
                <w:color w:val="auto"/>
              </w:rPr>
              <w:t>(3)</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0"/>
              </w:rPr>
              <w:t>32,184</w:t>
            </w:r>
            <w:r>
              <w:rPr>
                <w:rFonts w:ascii="Arial" w:cs="Arial" w:eastAsia="Arial" w:hAnsi="Arial"/>
                <w:sz w:val="11"/>
                <w:szCs w:val="11"/>
                <w:color w:val="auto"/>
                <w:w w:val="90"/>
              </w:rPr>
              <w:t>(4)</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33.69</w:t>
            </w:r>
          </w:p>
        </w:tc>
        <w:tc>
          <w:tcPr>
            <w:tcW w:w="840" w:type="dxa"/>
            <w:vAlign w:val="bottom"/>
          </w:tcPr>
          <w:p>
            <w:pPr>
              <w:jc w:val="right"/>
              <w:spacing w:after="0"/>
              <w:rPr>
                <w:sz w:val="20"/>
                <w:szCs w:val="20"/>
                <w:color w:val="auto"/>
              </w:rPr>
            </w:pPr>
            <w:r>
              <w:rPr>
                <w:rFonts w:ascii="Arial" w:cs="Arial" w:eastAsia="Arial" w:hAnsi="Arial"/>
                <w:sz w:val="18"/>
                <w:szCs w:val="18"/>
                <w:color w:val="auto"/>
              </w:rPr>
              <w:t>416,250</w:t>
            </w:r>
          </w:p>
        </w:tc>
        <w:tc>
          <w:tcPr>
            <w:tcW w:w="10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4,119</w:t>
            </w: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19"/>
                <w:szCs w:val="19"/>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5/14/12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258,402</w:t>
            </w:r>
            <w:r>
              <w:rPr>
                <w:rFonts w:ascii="Arial" w:cs="Arial" w:eastAsia="Arial" w:hAnsi="Arial"/>
                <w:sz w:val="11"/>
                <w:szCs w:val="11"/>
                <w:color w:val="auto"/>
              </w:rPr>
              <w:t>(2)</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150,000</w:t>
            </w:r>
            <w:r>
              <w:rPr>
                <w:rFonts w:ascii="Arial" w:cs="Arial" w:eastAsia="Arial" w:hAnsi="Arial"/>
                <w:sz w:val="11"/>
                <w:szCs w:val="11"/>
                <w:color w:val="auto"/>
              </w:rPr>
              <w:t>(3)</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34,794</w:t>
            </w:r>
            <w:r>
              <w:rPr>
                <w:rFonts w:ascii="Arial" w:cs="Arial" w:eastAsia="Arial" w:hAnsi="Arial"/>
                <w:sz w:val="11"/>
                <w:szCs w:val="11"/>
                <w:color w:val="auto"/>
                <w:w w:val="90"/>
              </w:rPr>
              <w:t>(4)</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9"/>
                <w:szCs w:val="19"/>
                <w:color w:val="auto"/>
              </w:rPr>
            </w:pPr>
          </w:p>
        </w:tc>
      </w:tr>
      <w:tr>
        <w:trPr>
          <w:trHeight w:val="232"/>
        </w:trPr>
        <w:tc>
          <w:tcPr>
            <w:tcW w:w="38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4,453</w:t>
            </w:r>
            <w:r>
              <w:rPr>
                <w:rFonts w:ascii="Arial" w:cs="Arial" w:eastAsia="Arial" w:hAnsi="Arial"/>
                <w:sz w:val="11"/>
                <w:szCs w:val="11"/>
                <w:color w:val="auto"/>
              </w:rPr>
              <w:t>(5)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5/14/12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4"/>
              <w:spacing w:after="0"/>
              <w:rPr>
                <w:sz w:val="20"/>
                <w:szCs w:val="20"/>
                <w:color w:val="auto"/>
              </w:rPr>
            </w:pPr>
            <w:r>
              <w:rPr>
                <w:rFonts w:ascii="Arial" w:cs="Arial" w:eastAsia="Arial" w:hAnsi="Arial"/>
                <w:sz w:val="18"/>
                <w:szCs w:val="18"/>
                <w:color w:val="auto"/>
              </w:rPr>
              <w:t>313,921</w:t>
            </w:r>
            <w:r>
              <w:rPr>
                <w:rFonts w:ascii="Arial" w:cs="Arial" w:eastAsia="Arial" w:hAnsi="Arial"/>
                <w:sz w:val="11"/>
                <w:szCs w:val="11"/>
                <w:color w:val="auto"/>
              </w:rPr>
              <w:t>(2)</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4"/>
              <w:spacing w:after="0"/>
              <w:rPr>
                <w:sz w:val="20"/>
                <w:szCs w:val="20"/>
                <w:color w:val="auto"/>
              </w:rPr>
            </w:pPr>
            <w:r>
              <w:rPr>
                <w:rFonts w:ascii="Arial" w:cs="Arial" w:eastAsia="Arial" w:hAnsi="Arial"/>
                <w:sz w:val="18"/>
                <w:szCs w:val="18"/>
                <w:color w:val="auto"/>
              </w:rPr>
              <w:t>150,000</w:t>
            </w:r>
            <w:r>
              <w:rPr>
                <w:rFonts w:ascii="Arial" w:cs="Arial" w:eastAsia="Arial" w:hAnsi="Arial"/>
                <w:sz w:val="11"/>
                <w:szCs w:val="11"/>
                <w:color w:val="auto"/>
              </w:rPr>
              <w:t>(3)</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0"/>
              </w:rPr>
              <w:t>34,794</w:t>
            </w:r>
            <w:r>
              <w:rPr>
                <w:rFonts w:ascii="Arial" w:cs="Arial" w:eastAsia="Arial" w:hAnsi="Arial"/>
                <w:sz w:val="11"/>
                <w:szCs w:val="11"/>
                <w:color w:val="auto"/>
                <w:w w:val="90"/>
              </w:rPr>
              <w:t>(4)</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33.69</w:t>
            </w:r>
          </w:p>
        </w:tc>
        <w:tc>
          <w:tcPr>
            <w:tcW w:w="84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4,453</w:t>
            </w: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5/14/12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287,252</w:t>
            </w:r>
            <w:r>
              <w:rPr>
                <w:rFonts w:ascii="Arial" w:cs="Arial" w:eastAsia="Arial" w:hAnsi="Arial"/>
                <w:sz w:val="11"/>
                <w:szCs w:val="11"/>
                <w:color w:val="auto"/>
              </w:rPr>
              <w:t>(2)</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138,750</w:t>
            </w:r>
            <w:r>
              <w:rPr>
                <w:rFonts w:ascii="Arial" w:cs="Arial" w:eastAsia="Arial" w:hAnsi="Arial"/>
                <w:sz w:val="11"/>
                <w:szCs w:val="11"/>
                <w:color w:val="auto"/>
              </w:rPr>
              <w:t>(3)</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32,184</w:t>
            </w:r>
            <w:r>
              <w:rPr>
                <w:rFonts w:ascii="Arial" w:cs="Arial" w:eastAsia="Arial" w:hAnsi="Arial"/>
                <w:sz w:val="11"/>
                <w:szCs w:val="11"/>
                <w:color w:val="auto"/>
                <w:w w:val="90"/>
              </w:rPr>
              <w:t>(4)</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416,250</w:t>
            </w:r>
          </w:p>
        </w:tc>
        <w:tc>
          <w:tcPr>
            <w:tcW w:w="100" w:type="dxa"/>
            <w:vAlign w:val="bottom"/>
            <w:shd w:val="clear" w:color="auto" w:fill="CCEEFF"/>
          </w:tcPr>
          <w:p>
            <w:pPr>
              <w:spacing w:after="0"/>
              <w:rPr>
                <w:sz w:val="19"/>
                <w:szCs w:val="19"/>
                <w:color w:val="auto"/>
              </w:rPr>
            </w:pPr>
          </w:p>
        </w:tc>
      </w:tr>
      <w:tr>
        <w:trPr>
          <w:trHeight w:val="232"/>
        </w:trPr>
        <w:tc>
          <w:tcPr>
            <w:tcW w:w="38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6/19/12</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4,119</w:t>
            </w:r>
            <w:r>
              <w:rPr>
                <w:rFonts w:ascii="Arial" w:cs="Arial" w:eastAsia="Arial" w:hAnsi="Arial"/>
                <w:sz w:val="11"/>
                <w:szCs w:val="11"/>
                <w:color w:val="auto"/>
              </w:rPr>
              <w:t>(5)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2013 included in the Fiscal 2013 Form 10-K.</w:t>
      </w:r>
    </w:p>
    <w:p>
      <w:pPr>
        <w:ind w:left="460" w:right="10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amounts represent the maximum annual incentive payments potentially payable to the Named Executive Officers pursuant to the Eagle Annual Incentive Program or the Divisional Annual Incentive Bonus Programs, as applicable, for fiscal year 2013. There are no thresholds or maximums for these awards—they are merely a function of multiplying the pre-determined percentage of earnings for the fiscal year. The actual pay-outs to the Named Executive Officers were as follows: Mr. Rowley —$718,131; Mr. Kesler —$287,252; Mr. Essl —$258,402; Mr. Powers —$313,921; and Mr. Graass — $287,252. These incentive programs are described in greater detail under “Annual Incentive Bonus” beginning on page 26 of this proxy statement.</w:t>
      </w:r>
    </w:p>
    <w:p>
      <w:pPr>
        <w:spacing w:after="0" w:line="3" w:lineRule="exact"/>
        <w:rPr>
          <w:rFonts w:ascii="Arial" w:cs="Arial" w:eastAsia="Arial" w:hAnsi="Arial"/>
          <w:sz w:val="16"/>
          <w:szCs w:val="16"/>
          <w:color w:val="auto"/>
        </w:rPr>
      </w:pPr>
    </w:p>
    <w:p>
      <w:pPr>
        <w:ind w:left="460" w:right="100" w:hanging="452"/>
        <w:spacing w:after="0" w:line="300"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amounts represent the maximum long-term incentive payments potentially payable to the Named Executive Officers pursuant to the Eagle Materials Inc. Long-Term Cash Compensation Program for Fiscal Year 2013. The actual amounts earned by the Named Executive Officers were as follows:</w:t>
      </w:r>
    </w:p>
    <w:p>
      <w:pPr>
        <w:jc w:val="both"/>
        <w:ind w:left="460" w:right="260"/>
        <w:spacing w:after="0" w:line="281" w:lineRule="auto"/>
        <w:rPr>
          <w:rFonts w:ascii="Arial" w:cs="Arial" w:eastAsia="Arial" w:hAnsi="Arial"/>
          <w:sz w:val="15"/>
          <w:szCs w:val="15"/>
          <w:color w:val="auto"/>
        </w:rPr>
      </w:pPr>
      <w:r>
        <w:rPr>
          <w:rFonts w:ascii="Arial" w:cs="Arial" w:eastAsia="Arial" w:hAnsi="Arial"/>
          <w:sz w:val="16"/>
          <w:szCs w:val="16"/>
          <w:color w:val="auto"/>
        </w:rPr>
        <w:t>Mr. Rowley —$520,000; Mr. Kesler —$138,750; Mr. Essl —$150,000; Mr. Powers —$150,000; and Mr. Graass —$138,750. The first one-fifth of such earned amounts was paid to the Named Executive Officers in May 2013, and the remaining four-fifths will be paid ratably on March 31 of the next four years. This long-term incentive program is described in greater detail under “Cash Awards” beginning on page 31 of this proxy statement.</w:t>
      </w:r>
    </w:p>
    <w:p>
      <w:pPr>
        <w:spacing w:after="0" w:line="2" w:lineRule="exact"/>
        <w:rPr>
          <w:rFonts w:ascii="Arial" w:cs="Arial" w:eastAsia="Arial" w:hAnsi="Arial"/>
          <w:sz w:val="15"/>
          <w:szCs w:val="15"/>
          <w:color w:val="auto"/>
        </w:rPr>
      </w:pPr>
    </w:p>
    <w:p>
      <w:pPr>
        <w:ind w:left="460" w:right="140" w:hanging="452"/>
        <w:spacing w:after="0" w:line="30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June 19, 2012 under our Incentive Plan. One-third of the stock options will vest on June 19, 2013; one-third will vest on June 19, 2014; and one-third will vest on June 19, 2015. These stock options are described in greater detail under “Long-Term Incentive Compensation—Fiscal 2013 Grants” beginning on page 31 of this proxy statement.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amounts represent grants of restricted stock made on June 19, 2012 under our Incentive Plan. The vesting of the restricted stock was subject to performance vesting criteria. One-fifth of the earned restricted stock vested on June 19, 2013, one-fifth will vest on March 31, 2014; one-fifth will vest on March 31, 2015; one-fifth will vest on March 31, 2016; and one-fifth will vest on March 31, 2017. These restricted stock grants are described in greater detail under “Long-Term Incentive Compensation—Fiscal 2013 Grants” beginning on page 31 of this proxy statement.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2013 for each of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04"/>
              <w:spacing w:after="0" w:line="129" w:lineRule="exact"/>
              <w:rPr>
                <w:sz w:val="20"/>
                <w:szCs w:val="20"/>
                <w:color w:val="auto"/>
              </w:rPr>
            </w:pPr>
            <w:r>
              <w:rPr>
                <w:rFonts w:ascii="Arial" w:cs="Arial" w:eastAsia="Arial" w:hAnsi="Arial"/>
                <w:sz w:val="14"/>
                <w:szCs w:val="14"/>
                <w:b w:val="1"/>
                <w:bCs w:val="1"/>
                <w:color w:val="auto"/>
                <w:w w:val="88"/>
              </w:rPr>
              <w:t>Equity</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Equity</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Equity Incentive</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Plan Awards:</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Market</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0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Number of</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4"/>
              <w:spacing w:after="0" w:line="149" w:lineRule="exact"/>
              <w:rPr>
                <w:sz w:val="20"/>
                <w:szCs w:val="20"/>
                <w:color w:val="auto"/>
              </w:rPr>
            </w:pPr>
            <w:r>
              <w:rPr>
                <w:rFonts w:ascii="Arial" w:cs="Arial" w:eastAsia="Arial" w:hAnsi="Arial"/>
                <w:sz w:val="14"/>
                <w:szCs w:val="14"/>
                <w:b w:val="1"/>
                <w:bCs w:val="1"/>
                <w:color w:val="auto"/>
                <w:w w:val="84"/>
              </w:rPr>
              <w:t>of Shares</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9"/>
              </w:rPr>
              <w:t>Unearned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 Value of</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10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4"/>
              <w:spacing w:after="0" w:line="149" w:lineRule="exact"/>
              <w:rPr>
                <w:sz w:val="20"/>
                <w:szCs w:val="20"/>
                <w:color w:val="auto"/>
              </w:rPr>
            </w:pPr>
            <w:r>
              <w:rPr>
                <w:rFonts w:ascii="Arial" w:cs="Arial" w:eastAsia="Arial" w:hAnsi="Arial"/>
                <w:sz w:val="14"/>
                <w:szCs w:val="14"/>
                <w:b w:val="1"/>
                <w:bCs w:val="1"/>
                <w:color w:val="auto"/>
                <w:w w:val="86"/>
              </w:rPr>
              <w:t>or Units</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2"/>
                <w:szCs w:val="12"/>
                <w:color w:val="auto"/>
              </w:rPr>
            </w:pPr>
          </w:p>
        </w:tc>
        <w:tc>
          <w:tcPr>
            <w:tcW w:w="10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7"/>
              </w:rPr>
              <w:t>Underlying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4"/>
              <w:spacing w:after="0" w:line="149" w:lineRule="exact"/>
              <w:rPr>
                <w:sz w:val="20"/>
                <w:szCs w:val="20"/>
                <w:color w:val="auto"/>
              </w:rPr>
            </w:pPr>
            <w:r>
              <w:rPr>
                <w:rFonts w:ascii="Arial" w:cs="Arial" w:eastAsia="Arial" w:hAnsi="Arial"/>
                <w:sz w:val="14"/>
                <w:szCs w:val="14"/>
                <w:b w:val="1"/>
                <w:bCs w:val="1"/>
                <w:color w:val="auto"/>
                <w:w w:val="83"/>
              </w:rPr>
              <w:t>of Stock</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or Other</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Units or</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0" w:type="dxa"/>
            <w:vAlign w:val="bottom"/>
          </w:tcPr>
          <w:p>
            <w:pPr>
              <w:spacing w:after="0"/>
              <w:rPr>
                <w:sz w:val="12"/>
                <w:szCs w:val="12"/>
                <w:color w:val="auto"/>
              </w:rPr>
            </w:pPr>
          </w:p>
        </w:tc>
        <w:tc>
          <w:tcPr>
            <w:tcW w:w="10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94"/>
              </w:rPr>
              <w:t>That</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Other Rights</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Options</w:t>
            </w:r>
          </w:p>
        </w:tc>
        <w:tc>
          <w:tcPr>
            <w:tcW w:w="80" w:type="dxa"/>
            <w:vAlign w:val="bottom"/>
          </w:tcPr>
          <w:p>
            <w:pPr>
              <w:spacing w:after="0"/>
              <w:rPr>
                <w:sz w:val="12"/>
                <w:szCs w:val="12"/>
                <w:color w:val="auto"/>
              </w:rPr>
            </w:pPr>
          </w:p>
        </w:tc>
        <w:tc>
          <w:tcPr>
            <w:tcW w:w="106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Options</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Unearned</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144"/>
              <w:spacing w:after="0" w:line="149" w:lineRule="exact"/>
              <w:rPr>
                <w:sz w:val="20"/>
                <w:szCs w:val="20"/>
                <w:color w:val="auto"/>
              </w:rPr>
            </w:pPr>
            <w:r>
              <w:rPr>
                <w:rFonts w:ascii="Arial" w:cs="Arial" w:eastAsia="Arial" w:hAnsi="Arial"/>
                <w:sz w:val="14"/>
                <w:szCs w:val="14"/>
                <w:b w:val="1"/>
                <w:bCs w:val="1"/>
                <w:color w:val="auto"/>
                <w:w w:val="88"/>
              </w:rPr>
              <w:t>Have Not</w:t>
            </w:r>
          </w:p>
        </w:tc>
        <w:tc>
          <w:tcPr>
            <w:tcW w:w="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10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8"/>
              </w:rPr>
              <w:t>Have Not</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 Not</w:t>
            </w:r>
          </w:p>
        </w:tc>
      </w:tr>
      <w:tr>
        <w:trPr>
          <w:trHeight w:val="134"/>
        </w:trPr>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Exercisable</w:t>
            </w:r>
          </w:p>
        </w:tc>
        <w:tc>
          <w:tcPr>
            <w:tcW w:w="80" w:type="dxa"/>
            <w:vAlign w:val="bottom"/>
          </w:tcPr>
          <w:p>
            <w:pPr>
              <w:spacing w:after="0"/>
              <w:rPr>
                <w:sz w:val="11"/>
                <w:szCs w:val="11"/>
                <w:color w:val="auto"/>
              </w:rPr>
            </w:pPr>
          </w:p>
        </w:tc>
        <w:tc>
          <w:tcPr>
            <w:tcW w:w="1060" w:type="dxa"/>
            <w:vAlign w:val="bottom"/>
            <w:gridSpan w:val="2"/>
          </w:tcPr>
          <w:p>
            <w:pPr>
              <w:jc w:val="center"/>
              <w:ind w:right="192"/>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Expiration</w:t>
            </w:r>
          </w:p>
        </w:tc>
        <w:tc>
          <w:tcPr>
            <w:tcW w:w="740" w:type="dxa"/>
            <w:vAlign w:val="bottom"/>
            <w:gridSpan w:val="2"/>
          </w:tcPr>
          <w:p>
            <w:pPr>
              <w:jc w:val="center"/>
              <w:ind w:right="144"/>
              <w:spacing w:after="0" w:line="135" w:lineRule="exact"/>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2"/>
              </w:rPr>
              <w:t>Vested</w:t>
            </w:r>
          </w:p>
        </w:tc>
        <w:tc>
          <w:tcPr>
            <w:tcW w:w="1080" w:type="dxa"/>
            <w:vAlign w:val="bottom"/>
            <w:gridSpan w:val="2"/>
          </w:tcPr>
          <w:p>
            <w:pPr>
              <w:jc w:val="center"/>
              <w:ind w:right="204"/>
              <w:spacing w:after="0" w:line="135" w:lineRule="exact"/>
              <w:rPr>
                <w:sz w:val="20"/>
                <w:szCs w:val="20"/>
                <w:color w:val="auto"/>
              </w:rPr>
            </w:pPr>
            <w:r>
              <w:rPr>
                <w:rFonts w:ascii="Arial" w:cs="Arial" w:eastAsia="Arial" w:hAnsi="Arial"/>
                <w:sz w:val="14"/>
                <w:szCs w:val="14"/>
                <w:b w:val="1"/>
                <w:bCs w:val="1"/>
                <w:color w:val="auto"/>
                <w:w w:val="82"/>
              </w:rPr>
              <w:t>Vested</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2"/>
              </w:rPr>
              <w:t>Vested</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920" w:type="dxa"/>
            <w:vAlign w:val="bottom"/>
            <w:gridSpan w:val="2"/>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14,755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378"/>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$62.830</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05/09/2016</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62,114</w:t>
            </w:r>
          </w:p>
        </w:tc>
        <w:tc>
          <w:tcPr>
            <w:tcW w:w="200" w:type="dxa"/>
            <w:vAlign w:val="bottom"/>
            <w:tcBorders>
              <w:top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88"/>
              </w:rPr>
              <w:t>(2)</w:t>
            </w: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$ 4,138,656</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15,435</w:t>
            </w:r>
          </w:p>
        </w:tc>
        <w:tc>
          <w:tcPr>
            <w:tcW w:w="260" w:type="dxa"/>
            <w:vAlign w:val="bottom"/>
            <w:tcBorders>
              <w:top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88"/>
              </w:rPr>
              <w:t>(3)</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1,028,434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06/20/2014</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33,333</w:t>
            </w:r>
            <w:r>
              <w:rPr>
                <w:rFonts w:ascii="Arial" w:cs="Arial" w:eastAsia="Arial" w:hAnsi="Arial"/>
                <w:sz w:val="11"/>
                <w:szCs w:val="11"/>
                <w:color w:val="auto"/>
                <w:w w:val="90"/>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2,220,978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08/21/2015</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05/18/2020</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59,080</w:t>
            </w:r>
            <w:r>
              <w:rPr>
                <w:rFonts w:ascii="Arial" w:cs="Arial" w:eastAsia="Arial" w:hAnsi="Arial"/>
                <w:sz w:val="11"/>
                <w:szCs w:val="11"/>
                <w:color w:val="auto"/>
                <w:w w:val="90"/>
              </w:rPr>
              <w:t>(5)</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06/27/2021</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120,618</w:t>
            </w:r>
            <w:r>
              <w:rPr>
                <w:rFonts w:ascii="Arial" w:cs="Arial" w:eastAsia="Arial" w:hAnsi="Arial"/>
                <w:sz w:val="11"/>
                <w:szCs w:val="11"/>
                <w:color w:val="auto"/>
              </w:rPr>
              <w:t>(6)</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06/19/2022</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6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05/09/2016</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17,980</w:t>
            </w:r>
            <w:r>
              <w:rPr>
                <w:rFonts w:ascii="Arial" w:cs="Arial" w:eastAsia="Arial" w:hAnsi="Arial"/>
                <w:sz w:val="11"/>
                <w:szCs w:val="11"/>
                <w:color w:val="auto"/>
                <w:w w:val="90"/>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1,198,008</w:t>
            </w:r>
          </w:p>
        </w:tc>
        <w:tc>
          <w:tcPr>
            <w:tcW w:w="180" w:type="dxa"/>
            <w:vAlign w:val="bottom"/>
          </w:tcPr>
          <w:p>
            <w:pPr>
              <w:spacing w:after="0"/>
              <w:rPr>
                <w:sz w:val="18"/>
                <w:szCs w:val="18"/>
                <w:color w:val="auto"/>
              </w:rPr>
            </w:pPr>
          </w:p>
        </w:tc>
        <w:tc>
          <w:tcPr>
            <w:tcW w:w="1080" w:type="dxa"/>
            <w:vAlign w:val="bottom"/>
            <w:gridSpan w:val="2"/>
          </w:tcPr>
          <w:p>
            <w:pPr>
              <w:jc w:val="right"/>
              <w:ind w:right="64"/>
              <w:spacing w:after="0"/>
              <w:rPr>
                <w:sz w:val="20"/>
                <w:szCs w:val="20"/>
                <w:color w:val="auto"/>
              </w:rPr>
            </w:pPr>
            <w:r>
              <w:rPr>
                <w:rFonts w:ascii="Arial" w:cs="Arial" w:eastAsia="Arial" w:hAnsi="Arial"/>
                <w:sz w:val="18"/>
                <w:szCs w:val="18"/>
                <w:color w:val="auto"/>
              </w:rPr>
              <w:t>4,119</w:t>
            </w: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274,449</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35,000</w:t>
            </w:r>
          </w:p>
        </w:tc>
        <w:tc>
          <w:tcPr>
            <w:tcW w:w="580" w:type="dxa"/>
            <w:vAlign w:val="bottom"/>
          </w:tcPr>
          <w:p>
            <w:pPr>
              <w:jc w:val="right"/>
              <w:spacing w:after="0"/>
              <w:rPr>
                <w:sz w:val="20"/>
                <w:szCs w:val="20"/>
                <w:color w:val="auto"/>
              </w:rPr>
            </w:pPr>
            <w:r>
              <w:rPr>
                <w:rFonts w:ascii="Arial" w:cs="Arial" w:eastAsia="Arial" w:hAnsi="Arial"/>
                <w:sz w:val="18"/>
                <w:szCs w:val="18"/>
                <w:color w:val="auto"/>
              </w:rPr>
              <w:t>47.530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06/20/2014</w:t>
            </w: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4,000</w:t>
            </w:r>
            <w:r>
              <w:rPr>
                <w:rFonts w:ascii="Arial" w:cs="Arial" w:eastAsia="Arial" w:hAnsi="Arial"/>
                <w:sz w:val="11"/>
                <w:szCs w:val="11"/>
                <w:color w:val="auto"/>
              </w:rPr>
              <w:t>(7)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266,520</w:t>
            </w:r>
          </w:p>
        </w:tc>
        <w:tc>
          <w:tcPr>
            <w:tcW w:w="180" w:type="dxa"/>
            <w:vAlign w:val="bottom"/>
          </w:tcPr>
          <w:p>
            <w:pPr>
              <w:spacing w:after="0"/>
              <w:rPr>
                <w:sz w:val="18"/>
                <w:szCs w:val="18"/>
                <w:color w:val="auto"/>
              </w:rPr>
            </w:pP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8,825</w:t>
            </w: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30.735</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05/18/2020</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777,373</w:t>
            </w:r>
          </w:p>
        </w:tc>
        <w:tc>
          <w:tcPr>
            <w:tcW w:w="180" w:type="dxa"/>
            <w:vAlign w:val="bottom"/>
          </w:tcPr>
          <w:p>
            <w:pPr>
              <w:spacing w:after="0"/>
              <w:rPr>
                <w:sz w:val="18"/>
                <w:szCs w:val="18"/>
                <w:color w:val="auto"/>
              </w:rPr>
            </w:pP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8,551</w:t>
            </w:r>
          </w:p>
        </w:tc>
        <w:tc>
          <w:tcPr>
            <w:tcW w:w="114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17,102</w:t>
            </w:r>
            <w:r>
              <w:rPr>
                <w:rFonts w:ascii="Arial" w:cs="Arial" w:eastAsia="Arial" w:hAnsi="Arial"/>
                <w:sz w:val="11"/>
                <w:szCs w:val="11"/>
                <w:color w:val="auto"/>
                <w:w w:val="90"/>
              </w:rPr>
              <w:t>(5)</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06/27/2021</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32,184</w:t>
            </w:r>
            <w:r>
              <w:rPr>
                <w:rFonts w:ascii="Arial" w:cs="Arial" w:eastAsia="Arial" w:hAnsi="Arial"/>
                <w:sz w:val="11"/>
                <w:szCs w:val="11"/>
                <w:color w:val="auto"/>
                <w:w w:val="90"/>
              </w:rPr>
              <w:t>(6)</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33.690</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06/19/2022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8"/>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05/09/2016</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20,023</w:t>
            </w:r>
            <w:r>
              <w:rPr>
                <w:rFonts w:ascii="Arial" w:cs="Arial" w:eastAsia="Arial" w:hAnsi="Arial"/>
                <w:sz w:val="11"/>
                <w:szCs w:val="11"/>
                <w:color w:val="auto"/>
                <w:w w:val="90"/>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1,334,133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4,453</w:t>
            </w:r>
            <w:r>
              <w:rPr>
                <w:rFonts w:ascii="Arial" w:cs="Arial" w:eastAsia="Arial" w:hAnsi="Arial"/>
                <w:sz w:val="11"/>
                <w:szCs w:val="11"/>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296,704</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06/20/2014</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777,373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05/18/2020</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19,046</w:t>
            </w:r>
            <w:r>
              <w:rPr>
                <w:rFonts w:ascii="Arial" w:cs="Arial" w:eastAsia="Arial" w:hAnsi="Arial"/>
                <w:sz w:val="11"/>
                <w:szCs w:val="11"/>
                <w:color w:val="auto"/>
                <w:w w:val="90"/>
              </w:rPr>
              <w:t>(5)</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06/27/2021</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34,794</w:t>
            </w:r>
            <w:r>
              <w:rPr>
                <w:rFonts w:ascii="Arial" w:cs="Arial" w:eastAsia="Arial" w:hAnsi="Arial"/>
                <w:sz w:val="11"/>
                <w:szCs w:val="11"/>
                <w:color w:val="auto"/>
                <w:w w:val="90"/>
              </w:rPr>
              <w:t>(6)</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06/19/2022</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6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05/09/2016</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20,023</w:t>
            </w:r>
            <w:r>
              <w:rPr>
                <w:rFonts w:ascii="Arial" w:cs="Arial" w:eastAsia="Arial" w:hAnsi="Arial"/>
                <w:sz w:val="11"/>
                <w:szCs w:val="11"/>
                <w:color w:val="auto"/>
                <w:w w:val="90"/>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1,334,133</w:t>
            </w:r>
          </w:p>
        </w:tc>
        <w:tc>
          <w:tcPr>
            <w:tcW w:w="180" w:type="dxa"/>
            <w:vAlign w:val="bottom"/>
          </w:tcPr>
          <w:p>
            <w:pPr>
              <w:spacing w:after="0"/>
              <w:rPr>
                <w:sz w:val="18"/>
                <w:szCs w:val="18"/>
                <w:color w:val="auto"/>
              </w:rPr>
            </w:pPr>
          </w:p>
        </w:tc>
        <w:tc>
          <w:tcPr>
            <w:tcW w:w="1080" w:type="dxa"/>
            <w:vAlign w:val="bottom"/>
            <w:gridSpan w:val="2"/>
          </w:tcPr>
          <w:p>
            <w:pPr>
              <w:jc w:val="right"/>
              <w:ind w:right="64"/>
              <w:spacing w:after="0"/>
              <w:rPr>
                <w:sz w:val="20"/>
                <w:szCs w:val="20"/>
                <w:color w:val="auto"/>
              </w:rPr>
            </w:pPr>
            <w:r>
              <w:rPr>
                <w:rFonts w:ascii="Arial" w:cs="Arial" w:eastAsia="Arial" w:hAnsi="Arial"/>
                <w:sz w:val="18"/>
                <w:szCs w:val="18"/>
                <w:color w:val="auto"/>
              </w:rPr>
              <w:t>4,453</w:t>
            </w: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296,704</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122,000</w:t>
            </w:r>
          </w:p>
        </w:tc>
        <w:tc>
          <w:tcPr>
            <w:tcW w:w="580" w:type="dxa"/>
            <w:vAlign w:val="bottom"/>
          </w:tcPr>
          <w:p>
            <w:pPr>
              <w:jc w:val="right"/>
              <w:spacing w:after="0"/>
              <w:rPr>
                <w:sz w:val="20"/>
                <w:szCs w:val="20"/>
                <w:color w:val="auto"/>
              </w:rPr>
            </w:pPr>
            <w:r>
              <w:rPr>
                <w:rFonts w:ascii="Arial" w:cs="Arial" w:eastAsia="Arial" w:hAnsi="Arial"/>
                <w:sz w:val="18"/>
                <w:szCs w:val="18"/>
                <w:color w:val="auto"/>
              </w:rPr>
              <w:t>47.530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06/20/2014</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777,373</w:t>
            </w:r>
          </w:p>
        </w:tc>
        <w:tc>
          <w:tcPr>
            <w:tcW w:w="180" w:type="dxa"/>
            <w:vAlign w:val="bottom"/>
          </w:tcPr>
          <w:p>
            <w:pPr>
              <w:spacing w:after="0"/>
              <w:rPr>
                <w:sz w:val="18"/>
                <w:szCs w:val="18"/>
                <w:color w:val="auto"/>
              </w:rPr>
            </w:pP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26.695</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08/21/2015</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9,219</w:t>
            </w:r>
          </w:p>
        </w:tc>
        <w:tc>
          <w:tcPr>
            <w:tcW w:w="80" w:type="dxa"/>
            <w:vAlign w:val="bottom"/>
          </w:tcPr>
          <w:p>
            <w:pPr>
              <w:spacing w:after="0"/>
              <w:rPr>
                <w:sz w:val="18"/>
                <w:szCs w:val="18"/>
                <w:color w:val="auto"/>
              </w:rPr>
            </w:pPr>
          </w:p>
        </w:tc>
        <w:tc>
          <w:tcPr>
            <w:tcW w:w="106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30.735</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05/18/2020</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9,523</w:t>
            </w:r>
          </w:p>
        </w:tc>
        <w:tc>
          <w:tcPr>
            <w:tcW w:w="114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19,046</w:t>
            </w:r>
            <w:r>
              <w:rPr>
                <w:rFonts w:ascii="Arial" w:cs="Arial" w:eastAsia="Arial" w:hAnsi="Arial"/>
                <w:sz w:val="11"/>
                <w:szCs w:val="11"/>
                <w:color w:val="auto"/>
                <w:w w:val="90"/>
              </w:rPr>
              <w:t>(5)</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06/27/2021</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194"/>
              <w:spacing w:after="0"/>
              <w:rPr>
                <w:sz w:val="20"/>
                <w:szCs w:val="20"/>
                <w:color w:val="auto"/>
              </w:rPr>
            </w:pPr>
            <w:r>
              <w:rPr>
                <w:rFonts w:ascii="Arial" w:cs="Arial" w:eastAsia="Arial" w:hAnsi="Arial"/>
                <w:sz w:val="18"/>
                <w:szCs w:val="18"/>
                <w:color w:val="auto"/>
                <w:w w:val="90"/>
              </w:rPr>
              <w:t>34,794</w:t>
            </w:r>
            <w:r>
              <w:rPr>
                <w:rFonts w:ascii="Arial" w:cs="Arial" w:eastAsia="Arial" w:hAnsi="Arial"/>
                <w:sz w:val="11"/>
                <w:szCs w:val="11"/>
                <w:color w:val="auto"/>
                <w:w w:val="90"/>
              </w:rPr>
              <w:t>(6)</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33.690</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06/19/2022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8"/>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05/09/2016</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18,798</w:t>
            </w:r>
            <w:r>
              <w:rPr>
                <w:rFonts w:ascii="Arial" w:cs="Arial" w:eastAsia="Arial" w:hAnsi="Arial"/>
                <w:sz w:val="11"/>
                <w:szCs w:val="11"/>
                <w:color w:val="auto"/>
                <w:w w:val="90"/>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1,252,511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4,119</w:t>
            </w:r>
            <w:r>
              <w:rPr>
                <w:rFonts w:ascii="Arial" w:cs="Arial" w:eastAsia="Arial" w:hAnsi="Arial"/>
                <w:sz w:val="11"/>
                <w:szCs w:val="11"/>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274,449</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06/20/2014</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777,373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05/18/2020</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17,880</w:t>
            </w:r>
            <w:r>
              <w:rPr>
                <w:rFonts w:ascii="Arial" w:cs="Arial" w:eastAsia="Arial" w:hAnsi="Arial"/>
                <w:sz w:val="11"/>
                <w:szCs w:val="11"/>
                <w:color w:val="auto"/>
                <w:w w:val="90"/>
              </w:rPr>
              <w:t>(5)</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06/27/2021</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32,184</w:t>
            </w:r>
            <w:r>
              <w:rPr>
                <w:rFonts w:ascii="Arial" w:cs="Arial" w:eastAsia="Arial" w:hAnsi="Arial"/>
                <w:sz w:val="11"/>
                <w:szCs w:val="11"/>
                <w:color w:val="auto"/>
                <w:w w:val="90"/>
              </w:rPr>
              <w:t>(6)</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06/19/2022</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28, 2013 ($66.63).</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restricted stock granted on June 27, 2011 under our Incentive Plan. Restrictions will lapse ratably on the remaining restricted shares on March 31, 2014; March 31, 2015; and March 31, 2016.</w:t>
      </w:r>
    </w:p>
    <w:p>
      <w:pPr>
        <w:ind w:left="46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restricted stock granted on June 19, 2012 under our Incentive Plan. The Compensation Committee determined in May 2013 (i.e., after the end of fiscal 2013) that 100% of such stock was earned. One-fifth of the earned restricted shares was paid to the Named Executive Officer on June 19, 2013. Restrictions will lapse on the remaining four-fifths of the restricted shares on March 31, 2014; March 31, 2015; March 31, 2016; and March 31, 2017.</w:t>
      </w:r>
    </w:p>
    <w:p>
      <w:pPr>
        <w:spacing w:after="0" w:line="2"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stock options granted on June 27, 2011 under our Incentive Plan. The options vest ratably over 3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stock options granted on June 19, 2012 under our Incentive Plan. The options vest ratably over 3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remaining unvested shares under a restricted stock grant of 10,000 shares made to Mr. Kesler in connection with his promotion to Chief Financial Officer on August 21, 2009 under our Incentive Plan. The remaining shares will vest as follows: 2,000 on August 21, 2013; and 2,000 on August 21, 2014.</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240" w:top="459" w:right="5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Option Exercises and Stock Vested</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or restricted stock units during fiscal 2013 for each of our Named Executive Officers.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20" w:type="dxa"/>
            <w:vAlign w:val="bottom"/>
            <w:gridSpan w:val="2"/>
          </w:tcPr>
          <w:p>
            <w:pPr>
              <w:jc w:val="center"/>
              <w:ind w:right="580"/>
              <w:spacing w:after="0" w:line="115" w:lineRule="exact"/>
              <w:rPr>
                <w:sz w:val="20"/>
                <w:szCs w:val="20"/>
                <w:color w:val="auto"/>
              </w:rPr>
            </w:pPr>
            <w:r>
              <w:rPr>
                <w:rFonts w:ascii="Arial" w:cs="Arial" w:eastAsia="Arial" w:hAnsi="Arial"/>
                <w:sz w:val="12"/>
                <w:szCs w:val="12"/>
                <w:b w:val="1"/>
                <w:bCs w:val="1"/>
                <w:color w:val="auto"/>
              </w:rPr>
              <w:t>Number of Shares</w:t>
            </w:r>
          </w:p>
        </w:tc>
        <w:tc>
          <w:tcPr>
            <w:tcW w:w="104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w w:val="99"/>
              </w:rPr>
              <w:t>Value Realized on</w:t>
            </w:r>
          </w:p>
        </w:tc>
        <w:tc>
          <w:tcPr>
            <w:tcW w:w="560" w:type="dxa"/>
            <w:vAlign w:val="bottom"/>
          </w:tcPr>
          <w:p>
            <w:pPr>
              <w:spacing w:after="0"/>
              <w:rPr>
                <w:sz w:val="10"/>
                <w:szCs w:val="10"/>
                <w:color w:val="auto"/>
              </w:rPr>
            </w:pPr>
          </w:p>
        </w:tc>
        <w:tc>
          <w:tcPr>
            <w:tcW w:w="1980" w:type="dxa"/>
            <w:vAlign w:val="bottom"/>
            <w:gridSpan w:val="2"/>
          </w:tcPr>
          <w:p>
            <w:pPr>
              <w:jc w:val="center"/>
              <w:ind w:right="640"/>
              <w:spacing w:after="0" w:line="115" w:lineRule="exact"/>
              <w:rPr>
                <w:sz w:val="20"/>
                <w:szCs w:val="20"/>
                <w:color w:val="auto"/>
              </w:rPr>
            </w:pPr>
            <w:r>
              <w:rPr>
                <w:rFonts w:ascii="Arial" w:cs="Arial" w:eastAsia="Arial" w:hAnsi="Arial"/>
                <w:sz w:val="12"/>
                <w:szCs w:val="12"/>
                <w:b w:val="1"/>
                <w:bCs w:val="1"/>
                <w:color w:val="auto"/>
              </w:rPr>
              <w:t>Number of Shares</w:t>
            </w:r>
          </w:p>
        </w:tc>
        <w:tc>
          <w:tcPr>
            <w:tcW w:w="104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w w:val="99"/>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Acquired on Exercise</w:t>
            </w:r>
          </w:p>
        </w:tc>
        <w:tc>
          <w:tcPr>
            <w:tcW w:w="18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Exercise</w:t>
            </w:r>
          </w:p>
        </w:tc>
        <w:tc>
          <w:tcPr>
            <w:tcW w:w="1980" w:type="dxa"/>
            <w:vAlign w:val="bottom"/>
            <w:gridSpan w:val="2"/>
          </w:tcPr>
          <w:p>
            <w:pPr>
              <w:jc w:val="center"/>
              <w:ind w:right="640"/>
              <w:spacing w:after="0" w:line="163" w:lineRule="exact"/>
              <w:rPr>
                <w:sz w:val="20"/>
                <w:szCs w:val="20"/>
                <w:color w:val="auto"/>
              </w:rPr>
            </w:pPr>
            <w:r>
              <w:rPr>
                <w:rFonts w:ascii="Arial" w:cs="Arial" w:eastAsia="Arial" w:hAnsi="Arial"/>
                <w:sz w:val="12"/>
                <w:szCs w:val="12"/>
                <w:b w:val="1"/>
                <w:bCs w:val="1"/>
                <w:color w:val="auto"/>
              </w:rPr>
              <w:t>Acquired on Vesting</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line="163" w:lineRule="exact"/>
              <w:rPr>
                <w:sz w:val="20"/>
                <w:szCs w:val="20"/>
                <w:color w:val="auto"/>
              </w:rPr>
            </w:pPr>
            <w:r>
              <w:rPr>
                <w:rFonts w:ascii="Arial" w:cs="Arial" w:eastAsia="Arial" w:hAnsi="Arial"/>
                <w:sz w:val="12"/>
                <w:szCs w:val="12"/>
                <w:b w:val="1"/>
                <w:bCs w:val="1"/>
                <w:color w:val="auto"/>
                <w:w w:val="96"/>
              </w:rPr>
              <w:t>Vesting</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240" w:type="dxa"/>
            <w:vAlign w:val="bottom"/>
          </w:tcPr>
          <w:p>
            <w:pPr>
              <w:jc w:val="right"/>
              <w:ind w:right="462"/>
              <w:spacing w:after="0" w:line="14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8"/>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9"/>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240" w:type="dxa"/>
            <w:vAlign w:val="bottom"/>
            <w:tcBorders>
              <w:top w:val="single" w:sz="8" w:color="auto"/>
            </w:tcBorders>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56,007</w:t>
            </w: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3,117,845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20,500</w:t>
            </w:r>
          </w:p>
        </w:tc>
        <w:tc>
          <w:tcPr>
            <w:tcW w:w="180" w:type="dxa"/>
            <w:vAlign w:val="bottom"/>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578,042</w:t>
            </w:r>
          </w:p>
        </w:tc>
        <w:tc>
          <w:tcPr>
            <w:tcW w:w="5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7,994</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2,158,619</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1,111,153</w:t>
            </w:r>
          </w:p>
        </w:tc>
        <w:tc>
          <w:tcPr>
            <w:tcW w:w="1340" w:type="dxa"/>
            <w:vAlign w:val="bottom"/>
          </w:tcPr>
          <w:p>
            <w:pPr>
              <w:jc w:val="right"/>
              <w:spacing w:after="0"/>
              <w:rPr>
                <w:sz w:val="20"/>
                <w:szCs w:val="20"/>
                <w:color w:val="auto"/>
              </w:rPr>
            </w:pPr>
            <w:r>
              <w:rPr>
                <w:rFonts w:ascii="Arial" w:cs="Arial" w:eastAsia="Arial" w:hAnsi="Arial"/>
                <w:sz w:val="18"/>
                <w:szCs w:val="18"/>
                <w:color w:val="auto"/>
              </w:rPr>
              <w:t>17,399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97,665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3,941,888</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03"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Except for Mr. Kesler, all of the amounts in this column represent shares of Common Stock received by the Named Executive Officer in connection with the payment of shares in accordance with the terms of previously granted RSUs. A portion of the RSUs were dividend equivalent units which are credited to holders of our RSUs at any time we pay a cash dividend on our Common Stock. Dividend equivalent units reflected in this column are as follows: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Rowley – 516, Mr. Kesler – 138, Mr. Essl – 197, Mr. Powers – 143, and Mr. Graass – 149.</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in this column represents the dollar amount realized by the Named Executive Officer valued at the time of the vesting of such shares.</w:t>
      </w:r>
    </w:p>
    <w:p>
      <w:pPr>
        <w:spacing w:after="0" w:line="3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amount includes 2,000 shares of Common Stock for which restrictions lapsed during fiscal 2013 under the terms of a restricted stock grant of 10,000 shares made to Mr. Kesler on August 21, 2009 under our Incentive Plan.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3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Registrant</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Earnings</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Aggregate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Contributions</w:t>
            </w:r>
          </w:p>
        </w:tc>
        <w:tc>
          <w:tcPr>
            <w:tcW w:w="38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Contributions</w:t>
            </w: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79"/>
              </w:rPr>
              <w:t>in</w:t>
            </w: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Withdrawals/</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6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00" w:type="dxa"/>
            <w:vAlign w:val="bottom"/>
            <w:vMerge w:val="restart"/>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in Last FY</w:t>
            </w:r>
          </w:p>
        </w:tc>
        <w:tc>
          <w:tcPr>
            <w:tcW w:w="380" w:type="dxa"/>
            <w:vAlign w:val="bottom"/>
          </w:tcPr>
          <w:p>
            <w:pPr>
              <w:spacing w:after="0"/>
              <w:rPr>
                <w:sz w:val="14"/>
                <w:szCs w:val="14"/>
                <w:color w:val="auto"/>
              </w:rPr>
            </w:pPr>
          </w:p>
        </w:tc>
        <w:tc>
          <w:tcPr>
            <w:tcW w:w="118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020" w:type="dxa"/>
            <w:vAlign w:val="bottom"/>
            <w:gridSpan w:val="2"/>
          </w:tcPr>
          <w:p>
            <w:pPr>
              <w:jc w:val="center"/>
              <w:ind w:right="340"/>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Distributions</w:t>
            </w:r>
          </w:p>
        </w:tc>
        <w:tc>
          <w:tcPr>
            <w:tcW w:w="760" w:type="dxa"/>
            <w:vAlign w:val="bottom"/>
            <w:gridSpan w:val="2"/>
          </w:tcPr>
          <w:p>
            <w:pPr>
              <w:jc w:val="center"/>
              <w:ind w:right="120"/>
              <w:spacing w:after="0" w:line="163" w:lineRule="exact"/>
              <w:rPr>
                <w:sz w:val="20"/>
                <w:szCs w:val="20"/>
                <w:color w:val="auto"/>
              </w:rPr>
            </w:pPr>
            <w:r>
              <w:rPr>
                <w:rFonts w:ascii="Arial" w:cs="Arial" w:eastAsia="Arial" w:hAnsi="Arial"/>
                <w:sz w:val="12"/>
                <w:szCs w:val="12"/>
                <w:b w:val="1"/>
                <w:bCs w:val="1"/>
                <w:color w:val="auto"/>
              </w:rPr>
              <w:t>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276"/>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61,000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$118,556</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$965,678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8"/>
                <w:szCs w:val="18"/>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9,921</w:t>
            </w:r>
          </w:p>
        </w:tc>
        <w:tc>
          <w:tcPr>
            <w:tcW w:w="360" w:type="dxa"/>
            <w:vAlign w:val="bottom"/>
          </w:tcPr>
          <w:p>
            <w:pPr>
              <w:spacing w:after="0"/>
              <w:rPr>
                <w:sz w:val="18"/>
                <w:szCs w:val="18"/>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2013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33 of this proxy statement. The amounts in this column are reflected in the “All Other Compensation” column of the Summary Compensation Table located on page 35.</w:t>
      </w:r>
    </w:p>
    <w:p>
      <w:pPr>
        <w:spacing w:after="0" w:line="2" w:lineRule="exact"/>
        <w:rPr>
          <w:rFonts w:ascii="Arial" w:cs="Arial" w:eastAsia="Arial" w:hAnsi="Arial"/>
          <w:sz w:val="16"/>
          <w:szCs w:val="16"/>
          <w:color w:val="auto"/>
        </w:rPr>
      </w:pPr>
    </w:p>
    <w:p>
      <w:pPr>
        <w:ind w:left="460" w:right="40" w:hanging="452"/>
        <w:spacing w:after="0" w:line="28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35 of this proxy statement. The table below shows the investment options available under our PSRP (other than the Common Stock fund) and the annual rate of return for the 12 month period ended March 31, 2013, as reported to us by the administrator of the plan.</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Fund</w:t>
            </w:r>
          </w:p>
        </w:tc>
        <w:tc>
          <w:tcPr>
            <w:tcW w:w="4600" w:type="dxa"/>
            <w:vAlign w:val="bottom"/>
          </w:tcPr>
          <w:p>
            <w:pPr>
              <w:spacing w:after="0"/>
              <w:rPr>
                <w:sz w:val="14"/>
                <w:szCs w:val="14"/>
                <w:color w:val="auto"/>
              </w:rPr>
            </w:pPr>
          </w:p>
        </w:tc>
        <w:tc>
          <w:tcPr>
            <w:tcW w:w="2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Rate of Return</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ABF Large Cap Value</w:t>
            </w:r>
          </w:p>
        </w:tc>
        <w:tc>
          <w:tcPr>
            <w:tcW w:w="17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CBA Aggressive Growth I</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Mainstay Large Cap Growth</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Spartan 500 Index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Extended Market Index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Harbor International Adm</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International Index Adv</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Fidelity Freedom 2000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2010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2030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Income Fund</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Fidelity Managed Income Portfolio</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US Bond Index</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Vanguard Inflation Protected Securities Fund</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ind w:left="460" w:right="400" w:hanging="452"/>
        <w:spacing w:after="0" w:line="25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2013,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2013 Table on page 42 of this proxy statement.</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33 of this proxy statement.</w:t>
      </w:r>
    </w:p>
    <w:p>
      <w:pPr>
        <w:spacing w:after="0" w:line="143"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on a non-discriminatory basis to salaried employees generally upon termination of employment or relate to equity grants that have already vested. These include:</w:t>
      </w: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or</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Termination (non</w:t>
            </w:r>
          </w:p>
        </w:tc>
        <w:tc>
          <w:tcPr>
            <w:tcW w:w="4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Death or</w:t>
            </w:r>
          </w:p>
        </w:tc>
        <w:tc>
          <w:tcPr>
            <w:tcW w:w="20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334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4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Disability</w:t>
            </w:r>
          </w:p>
        </w:tc>
        <w:tc>
          <w:tcPr>
            <w:tcW w:w="200" w:type="dxa"/>
            <w:vAlign w:val="bottom"/>
          </w:tcPr>
          <w:p>
            <w:pPr>
              <w:spacing w:after="0"/>
              <w:rPr>
                <w:sz w:val="15"/>
                <w:szCs w:val="15"/>
                <w:color w:val="auto"/>
              </w:rPr>
            </w:pPr>
          </w:p>
        </w:tc>
        <w:tc>
          <w:tcPr>
            <w:tcW w:w="106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89"/>
              </w:rPr>
              <w:t>Control</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Steven R. Rowley</w:t>
            </w:r>
          </w:p>
        </w:tc>
        <w:tc>
          <w:tcPr>
            <w:tcW w:w="1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7"/>
              </w:rPr>
              <w:t>Unexercisable and Accelerated Awards</w:t>
            </w:r>
          </w:p>
        </w:tc>
        <w:tc>
          <w:tcPr>
            <w:tcW w:w="122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$15,833,185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22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7,388,068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22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$ 1,500,000</w:t>
            </w:r>
            <w:r>
              <w:rPr>
                <w:rFonts w:ascii="Arial" w:cs="Arial" w:eastAsia="Arial" w:hAnsi="Arial"/>
                <w:sz w:val="11"/>
                <w:szCs w:val="11"/>
                <w:color w:val="auto"/>
              </w:rPr>
              <w:t>(4)</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3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ROWLEY TOTAL</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86"/>
              </w:rPr>
              <w:t>$ 1,500,000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$23,221,253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Pr>
          <w:p>
            <w:pPr>
              <w:jc w:val="right"/>
              <w:ind w:right="632"/>
              <w:spacing w:after="0"/>
              <w:rPr>
                <w:sz w:val="20"/>
                <w:szCs w:val="20"/>
                <w:color w:val="auto"/>
              </w:rPr>
            </w:pPr>
            <w:r>
              <w:rPr>
                <w:rFonts w:ascii="Arial" w:cs="Arial" w:eastAsia="Arial" w:hAnsi="Arial"/>
                <w:sz w:val="18"/>
                <w:szCs w:val="18"/>
                <w:color w:val="auto"/>
              </w:rPr>
              <w:t>43</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(non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87"/>
              </w:rPr>
              <w:t>Death or</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4260" w:type="dxa"/>
            <w:vAlign w:val="bottom"/>
            <w:vMerge w:val="restart"/>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Control)</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2"/>
              </w:rPr>
              <w:t>Control</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 Craig Kesler</w:t>
            </w:r>
          </w:p>
        </w:tc>
        <w:tc>
          <w:tcPr>
            <w:tcW w:w="10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2,397,330</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2,516,350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(4)</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KESLER TOTAL</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1,500,000</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4,913,680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3,552,513</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2,408,210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260" w:type="dxa"/>
            <w:vAlign w:val="bottom"/>
          </w:tcPr>
          <w:p>
            <w:pPr>
              <w:jc w:val="right"/>
              <w:ind w:right="492"/>
              <w:spacing w:after="0"/>
              <w:rPr>
                <w:sz w:val="20"/>
                <w:szCs w:val="20"/>
                <w:color w:val="auto"/>
              </w:rPr>
            </w:pPr>
            <w:r>
              <w:rPr>
                <w:rFonts w:ascii="Arial" w:cs="Arial" w:eastAsia="Arial" w:hAnsi="Arial"/>
                <w:sz w:val="18"/>
                <w:szCs w:val="18"/>
                <w:b w:val="1"/>
                <w:bCs w:val="1"/>
                <w:color w:val="auto"/>
              </w:rPr>
              <w:t>ESSL TOTAL</w:t>
            </w: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700,000</w:t>
            </w:r>
          </w:p>
        </w:tc>
        <w:tc>
          <w:tcPr>
            <w:tcW w:w="7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5,960,723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B. Powers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4,221,013</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2,408,210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POWERS TOTAL</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700,000</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6,629,223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James H. Graass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4,089,449</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2,304,333</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260" w:type="dxa"/>
            <w:vAlign w:val="bottom"/>
          </w:tcPr>
          <w:p>
            <w:pPr>
              <w:jc w:val="right"/>
              <w:ind w:right="492"/>
              <w:spacing w:after="0"/>
              <w:rPr>
                <w:sz w:val="20"/>
                <w:szCs w:val="20"/>
                <w:color w:val="auto"/>
              </w:rPr>
            </w:pPr>
            <w:r>
              <w:rPr>
                <w:rFonts w:ascii="Arial" w:cs="Arial" w:eastAsia="Arial" w:hAnsi="Arial"/>
                <w:sz w:val="18"/>
                <w:szCs w:val="18"/>
                <w:b w:val="1"/>
                <w:bCs w:val="1"/>
                <w:color w:val="auto"/>
              </w:rPr>
              <w:t>GRAASS TOTAL</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1,500,000</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6,393,782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AGGREGATE TOTAL FOR</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2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NAMED EXECUTIVE OFFICERS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5,900,000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47,118,661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33 of this proxy statement.</w:t>
      </w:r>
    </w:p>
    <w:p>
      <w:pPr>
        <w:spacing w:after="0" w:line="15" w:lineRule="exact"/>
        <w:rPr>
          <w:rFonts w:ascii="Arial" w:cs="Arial" w:eastAsia="Arial" w:hAnsi="Arial"/>
          <w:sz w:val="18"/>
          <w:szCs w:val="18"/>
          <w:color w:val="auto"/>
        </w:rPr>
      </w:pPr>
    </w:p>
    <w:p>
      <w:pPr>
        <w:ind w:left="460" w:right="42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in control based on the amount, if any, that the closing price of our Common Stock on March 28, 2013 ($66.63) exceeds the exercise price of the stock option.</w:t>
      </w:r>
    </w:p>
    <w:p>
      <w:pPr>
        <w:spacing w:after="0" w:line="1" w:lineRule="exact"/>
        <w:rPr>
          <w:rFonts w:ascii="Arial" w:cs="Arial" w:eastAsia="Arial" w:hAnsi="Arial"/>
          <w:sz w:val="16"/>
          <w:szCs w:val="16"/>
          <w:color w:val="auto"/>
        </w:rPr>
      </w:pPr>
    </w:p>
    <w:p>
      <w:pPr>
        <w:ind w:left="460" w:right="3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a change in control based on the closing price of our Common Stock on March 28, 2013 ($66.63).</w:t>
      </w:r>
    </w:p>
    <w:p>
      <w:pPr>
        <w:ind w:left="46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2013 salaries):</w:t>
      </w:r>
    </w:p>
    <w:p>
      <w:pPr>
        <w:spacing w:after="0" w:line="63" w:lineRule="exact"/>
        <w:rPr>
          <w:rFonts w:ascii="Arial" w:cs="Arial" w:eastAsia="Arial" w:hAnsi="Arial"/>
          <w:sz w:val="18"/>
          <w:szCs w:val="18"/>
          <w:color w:val="auto"/>
        </w:rPr>
      </w:pPr>
    </w:p>
    <w:p>
      <w:pPr>
        <w:ind w:left="1480" w:hanging="567"/>
        <w:spacing w:after="0"/>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Rowley – $860,000 in a lump sum payment plus $430,000 per year until the beneficiaries have received a total of $1,500,000 in payments.</w:t>
      </w:r>
    </w:p>
    <w:p>
      <w:pPr>
        <w:spacing w:after="0" w:line="38" w:lineRule="exact"/>
        <w:rPr>
          <w:rFonts w:ascii="Arial" w:cs="Arial" w:eastAsia="Arial" w:hAnsi="Arial"/>
          <w:sz w:val="16"/>
          <w:szCs w:val="16"/>
          <w:color w:val="auto"/>
        </w:rPr>
      </w:pPr>
    </w:p>
    <w:p>
      <w:pPr>
        <w:ind w:left="1480" w:hanging="567"/>
        <w:spacing w:after="0"/>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Kesler – $300,000 in a lump sum payment plus $137,500 per year until the beneficiaries have received a total of $1,500,000 in payments.</w:t>
      </w:r>
    </w:p>
    <w:p>
      <w:pPr>
        <w:spacing w:after="0" w:line="32" w:lineRule="exact"/>
        <w:rPr>
          <w:rFonts w:ascii="Arial" w:cs="Arial" w:eastAsia="Arial" w:hAnsi="Arial"/>
          <w:sz w:val="16"/>
          <w:szCs w:val="16"/>
          <w:color w:val="auto"/>
        </w:rPr>
      </w:pPr>
    </w:p>
    <w:p>
      <w:pPr>
        <w:ind w:left="1480" w:hanging="567"/>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Essl – $350,000 in a lump sum payment plus $175,000 per year until the date Mr. Essl would have reached 66.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Powers – $350,000 in a lump sum payment plus $175,000 per year until the date Mr. Powers would have reached 66.</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Graass – $350,000 in a lump sum payment plus $175,000 per year until the beneficiaries have received a total of $1,500,000 in payments.</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(15 persons). Except as otherwise indicated, all shares are owned directly, and the owner of such shares has the sole voting and investment power with respect thereto.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1"/>
          <w:szCs w:val="11"/>
          <w:b w:val="1"/>
          <w:bCs w:val="1"/>
          <w:color w:val="auto"/>
        </w:rPr>
        <w:t>(1)</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w w:val="87"/>
              </w:rPr>
              <w:t>Number of Shares</w:t>
            </w:r>
          </w:p>
        </w:tc>
        <w:tc>
          <w:tcPr>
            <w:tcW w:w="8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20" w:type="dxa"/>
            <w:vAlign w:val="bottom"/>
            <w:gridSpan w:val="3"/>
          </w:tcPr>
          <w:p>
            <w:pPr>
              <w:jc w:val="center"/>
              <w:ind w:left="513"/>
              <w:spacing w:after="0" w:line="149" w:lineRule="exact"/>
              <w:rPr>
                <w:sz w:val="20"/>
                <w:szCs w:val="20"/>
                <w:color w:val="auto"/>
              </w:rPr>
            </w:pPr>
            <w:r>
              <w:rPr>
                <w:rFonts w:ascii="Arial" w:cs="Arial" w:eastAsia="Arial" w:hAnsi="Arial"/>
                <w:sz w:val="14"/>
                <w:szCs w:val="14"/>
                <w:b w:val="1"/>
                <w:bCs w:val="1"/>
                <w:color w:val="auto"/>
                <w:w w:val="87"/>
              </w:rPr>
              <w:t>of Common</w:t>
            </w:r>
          </w:p>
        </w:tc>
      </w:tr>
      <w:tr>
        <w:trPr>
          <w:trHeight w:val="16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Owned(2)</w:t>
            </w:r>
          </w:p>
        </w:tc>
        <w:tc>
          <w:tcPr>
            <w:tcW w:w="8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p>
        </w:tc>
        <w:tc>
          <w:tcPr>
            <w:tcW w:w="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111,652</w:t>
            </w:r>
          </w:p>
        </w:tc>
        <w:tc>
          <w:tcPr>
            <w:tcW w:w="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Ed H. Bowman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Robert L. Clarke(3)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144,067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William R. Devlin(4)(5)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48,240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Martin M. Ellen</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Gerald J. Essl(6)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59,666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James H. Graass(7)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Laurence E. Hirsch(8)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1,364,523</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 Craig Kesler(5) (9)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Michael R. Nicolais(10)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46,356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68,873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David W. Quinn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56,321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Richard R. Stewart(12)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27,309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Robert S. Stewart(5)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w w:val="98"/>
              </w:rPr>
              <w:t>All current directors, nominees and executive officers as a group (15</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360" w:type="dxa"/>
            <w:vAlign w:val="bottom"/>
          </w:tcPr>
          <w:p>
            <w:pPr>
              <w:ind w:left="220"/>
              <w:spacing w:after="0"/>
              <w:rPr>
                <w:sz w:val="20"/>
                <w:szCs w:val="20"/>
                <w:color w:val="auto"/>
              </w:rPr>
            </w:pPr>
            <w:r>
              <w:rPr>
                <w:rFonts w:ascii="Arial" w:cs="Arial" w:eastAsia="Arial" w:hAnsi="Arial"/>
                <w:sz w:val="18"/>
                <w:szCs w:val="18"/>
                <w:color w:val="auto"/>
              </w:rPr>
              <w:t>persons)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2,580,749</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2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w:t>
      </w:r>
    </w:p>
    <w:p>
      <w:pPr>
        <w:spacing w:after="0" w:line="32"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Mr. Barnett – 108,274 shares; Mr. Clarke – 102,098 shares; Mr. Devlin – 6,331 shares; Mr. Essl – 9,523 shares; Mr. Graass – 21,870 shares; Mr. Hirsch – 137,593 shares; Mr. Kesler – 18,718 shares; Mr. Nicolais – 29,309 shares; Mr. Powers – 23,437 shares; Mr. Quinn – 28,243 shares; Mr. Rowley – 274,527 shares; and Mr. Richard Stewart – 19,196 shares; and all directors and executive officers of the Company as a group (15 persons) – 779,119 shares. In addition, this table includes shares of Common Stock that are held for the account of participants as of May 3, 2013, pursuant to the Common Stock fund of the PSRP, as follows: Mr. Devlin – 1,561 shares; Mr. Graass – 714 shares; Mr. Kesler – 1,370 shares; Mr. Powers – 1,507 shares; Mr. Rowley – 2,296 shares; and all directors and executive officers of the Company as a group (15 persons) – 7,448 shares. These amounts do not include the RSUs previously granted to the non-employee directors (including dividend equivalent units accrued since the date of grant) disclosed in the table on page 11 of this proxy statement.</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39,446 shares pledged as collateral for a loan.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4,000 shares of Common Stock representing the remaining unvested shares under a restricted stock award originally made to the executive on August 21, 2009.</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14,000 shares of Common Stock held in trust for Mr. Essl’s 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543 shares of Common Stock held in Mr. Graass’s IRA.</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1,213,121 shares of Common Stock owned by Highlander Partners, which shares are subject to a negative pledge. Also includes 5,173 shares of Common Stock owned by Hirsch Family Partnership No. 1, Ltd.; and 5,173 shares of Common Stock owned by Hirsch Family Partnership No. 2, Ltd., with respect to which Mr. Hirsch disclaims beneficial ownership.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(a) 1,386 shares of Common Stock owned by Mr. Nicolais’ wife; (b) 1,550 shares of Common Stock owned by the profit sharing plan of</w:t>
      </w:r>
    </w:p>
    <w:p>
      <w:pPr>
        <w:spacing w:after="0" w:line="32" w:lineRule="exact"/>
        <w:rPr>
          <w:rFonts w:ascii="Arial" w:cs="Arial" w:eastAsia="Arial" w:hAnsi="Arial"/>
          <w:sz w:val="16"/>
          <w:szCs w:val="16"/>
          <w:color w:val="auto"/>
        </w:rPr>
      </w:pPr>
    </w:p>
    <w:p>
      <w:pPr>
        <w:ind w:left="460" w:right="40"/>
        <w:spacing w:after="0" w:line="250" w:lineRule="auto"/>
        <w:rPr>
          <w:rFonts w:ascii="Arial" w:cs="Arial" w:eastAsia="Arial" w:hAnsi="Arial"/>
          <w:sz w:val="16"/>
          <w:szCs w:val="16"/>
          <w:color w:val="auto"/>
        </w:rPr>
      </w:pPr>
      <w:r>
        <w:rPr>
          <w:rFonts w:ascii="Arial" w:cs="Arial" w:eastAsia="Arial" w:hAnsi="Arial"/>
          <w:sz w:val="18"/>
          <w:szCs w:val="18"/>
          <w:color w:val="auto"/>
        </w:rPr>
        <w:t>Mr. Nicolais’ employer; (c) 3,500 shares of Common Stock held in Mr. Nicolais’ IRA; (d) 555 shares 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1,929 shares held in Mr. Rowley’s IRA. Includes 29,900 shares pledged as collateral for a revolving line of credit with no outstanding balance as of the record date for the annual meeting.</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7,000 shares owned by Stewart Family Trust.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10, 2013, the record date for our annual meeting of stockholders.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1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9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 Beneficial Owner</w:t>
            </w:r>
          </w:p>
        </w:tc>
        <w:tc>
          <w:tcPr>
            <w:tcW w:w="2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Beneficially Owned</w:t>
            </w:r>
          </w:p>
        </w:tc>
        <w:tc>
          <w:tcPr>
            <w:tcW w:w="20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6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4,230,949</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8"/>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York, NY 10022</w:t>
            </w:r>
          </w:p>
        </w:tc>
        <w:tc>
          <w:tcPr>
            <w:tcW w:w="1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 xml:space="preserve">Fiduciary Management, Inc. </w:t>
            </w:r>
            <w:r>
              <w:rPr>
                <w:rFonts w:ascii="Arial" w:cs="Arial" w:eastAsia="Arial" w:hAnsi="Arial"/>
                <w:sz w:val="11"/>
                <w:szCs w:val="11"/>
                <w:color w:val="auto"/>
              </w:rPr>
              <w:t>(2)</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100 East Wisconsin Avenue</w:t>
            </w:r>
          </w:p>
        </w:tc>
        <w:tc>
          <w:tcPr>
            <w:tcW w:w="2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3,039,846</w:t>
            </w:r>
          </w:p>
        </w:tc>
        <w:tc>
          <w:tcPr>
            <w:tcW w:w="2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4"/>
        </w:trPr>
        <w:tc>
          <w:tcPr>
            <w:tcW w:w="3960" w:type="dxa"/>
            <w:vAlign w:val="bottom"/>
            <w:gridSpan w:val="2"/>
            <w:vMerge w:val="restart"/>
          </w:tcPr>
          <w:p>
            <w:pPr>
              <w:ind w:left="440"/>
              <w:spacing w:after="0"/>
              <w:rPr>
                <w:sz w:val="20"/>
                <w:szCs w:val="20"/>
                <w:color w:val="auto"/>
              </w:rPr>
            </w:pPr>
            <w:r>
              <w:rPr>
                <w:rFonts w:ascii="Arial" w:cs="Arial" w:eastAsia="Arial" w:hAnsi="Arial"/>
                <w:sz w:val="18"/>
                <w:szCs w:val="18"/>
                <w:color w:val="auto"/>
              </w:rPr>
              <w:t>Suite 2200</w:t>
            </w:r>
          </w:p>
        </w:tc>
        <w:tc>
          <w:tcPr>
            <w:tcW w:w="2700" w:type="dxa"/>
            <w:vAlign w:val="bottom"/>
            <w:gridSpan w:val="2"/>
            <w:vMerge w:val="continue"/>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6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Milwaukee, WI 53202</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Vanguard Group, Inc. </w:t>
            </w:r>
            <w:r>
              <w:rPr>
                <w:rFonts w:ascii="Arial" w:cs="Arial" w:eastAsia="Arial" w:hAnsi="Arial"/>
                <w:sz w:val="11"/>
                <w:szCs w:val="11"/>
                <w:color w:val="auto"/>
              </w:rPr>
              <w:t>(3)</w:t>
            </w: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100 Vanguard Blvd.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2,831,431</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8"/>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Malvern, PA 19355</w:t>
            </w:r>
          </w:p>
        </w:tc>
        <w:tc>
          <w:tcPr>
            <w:tcW w:w="1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 2013. Of the shares reported in the Schedule 13G/A, BlackRock, Inc. has sole voting power and sole dispositive power with respect to 4,230,949 shares.</w:t>
      </w:r>
    </w:p>
    <w:p>
      <w:pPr>
        <w:jc w:val="both"/>
        <w:ind w:left="460" w:right="56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 filed with the SEC on February 10, 2012. Of the shares reported in the Schedule 13G, Fiduciary Management, Inc. has (i) sole voting power with respect to 3,034,721 shares; (ii) sole dispositive power with respect to 3,034,721 shares; (iii) shared voting power with respect to 5,125 shares; and (iv) shared dispositive power with respect to 5,125 shares.</w:t>
      </w:r>
    </w:p>
    <w:p>
      <w:pPr>
        <w:spacing w:after="0" w:line="2" w:lineRule="exact"/>
        <w:rPr>
          <w:rFonts w:ascii="Arial" w:cs="Arial" w:eastAsia="Arial" w:hAnsi="Arial"/>
          <w:sz w:val="16"/>
          <w:szCs w:val="16"/>
          <w:color w:val="auto"/>
        </w:rPr>
      </w:pPr>
    </w:p>
    <w:p>
      <w:pPr>
        <w:ind w:left="460" w:right="14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11, 2013. Of the shares reported in the Schedule 13G/A, Vanguard Group, Inc. has (i) sole voting power with respect to 68,027 shares; (ii) sole dispositive power with respect to 2,765,604 shares; and (iii) shared dispositive power with respect to 65,827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2013, the Company engaged KPMG to perform certain purchase price allocation work in connection with the Company’s acquisition of assets from Lafarge North America. Our Chief Financial Officer’s spouse is a partner at KPMG. During fiscal 2013, we paid KPMG fees of approximately $125,000. Mr. Kesler’s spouse did not work on any Company matters. KPMG’s engagement was approved by our Audit Committee in compliance with our pre-approval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7"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Based solely on our review of the copies of such forms we received with respect to fiscal 2013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2013 applicable to such persons, except for one late Form 4 for each executive officer related to shares withheld for taxes in connection with the vesting of RSUs.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ADVISORY VOTE ON COMPENSATION OF OUR NAMED EXECUTIVE OFFICERS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urge stockholders to read our “Compensation Discussion and Analysis” beginning on page 18 of this proxy statement, which describes in more detail how our executive compensation policies and programs operate.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seeking stockholder approval of the following advisory resolution:</w:t>
      </w:r>
    </w:p>
    <w:p>
      <w:pPr>
        <w:spacing w:after="0" w:line="84" w:lineRule="exact"/>
        <w:rPr>
          <w:sz w:val="20"/>
          <w:szCs w:val="20"/>
          <w:color w:val="auto"/>
        </w:rPr>
      </w:pPr>
    </w:p>
    <w:p>
      <w:pPr>
        <w:jc w:val="both"/>
        <w:ind w:left="920" w:right="260" w:firstLine="420"/>
        <w:spacing w:after="0" w:line="31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the compensation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 APPROVAL OF THE 2013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Awards based on our Common Stock are a major part of long-term compensation for our key employees and non-employee directors. We believe such awards help us to attract and retain the talented members of our management team. As noted in the “Compensation Discussion and Analysis” beginning on page 18, for many years we have recognized that structuring long-term equity incentive awards to executives helps to align their financial interests with the interests of our stockholders. Our current Incentive Plan affords our Compensation Committee flexibility to determine the type of compensatory awards that provide appropriate incentives and encourage stock ownership among key employees and non-employee directors. Our current Incentive Plan expires in January 2014.</w:t>
      </w:r>
    </w:p>
    <w:p>
      <w:pPr>
        <w:spacing w:after="0" w:line="10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order to ensure that shares of our Common Stock continue to be available for use by the Compensation Committee in making awards in the form of stock options, restricted stock, stock units and other stock-based awards, our Board of Directors has, subject to stockholder approval, approved our Amended and Restated Incentive Plan, which we refer to as the “2013 Plan.” We refer to the existing Incentive Plan as the “Prior Plan.” The Board is presenting the 2013 Plan to the stockholders at the 2013 Annual Meeting because this is the last regularly scheduled stockholder meeting before the Prior Plan expires in January 2014.</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 summary of the principal provisions of the 2013 Plan are set forth below. The full text of the 2013 Plan is annexed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The following summary is qualified in its entirety by reference to </w:t>
      </w:r>
      <w:r>
        <w:rPr>
          <w:rFonts w:ascii="Arial" w:cs="Arial" w:eastAsia="Arial" w:hAnsi="Arial"/>
          <w:sz w:val="18"/>
          <w:szCs w:val="18"/>
          <w:i w:val="1"/>
          <w:iCs w:val="1"/>
          <w:color w:val="auto"/>
        </w:rPr>
        <w:t>Appendix A</w:t>
      </w:r>
      <w:r>
        <w:rPr>
          <w:rFonts w:ascii="Arial" w:cs="Arial" w:eastAsia="Arial" w:hAnsi="Arial"/>
          <w:sz w:val="18"/>
          <w:szCs w:val="18"/>
          <w:color w:val="auto"/>
        </w:rPr>
        <w:t>. Approval of the 2013 Plan requires the favorable vote of a majority of the votes cast, provided that the votes cast represent over 50% of our outstanding shares. No awards may be granted under the 2013 Plan after the tenth anniversary of the date on which the stockholders approve the 2013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Summary and Historical Award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approving the 2013 Plan, the Board considered the overhang of currently outstanding awards. As of March 31, 2013, there were 3,625,734 shares of Common Stock subject to outstanding awards and an additional 1,302,263 shares of Common Stock available for future awards under the Prior Plan. Of the shares of Common Stock subject to outstanding awards under the Prior Plan, 3,022,592 are stock options, and 603,142 are either restricted stock or RSUs. The weighted average remaining term of our options currently outstanding under the Prior Plan is 4.17 years, and the weighted average exercise price is $37.83. Of the shares available for future award under the Prior Plan, up to 106,417 shares are available for issuance of stock awards that are not option awards or SARs. The overhang on a fully diluted basis of the outstanding awards is approximately 6.31%.</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also considered the Company’s historical burn rate, as well as the number of awards granted in the prior three fiscal years. The Company’s three-year average equity expenditures, referred to as the burn rate (calculated using Institutional Shareholder Services, which we refer to as “ISS,” methodology), was 2.33%, which was lower than ISS’s applicable policy guidelines maximum burn rate of 3.08%. The Board also considered that the Prior Plan expires in January 2014.</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2013 Plan, as adopted by our Board of Directors on May 16, 2013, authorizes the following shares of Common Stock for grant under the 2013 Plan: 1,302,263 (subject to a 106,417 stock award sub-limit), plus 3,000,000 (subject to a 1,500,000 stock award sub-limit), for a total of 4,302,263 shares (subject to a 1,606,417 stock award sub-limit). Because Proposal No. 3 does not contemplate the amount or timing of specific equity awards in the future, it is not possible to calculate the amount of subsequent dilution that may ultimately result from such awards.</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Awards that have been granted under the Prior Plan prior to the approval of the 2013 Plan will continue to be outstanding following the approval of the 2013 Plan and shall be subject to the provisions of the 2013 Plan. If the stockholders do not approve the 2013 Plan, the Prior Plan will remain in effect. However, future awards would be limited to the shares remaining from the previously authorized shares for issuance under the Prior Plan, and we would be severely restricted in the equity awards that we could make to key employees and non-employee directors because no awards could be made after January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2013 Plan</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The principal provisions of the 2013 Plan are summarized below. The summary is qualified in its entirety by reference to the full text of the 2013 Plan,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Class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Persons eligible to be considered for awards under the 2013 Plan are our directors and all employees of the Company and certain of our subsidiaries and joint ventures who hold positions of responsibility and whose performance, in the judgment of the Compensation Committee, can have a significant effect on ourselves and the success of our affiliates.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aggregate of 1,302,263 shares of Common Stock that were remaining for grant under the Prior Plan on March 31, 2013, plus an additional 3,000,000 shares of Common Stock shall be available for awards under the 2013 Plan, granted or payable wholly or partly in Common Stock (including rights or options that may be exercised for or settled in Common Stock). 4,302,263 shares of Common Stock would be available for issuance pursuant to incentive stock options. No more than 1,606,417 shares of Common Stock would be available for issuance under the 2013 Plan pursuant to stock awards that are not option awards or SARs. Each grant of an option award or SAR will reduce the number of shares of Common Stock available for issuance under the 2013 Plan by the full number of shares underlying the grant.</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(1) any shares of Common Stock subject to an award under the 2013 Plan are forfeited, an award under the 2013 Plan expires or an award is settled for cash, or (2) after March 31, 2013 any shares of Common Stock subject to an award under the Prior Plan are forfeited, an award under the Prior Plan expires or is settled for cash, then in each such case the shares of Common Stock subject to such award shall, to the extent of such forfeiture, expiration or cash settlement, again be available for grant under the 2013 Plan. In the event that withholding tax liabilities arising from an award under the 2013 Plan or the Prior Plan are satisfied by the tendering of shares of Common Stock or by the withholding of shares of Common Stock by us, the shares of Common Stock so tendered or withheld shall again be available for grant under the 2013 Plan.</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shares of Common Stock shall not be added to the shares of Common Stock authorized for grant under the 2013 Plan: (1) shares of Common Stock tendered by a participant or withheld by us in payment of the purchase price of (i) an option under the 2013 Plan or (ii) after March 31, 2013, an option under the Prior Plan, (2) shares of Common Stock tendered by a participant or withheld by us to satisfy any tax withholding obligation with respect to options or stock appreciation rights under the 2013 Plan or, after March 31, 2013, options or stock appreciation rights under the Prior Plan, (3) shares of Common Stock subject to a stock appreciation right under the 2013 Plan or, after March 31, 2013, a stock appreciation right under the Prior Plan that are not issued in connection with its stock settlement on exercise, and (4) shares of Common Stock reacquired by us on the open market or otherwise using cash proceeds from the exercise of options under the 2013 Plan or, after March 31, 2013, options under the Prior Plan.</w:t>
      </w:r>
    </w:p>
    <w:p>
      <w:pPr>
        <w:spacing w:after="0" w:line="118"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In the event of any subdivision or consolidation of outstanding shares of Common Stock, declaration of a dividend payable in shares of Common Stock or other stock split, then (1) the number of shares of Common Stock reserved under the 2013 Plan, (2) the number of shares of Common Stock covered by outstanding awards in the form of shares of Common Stock or units denominated in shares of Common Stock, (3) the exercise price or other price in respect of such awards, (4) certain annual grant limits, and (5) the appropriate fair market value and other price determinations for such awards shall each be proportionately adjusted by the Compensation Committee as appropriate to reflect such transaction. In the event of any other recapitalization or capital reorganization of us, any consolidation or merger of us with another corporation or entity, the adoption by us of any plan of exchange affecting the shares of Common Stock or any distribution to holders of shares of Common Stock of securities or property (other than normal cash dividends or dividends payable in shares of Common Stock), the Compensation Committee shall make appropriate adjustments to (i) the number and kind of shares covered by awards in the form of shares of Common Stock or units denominated in shares of Common Stock, (ii) the exercise price or other price in respect of such awards, (iii) the appropriate fair market value and other price determinations for such awards, and (iv) certain annual grant limits to reflect such transaction; provided that such adjustments shall only be such as are necessary to maintain the proportionate interest of the holders of the awards and preserve, without increasing, the value of such awards.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grant limits for employees and non-employee directors are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 has been designated by our Board of Directors to administer the 2013 Plan. The Compensation Committee has the discretion to, among other things, determine the employees and directors who will be granted awards, the sizes and types of such awards, and the terms and conditions of such awards, subject to certain limitations set forth in the 2013 Plan. In addition, the Compensation Committee has full power and authority to interpret the 2013 Plan and may, from time to time, adopt rules and regulations in order to carry out the terms of the 2013 Plan.</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Except with regard to employees who are not subject to Section 16(b) of the Securities Exchange Act of 1934, the Compensation Committee may delegate any of its authority to the Board of Directors or to any other committee of the Board of Directors, provided such delegation is made in writing and specifically sets forth the delegated authority. The Compensation Committee may also delegate to our Chief Executive Officer or other senior officers authority to executive on behalf of us any award agreement. Further, the Compensation Committee may engage or authorize engagement of a third party administrator to carry out administrative functions under the 2013 Plan.</w:t>
      </w:r>
    </w:p>
    <w:p>
      <w:pPr>
        <w:spacing w:after="0" w:line="14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Subject to certain restrictions contained in the 2013 Plan, including certain stockholder approval requirements, the Compensation Committee has the discretion to extend the exercisability of an award, accelerate the vesting or exercisability of an award, or otherwise amend the award in a manner that is not adverse to, or is consented to, by the recipient of the award.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discretion of the Compensation Committee, employees may be granted awards under the 2013 Plan in the form of stock options, stock appreciation rights, stock awards, cash awards or performance awards. Such awards may be granted singly, in combination, or in tandem. For more information regarding the annual incentive programs approved by the Compensation Committee in fiscal 2013 under the Prior Plan, see “Compensation Discussion and Analysis—Elements of Executive Compensation” beginning on page 25.</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2013 Plan provides for the granting of incentive stock options, which are intended to comply with Section 422 of the Internal Revenue Code, and non-qualified stock options to employees.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stock option is a right to purchase a specified number of shares of our Common Stock at a specified grant price. All stock options granted under the 2013 Plan must have an exercise price per share that is not less than the fair market value of a share of Common Stock on the date of grant and a term of no more than ten years. The fair market value of our Common Stock will be the closing sales price per share of Common Stock as reported by the NYSE or the applicable national securities exchange as of the date on which the value is to be determined. The terms, conditions and limitations applicable to any options awarded to participants pursuant to the 2013 Plan, including the grant price (subject to any limitation contained in the 2013 Plan), the term of the options, the number of shares subject to the option and the date or dates upon which they become exercisable, shall be determined by the Compensation Committee. However, stock options may not include provisions that “reload” the option upon exercise.</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exercise price of any stock option must be paid in full at the time the stock is delivered to the optionee. The price must be paid (1) in cash or cash equivalents, (2) by tendering previously acquired shares of Common Stock (valued at their fair market value), (3) with the consent of the Compensation Committee, by delivery of other consideration (including, where permitted by law and the Compensation Committee, other awards) having a fair market value on the exercise date equal to the total purchase price, (4) with the consent of the Compensation Committee, by withholding shares of Common Stock otherwise issuable in connection with the exercise of the option, (5) through any other method specified in an award agreement, or (6) any combination of any of the foregoing.</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The 2013 Plan also provides for the granting of stock appreciation rights or “SARs” to employees. A SAR is a right to receive a payment, in cash or Common Stock or a combination of cash and Common Stock, equal to the excess of the fair market value of a specified number of shares of Common Stock over a specified grant price. A SAR may be granted to the holder of a stock option with respect to all or a portion of the shares of Common Stock subject to such stock option (a “tandem” SAR) or may be granted separately. The holder of a tandem SAR may elect to exercise either the stock option or the SAR, but not both. The exercise period for a SAR shall extend no more than ten years after the date of grant. The terms, conditions and limitations applicable to any SARs awarded pursuant to the 2013 Plan, including the grant price (subject to any limitation contained in the 2013 Plan), the term of any SARs and the date or dates upon which they become exercisable, shall be determined by the Compensation Committee.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The 2013 Plan also provides for the granting of stock awards, including restricted stock, and stock units to employees that consist of grants of Common Stock or units denominated in Common Stock. The terms, conditions and limitations applicable to any stock award will be decided by the Compensation Committee.</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The 2013 Plan also provides for the granting of cash awards to employees. The terms, conditions and limitations applicable to any cash awards granted pursuant to the 2013 Plan will be determined by the Compensation Committee.</w:t>
      </w:r>
    </w:p>
    <w:p>
      <w:pPr>
        <w:spacing w:after="0" w:line="132"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 At the discretion of the Compensation Committee, any of the above-described employee awards may be made in the form of a performance award. A performance award is an award that is subject to the attainment of one or more future performance goals. The terms, conditions and limitations applicable to any performance award will be decided by the Compensation Committee.</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making awards intended to qualify under Section 162(m) of the Internal Revenue Code, the Compensation Committee may base a performance goal on one or more of the following business criteria that may be applied to the employee, one or more business units, or to the Company as a whole:</w:t>
      </w:r>
    </w:p>
    <w:p>
      <w:pPr>
        <w:spacing w:after="0" w:line="4"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before and after interest and/or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flow measures;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average assets, risk-adjusted return on capital, and return on average equity);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measures (including, but not limited to, sales volumes, production volumes and production efficiencies);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costs and general and administrative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margins;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corporate values measures (including, but not limited to, ethics compliance, environmental, and safety).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Goals may also be based on performance relative to a peer group of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Employee Award Limitations</w:t>
      </w:r>
      <w:r>
        <w:rPr>
          <w:rFonts w:ascii="Arial" w:cs="Arial" w:eastAsia="Arial" w:hAnsi="Arial"/>
          <w:sz w:val="18"/>
          <w:szCs w:val="18"/>
          <w:color w:val="auto"/>
        </w:rPr>
        <w:t>. Under the 2013 Plan, no employee may be granted during any fiscal year:</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options and/or SARs covering more than 600,000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 awards covering more than 300,000 shares of Common Stock;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cash awards (including performance awards) in respect of any fiscal year having a value determined on the grant date in excess of $5,000,000.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Awards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At the discretion of the Compensation Committee, non-employee directors may be granted awards under the 2013 Plan in the form of non-qualified stock options, SARs, performance awards or stock awards. Awards to directors may be granted singly, in combination, or in tandem. Non-employee directors may not be granted options having a value determined on the grant date in excess of $350,000, or stock awards having a value determined on the grant date in excess of $350,000, during any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under 2013 Plan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2013 Plan does not address the disposition of equity awards upon the occurrence of a change in control of the Company. However, the practice of the Compensation Committee has been to include in the applicable award agreement accelerated vesting of equity awards upon the occurrence of a change in control of the Company. See “Change in Control Benefits” on page 33 of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Participants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2013 Plan allows the Compensation Committee to grant awards to persons outside the United States under appropriate terms and conditions for the applicable foreign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the discretion of the Compensation Committee, amounts payable in respect of awards granted under the 2013 Plan may be deferred. Any deferred payment may be forfeited if and to the extent that the terms of the applicable award so provide.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Modification and Termination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may amend, modify, suspend or terminate the 2013 Plan at any time for the purpose of addressing changes in legal requirements or for other purposes permitted by law. However, (1) no amendment or alteration that would adversely affect the rights of any participant under any award previously granted to such participant shall be made without the consent of such participant and (2) no amendment or alteration shall be effective prior to approval by the stockholders if such approval is required by law or the requirements of the NYSE.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award shall be made after August 7,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2013 Plan based on existing U.S. federal income tax laws. This summary is general in nature and does not address issues related to the tax circumstances of any particular participant. This discussion is not to be construed as tax advice.</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u w:val="single" w:color="auto"/>
          <w:color w:val="auto"/>
        </w:rPr>
        <w:t>Stock Options and Stock Appreciation Rights</w:t>
      </w:r>
      <w:r>
        <w:rPr>
          <w:rFonts w:ascii="Arial" w:cs="Arial" w:eastAsia="Arial" w:hAnsi="Arial"/>
          <w:sz w:val="16"/>
          <w:szCs w:val="16"/>
          <w:color w:val="auto"/>
        </w:rPr>
        <w:t>. Some of the stock options issuable under the 2013 Plan may constitute incentive stock options within the meaning of Section 422 of the Internal Revenue Code, while other options granted under the 2013 Plan may be non-qualified stock options.</w:t>
      </w:r>
    </w:p>
    <w:p>
      <w:pPr>
        <w:spacing w:after="0" w:line="8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However, the difference between the exercise price of the incentive stock option and the fair market value of the stock at the time of exercise is an item of tax preference that may require payment of an alternative minimum tax. On the sale of shares acquired by exercise of an incentive stock option (assuming that the sale does not occur within two years from the date of grant of the option or within one year from the date of exercise), any gain will be taxed to the optionee as long-term capital gain. No deduction is available to the Company upon the grant or exercise of an incentive stock option (although a deduction may be available if the employee sells the shares so purchased before the applicable holding periods expire). Except with respect to death or disability of an optionee, an optionee has three months after termination of employment in which to exercise an incentive stock option and retain favorable tax treatment at exercise. An option exercised more than three months after an optionee’s termination of employment (other than by reason of death or disability) cannot qualify for the tax treatment accorded incentive stock options. Such option would be treated as a non-qualified stock option instead.</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contrast, upon the exercise of a non-qualified stock option, the optionee recognizes ordinary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stock option will be treated generally as capital gain or loss. Upon exercise of a non-qualified stock option, the Company will generally be entitled to a deduction in an amount equal to the income recognized by the participant.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Participants will not realize taxable income upon the grant of a stock appreciation right. Upon the exercise of a stock appreciation right, the participant will recognize ordinary income (subject to withholding)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The Company will generally be entitled to a deduction for U.S. federal income tax purposes that corresponds as to timing and amount with the compensation income recognized by the participant.</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Cash Awards; Stock Awards</w:t>
      </w:r>
      <w:r>
        <w:rPr>
          <w:rFonts w:ascii="Arial" w:cs="Arial" w:eastAsia="Arial" w:hAnsi="Arial"/>
          <w:sz w:val="18"/>
          <w:szCs w:val="18"/>
          <w:color w:val="auto"/>
        </w:rPr>
        <w:t>. Generally, the recipient of a cash award will recognize ordinary compensation income at the time the payment is received or, if earlier, at the time such cash is otherwise made available to the employee to draw upon it. The Company will normally be entitled to a deduction for federal income tax purposes in an amount equal to the ordinary income recognized by such recipient.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Federal income tax consequences with respect to stock awards depend on the facts and circumstances of each award, and, in particular, the nature of any restrictions imposed with respect to the award. In general, if the stock which is the subject of a stock award is actually issued to a participant but is subject to a “substantial risk of forfeiture,” for example, if rights to ownership of the stock are conditioned upon the future performance of substantial services by the participant, a taxable event occurs only when the substantial risk of forfeiture ceases to exist. When the substantial risk of forfeiture ceases, the participant will realize ordinary income to the extent of the excess of the fair market value of the stock on the date the risk of forfeiture terminates over the participant’s cost for such stock (if any), and the same amount is then deductible by the Company as compensation. If the restrictions with respect to the stock award, by their nature, do not subject the participant to a substantial risk of forfeiture of the stock, then the participant will realize ordinary income at the time of grant to the extent of the excess of the fair market value of the stock over the participant’s cost (if any). The same amount is then deductible by the Company. If the stock is not actually issued to the participant at the time the stock award is granted, then the participant will realize ordinary income at the time the participant receives stock free of any substantial risk of forfeiture, and the amount of such income will be equal to the fair market value of the stock at such time over the participant’s cost (if any). The same amount is then deductible by the Company.</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An employee (but not a non-employee director) will be subject to withholding for federal, and generally for state and local, income taxes at the time the employee recognizes income under the rules described above with respect to Common Stock or cash received pursuant to a performance award, stock award or stock unit award. An employee will be subject to withholding for Social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Security and Medicare at the time that the award becomes vested (whether or not shares or cash are distributed). Dividends that are received by a participant prior to the time that the Common Stock is taxed to the participant under the rules described in the preceding paragraph are taxed as additional compensation, not as dividend income. The tax basis of a participant in the Common Stock received will equal the amount recognized as compensation income under the rules described in the preceding paragraph, and the holding period in such shares will commence on the date income is so recognized.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409A imposes an additional 20% tax and penalty interest on an individual receiving nonqualified deferred compensation under a plan that fails to satisfy certain requirements. For purposes of Section 409A, “nonqualified deferred compensation” includes certain equity-based incentive programs, including performance award programs. Generally speaking, Section 409A does not apply to incentive awards that are in all events to be paid at the time the award vests or shortly thereafter. Likewise, Section 409A does not apply to restricted stock or stock options whose exercise price is equal to the fair market value of the optioned shares (determined as of the date of grant). Awards made pursuant to the 2013 Plan are designed to comply with the requirements of Section 409A to the extent such awards are not otherwise exempt from coverage. However, if the 2013 Plan (or an award thereunder) fails to comply with Section 409A, a participant could be subject to the additional taxes and interest.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under “Limitations on Tax Deductibility of Compensation,” we or our affiliates will be entitled to a deduction for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that corresponds as to timing and amount with the compensation income recognized by the participant under the foregoing rules.</w:t>
      </w:r>
    </w:p>
    <w:p>
      <w:pPr>
        <w:spacing w:after="0" w:line="1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 participant’s tax basis in shares purchased or awarded under the 2013 Plan is equal to the sum of the price paid for the shares, if any, and the amount of ordinary income recognized by the participant in connection with the transfer of the shares. The participant’s holding period for the shares begins immediately after ordinary income is recognized with respect to the transfer of the shares. If a participant sells shares, any difference between the amount realized in the sale and the participant’s tax basis in the shares is taxed as long-term or short-term capital gain or loss (provided the shares are held as a capital asset on the date of sale), depending on the participant’s holding period for the shares.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u w:val="single" w:color="auto"/>
          <w:color w:val="auto"/>
        </w:rPr>
        <w:t>Limitations on Tax Deductibility of Compensation</w:t>
      </w:r>
      <w:r>
        <w:rPr>
          <w:rFonts w:ascii="Arial" w:cs="Arial" w:eastAsia="Arial" w:hAnsi="Arial"/>
          <w:sz w:val="16"/>
          <w:szCs w:val="16"/>
          <w:color w:val="auto"/>
        </w:rPr>
        <w:t>. In order for the amounts described above to be deductible by the Company or its affiliates, such amounts must constitute reasonable compensation for services rendered or to be rendered and must be ordinary and necessary business expenses. The Company or its affiliates’ ability to obtain a deduction for future payments under the 2013 Plan could be limited by Section 280G of the Internal Revenue Code, which provides that certain excess parachute payments made in connection with a change of control of an employer are not deductible.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and our affiliates’ ability to deduct for amounts paid under the 2013 Plan also could be affected by Section 162(m) of the Internal Revenue Code. Section 162(m) provides that certain compensation received in any year by a “covered employee” in excess of $1,000,000 is non-deductible by the Company for federal income tax purposes. Section 162(m) provides an exception, however, for “performance-based compensation.” The Compensation Committee believes that a significant portion of compensation to its executives should be dependent on operational and financial measures. In pursuit of this goal, the Compensation Committee seeks to structure grants and awards made under the 2013 Plan to “covered employees” as performance-based compensation that is exempt from Section 162(m). However, the Compensation Committee may award compensation that is or may become non-deductible when such grants are in the best interest of the Company, balancing tax efficiency with long-term strategic objectives.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2013 Plan is adopted, the benefits to be received by participants cannot be determined at this time because grants are at the discretion of our Compensation Committee. None of the shares authorized by the 2013 Plan have been awarded to any of the directors or employees, and no commitment has been made to award any such shares. The Compensation Committee has authority to authorize future awards under the 2013 Plan from time to time. The value of any future equity awards will ultimately depend on the nature and size of the awards, the future price of our Common Stock and the exercise decisions made by the participants, among other factors, and will be subject to such vesting conditions as the Compensation Committee determines from time to time. For further details on the awards granted during the fiscal year ended March 31, 2013, please refer to the executive and director compensation tables beginning on page 35 and 10, respectively, of this proxy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illustrative purposes only, the following equity awards were granted to the Named Executive Officers and other groups of individuals named below under the Prior Plan in the fiscal year ended March 31,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18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18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Granted</w:t>
            </w:r>
          </w:p>
        </w:tc>
      </w:tr>
      <w:tr>
        <w:trPr>
          <w:trHeight w:val="134"/>
        </w:trPr>
        <w:tc>
          <w:tcPr>
            <w:tcW w:w="18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Dollar Value</w:t>
            </w:r>
          </w:p>
        </w:tc>
        <w:tc>
          <w:tcPr>
            <w:tcW w:w="1320" w:type="dxa"/>
            <w:vAlign w:val="bottom"/>
            <w:gridSpan w:val="3"/>
          </w:tcPr>
          <w:p>
            <w:pPr>
              <w:jc w:val="center"/>
              <w:ind w:left="315"/>
              <w:spacing w:after="0" w:line="135" w:lineRule="exact"/>
              <w:rPr>
                <w:sz w:val="20"/>
                <w:szCs w:val="20"/>
                <w:color w:val="auto"/>
              </w:rPr>
            </w:pPr>
            <w:r>
              <w:rPr>
                <w:rFonts w:ascii="Arial" w:cs="Arial" w:eastAsia="Arial" w:hAnsi="Arial"/>
                <w:sz w:val="14"/>
                <w:szCs w:val="14"/>
                <w:b w:val="1"/>
                <w:bCs w:val="1"/>
                <w:color w:val="auto"/>
                <w:w w:val="93"/>
              </w:rPr>
              <w:t>Under Prior</w:t>
            </w:r>
          </w:p>
        </w:tc>
      </w:tr>
      <w:tr>
        <w:trPr>
          <w:trHeight w:val="182"/>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Persons or Groups of Persons</w:t>
            </w:r>
          </w:p>
        </w:tc>
        <w:tc>
          <w:tcPr>
            <w:tcW w:w="4360" w:type="dxa"/>
            <w:vAlign w:val="bottom"/>
          </w:tcPr>
          <w:p>
            <w:pPr>
              <w:spacing w:after="0"/>
              <w:rPr>
                <w:sz w:val="15"/>
                <w:szCs w:val="15"/>
                <w:color w:val="auto"/>
              </w:rPr>
            </w:pPr>
          </w:p>
        </w:tc>
        <w:tc>
          <w:tcPr>
            <w:tcW w:w="1180" w:type="dxa"/>
            <w:vAlign w:val="bottom"/>
            <w:gridSpan w:val="2"/>
          </w:tcPr>
          <w:p>
            <w:pPr>
              <w:jc w:val="right"/>
              <w:ind w:right="182"/>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500" w:type="dxa"/>
            <w:vAlign w:val="bottom"/>
          </w:tcPr>
          <w:p>
            <w:pPr>
              <w:spacing w:after="0"/>
              <w:rPr>
                <w:sz w:val="15"/>
                <w:szCs w:val="15"/>
                <w:color w:val="auto"/>
              </w:rPr>
            </w:pPr>
          </w:p>
        </w:tc>
        <w:tc>
          <w:tcPr>
            <w:tcW w:w="8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Plan</w:t>
            </w:r>
            <w:r>
              <w:rPr>
                <w:rFonts w:ascii="Arial" w:cs="Arial" w:eastAsia="Arial" w:hAnsi="Arial"/>
                <w:sz w:val="18"/>
                <w:szCs w:val="18"/>
                <w:b w:val="1"/>
                <w:bCs w:val="1"/>
                <w:color w:val="auto"/>
                <w:w w:val="99"/>
                <w:vertAlign w:val="superscript"/>
              </w:rPr>
              <w:t>(2)</w:t>
            </w:r>
          </w:p>
        </w:tc>
      </w:tr>
      <w:tr>
        <w:trPr>
          <w:trHeight w:val="203"/>
        </w:trPr>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 President and Chief Executive Officer</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$2,080,000</w:t>
            </w:r>
          </w:p>
        </w:tc>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135,053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180" w:type="dxa"/>
            <w:vAlign w:val="bottom"/>
            <w:gridSpan w:val="2"/>
          </w:tcPr>
          <w:p>
            <w:pPr>
              <w:spacing w:after="0"/>
              <w:rPr>
                <w:sz w:val="20"/>
                <w:szCs w:val="20"/>
                <w:color w:val="auto"/>
              </w:rPr>
            </w:pPr>
            <w:r>
              <w:rPr>
                <w:rFonts w:ascii="Arial" w:cs="Arial" w:eastAsia="Arial" w:hAnsi="Arial"/>
                <w:sz w:val="18"/>
                <w:szCs w:val="18"/>
                <w:color w:val="auto"/>
                <w:w w:val="94"/>
              </w:rPr>
              <w:t>D. Craig Kesler, Executive Vice President – Finance and Administration and Chief</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19"/>
                <w:szCs w:val="19"/>
                <w:color w:val="auto"/>
              </w:rPr>
            </w:pPr>
          </w:p>
        </w:tc>
      </w:tr>
      <w:tr>
        <w:trPr>
          <w:trHeight w:val="218"/>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 Executive Vice President – Cement/Aggregates and Concrete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39,247</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David B. Powers, Executive Vice President – Gypsum</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39,247</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 Executive Vice President, General Counsel and Secretary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Executive Officer Group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5,184,000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339,090</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1,095,049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4,514,309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259,696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2"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Does not include cash awards. The amounts in this column reflect the value of option awards and restricted stock awards made to the designated individuals and groups during the fiscal year ended March 31, 2013 and are consistent with the grant date fair value of the award computed in accordance with FASB ASC Topic 718. For assumptions used in determining these values, refer to footnote (J) to the Company’s audited financial statements for the fiscal year ended March 31, 2013 included in the Fiscal 2013 Form 10-K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grants of stock options and restricted stock (including performance restricted stock) in fiscal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number of outstanding options and shares available for future issuance of options under the Company’s equity compensation plans as of March 31, 2013. Our equity compensation plans have been approved by the Company’s stockholders.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24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remaining 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24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40" w:type="dxa"/>
            <w:vAlign w:val="bottom"/>
          </w:tcPr>
          <w:p>
            <w:pPr>
              <w:spacing w:after="0"/>
              <w:rPr>
                <w:sz w:val="12"/>
                <w:szCs w:val="12"/>
                <w:color w:val="auto"/>
              </w:rPr>
            </w:pPr>
          </w:p>
        </w:tc>
        <w:tc>
          <w:tcPr>
            <w:tcW w:w="15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100" w:type="dxa"/>
            <w:vAlign w:val="bottom"/>
            <w:vMerge w:val="restart"/>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 rights</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0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Plan</w:t>
            </w:r>
          </w:p>
        </w:tc>
        <w:tc>
          <w:tcPr>
            <w:tcW w:w="14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1"/>
              </w:rPr>
              <w:t>(a)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9"/>
              </w:rPr>
              <w:t>(b)</w:t>
            </w:r>
          </w:p>
        </w:tc>
        <w:tc>
          <w:tcPr>
            <w:tcW w:w="14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39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3,022,592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37.83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stockholders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3,022,592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37.83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jc w:val="both"/>
        <w:ind w:right="540" w:firstLine="456"/>
        <w:spacing w:after="0" w:line="262" w:lineRule="auto"/>
        <w:rPr>
          <w:sz w:val="20"/>
          <w:szCs w:val="20"/>
          <w:color w:val="auto"/>
        </w:rPr>
      </w:pPr>
      <w:r>
        <w:rPr>
          <w:rFonts w:ascii="Arial" w:cs="Arial" w:eastAsia="Arial" w:hAnsi="Arial"/>
          <w:sz w:val="18"/>
          <w:szCs w:val="18"/>
          <w:b w:val="1"/>
          <w:bCs w:val="1"/>
          <w:color w:val="auto"/>
        </w:rPr>
        <w:t>Our Board of Directors unanimously recommends a vote “for” the approval of the 2013 Plan. If the requisite vote of our stockholders is not obtained, our Compensation Committee may continue to make awards out of the Prior Plan, but only to the extent of available shares during the remaining term of the Prior Plan, which expires in January 2014.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4: APPROVAL OF EXPECTED APPOINTMENT OF INDEPENDENT AUDITORS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2013, and the Audit Committee expects to appoint Ernst &amp; Young as our independent auditors for fiscal year 2014 if its proposal for audit services is satisfactory.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2011,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2013 and 2012, all of which services have been approved by the Audit Committee: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b w:val="1"/>
                <w:bCs w:val="1"/>
                <w:color w:val="auto"/>
                <w:w w:val="92"/>
              </w:rPr>
              <w:t>Fiscal Year Ended</w:t>
            </w:r>
          </w:p>
        </w:tc>
        <w:tc>
          <w:tcPr>
            <w:tcW w:w="4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March 31,</w:t>
            </w:r>
          </w:p>
        </w:tc>
        <w:tc>
          <w:tcPr>
            <w:tcW w:w="4220" w:type="dxa"/>
            <w:vAlign w:val="bottom"/>
          </w:tcPr>
          <w:p>
            <w:pPr>
              <w:spacing w:after="0"/>
              <w:rPr>
                <w:sz w:val="14"/>
                <w:szCs w:val="14"/>
                <w:color w:val="auto"/>
              </w:rPr>
            </w:pPr>
          </w:p>
        </w:tc>
        <w:tc>
          <w:tcPr>
            <w:tcW w:w="1260" w:type="dxa"/>
            <w:vAlign w:val="bottom"/>
            <w:gridSpan w:val="2"/>
          </w:tcPr>
          <w:p>
            <w:pPr>
              <w:spacing w:after="0" w:line="142" w:lineRule="exact"/>
              <w:rPr>
                <w:sz w:val="20"/>
                <w:szCs w:val="20"/>
                <w:color w:val="auto"/>
              </w:rPr>
            </w:pPr>
            <w:r>
              <w:rPr>
                <w:rFonts w:ascii="Arial" w:cs="Arial" w:eastAsia="Arial" w:hAnsi="Arial"/>
                <w:sz w:val="11"/>
                <w:szCs w:val="11"/>
                <w:b w:val="1"/>
                <w:bCs w:val="1"/>
                <w:color w:val="auto"/>
              </w:rPr>
              <w:t xml:space="preserve">Audit Fees </w:t>
            </w:r>
            <w:r>
              <w:rPr>
                <w:rFonts w:ascii="Arial" w:cs="Arial" w:eastAsia="Arial" w:hAnsi="Arial"/>
                <w:sz w:val="16"/>
                <w:szCs w:val="16"/>
                <w:b w:val="1"/>
                <w:bCs w:val="1"/>
                <w:color w:val="auto"/>
                <w:vertAlign w:val="superscript"/>
              </w:rPr>
              <w:t>(1)</w:t>
            </w:r>
          </w:p>
        </w:tc>
        <w:tc>
          <w:tcPr>
            <w:tcW w:w="1560" w:type="dxa"/>
            <w:vAlign w:val="bottom"/>
            <w:gridSpan w:val="3"/>
          </w:tcPr>
          <w:p>
            <w:pPr>
              <w:jc w:val="right"/>
              <w:ind w:right="460"/>
              <w:spacing w:after="0" w:line="141" w:lineRule="exact"/>
              <w:rPr>
                <w:sz w:val="20"/>
                <w:szCs w:val="20"/>
                <w:color w:val="auto"/>
              </w:rPr>
            </w:pPr>
            <w:r>
              <w:rPr>
                <w:rFonts w:ascii="Arial" w:cs="Arial" w:eastAsia="Arial" w:hAnsi="Arial"/>
                <w:sz w:val="14"/>
                <w:szCs w:val="14"/>
                <w:b w:val="1"/>
                <w:bCs w:val="1"/>
                <w:color w:val="auto"/>
                <w:w w:val="85"/>
              </w:rPr>
              <w:t>Audit Related Fees</w:t>
            </w:r>
          </w:p>
        </w:tc>
        <w:tc>
          <w:tcPr>
            <w:tcW w:w="104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83"/>
              </w:rPr>
              <w:t>Tax Fees</w:t>
            </w:r>
          </w:p>
        </w:tc>
        <w:tc>
          <w:tcPr>
            <w:tcW w:w="840" w:type="dxa"/>
            <w:vAlign w:val="bottom"/>
          </w:tcPr>
          <w:p>
            <w:pPr>
              <w:spacing w:after="0" w:line="141" w:lineRule="exact"/>
              <w:rPr>
                <w:sz w:val="20"/>
                <w:szCs w:val="20"/>
                <w:color w:val="auto"/>
              </w:rPr>
            </w:pPr>
            <w:r>
              <w:rPr>
                <w:rFonts w:ascii="Arial" w:cs="Arial" w:eastAsia="Arial" w:hAnsi="Arial"/>
                <w:sz w:val="14"/>
                <w:szCs w:val="14"/>
                <w:b w:val="1"/>
                <w:bCs w:val="1"/>
                <w:color w:val="auto"/>
                <w:w w:val="86"/>
              </w:rPr>
              <w:t>All Other Fees</w:t>
            </w:r>
          </w:p>
        </w:tc>
        <w:tc>
          <w:tcPr>
            <w:tcW w:w="460" w:type="dxa"/>
            <w:vAlign w:val="bottom"/>
          </w:tcPr>
          <w:p>
            <w:pPr>
              <w:spacing w:after="0"/>
              <w:rPr>
                <w:sz w:val="14"/>
                <w:szCs w:val="14"/>
                <w:color w:val="auto"/>
              </w:rPr>
            </w:pPr>
          </w:p>
        </w:tc>
        <w:tc>
          <w:tcPr>
            <w:tcW w:w="900" w:type="dxa"/>
            <w:vAlign w:val="bottom"/>
            <w:gridSpan w:val="2"/>
          </w:tcPr>
          <w:p>
            <w:pPr>
              <w:ind w:left="26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1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2013</w:t>
            </w:r>
          </w:p>
        </w:tc>
        <w:tc>
          <w:tcPr>
            <w:tcW w:w="4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$1,245,700</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$1,260,700</w:t>
            </w:r>
          </w:p>
        </w:tc>
        <w:tc>
          <w:tcPr>
            <w:tcW w:w="100" w:type="dxa"/>
            <w:vAlign w:val="bottom"/>
            <w:shd w:val="clear" w:color="auto" w:fill="CCEEFF"/>
          </w:tcPr>
          <w:p>
            <w:pPr>
              <w:spacing w:after="0"/>
              <w:rPr>
                <w:sz w:val="17"/>
                <w:szCs w:val="17"/>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2012</w:t>
            </w:r>
          </w:p>
        </w:tc>
        <w:tc>
          <w:tcPr>
            <w:tcW w:w="5480" w:type="dxa"/>
            <w:vAlign w:val="bottom"/>
            <w:gridSpan w:val="3"/>
          </w:tcPr>
          <w:p>
            <w:pPr>
              <w:jc w:val="right"/>
              <w:ind w:right="460"/>
              <w:spacing w:after="0"/>
              <w:rPr>
                <w:sz w:val="20"/>
                <w:szCs w:val="20"/>
                <w:color w:val="auto"/>
              </w:rPr>
            </w:pPr>
            <w:r>
              <w:rPr>
                <w:rFonts w:ascii="Arial" w:cs="Arial" w:eastAsia="Arial" w:hAnsi="Arial"/>
                <w:sz w:val="18"/>
                <w:szCs w:val="18"/>
                <w:color w:val="auto"/>
              </w:rPr>
              <w:t>672,000</w:t>
            </w:r>
          </w:p>
        </w:tc>
        <w:tc>
          <w:tcPr>
            <w:tcW w:w="34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$56,979</w:t>
            </w:r>
          </w:p>
        </w:tc>
        <w:tc>
          <w:tcPr>
            <w:tcW w:w="4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743,979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 For fiscal 2013, the amount also includes additional work conducted in connection with the Company’s acquisition of assets from Lafarge North America.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We have reviewed and discussed with management and our independent registered public accounting firm, Ernst &amp; Young, as appropriate, (1) the audited financial statements of Eagle Materials Inc. as of and for the fiscal year ended March 31, 2013, and (2) management’s report on internal control over financial reporting and the independent registered accounting firm’s related opinions.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We have received and reviewed the written disclosures and the letter from Ernst &amp; Young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W. Quinn,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7, 2014. In order to be considered for inclusion in the Company’s proxy material for that meeting, stockholder proposals must be received at our executive offices, addressed to the attention of the Secretary, not later than February 21, 2014.</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any proposal that is not submitted for inclusion in our proxy material for the 2014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9, 2014, and the stockholder satisfies the other requirements of Rule 14a-4(c). Our Bylaws provide that, to be considered at the 2014 annual meeting, a stockholder proposal must be submitted in writing and received by our Secretary at the executive offices of the Company during the period beginning on February 8, 2014 and ending May 9, 2014, and must contain the information specified by and otherwise comply with our Bylaws. Any stockholder wishing to receive a copy of our Bylaws should direct a written request to our Secretary at the Company’s principal executive office.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2013,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4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August 7, 2013)</w:t>
      </w:r>
    </w:p>
    <w:p>
      <w:pPr>
        <w:spacing w:after="0" w:line="177" w:lineRule="exact"/>
        <w:rPr>
          <w:sz w:val="20"/>
          <w:szCs w:val="20"/>
          <w:color w:val="auto"/>
        </w:rPr>
      </w:pPr>
    </w:p>
    <w:p>
      <w:pPr>
        <w:ind w:right="12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This Eagle Materials Inc. Amended and Restated Incentive Plan (the “Plan”) constitutes an amendment and restatement in its entirety of the Eagle Materials Inc. Incentive Plan, originally effective January 8, 2004, and as thereafter amended.</w:t>
      </w:r>
    </w:p>
    <w:p>
      <w:pPr>
        <w:spacing w:after="0" w:line="131" w:lineRule="exact"/>
        <w:rPr>
          <w:rFonts w:ascii="Arial" w:cs="Arial" w:eastAsia="Arial" w:hAnsi="Arial"/>
          <w:sz w:val="18"/>
          <w:szCs w:val="18"/>
          <w:color w:val="auto"/>
        </w:rPr>
      </w:pPr>
    </w:p>
    <w:p>
      <w:pPr>
        <w:ind w:firstLine="464"/>
        <w:spacing w:after="0" w:line="294"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Objectives</w:t>
      </w:r>
      <w:r>
        <w:rPr>
          <w:rFonts w:ascii="Arial" w:cs="Arial" w:eastAsia="Arial" w:hAnsi="Arial"/>
          <w:sz w:val="16"/>
          <w:szCs w:val="16"/>
          <w:color w:val="auto"/>
        </w:rPr>
        <w:t>. The purpose of this Plan is to further the interests of the Corporation and its shareholders by providing incentives in the form of Awards to key Employees and Non-Employee Directors who can contribute materially to the success and profitability of the Corporation and its Affiliates. Such Awards will recognize and reward outstanding performances and individual contributions and give Participants in the Plan an interest in the Corporation parallel to that of the shareholders, thus enhancing the proprietary and personal interest of such Participants in the Corporation’s continued success and progress. This Plan will also enable the Corporation and its Affiliates to attract and retain such Employees and Non-Employee Directors.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terms set forth below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Subsidiary or Joint Venture.</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Officer</w:t>
      </w:r>
      <w:r>
        <w:rPr>
          <w:rFonts w:ascii="Arial" w:cs="Arial" w:eastAsia="Arial" w:hAnsi="Arial"/>
          <w:sz w:val="18"/>
          <w:szCs w:val="18"/>
          <w:color w:val="auto"/>
        </w:rPr>
        <w:t>” means the Chief Executive Officer of the Corporation (or any other senior officer of the Corporation to whom he or she shall delegate the authority to execute any Award Agreement, where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Employee Award or a Director Award.</w:t>
      </w:r>
    </w:p>
    <w:p>
      <w:pPr>
        <w:spacing w:after="0" w:line="171"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shall mean any agreement, contract or other instrument or document evidencing any Award granted by the Committee hereunder. Such agreement may be in electronic or written form.</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Award</w:t>
      </w:r>
      <w:r>
        <w:rPr>
          <w:rFonts w:ascii="Arial" w:cs="Arial" w:eastAsia="Arial" w:hAnsi="Arial"/>
          <w:sz w:val="18"/>
          <w:szCs w:val="18"/>
          <w:color w:val="auto"/>
        </w:rPr>
        <w:t>” means an Award denominated in cash.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shall mean the committee of the Board charged with oversight of the Corporation’s incentive compensation and equity based plans, which, at the time of the adoption of this Plan is the Compensation Committee. The Committee consists and always will consist of no fewer than two Directors.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par value $.01 per share,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means Eagle Materials Inc., a Delaware corporation, or any successor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an individual who is a member of the Board.</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 Award</w:t>
      </w:r>
      <w:r>
        <w:rPr>
          <w:rFonts w:ascii="Arial" w:cs="Arial" w:eastAsia="Arial" w:hAnsi="Arial"/>
          <w:sz w:val="18"/>
          <w:szCs w:val="18"/>
          <w:color w:val="auto"/>
        </w:rPr>
        <w:t>” means any Non-Qualified Stock Option, SAR, Performance Award or Stock Award granted, whether singly, in combination or in tandem, to a Participant who is a Non-Employee Director pursuant to such applicable terms, conditions and limitations as the Committee may establish in order to fulfill the objectives of the Plan.</w:t>
      </w:r>
    </w:p>
    <w:p>
      <w:pPr>
        <w:spacing w:after="0" w:line="140"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Equivalents</w:t>
      </w:r>
      <w:r>
        <w:rPr>
          <w:rFonts w:ascii="Arial" w:cs="Arial" w:eastAsia="Arial" w:hAnsi="Arial"/>
          <w:sz w:val="16"/>
          <w:szCs w:val="16"/>
          <w:color w:val="auto"/>
        </w:rPr>
        <w:t>” means, with respect to Stock Units or shares of Restricted Stock, an amount equal to all dividends and other distributions (or the economic equivalent thereof) that are payable to stockholders of record during the Restriction Period on a like number of shares of Common Stock.</w:t>
      </w:r>
    </w:p>
    <w:p>
      <w:pPr>
        <w:spacing w:after="0" w:line="85"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employee of the Corporation or any of its Affiliates and any prospective employee conditioned upon, and Awards to whom will be effective not earlier than, such person’s becoming an employee of the Corporation or any Affiliate.</w:t>
      </w:r>
    </w:p>
    <w:p>
      <w:pPr>
        <w:spacing w:after="0" w:line="132"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Award</w:t>
      </w:r>
      <w:r>
        <w:rPr>
          <w:rFonts w:ascii="Arial" w:cs="Arial" w:eastAsia="Arial" w:hAnsi="Arial"/>
          <w:sz w:val="18"/>
          <w:szCs w:val="18"/>
          <w:color w:val="auto"/>
        </w:rPr>
        <w:t>” means any Option, SAR, Stock Award, Cash Award, or Performance Award granted, whether singly, in combination or in tandem, to a Participant who is an Employee pursuant to such applicable terms, conditions and limitations (including treatment as a Performance Award) as the Committee may establish in order to fulfill the objectives of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Director</w:t>
      </w:r>
      <w:r>
        <w:rPr>
          <w:rFonts w:ascii="Arial" w:cs="Arial" w:eastAsia="Arial" w:hAnsi="Arial"/>
          <w:sz w:val="16"/>
          <w:szCs w:val="16"/>
          <w:color w:val="auto"/>
        </w:rPr>
        <w:t>” means an individual serving as a member of the Board who is an Employee of the Corporation or any of its Affiliates.</w:t>
      </w:r>
    </w:p>
    <w:p>
      <w:pPr>
        <w:spacing w:after="0" w:line="194"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Award</w:t>
      </w:r>
      <w:r>
        <w:rPr>
          <w:rFonts w:ascii="Arial" w:cs="Arial" w:eastAsia="Arial" w:hAnsi="Arial"/>
          <w:sz w:val="18"/>
          <w:szCs w:val="18"/>
          <w:color w:val="auto"/>
        </w:rPr>
        <w:t>” means any Option, SAR, Stock Award, or Performance Award (other than a Performance Award denominated in cash) granted to a Participant under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shall mean, with respect to any property other than Shares, the market value of such property determined by such methods or procedures as shall be established from time to time by the Committee. The Fair Market Value of a Share means, as of a particular date, (i) if Common Stock is listed or admitted to trading on the New York Stock Exchange, the closing sales price per share of Common Stock as reported on New York Stock Exchange Composite Trading Listings or a similar report selected by the Committee on that date, or if there shall have been no such sale reported on that date, on the last preceding date on which such a sale was so reported, (ii) if the Shares are not listed on the New York Stock Exchange but are listed on a securities exchange other than the New York Stock Exchange, the closing sales price per share of Common Stock as reported on the date in question on the principal securities exchange on which the shares of Common Stock are then listed or admitted to trading, or (iii) if shares of Common Stock are not listed on a securities exchange, (A) the most recent value determined by an independent appraiser appointed by the Corporation for such purpose or (B) if applicable, the price per share of Common Stock as determined in accordance with the procedures of a third party administrator retained by the Corporation to administer the Plan.</w:t>
      </w:r>
    </w:p>
    <w:p>
      <w:pPr>
        <w:spacing w:after="0" w:line="12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an Award is granted to a Participant pursuant to the Plan. The Grant Date for a substituted award is the Grant Date of the original award.</w:t>
      </w:r>
    </w:p>
    <w:p>
      <w:pPr>
        <w:spacing w:after="0" w:line="132"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Price</w:t>
      </w:r>
      <w:r>
        <w:rPr>
          <w:rFonts w:ascii="Arial" w:cs="Arial" w:eastAsia="Arial" w:hAnsi="Arial"/>
          <w:sz w:val="18"/>
          <w:szCs w:val="18"/>
          <w:color w:val="auto"/>
        </w:rPr>
        <w:t>” means the price at which a Participant may exercise his or her right to receive cash or Common Stock, as applicable, under the terms of an Award. With respect to an Award of an Option or SAR, the Grant Price shall not be less than the Fair Market Value of a share of Common Stock on the date on which the Award is granted.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that is intended to comply with the requirements set forth in Section 422 of the Code.</w:t>
      </w:r>
    </w:p>
    <w:p>
      <w:pPr>
        <w:spacing w:after="0" w:line="171"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or partnership in which the Corporation has at least 50% ownership, voting, capital or profit interests (in whatever form) and which is a subsidiary of the Corporation within the meaning of the Securities Act of 1933, as amended.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an individual serving as a member of the Board who is not an Employee of the Corporation or any of its Affiliates.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that is not an Incentive Stock Option.</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a specified number of shares of Common Stock at a specified Grant Price, which may be an Incentive Stock Option or a Non-Qualified Stock Option.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Employee or Non-Employee Director to whom an Award has been granted under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an Award made pursuant to Section 8(a)(v) of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w:t>
      </w:r>
      <w:r>
        <w:rPr>
          <w:rFonts w:ascii="Arial" w:cs="Arial" w:eastAsia="Arial" w:hAnsi="Arial"/>
          <w:sz w:val="16"/>
          <w:szCs w:val="16"/>
          <w:color w:val="auto"/>
        </w:rPr>
        <w:t>” means a standard established by the Committee, to determine in whole or in part whether a Qualified Performance Award shall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 earned.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shall mean the Eagle Materials Inc. Incentive Plan, originally effective January 8, 2004, and as thereafter amended.</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 Award</w:t>
      </w:r>
      <w:r>
        <w:rPr>
          <w:rFonts w:ascii="Arial" w:cs="Arial" w:eastAsia="Arial" w:hAnsi="Arial"/>
          <w:sz w:val="18"/>
          <w:szCs w:val="18"/>
          <w:color w:val="auto"/>
        </w:rPr>
        <w:t>” means a Performance Award made to a Participant who is an Employee that is intended to qualify as qualified performance based compensation under Section 162(m) of the Code, as described in Section 8(a)(v)(B) of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Date</w:t>
      </w:r>
      <w:r>
        <w:rPr>
          <w:rFonts w:ascii="Arial" w:cs="Arial" w:eastAsia="Arial" w:hAnsi="Arial"/>
          <w:sz w:val="18"/>
          <w:szCs w:val="18"/>
          <w:color w:val="auto"/>
        </w:rPr>
        <w:t>” shall mean August 7, 2013.</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Stock</w:t>
      </w:r>
      <w:r>
        <w:rPr>
          <w:rFonts w:ascii="Arial" w:cs="Arial" w:eastAsia="Arial" w:hAnsi="Arial"/>
          <w:sz w:val="15"/>
          <w:szCs w:val="15"/>
          <w:color w:val="auto"/>
        </w:rPr>
        <w:t>” shall mean any Share issued with the restriction that the holder may not sell, transfer, pledge or assign such Share and with such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means a period of time beginning as of the Grant Date of an Award of Restricted Stock and ending as of the date upon which the Common Stock subject to such Award is no longer restricted or subject to forfeiture provisions.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shall mean Section 409A of the Code and related U.S. Department of Treasury regulations and pronouncements.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mean the shares of Common Stock.</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means a right to receive a payment in cash, Common Stock or a combination of cash and Common Stock, equal to the excess of the Fair Market Value of a specified number of shares of Common Stock on the date the right is exercised over a specified Grant Price, in each case, as determined by the Committee.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Award</w:t>
      </w:r>
      <w:r>
        <w:rPr>
          <w:rFonts w:ascii="Arial" w:cs="Arial" w:eastAsia="Arial" w:hAnsi="Arial"/>
          <w:sz w:val="16"/>
          <w:szCs w:val="16"/>
          <w:color w:val="auto"/>
        </w:rPr>
        <w:t>” means an Award, other than Options or SARs, in the form of Shares or Stock Units, including an award of Restricted Stock.</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Unit</w:t>
      </w:r>
      <w:r>
        <w:rPr>
          <w:rFonts w:ascii="Arial" w:cs="Arial" w:eastAsia="Arial" w:hAnsi="Arial"/>
          <w:sz w:val="18"/>
          <w:szCs w:val="18"/>
          <w:color w:val="auto"/>
        </w:rPr>
        <w:t>” means a unit evidencing the right to receive in specified circumstances one Share (as determined by the Committee) granted to either an Employee or a Non-Employee Director.</w:t>
      </w:r>
    </w:p>
    <w:p>
      <w:pPr>
        <w:spacing w:after="0" w:line="132" w:lineRule="exact"/>
        <w:rPr>
          <w:sz w:val="20"/>
          <w:szCs w:val="20"/>
          <w:color w:val="auto"/>
        </w:rPr>
      </w:pPr>
    </w:p>
    <w:p>
      <w:pPr>
        <w:jc w:val="both"/>
        <w:ind w:right="1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partnership, limited liability company or other business venture or entity of which the Corporation directly or indirectly owns 50% or more of the ownership interest in such entity, as determined by the Committee in its sole and absolute discretion (such determination by the Committee to be conclusively established by the grant of an Award by the Committee to an officer or employee of such an entity).</w:t>
      </w:r>
    </w:p>
    <w:p>
      <w:pPr>
        <w:spacing w:after="0" w:line="10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mean Awards granted or Shares issued by the Corporation in assumption of, or in substitution or exchange for, awards previously granted, or the right or obligation to make future awards, by a company acquired by the Corporation or any Affiliate or with which the Corporation or any Affiliate combines.</w:t>
      </w:r>
    </w:p>
    <w:p>
      <w:pPr>
        <w:spacing w:after="0" w:line="140"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Employees eligible for the grant of Employee Awards under this Plan are those Employee Directors and Employees who hold</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of responsibility and whose performance, in the judgment of the Committee, can have a significant effect on the success of the Corporation and its Affiliates.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Directors</w:t>
      </w:r>
      <w:r>
        <w:rPr>
          <w:rFonts w:ascii="Arial" w:cs="Arial" w:eastAsia="Arial" w:hAnsi="Arial"/>
          <w:sz w:val="16"/>
          <w:szCs w:val="16"/>
          <w:color w:val="auto"/>
        </w:rPr>
        <w:t>. Members of the Board eligible for the grant of Director Awards under this Plan are those who are Non-Employee Directors.</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Number of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00" w:firstLine="389"/>
        <w:spacing w:after="0" w:line="306" w:lineRule="auto"/>
        <w:tabs>
          <w:tab w:leader="none" w:pos="2107" w:val="left"/>
        </w:tabs>
        <w:numPr>
          <w:ilvl w:val="3"/>
          <w:numId w:val="63"/>
        </w:numPr>
        <w:rPr>
          <w:rFonts w:ascii="Arial" w:cs="Arial" w:eastAsia="Arial" w:hAnsi="Arial"/>
          <w:sz w:val="16"/>
          <w:szCs w:val="16"/>
          <w:color w:val="auto"/>
        </w:rPr>
      </w:pPr>
      <w:r>
        <w:rPr>
          <w:rFonts w:ascii="Arial" w:cs="Arial" w:eastAsia="Arial" w:hAnsi="Arial"/>
          <w:sz w:val="16"/>
          <w:szCs w:val="16"/>
          <w:color w:val="auto"/>
        </w:rPr>
        <w:t>Subject to adjustment under Section 15, on or after the Restatement Date the aggregate of 1,302,263 Shares that were remaining for grant under the Prior Plan as of March 31, 2013, plus 3,000,000 Shares, shall be authorized for grant under the Plan. No more than 1,606,417 shares of Common Stock are available for issuance pursuant to Share-based Awards other than Options and SARs.</w:t>
      </w:r>
    </w:p>
    <w:p>
      <w:pPr>
        <w:spacing w:after="0" w:line="25" w:lineRule="exact"/>
        <w:rPr>
          <w:rFonts w:ascii="Arial" w:cs="Arial" w:eastAsia="Arial" w:hAnsi="Arial"/>
          <w:sz w:val="16"/>
          <w:szCs w:val="16"/>
          <w:color w:val="auto"/>
        </w:rPr>
      </w:pPr>
    </w:p>
    <w:p>
      <w:pPr>
        <w:ind w:left="2140" w:hanging="251"/>
        <w:spacing w:after="0"/>
        <w:tabs>
          <w:tab w:leader="none" w:pos="2140" w:val="left"/>
        </w:tabs>
        <w:numPr>
          <w:ilvl w:val="3"/>
          <w:numId w:val="63"/>
        </w:numPr>
        <w:rPr>
          <w:rFonts w:ascii="Arial" w:cs="Arial" w:eastAsia="Arial" w:hAnsi="Arial"/>
          <w:sz w:val="16"/>
          <w:szCs w:val="16"/>
          <w:color w:val="auto"/>
        </w:rPr>
      </w:pPr>
      <w:r>
        <w:rPr>
          <w:rFonts w:ascii="Arial" w:cs="Arial" w:eastAsia="Arial" w:hAnsi="Arial"/>
          <w:sz w:val="16"/>
          <w:szCs w:val="16"/>
          <w:color w:val="auto"/>
        </w:rPr>
        <w:t>If (i) any Shares subject to an Award are forfeited, an Award expires or an Award is settled for cash (in whole or in part), or</w:t>
      </w:r>
    </w:p>
    <w:p>
      <w:pPr>
        <w:spacing w:after="0" w:line="38" w:lineRule="exact"/>
        <w:rPr>
          <w:rFonts w:ascii="Arial" w:cs="Arial" w:eastAsia="Arial" w:hAnsi="Arial"/>
          <w:sz w:val="16"/>
          <w:szCs w:val="16"/>
          <w:color w:val="auto"/>
        </w:rPr>
      </w:pPr>
    </w:p>
    <w:p>
      <w:pPr>
        <w:ind w:left="1500" w:right="20" w:hanging="8"/>
        <w:spacing w:after="0" w:line="308" w:lineRule="auto"/>
        <w:tabs>
          <w:tab w:leader="none" w:pos="1758" w:val="left"/>
        </w:tabs>
        <w:numPr>
          <w:ilvl w:val="2"/>
          <w:numId w:val="63"/>
        </w:numPr>
        <w:rPr>
          <w:rFonts w:ascii="Arial" w:cs="Arial" w:eastAsia="Arial" w:hAnsi="Arial"/>
          <w:sz w:val="15"/>
          <w:szCs w:val="15"/>
          <w:color w:val="auto"/>
        </w:rPr>
      </w:pPr>
      <w:r>
        <w:rPr>
          <w:rFonts w:ascii="Arial" w:cs="Arial" w:eastAsia="Arial" w:hAnsi="Arial"/>
          <w:sz w:val="15"/>
          <w:szCs w:val="15"/>
          <w:color w:val="auto"/>
        </w:rPr>
        <w:t>after March 31, 2013 any Shares subject to an award under the Prior Plan are forfeited, an award under the Prior Plan expires or is settled for cash (in whole or in part), then in each such case the Shares subject to such Award shall, to the extent of such forfeiture, expiration or cash settlement, again be available for grant under Section 5(a)(i) and the Shares subject to an award under the Prior Plan shall, to the extent of such forfeiture, expiration or cash settlement, be added to the number of Shares authorized for grant under Section 5(a)(i). In the event that withholding tax liabilities arising from an Award or an award under the Prior Plan are satisfied by the tendering of Shares (either actually or by attestation) or by the withholding of Shares by the Corporation, the Shares so tendered or withheld shall again be available for grant under Section 5(a)(i). Notwithstanding anything to the contrary contained herein, the following Shares shall not be added to the Shares authorized for grant under paragraph (i) of this Section: (A) Shares tendered by the Participant or withheld by the Corporation in payment of the purchase price of (i) an Option or (ii) after March 31, 2013, an option under the Prior Plan, (B) Shares tendered by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the Participant or withheld by the Corporation to satisfy any tax withholding obligation with respect to Options or Stock Appreciation Rights or, after March 31, 2013, options or stock appreciation rights under the Prior Plan, (C) Shares subject to a Stock Appreciation Right or, after March 31, 2013, a stock appreciation right under the Prior Plan that are not issued in connection with its stock settlement on exercise thereof, and (D) Shares reacquired by the Corporation on the open market or otherwise using cash proceeds from the exercise of Options or, after March 31, 2013, options under the Prior Plan.</w:t>
      </w:r>
    </w:p>
    <w:p>
      <w:pPr>
        <w:spacing w:after="0" w:line="62" w:lineRule="exact"/>
        <w:rPr>
          <w:sz w:val="20"/>
          <w:szCs w:val="20"/>
          <w:color w:val="auto"/>
        </w:rPr>
      </w:pPr>
    </w:p>
    <w:p>
      <w:pPr>
        <w:ind w:left="1500" w:right="20" w:firstLine="389"/>
        <w:spacing w:after="0" w:line="288" w:lineRule="auto"/>
        <w:tabs>
          <w:tab w:leader="none" w:pos="2204" w:val="left"/>
        </w:tabs>
        <w:numPr>
          <w:ilvl w:val="3"/>
          <w:numId w:val="64"/>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calendar year. Additionally, in the event that a company acquired by the Corporation or any Subsidiary or with which the Corporation or any Subsidiary combines has shares available under a pre-existing plan approved by shareholders and not adopted in contemplation of such acquisition or combination, a number of Shares equal to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shall be available for grant under Section 5(a)(i);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8" w:lineRule="exact"/>
        <w:rPr>
          <w:rFonts w:ascii="Arial" w:cs="Arial" w:eastAsia="Arial" w:hAnsi="Arial"/>
          <w:sz w:val="16"/>
          <w:szCs w:val="16"/>
          <w:color w:val="auto"/>
        </w:rPr>
      </w:pPr>
    </w:p>
    <w:p>
      <w:pPr>
        <w:ind w:left="1500" w:right="60" w:firstLine="389"/>
        <w:spacing w:after="0" w:line="259" w:lineRule="auto"/>
        <w:tabs>
          <w:tab w:leader="none" w:pos="2194" w:val="left"/>
        </w:tabs>
        <w:numPr>
          <w:ilvl w:val="3"/>
          <w:numId w:val="64"/>
        </w:numPr>
        <w:rPr>
          <w:rFonts w:ascii="Arial" w:cs="Arial" w:eastAsia="Arial" w:hAnsi="Arial"/>
          <w:sz w:val="18"/>
          <w:szCs w:val="18"/>
          <w:color w:val="auto"/>
        </w:rPr>
      </w:pPr>
      <w:r>
        <w:rPr>
          <w:rFonts w:ascii="Arial" w:cs="Arial" w:eastAsia="Arial" w:hAnsi="Arial"/>
          <w:sz w:val="18"/>
          <w:szCs w:val="18"/>
          <w:color w:val="auto"/>
        </w:rPr>
        <w:t>Notwithstanding anything in this Section 5 to the contrary and solely for the purposes of determining whether Shares are available for the grant of “incentive stock options” under the Plan, the maximum aggregate number of Shares with respect to which “incentive stock options” may be granted under the Plan shall be 4,302,263 Shares.</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2"/>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Character of Shares</w:t>
      </w:r>
      <w:r>
        <w:rPr>
          <w:rFonts w:ascii="Arial" w:cs="Arial" w:eastAsia="Arial" w:hAnsi="Arial"/>
          <w:sz w:val="18"/>
          <w:szCs w:val="18"/>
          <w:color w:val="auto"/>
        </w:rPr>
        <w:t>. Any Shares issued hereunder may consist, in whole or in part, of authorized and unissued shares, treasury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purchased in the open market or otherwise.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80" w:firstLine="421"/>
        <w:spacing w:after="0" w:line="305" w:lineRule="auto"/>
        <w:tabs>
          <w:tab w:leader="none" w:pos="1579" w:val="left"/>
        </w:tabs>
        <w:numPr>
          <w:ilvl w:val="2"/>
          <w:numId w:val="66"/>
        </w:numPr>
        <w:rPr>
          <w:rFonts w:ascii="Arial" w:cs="Arial" w:eastAsia="Arial" w:hAnsi="Arial"/>
          <w:sz w:val="15"/>
          <w:szCs w:val="15"/>
          <w:color w:val="auto"/>
        </w:rPr>
      </w:pPr>
      <w:r>
        <w:rPr>
          <w:rFonts w:ascii="Arial" w:cs="Arial" w:eastAsia="Arial" w:hAnsi="Arial"/>
          <w:sz w:val="15"/>
          <w:szCs w:val="15"/>
          <w:color w:val="auto"/>
        </w:rPr>
        <w:t>The Plan shall be administered by the Committee. The Committee shall have full power and authority, subject to the provisions of the Plan and subject to such orders or resolutions not inconsistent with the provisions of the Plan as may from time to time be adopted by the Board, to:</w:t>
      </w:r>
    </w:p>
    <w:p>
      <w:pPr>
        <w:ind w:left="920" w:right="20" w:firstLine="1"/>
        <w:spacing w:after="0" w:line="300" w:lineRule="auto"/>
        <w:tabs>
          <w:tab w:leader="none" w:pos="1130" w:val="left"/>
        </w:tabs>
        <w:numPr>
          <w:ilvl w:val="1"/>
          <w:numId w:val="66"/>
        </w:numPr>
        <w:rPr>
          <w:rFonts w:ascii="Arial" w:cs="Arial" w:eastAsia="Arial" w:hAnsi="Arial"/>
          <w:sz w:val="15"/>
          <w:szCs w:val="15"/>
          <w:color w:val="auto"/>
        </w:rPr>
      </w:pPr>
      <w:r>
        <w:rPr>
          <w:rFonts w:ascii="Arial" w:cs="Arial" w:eastAsia="Arial" w:hAnsi="Arial"/>
          <w:sz w:val="15"/>
          <w:szCs w:val="15"/>
          <w:color w:val="auto"/>
        </w:rPr>
        <w:t>select the Employees and Non-Employee Directors to whom Awards may from time to time be granted hereunder; (ii) determine the type or types of Awards, not inconsistent with the provisions of the Plan, to be granted to each Participant hereunder; (iii) determine the number of Shares to be covered by each Award granted hereunder; (iv) determine the terms and conditions, not inconsistent with the provisions of the Plan, of any Award granted hereunder; (v) determine whether, to what extent and under what circumstances Awards may be settled in cash, Shares or other property;</w:t>
      </w:r>
    </w:p>
    <w:p>
      <w:pPr>
        <w:spacing w:after="0" w:line="1" w:lineRule="exact"/>
        <w:rPr>
          <w:rFonts w:ascii="Arial" w:cs="Arial" w:eastAsia="Arial" w:hAnsi="Arial"/>
          <w:sz w:val="15"/>
          <w:szCs w:val="15"/>
          <w:color w:val="auto"/>
        </w:rPr>
      </w:pPr>
    </w:p>
    <w:p>
      <w:pPr>
        <w:ind w:left="920" w:right="80" w:firstLine="1"/>
        <w:spacing w:after="0" w:line="281" w:lineRule="auto"/>
        <w:tabs>
          <w:tab w:leader="none" w:pos="1217"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cash, Shares, other property and other amounts payable with respect to an Award made under the Plan shall be deferred either automatically or at the election of the Participant; (vii) determine whether, to what extent and under what circumstances any Award shall be canceled or suspended; (viii) interpret and administer the Plan and any instrument or agreement entered into under or in connection with the Plan, including any Award Agreement; (ix) correct any defect, supply any omission or reconcile any inconsistency in the Plan or any Award in the manner and to the extent that the Committee shall deem desirable to carry it into effect; (x) establish such rules and regulations and appoint such agents as it shall deem appropriate for the proper administration of the Plan; (xi) determine whether any Award will have Dividend Equivalents; and (xii) make any other determination and take any other action that the Committee deems necessary or desirable for administration of the Plan. Subject to Section 8(a)(i) and Section 8(a)(ii) hereof, the Committee may, in its discretion, (A) provide for the extension of the exercisability of an Award, or (B) accelerate the vesting or exercisability of an Award, eliminate or make less restrictive any restrictions contained in an Award, waive any restriction or other provision of this Plan or an Award or otherwise amend or modify an Award in any manner that is, in either case, (1) not adverse to the Participant to whom such Award was granted, (2) consented to by such Participant or</w:t>
      </w:r>
    </w:p>
    <w:p>
      <w:pPr>
        <w:spacing w:after="0" w:line="7" w:lineRule="exact"/>
        <w:rPr>
          <w:rFonts w:ascii="Arial" w:cs="Arial" w:eastAsia="Arial" w:hAnsi="Arial"/>
          <w:sz w:val="16"/>
          <w:szCs w:val="16"/>
          <w:color w:val="auto"/>
        </w:rPr>
      </w:pPr>
    </w:p>
    <w:p>
      <w:pPr>
        <w:ind w:left="920" w:right="160"/>
        <w:spacing w:after="0" w:line="261" w:lineRule="auto"/>
        <w:rPr>
          <w:rFonts w:ascii="Arial" w:cs="Arial" w:eastAsia="Arial" w:hAnsi="Arial"/>
          <w:sz w:val="16"/>
          <w:szCs w:val="16"/>
          <w:color w:val="auto"/>
        </w:rPr>
      </w:pPr>
      <w:r>
        <w:rPr>
          <w:rFonts w:ascii="Arial" w:cs="Arial" w:eastAsia="Arial" w:hAnsi="Arial"/>
          <w:sz w:val="18"/>
          <w:szCs w:val="18"/>
          <w:color w:val="auto"/>
        </w:rPr>
        <w:t>(3) authorized by Section 15 hereof; provided, however, that no such action shall permit the term of any Option to be greater than 10 years from its Grant Date. Awards may be awarded either alone or in addition to or in conjunction with any other Awards.</w:t>
      </w:r>
    </w:p>
    <w:p>
      <w:pPr>
        <w:spacing w:after="0" w:line="56" w:lineRule="exact"/>
        <w:rPr>
          <w:rFonts w:ascii="Arial" w:cs="Arial" w:eastAsia="Arial" w:hAnsi="Arial"/>
          <w:sz w:val="16"/>
          <w:szCs w:val="16"/>
          <w:color w:val="auto"/>
        </w:rPr>
      </w:pPr>
    </w:p>
    <w:p>
      <w:pPr>
        <w:ind w:left="920" w:right="20" w:firstLine="421"/>
        <w:spacing w:after="0" w:line="332" w:lineRule="auto"/>
        <w:tabs>
          <w:tab w:leader="none" w:pos="1588" w:val="left"/>
        </w:tabs>
        <w:numPr>
          <w:ilvl w:val="2"/>
          <w:numId w:val="67"/>
        </w:numPr>
        <w:rPr>
          <w:rFonts w:ascii="Arial" w:cs="Arial" w:eastAsia="Arial" w:hAnsi="Arial"/>
          <w:sz w:val="16"/>
          <w:szCs w:val="16"/>
          <w:color w:val="auto"/>
        </w:rPr>
      </w:pPr>
      <w:r>
        <w:rPr>
          <w:rFonts w:ascii="Arial" w:cs="Arial" w:eastAsia="Arial" w:hAnsi="Arial"/>
          <w:sz w:val="16"/>
          <w:szCs w:val="16"/>
          <w:color w:val="auto"/>
        </w:rPr>
        <w:t>Decisions of the Committee shall be final, conclusive and binding on all persons or entities, including the Corporation, any Participant, and any Subsidiary. A majority of the members of the Committee may determine its actions and fix the time and place of its meetings.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Delegation of Authority</w:t>
      </w:r>
      <w:r>
        <w:rPr>
          <w:rFonts w:ascii="Arial" w:cs="Arial" w:eastAsia="Arial" w:hAnsi="Arial"/>
          <w:sz w:val="16"/>
          <w:szCs w:val="16"/>
          <w:color w:val="auto"/>
        </w:rPr>
        <w:t>. The Committee may delegate any of its authority to grant Awards to Employees who are not subject to</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16(b) of the Exchange Act, subject to Section 6(a) above, to the Board or to any other committee of the Board, provided such delegation is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made in writing and specifically sets forth such delegated authority. The Committee may also delegate to an Authorized Officer authority to execute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on behalf of the Corporation any Award Agreement. The Committee and the Board, as applicable, may engage or authorize the engagement of a third</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party administrator to carry out administrative functions under this Plan. Any such delegation hereunder shall only be made to the extent permitted</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applicable law.</w:t>
      </w:r>
    </w:p>
    <w:p>
      <w:pPr>
        <w:spacing w:after="0" w:line="84" w:lineRule="exact"/>
        <w:rPr>
          <w:sz w:val="20"/>
          <w:szCs w:val="20"/>
          <w:color w:val="auto"/>
        </w:rPr>
      </w:pPr>
    </w:p>
    <w:p>
      <w:pPr>
        <w:ind w:left="920" w:right="160" w:firstLine="421"/>
        <w:spacing w:after="0" w:line="256" w:lineRule="auto"/>
        <w:tabs>
          <w:tab w:leader="none" w:pos="1588" w:val="left"/>
        </w:tabs>
        <w:numPr>
          <w:ilvl w:val="1"/>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Indemnity</w:t>
      </w:r>
      <w:r>
        <w:rPr>
          <w:rFonts w:ascii="Arial" w:cs="Arial" w:eastAsia="Arial" w:hAnsi="Arial"/>
          <w:sz w:val="18"/>
          <w:szCs w:val="18"/>
          <w:color w:val="auto"/>
        </w:rPr>
        <w:t>. No member of the Board or the Committee or officer of the Corporation to whom the Committee has delegated authority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Section 7(a) of this Plan shall be liable for anything done or omitted to be done by him or her, by any member of the Board or the Committee or by any officer of the Corporation in connection with the performance of any duties under this Plan, except for his or her own willful misconduct or as expressly provided by statute.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40" w:firstLine="421"/>
        <w:spacing w:after="0" w:line="286" w:lineRule="auto"/>
        <w:tabs>
          <w:tab w:leader="none" w:pos="1579"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Corporation. Awards may consist of those listed in this Section 8(a) and may be granted singly, in combination or in tandem. Awards may also be granted in combination or in tandem with, in replacement of (subject to Section 15), or as alternatives to, grants or rights under this Plan or any other plan of the Corporation or any of its Affiliates, including the plan of any acquired entity. An Award may provide for the grant or issuance of additional, replacement or alternative Awards upon the occurrence of specified events. All or part of an Award may be subject to conditions established by the Committee, which may include, but are not limited to, continuous service with the Corporation and its Affiliates, achievement of specific business objectives, increases in specified indices, attainment of specified growth rates, as referenced in clause (v) below, and other comparable measurements of performance. Upon the termination of employment by a Participant who is an Employee, any unexercised, deferred, unvested or unpaid Employee Awards shall be treated as set forth in the applicable Award Agreement or as otherwise specified by the Committee.</w:t>
      </w:r>
    </w:p>
    <w:p>
      <w:pPr>
        <w:spacing w:after="0" w:line="43" w:lineRule="exact"/>
        <w:rPr>
          <w:rFonts w:ascii="Arial" w:cs="Arial" w:eastAsia="Arial" w:hAnsi="Arial"/>
          <w:sz w:val="16"/>
          <w:szCs w:val="16"/>
          <w:color w:val="auto"/>
        </w:rPr>
      </w:pPr>
    </w:p>
    <w:p>
      <w:pPr>
        <w:ind w:left="1500" w:right="20" w:firstLine="389"/>
        <w:spacing w:after="0" w:line="285" w:lineRule="auto"/>
        <w:tabs>
          <w:tab w:leader="none" w:pos="2107" w:val="left"/>
        </w:tabs>
        <w:numPr>
          <w:ilvl w:val="2"/>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w:t>
      </w:r>
      <w:r>
        <w:rPr>
          <w:rFonts w:ascii="Arial" w:cs="Arial" w:eastAsia="Arial" w:hAnsi="Arial"/>
          <w:sz w:val="16"/>
          <w:szCs w:val="16"/>
          <w:color w:val="auto"/>
        </w:rPr>
        <w:t>. An Employee Award or Director Award may be in the form of an Option; provided that Options granted as Director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Incentive Stock Options. Other than in connection with Substitute Awards, the Grant Price of an Option shall be not less than the Fair Market Value of Common Stock subject to such Option on the Grant Date. Other than pursuant to Section 15, the Committee shall not, without the approval of the Corporation’s stockholders, (a) lower the option price per Share of an Option after it is granted, (b) cancel an Option when the option price per Share exceeds the Fair Market Value of the underlying Shares in exchange for cash or another Award (other than in connection with Substitute Awards), and (c) take any other action with respect to an Option that may be treated as a repricing under the rules and regulations of the principal national securities exchange on which Shares are listed. Notwithstanding anything contrary contained in this Plan, in no event shall the term of the Option extend more than 10 years after the Grant Date; provided further, that if an Option other than an Incentive Stock Option would otherwise expire when trading in Shares is prohibited by law or by Corporation insider trading policy, the Award Agreement may provide for the automatic extension of the Option term to the 30th day after expiration of such prohibition; provided further, that any such extension will not subject the Option to Code Section 409A. Options may not include provisions that “reload” the option upon exercise. Subject to the foregoing provisions, the terms, conditions and limitations applicable to any Options awarded to Participants pursuant to this Plan, including the Grant Price, the term of the Options, the number of shares subject to the Option and the date or dates upon which they become exercisable, shall be determined by the Committee.</w:t>
      </w:r>
    </w:p>
    <w:p>
      <w:pPr>
        <w:spacing w:after="0" w:line="47" w:lineRule="exact"/>
        <w:rPr>
          <w:rFonts w:ascii="Arial" w:cs="Arial" w:eastAsia="Arial" w:hAnsi="Arial"/>
          <w:sz w:val="16"/>
          <w:szCs w:val="16"/>
          <w:color w:val="auto"/>
        </w:rPr>
      </w:pPr>
    </w:p>
    <w:p>
      <w:pPr>
        <w:ind w:left="1500" w:right="20" w:firstLine="389"/>
        <w:spacing w:after="0" w:line="290" w:lineRule="auto"/>
        <w:tabs>
          <w:tab w:leader="none" w:pos="2155" w:val="left"/>
        </w:tabs>
        <w:numPr>
          <w:ilvl w:val="2"/>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Appreciation Rights</w:t>
      </w:r>
      <w:r>
        <w:rPr>
          <w:rFonts w:ascii="Arial" w:cs="Arial" w:eastAsia="Arial" w:hAnsi="Arial"/>
          <w:sz w:val="16"/>
          <w:szCs w:val="16"/>
          <w:color w:val="auto"/>
        </w:rPr>
        <w:t>. An Employee Award or Director Award may be in the form of an SAR. On the Grant Date,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an SAR shall be not less than the Fair Market Value of Common Stock subject to such SAR. The holder of a tandem SAR may elect to exercise either the option or the SAR, but not both. The exercise period for an SAR shall extend no more than 10 years after the Grant Date. Subject to the foregoing provisions, the terms, conditions and limitations applicable to any SARs awarded pursuant to this Plan, including the Grant Price, the term of any SARs and the date or dates upon which they become exercisable, shall be determined by the Committee. Stock Appreciation Rights shall be subject to such terms and conditions, not inconsistent with the provisions of the Plan, as shall be determined from time to time by the Committee, including the following: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40" w:firstLine="387"/>
        <w:spacing w:after="0" w:line="287" w:lineRule="auto"/>
        <w:tabs>
          <w:tab w:leader="none" w:pos="2606"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the exercise of a Stock Appreciation Right, the holder shall have the right to receive the excess of (i) the Fair Market Value of one Share on the date of exercise over (ii) the grant price of the right on the date of grant, or in the case of a tandem Stock Appreciation Right granted on the date of grant of the related Option, as specified by the Committee in its sole discretion, which, except in the case of Substitute Awards or in connection with an adjustment provided in Section 15 or in accordance with Section 8(a) (ii)(G), shall not be less than the Fair Market Value of one Share on such date of grant of the right or the related Option, as the case may be, the Committee shall not, without the approval of the Corporation stockholders, (a) lower the grant price of a Stock Appreciation Right after it is granted, (b) cancel a Stock Appreciation Right when the grant price exceeds the Fair Market Value of the underlying Shares in exchange for cash or another Award (other than in connection with Substitute Awards), or (c) take any other action with respect to a Stock Appreciation Right that may be treated as a repricing under the rules and regulations of the national securities exchange on which Shares are listed.</w:t>
      </w:r>
    </w:p>
    <w:p>
      <w:pPr>
        <w:spacing w:after="0" w:line="41" w:lineRule="exact"/>
        <w:rPr>
          <w:rFonts w:ascii="Arial" w:cs="Arial" w:eastAsia="Arial" w:hAnsi="Arial"/>
          <w:sz w:val="16"/>
          <w:szCs w:val="16"/>
          <w:color w:val="auto"/>
        </w:rPr>
      </w:pPr>
    </w:p>
    <w:p>
      <w:pPr>
        <w:ind w:left="1940" w:right="40" w:firstLine="387"/>
        <w:spacing w:after="0" w:line="268" w:lineRule="auto"/>
        <w:tabs>
          <w:tab w:leader="none" w:pos="25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Upon the exercise of a Stock Appreciation Right, the Committee shall determine in its sole discretion whether payment shall be made in cash, in whole Shares or other property, or any combination thereof.</w:t>
      </w:r>
    </w:p>
    <w:p>
      <w:pPr>
        <w:spacing w:after="0" w:line="50" w:lineRule="exact"/>
        <w:rPr>
          <w:rFonts w:ascii="Arial" w:cs="Arial" w:eastAsia="Arial" w:hAnsi="Arial"/>
          <w:sz w:val="18"/>
          <w:szCs w:val="18"/>
          <w:color w:val="auto"/>
        </w:rPr>
      </w:pPr>
    </w:p>
    <w:p>
      <w:pPr>
        <w:ind w:left="1940" w:right="380" w:firstLine="387"/>
        <w:spacing w:after="0" w:line="268" w:lineRule="auto"/>
        <w:tabs>
          <w:tab w:leader="none" w:pos="25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Stock Appreciation Right may be granted at the same time as the related Option is granted or at any time thereafter before exercise or expiration of such Option.</w:t>
      </w:r>
    </w:p>
    <w:p>
      <w:pPr>
        <w:spacing w:after="0" w:line="50" w:lineRule="exact"/>
        <w:rPr>
          <w:rFonts w:ascii="Arial" w:cs="Arial" w:eastAsia="Arial" w:hAnsi="Arial"/>
          <w:sz w:val="18"/>
          <w:szCs w:val="18"/>
          <w:color w:val="auto"/>
        </w:rPr>
      </w:pPr>
    </w:p>
    <w:p>
      <w:pPr>
        <w:ind w:left="1940" w:right="20" w:firstLine="387"/>
        <w:spacing w:after="0" w:line="291" w:lineRule="auto"/>
        <w:tabs>
          <w:tab w:leader="none" w:pos="2606"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Stock Appreciation Right related to an Option may be exercised only when the related Option would be exercisable and the Fair Market Value of the Shares subject to the related Option exceeds the option price at which Shares can be acquired pursuant to the Option. In addition, if a Stock Appreciation Right related to an Option exists with respect to less than the full number of Shares covered by a related Option, then an exercise or termination of such Option shall not reduce the number of Shares to which the Stock Appreciation Right applies until the number of Shares then exercisable under such Option equals the number of Shares to which the Stock Appreciation Right applies.</w:t>
      </w:r>
    </w:p>
    <w:p>
      <w:pPr>
        <w:spacing w:after="0" w:line="39" w:lineRule="exact"/>
        <w:rPr>
          <w:rFonts w:ascii="Arial" w:cs="Arial" w:eastAsia="Arial" w:hAnsi="Arial"/>
          <w:sz w:val="16"/>
          <w:szCs w:val="16"/>
          <w:color w:val="auto"/>
        </w:rPr>
      </w:pPr>
    </w:p>
    <w:p>
      <w:pPr>
        <w:ind w:left="1940" w:right="180" w:firstLine="387"/>
        <w:spacing w:after="0" w:line="268" w:lineRule="auto"/>
        <w:tabs>
          <w:tab w:leader="none" w:pos="258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Option related to a Stock Appreciation Right shall no longer be exercisable to the extent the Stock Appreciation Right has been exercised.</w:t>
      </w:r>
    </w:p>
    <w:p>
      <w:pPr>
        <w:spacing w:after="0" w:line="50" w:lineRule="exact"/>
        <w:rPr>
          <w:rFonts w:ascii="Arial" w:cs="Arial" w:eastAsia="Arial" w:hAnsi="Arial"/>
          <w:sz w:val="18"/>
          <w:szCs w:val="18"/>
          <w:color w:val="auto"/>
        </w:rPr>
      </w:pPr>
    </w:p>
    <w:p>
      <w:pPr>
        <w:ind w:left="2580" w:hanging="253"/>
        <w:spacing w:after="0"/>
        <w:tabs>
          <w:tab w:leader="none" w:pos="2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provisions of Stock Appreciation Rights need not be the same with respect to each recipient.</w:t>
      </w:r>
    </w:p>
    <w:p>
      <w:pPr>
        <w:spacing w:after="0" w:line="90" w:lineRule="exact"/>
        <w:rPr>
          <w:rFonts w:ascii="Arial" w:cs="Arial" w:eastAsia="Arial" w:hAnsi="Arial"/>
          <w:sz w:val="18"/>
          <w:szCs w:val="18"/>
          <w:color w:val="auto"/>
        </w:rPr>
      </w:pPr>
    </w:p>
    <w:p>
      <w:pPr>
        <w:ind w:left="1940" w:firstLine="387"/>
        <w:spacing w:after="0" w:line="288" w:lineRule="auto"/>
        <w:tabs>
          <w:tab w:leader="none" w:pos="2606"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Committee may impose such other conditions or restrictions on the terms of exercise and the exercise price of any Stock Appreciation Right, as it shall deem appropriate, including providing that the exercise price of a Stock Appreciation Right related to an Option may be less than the Fair Market Value on the date of grant if the Stock Appreciation Right is added to an Option following the date of the grant of the Option. Notwithstanding the foregoing provisions of this Section 8(a)(ii), but subject to Section 15, a Stock Appreciation Right shall be evidenced by an Award Agreement and generally have the same terms and conditions as Options, including (i) an exercise price not less than Fair Market Value on the date of grant and (ii) a term not greater than 10 years (including an extension of term as provided in Section 8(a)(i) and automatic exercise of an otherwise expiring Award provided in Section 11). In addition to the foregoing, but subject to Section 15, the base amount of any Stock Appreciation Right shall not be reduced after the date of grant.</w:t>
      </w:r>
    </w:p>
    <w:p>
      <w:pPr>
        <w:spacing w:after="0" w:line="38" w:lineRule="exact"/>
        <w:rPr>
          <w:rFonts w:ascii="Arial" w:cs="Arial" w:eastAsia="Arial" w:hAnsi="Arial"/>
          <w:sz w:val="16"/>
          <w:szCs w:val="16"/>
          <w:color w:val="auto"/>
        </w:rPr>
      </w:pPr>
    </w:p>
    <w:p>
      <w:pPr>
        <w:ind w:left="1940" w:right="20" w:firstLine="387"/>
        <w:spacing w:after="0" w:line="268" w:lineRule="auto"/>
        <w:tabs>
          <w:tab w:leader="none" w:pos="260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Committee may impose such terms and conditions on Stock Appreciation Rights granted in conjunction with any Award (other than an Option) as the Committee shall determine in its sole discretion.</w:t>
      </w:r>
    </w:p>
    <w:p>
      <w:pPr>
        <w:spacing w:after="0" w:line="50" w:lineRule="exact"/>
        <w:rPr>
          <w:rFonts w:ascii="Arial" w:cs="Arial" w:eastAsia="Arial" w:hAnsi="Arial"/>
          <w:sz w:val="18"/>
          <w:szCs w:val="18"/>
          <w:color w:val="auto"/>
        </w:rPr>
      </w:pPr>
    </w:p>
    <w:p>
      <w:pPr>
        <w:jc w:val="both"/>
        <w:ind w:left="1500" w:right="80" w:firstLine="389"/>
        <w:spacing w:after="0" w:line="370" w:lineRule="auto"/>
        <w:tabs>
          <w:tab w:leader="none" w:pos="2204" w:val="left"/>
        </w:tabs>
        <w:numPr>
          <w:ilvl w:val="0"/>
          <w:numId w:val="72"/>
        </w:numPr>
        <w:rPr>
          <w:rFonts w:ascii="Arial" w:cs="Arial" w:eastAsia="Arial" w:hAnsi="Arial"/>
          <w:sz w:val="15"/>
          <w:szCs w:val="15"/>
          <w:color w:val="auto"/>
        </w:rPr>
      </w:pPr>
      <w:r>
        <w:rPr>
          <w:rFonts w:ascii="Arial" w:cs="Arial" w:eastAsia="Arial" w:hAnsi="Arial"/>
          <w:sz w:val="15"/>
          <w:szCs w:val="15"/>
          <w:i w:val="1"/>
          <w:iCs w:val="1"/>
          <w:u w:val="single" w:color="auto"/>
          <w:color w:val="auto"/>
        </w:rPr>
        <w:t>Stock Award</w:t>
      </w:r>
      <w:r>
        <w:rPr>
          <w:rFonts w:ascii="Arial" w:cs="Arial" w:eastAsia="Arial" w:hAnsi="Arial"/>
          <w:sz w:val="15"/>
          <w:szCs w:val="15"/>
          <w:color w:val="auto"/>
        </w:rPr>
        <w:t>. An Employee Award or Director Award may be in the form of a Stock Award. The terms, conditions and limitations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any Restricted Period applicable to any Stock Awards granted to Participants pursuant to this Plan shall be determined by the Committee.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40" w:firstLine="389"/>
        <w:spacing w:after="0" w:line="268" w:lineRule="auto"/>
        <w:tabs>
          <w:tab w:leader="none" w:pos="2194"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Cash Award</w:t>
      </w:r>
      <w:r>
        <w:rPr>
          <w:rFonts w:ascii="Arial" w:cs="Arial" w:eastAsia="Arial" w:hAnsi="Arial"/>
          <w:sz w:val="18"/>
          <w:szCs w:val="18"/>
          <w:color w:val="auto"/>
        </w:rPr>
        <w:t>. An Employee Award may be in the form of a Cash Award. The terms, conditions and limitations applicable to any</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granted pursuant to this Plan shall be determined by the Committee.</w:t>
      </w:r>
    </w:p>
    <w:p>
      <w:pPr>
        <w:spacing w:after="0" w:line="50" w:lineRule="exact"/>
        <w:rPr>
          <w:rFonts w:ascii="Arial" w:cs="Arial" w:eastAsia="Arial" w:hAnsi="Arial"/>
          <w:sz w:val="18"/>
          <w:szCs w:val="18"/>
          <w:color w:val="auto"/>
        </w:rPr>
      </w:pPr>
    </w:p>
    <w:p>
      <w:pPr>
        <w:ind w:left="1500" w:right="20" w:firstLine="389"/>
        <w:spacing w:after="0" w:line="294" w:lineRule="auto"/>
        <w:tabs>
          <w:tab w:leader="none" w:pos="2146" w:val="left"/>
        </w:tabs>
        <w:numPr>
          <w:ilvl w:val="0"/>
          <w:numId w:val="73"/>
        </w:numPr>
        <w:rPr>
          <w:rFonts w:ascii="Arial" w:cs="Arial" w:eastAsia="Arial" w:hAnsi="Arial"/>
          <w:sz w:val="16"/>
          <w:szCs w:val="16"/>
          <w:color w:val="auto"/>
        </w:rPr>
      </w:pPr>
      <w:r>
        <w:rPr>
          <w:rFonts w:ascii="Arial" w:cs="Arial" w:eastAsia="Arial" w:hAnsi="Arial"/>
          <w:sz w:val="16"/>
          <w:szCs w:val="16"/>
          <w:i w:val="1"/>
          <w:iCs w:val="1"/>
          <w:u w:val="single" w:color="auto"/>
          <w:color w:val="auto"/>
        </w:rPr>
        <w:t>Performance Award</w:t>
      </w:r>
      <w:r>
        <w:rPr>
          <w:rFonts w:ascii="Arial" w:cs="Arial" w:eastAsia="Arial" w:hAnsi="Arial"/>
          <w:sz w:val="16"/>
          <w:szCs w:val="16"/>
          <w:color w:val="auto"/>
        </w:rPr>
        <w:t>. Without limiting the type or number of Employee Awards or Director Awards that may be made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provisions of this Plan, an Employee Award or Director Award may be in the form of a Performance Award. The terms, conditions and limitations applicable to any Performance Awards granted to Participants pursuant to this Plan shall be determined by the Committee. The Committee shall set Performance Goals in its discretion which, depending on the extent to which they are met, will determine the value and/or amount of Performance Awards that will be paid out to the Participant and/or the portion of an Award that may be exercised.</w:t>
      </w:r>
    </w:p>
    <w:p>
      <w:pPr>
        <w:spacing w:after="0" w:line="34" w:lineRule="exact"/>
        <w:rPr>
          <w:rFonts w:ascii="Arial" w:cs="Arial" w:eastAsia="Arial" w:hAnsi="Arial"/>
          <w:sz w:val="16"/>
          <w:szCs w:val="16"/>
          <w:color w:val="auto"/>
        </w:rPr>
      </w:pPr>
    </w:p>
    <w:p>
      <w:pPr>
        <w:ind w:left="1940" w:firstLine="387"/>
        <w:spacing w:after="0" w:line="306" w:lineRule="auto"/>
        <w:tabs>
          <w:tab w:leader="none" w:pos="2606"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Non-Qualified Performance Awards. Performance Awards granted to Employees or Directors that are not intended to qualify as qualified performance based compensation under Section 162(m) of the Code shall be based on achievement of such goals and be subject to such terms, conditions and restrictions as the Committee or its delegate shall determine.</w:t>
      </w:r>
    </w:p>
    <w:p>
      <w:pPr>
        <w:spacing w:after="0" w:line="25" w:lineRule="exact"/>
        <w:rPr>
          <w:rFonts w:ascii="Arial" w:cs="Arial" w:eastAsia="Arial" w:hAnsi="Arial"/>
          <w:sz w:val="16"/>
          <w:szCs w:val="16"/>
          <w:color w:val="auto"/>
        </w:rPr>
      </w:pPr>
    </w:p>
    <w:p>
      <w:pPr>
        <w:ind w:left="1940" w:right="20" w:firstLine="387"/>
        <w:spacing w:after="0" w:line="285" w:lineRule="auto"/>
        <w:tabs>
          <w:tab w:leader="none" w:pos="2597" w:val="left"/>
        </w:tabs>
        <w:numPr>
          <w:ilvl w:val="1"/>
          <w:numId w:val="73"/>
        </w:numPr>
        <w:rPr>
          <w:rFonts w:ascii="Arial" w:cs="Arial" w:eastAsia="Arial" w:hAnsi="Arial"/>
          <w:sz w:val="16"/>
          <w:szCs w:val="16"/>
          <w:color w:val="auto"/>
        </w:rPr>
      </w:pPr>
      <w:r>
        <w:rPr>
          <w:rFonts w:ascii="Arial" w:cs="Arial" w:eastAsia="Arial" w:hAnsi="Arial"/>
          <w:sz w:val="16"/>
          <w:szCs w:val="16"/>
          <w:color w:val="auto"/>
        </w:rPr>
        <w:t>Qualified Performance Awards. Performance Awards granted to Employees under the Plan that are intended to qualify as qualified performance based compensation under Section 162(m) of the Code shall be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Employee, one or more business units, divisions, or sectors of the Corporation, or the Corporation as a whole, and if so desired by the Committee, by comparison with a peer group of companies. A Performance Goal may include one or more of the following: Stock price measures (including but not limited to growth measures and total shareholder return); earnings per share (actual or targeted growth); earnings before and after interest and/or taxes, depreciation, and amortization (“EBITDA”); economic value added (“EVA”); net income measures (including but not limited to income after capital costs and income before or after taxes); operating income; cash flow measures; return measures (including but not limited to return on average assets, risk-adjusted return on capital, and return on average equity); operating measures (including but not limited to sales volumes, production volumes and production efficiency); expense measures (including but not limited to overhead cost and general and administrative expense); margins; and corporate values measures (including but not limited to ethics compliance, environmental, and safety).</w:t>
      </w:r>
    </w:p>
    <w:p>
      <w:pPr>
        <w:spacing w:after="0" w:line="43" w:lineRule="exact"/>
        <w:rPr>
          <w:sz w:val="20"/>
          <w:szCs w:val="20"/>
          <w:color w:val="auto"/>
        </w:rPr>
      </w:pPr>
    </w:p>
    <w:p>
      <w:pPr>
        <w:ind w:left="1940" w:firstLine="379"/>
        <w:spacing w:after="0" w:line="302" w:lineRule="auto"/>
        <w:rPr>
          <w:sz w:val="20"/>
          <w:szCs w:val="20"/>
          <w:color w:val="auto"/>
        </w:rPr>
      </w:pPr>
      <w:r>
        <w:rPr>
          <w:rFonts w:ascii="Arial" w:cs="Arial" w:eastAsia="Arial" w:hAnsi="Arial"/>
          <w:sz w:val="15"/>
          <w:szCs w:val="15"/>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Performance Goals and Qualified Performance Awards, it is the intent of the Plan to conform with the standards of Section 162(m) of the Code and Treasury Regulation §1.162-27(e)</w:t>
      </w:r>
    </w:p>
    <w:p>
      <w:pPr>
        <w:spacing w:after="0" w:line="3" w:lineRule="exact"/>
        <w:rPr>
          <w:sz w:val="20"/>
          <w:szCs w:val="20"/>
          <w:color w:val="auto"/>
        </w:rPr>
      </w:pPr>
    </w:p>
    <w:p>
      <w:pPr>
        <w:ind w:left="1940" w:right="260"/>
        <w:spacing w:after="0" w:line="315" w:lineRule="auto"/>
        <w:rPr>
          <w:sz w:val="20"/>
          <w:szCs w:val="20"/>
          <w:color w:val="auto"/>
        </w:rPr>
      </w:pPr>
      <w:r>
        <w:rPr>
          <w:rFonts w:ascii="Arial" w:cs="Arial" w:eastAsia="Arial" w:hAnsi="Arial"/>
          <w:sz w:val="15"/>
          <w:szCs w:val="15"/>
          <w:color w:val="auto"/>
        </w:rPr>
        <w:t>(2)(i),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23" w:lineRule="exact"/>
        <w:rPr>
          <w:sz w:val="20"/>
          <w:szCs w:val="20"/>
          <w:color w:val="auto"/>
        </w:rPr>
      </w:pPr>
    </w:p>
    <w:p>
      <w:pPr>
        <w:ind w:left="920" w:right="460" w:firstLine="421"/>
        <w:spacing w:after="0" w:line="268" w:lineRule="auto"/>
        <w:tabs>
          <w:tab w:leader="none" w:pos="15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any Employee Awards made hereunder:</w:t>
      </w:r>
    </w:p>
    <w:p>
      <w:pPr>
        <w:spacing w:after="0" w:line="50" w:lineRule="exact"/>
        <w:rPr>
          <w:rFonts w:ascii="Arial" w:cs="Arial" w:eastAsia="Arial" w:hAnsi="Arial"/>
          <w:sz w:val="18"/>
          <w:szCs w:val="18"/>
          <w:color w:val="auto"/>
        </w:rPr>
      </w:pPr>
    </w:p>
    <w:p>
      <w:pPr>
        <w:ind w:left="1500" w:firstLine="389"/>
        <w:spacing w:after="0" w:line="332" w:lineRule="auto"/>
        <w:tabs>
          <w:tab w:leader="none" w:pos="2107"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 Participant may be granted, during any fiscal year, Employee Awards consisting of Options or SARs (including Options or SARs that are granted as Performance Awards) that are exercisable for more than 600,000 shares of Common Stock;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00" w:firstLine="389"/>
        <w:spacing w:after="0" w:line="256" w:lineRule="auto"/>
        <w:tabs>
          <w:tab w:leader="none" w:pos="2155" w:val="left"/>
        </w:tabs>
        <w:numPr>
          <w:ilvl w:val="2"/>
          <w:numId w:val="75"/>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Stock Awards (including Stock Awards that are granted as Performance Awards) covering or relating to more than 300,000 shares of Common Stock (the limitation set forth in this clause (ii), together with the limitation set forth in clause (i) above and (c)(i) and (ii) below, being hereinafter collectively referred to as the “Stock Based Awards Limitations”); and</w:t>
      </w:r>
    </w:p>
    <w:p>
      <w:pPr>
        <w:spacing w:after="0" w:line="62" w:lineRule="exact"/>
        <w:rPr>
          <w:rFonts w:ascii="Arial" w:cs="Arial" w:eastAsia="Arial" w:hAnsi="Arial"/>
          <w:sz w:val="18"/>
          <w:szCs w:val="18"/>
          <w:color w:val="auto"/>
        </w:rPr>
      </w:pPr>
    </w:p>
    <w:p>
      <w:pPr>
        <w:ind w:left="1500" w:right="680" w:firstLine="389"/>
        <w:spacing w:after="0" w:line="332" w:lineRule="auto"/>
        <w:tabs>
          <w:tab w:leader="none" w:pos="2204" w:val="left"/>
        </w:tabs>
        <w:numPr>
          <w:ilvl w:val="2"/>
          <w:numId w:val="75"/>
        </w:numPr>
        <w:rPr>
          <w:rFonts w:ascii="Arial" w:cs="Arial" w:eastAsia="Arial" w:hAnsi="Arial"/>
          <w:sz w:val="16"/>
          <w:szCs w:val="16"/>
          <w:color w:val="auto"/>
        </w:rPr>
      </w:pPr>
      <w:r>
        <w:rPr>
          <w:rFonts w:ascii="Arial" w:cs="Arial" w:eastAsia="Arial" w:hAnsi="Arial"/>
          <w:sz w:val="16"/>
          <w:szCs w:val="16"/>
          <w:color w:val="auto"/>
        </w:rPr>
        <w:t>no Participant may be granted Employee Awards under this Plan consisting of cash (including Awards that are granted as Performance Awards) in respect of any fiscal year having a value determined on the Grant Date in excess of $5,000,000.</w:t>
      </w:r>
    </w:p>
    <w:p>
      <w:pPr>
        <w:spacing w:after="0" w:line="4" w:lineRule="exact"/>
        <w:rPr>
          <w:rFonts w:ascii="Arial" w:cs="Arial" w:eastAsia="Arial" w:hAnsi="Arial"/>
          <w:sz w:val="16"/>
          <w:szCs w:val="16"/>
          <w:color w:val="auto"/>
        </w:rPr>
      </w:pPr>
    </w:p>
    <w:p>
      <w:pPr>
        <w:ind w:left="920" w:right="640" w:firstLine="421"/>
        <w:spacing w:after="0" w:line="268" w:lineRule="auto"/>
        <w:tabs>
          <w:tab w:leader="none" w:pos="1579"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any Director Awards made hereunder:</w:t>
      </w:r>
    </w:p>
    <w:p>
      <w:pPr>
        <w:spacing w:after="0" w:line="50" w:lineRule="exact"/>
        <w:rPr>
          <w:rFonts w:ascii="Arial" w:cs="Arial" w:eastAsia="Arial" w:hAnsi="Arial"/>
          <w:sz w:val="18"/>
          <w:szCs w:val="18"/>
          <w:color w:val="auto"/>
        </w:rPr>
      </w:pPr>
    </w:p>
    <w:p>
      <w:pPr>
        <w:ind w:left="1500" w:right="400" w:firstLine="389"/>
        <w:spacing w:after="0" w:line="268" w:lineRule="auto"/>
        <w:tabs>
          <w:tab w:leader="none" w:pos="2107"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Options having a value determined on the Grant Date in excess of $350,000; and</w:t>
      </w:r>
    </w:p>
    <w:p>
      <w:pPr>
        <w:spacing w:after="0" w:line="50" w:lineRule="exact"/>
        <w:rPr>
          <w:rFonts w:ascii="Arial" w:cs="Arial" w:eastAsia="Arial" w:hAnsi="Arial"/>
          <w:sz w:val="18"/>
          <w:szCs w:val="18"/>
          <w:color w:val="auto"/>
        </w:rPr>
      </w:pPr>
    </w:p>
    <w:p>
      <w:pPr>
        <w:ind w:left="1500" w:right="180" w:firstLine="389"/>
        <w:spacing w:after="0" w:line="268" w:lineRule="auto"/>
        <w:tabs>
          <w:tab w:leader="none" w:pos="2155"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Stock Awards having a value determined on the Grant Date in excess of $350,000.</w:t>
      </w:r>
    </w:p>
    <w:p>
      <w:pPr>
        <w:spacing w:after="0" w:line="50" w:lineRule="exact"/>
        <w:rPr>
          <w:rFonts w:ascii="Arial" w:cs="Arial" w:eastAsia="Arial" w:hAnsi="Arial"/>
          <w:sz w:val="18"/>
          <w:szCs w:val="18"/>
          <w:color w:val="auto"/>
        </w:rPr>
      </w:pPr>
    </w:p>
    <w:p>
      <w:pPr>
        <w:jc w:val="both"/>
        <w:ind w:left="920" w:firstLine="421"/>
        <w:spacing w:after="0" w:line="306" w:lineRule="auto"/>
        <w:tabs>
          <w:tab w:leader="none" w:pos="1588" w:val="left"/>
        </w:tabs>
        <w:numPr>
          <w:ilvl w:val="1"/>
          <w:numId w:val="76"/>
        </w:numPr>
        <w:rPr>
          <w:rFonts w:ascii="Arial" w:cs="Arial" w:eastAsia="Arial" w:hAnsi="Arial"/>
          <w:sz w:val="16"/>
          <w:szCs w:val="16"/>
          <w:color w:val="auto"/>
        </w:rPr>
      </w:pPr>
      <w:r>
        <w:rPr>
          <w:rFonts w:ascii="Arial" w:cs="Arial" w:eastAsia="Arial" w:hAnsi="Arial"/>
          <w:sz w:val="16"/>
          <w:szCs w:val="16"/>
          <w:color w:val="auto"/>
        </w:rPr>
        <w:t>Prior to the Restatement Date, certain awards on shares of Common Stock (the “Prior Awards”) had been granted under the Prior Plan as in effect from time to time. As of the Restatement Date, each Prior Award will continue to be outstanding and the shares of Common Stock that are the subject of such Prior Awards shall be subject to adjustment in accordance with Section 15 and to the other provisions of the Plan.</w:t>
      </w:r>
    </w:p>
    <w:p>
      <w:pPr>
        <w:spacing w:after="0" w:line="106" w:lineRule="exact"/>
        <w:rPr>
          <w:rFonts w:ascii="Arial" w:cs="Arial" w:eastAsia="Arial" w:hAnsi="Arial"/>
          <w:sz w:val="16"/>
          <w:szCs w:val="16"/>
          <w:color w:val="auto"/>
        </w:rPr>
      </w:pPr>
    </w:p>
    <w:p>
      <w:pPr>
        <w:jc w:val="both"/>
        <w:ind w:right="200" w:firstLine="464"/>
        <w:spacing w:after="0" w:line="298"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Non-United States Participants</w:t>
      </w:r>
      <w:r>
        <w:rPr>
          <w:rFonts w:ascii="Arial" w:cs="Arial" w:eastAsia="Arial" w:hAnsi="Arial"/>
          <w:sz w:val="16"/>
          <w:szCs w:val="16"/>
          <w:color w:val="auto"/>
        </w:rPr>
        <w:t>. 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89" w:lineRule="auto"/>
        <w:tabs>
          <w:tab w:leader="none" w:pos="1579"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made to a Participant pursuant to an Award may be made in the form of cash or Common Stock, or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and may include such restrictions as the Committee shall determine, including, in the case of Common Stock, restrictions on transfer and forfeiture provisions. If such payment is made in the form of Restricted Stock, the Committee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37"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Deferral</w:t>
      </w:r>
      <w:r>
        <w:rPr>
          <w:rFonts w:ascii="Arial" w:cs="Arial" w:eastAsia="Arial" w:hAnsi="Arial"/>
          <w:sz w:val="16"/>
          <w:szCs w:val="16"/>
          <w:color w:val="auto"/>
        </w:rPr>
        <w:t>. With the approval of the Committee, amounts payable in respect of Awards may be deferred and paid either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installments or as a lump-sum payment. The Committee may permit selected Participants to elect to defer payments of some or all types of Awards or any other compensation otherwise payable by the Corporation in accordance with 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w:t>
      </w:r>
    </w:p>
    <w:p>
      <w:pPr>
        <w:spacing w:after="0" w:line="39" w:lineRule="exact"/>
        <w:rPr>
          <w:rFonts w:ascii="Arial" w:cs="Arial" w:eastAsia="Arial" w:hAnsi="Arial"/>
          <w:sz w:val="16"/>
          <w:szCs w:val="16"/>
          <w:color w:val="auto"/>
        </w:rPr>
      </w:pPr>
    </w:p>
    <w:p>
      <w:pPr>
        <w:ind w:left="920" w:right="240" w:firstLine="421"/>
        <w:spacing w:after="0" w:line="306" w:lineRule="auto"/>
        <w:tabs>
          <w:tab w:leader="none" w:pos="1579"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Dividends, Earnings and Interest</w:t>
      </w:r>
      <w:r>
        <w:rPr>
          <w:rFonts w:ascii="Arial" w:cs="Arial" w:eastAsia="Arial" w:hAnsi="Arial"/>
          <w:sz w:val="16"/>
          <w:szCs w:val="16"/>
          <w:color w:val="auto"/>
        </w:rPr>
        <w:t>. Rights to dividends or Dividend Equivalents may be extended to and made part of any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terms, conditions and restrictions as the Committee may establish. The Committee may also establish rules and procedures for the crediting of interest or other earnings on deferred cash payments and Dividend Equivalents for Stock Awards.</w:t>
      </w:r>
    </w:p>
    <w:p>
      <w:pPr>
        <w:spacing w:after="0" w:line="25" w:lineRule="exact"/>
        <w:rPr>
          <w:rFonts w:ascii="Arial" w:cs="Arial" w:eastAsia="Arial" w:hAnsi="Arial"/>
          <w:sz w:val="16"/>
          <w:szCs w:val="16"/>
          <w:color w:val="auto"/>
        </w:rPr>
      </w:pPr>
    </w:p>
    <w:p>
      <w:pPr>
        <w:ind w:left="920" w:right="180" w:firstLine="421"/>
        <w:spacing w:after="0" w:line="332" w:lineRule="auto"/>
        <w:tabs>
          <w:tab w:leader="none" w:pos="1588"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Substitution of Awards</w:t>
      </w:r>
      <w:r>
        <w:rPr>
          <w:rFonts w:ascii="Arial" w:cs="Arial" w:eastAsia="Arial" w:hAnsi="Arial"/>
          <w:sz w:val="16"/>
          <w:szCs w:val="16"/>
          <w:color w:val="auto"/>
        </w:rPr>
        <w:t>. Subject to Sections 6(a), 13 and 15, at the discretion of the Committee, a Participant who is an Employee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offered an election to substitute an Employee Award for another Employee Award or Employee Awards of the same or different type.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301" w:lineRule="auto"/>
        <w:tabs>
          <w:tab w:leader="none" w:pos="713" w:val="left"/>
        </w:tabs>
        <w:numPr>
          <w:ilvl w:val="1"/>
          <w:numId w:val="78"/>
        </w:numPr>
        <w:rPr>
          <w:rFonts w:ascii="Arial" w:cs="Arial" w:eastAsia="Arial" w:hAnsi="Arial"/>
          <w:sz w:val="15"/>
          <w:szCs w:val="15"/>
          <w:color w:val="auto"/>
        </w:rPr>
      </w:pPr>
      <w:r>
        <w:rPr>
          <w:rFonts w:ascii="Arial" w:cs="Arial" w:eastAsia="Arial" w:hAnsi="Arial"/>
          <w:sz w:val="15"/>
          <w:szCs w:val="15"/>
          <w:u w:val="single" w:color="auto"/>
          <w:color w:val="auto"/>
        </w:rPr>
        <w:t>Exercise of Options</w:t>
      </w:r>
      <w:r>
        <w:rPr>
          <w:rFonts w:ascii="Arial" w:cs="Arial" w:eastAsia="Arial" w:hAnsi="Arial"/>
          <w:sz w:val="15"/>
          <w:szCs w:val="15"/>
          <w:color w:val="auto"/>
        </w:rPr>
        <w:t>. Vested Options granted under the Plan may be exercised by the Participant, by a permitted assignee thereof, or by the Participant’s executors, administrators, guardian or legal representative as to all or part of the Shares covered thereby, by the giving of notice of exercise to the Corporation or its designated agent, specifying the number of Shares to be purchased, accompanied by payment of the full purchase price for the Shares being purchased. Unless otherwise provided in an Award Agreement, full payment of such purchase price shall be made at the time of exercise and shall be made (a) in cash or cash equivalents (including certified check or bank check or wire transfer of immediately available funds), (b) by tendering previously acquired Shares (either actually or by attestation, valued at their then Fair Market Value), (c) with the consent of the Committee, by delivery of other consideration (including, where permitted by law and the Committee, other Awards) having a Fair Market Value on the exercise date equal to the total purchase price, (d) with the consent of the Committee, by withholding Shares otherwise issuable in connection with the exercise of the Option, (e) through any other method specified in an Award Agreement, or</w:t>
      </w:r>
    </w:p>
    <w:p>
      <w:pPr>
        <w:spacing w:after="0" w:line="4" w:lineRule="exact"/>
        <w:rPr>
          <w:rFonts w:ascii="Arial" w:cs="Arial" w:eastAsia="Arial" w:hAnsi="Arial"/>
          <w:sz w:val="15"/>
          <w:szCs w:val="15"/>
          <w:color w:val="auto"/>
        </w:rPr>
      </w:pPr>
    </w:p>
    <w:p>
      <w:pPr>
        <w:ind w:right="40" w:firstLine="8"/>
        <w:spacing w:after="0" w:line="286" w:lineRule="auto"/>
        <w:tabs>
          <w:tab w:leader="none" w:pos="219"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combination of any of the foregoing. The notice of exercise, accompanied by such payment, shall be delivered to the Corporation at its principal business office or such other office as the Committee may from time to time direct, and shall be in such form, containing such further provisions consistent with the provisions of the Plan, as the Committee may from time to time prescribe. In no event may any Option granted hereunder be exercised for a fraction of a Share. No adjustment shall be made for ordinary cash dividends or other rights for which the record date is prior to the date as of which the Participant exercises the Option and becomes the sole owner of the subject Shares. An Option shall be automatically exercised as of the end of the last day of the term of the Option, if the Option price is less than the Fair Market Value of a Share on such date, on a net exercise basis as contemplated by this Section 11 and with tax withholding satisfied by the Corporation retaining Shares from the exercise as contemplated by Section 12. In its sole discretion, the Committee may provide, at the time of grant, that the Shares to be issued upon an Option’s exercise shall be in the form of Restricted Stock or other similar securities, or may reserve the right so to provide after the time of grant. The Committee may grant Incentive Stock Options to any Employee of the Corporation or any Affiliate, subject to the requirements of Section 422 of the Code.</w:t>
      </w:r>
    </w:p>
    <w:p>
      <w:pPr>
        <w:spacing w:after="0" w:line="124" w:lineRule="exact"/>
        <w:rPr>
          <w:rFonts w:ascii="Arial" w:cs="Arial" w:eastAsia="Arial" w:hAnsi="Arial"/>
          <w:sz w:val="16"/>
          <w:szCs w:val="16"/>
          <w:color w:val="auto"/>
        </w:rPr>
      </w:pPr>
    </w:p>
    <w:p>
      <w:pPr>
        <w:ind w:right="20" w:firstLine="464"/>
        <w:spacing w:after="0" w:line="294" w:lineRule="auto"/>
        <w:tabs>
          <w:tab w:leader="none" w:pos="72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Corporation or its designated third party administrator shall have the right to deduct applicable taxes from any Employee Award payment and 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Corporation to satisfy all obligations for withholding of such taxes. The Committee may also permit withholding to be satisfied by the transfer to the Corporation of shares of Common Stock theretofore owned by the holder of the Employee Award with respect to which withholding is required.</w:t>
      </w:r>
    </w:p>
    <w:p>
      <w:pPr>
        <w:spacing w:after="0" w:line="115" w:lineRule="exact"/>
        <w:rPr>
          <w:rFonts w:ascii="Arial" w:cs="Arial" w:eastAsia="Arial" w:hAnsi="Arial"/>
          <w:sz w:val="16"/>
          <w:szCs w:val="16"/>
          <w:color w:val="auto"/>
        </w:rPr>
      </w:pPr>
    </w:p>
    <w:p>
      <w:pPr>
        <w:ind w:right="240" w:firstLine="464"/>
        <w:spacing w:after="0" w:line="303" w:lineRule="auto"/>
        <w:tabs>
          <w:tab w:leader="none" w:pos="720"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Amendment, Modification, Suspension or Termination of the Plan</w:t>
      </w:r>
      <w:r>
        <w:rPr>
          <w:rFonts w:ascii="Arial" w:cs="Arial" w:eastAsia="Arial" w:hAnsi="Arial"/>
          <w:sz w:val="15"/>
          <w:szCs w:val="15"/>
          <w:color w:val="auto"/>
        </w:rPr>
        <w:t>. The Board may amend, modify, suspend or terminate this Plan for the 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and</w:t>
      </w:r>
    </w:p>
    <w:p>
      <w:pPr>
        <w:spacing w:after="0" w:line="1" w:lineRule="exact"/>
        <w:rPr>
          <w:rFonts w:ascii="Arial" w:cs="Arial" w:eastAsia="Arial" w:hAnsi="Arial"/>
          <w:sz w:val="15"/>
          <w:szCs w:val="15"/>
          <w:color w:val="auto"/>
        </w:rPr>
      </w:pPr>
    </w:p>
    <w:p>
      <w:pPr>
        <w:ind w:right="60" w:firstLine="8"/>
        <w:spacing w:after="0" w:line="261" w:lineRule="auto"/>
        <w:tabs>
          <w:tab w:leader="none" w:pos="2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amendment or alteration shall be effective prior to its approval by the stockholders of the Corporation to the extent such approval is required by applicable legal requirements or the requirements of the securities exchange on which the Corporation’s Common Stock is listed.</w:t>
      </w:r>
    </w:p>
    <w:p>
      <w:pPr>
        <w:spacing w:after="0" w:line="137" w:lineRule="exact"/>
        <w:rPr>
          <w:rFonts w:ascii="Arial" w:cs="Arial" w:eastAsia="Arial" w:hAnsi="Arial"/>
          <w:sz w:val="18"/>
          <w:szCs w:val="18"/>
          <w:color w:val="auto"/>
        </w:rPr>
      </w:pPr>
    </w:p>
    <w:p>
      <w:pPr>
        <w:ind w:firstLine="464"/>
        <w:spacing w:after="0" w:line="254" w:lineRule="auto"/>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Unless otherwise determined by the Committee and provided in the Award Agreement or the terms of the Award, no Award or any other benefit under this Plan shall be assignable or otherwise transferable except by will, by beneficiary designation or the laws of descent and distribution or pursuant to a qualified domestic relations order as defined by the Code or Title I of the Employee Retirement Income Security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Section 14 shall be null and void.</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4" w:lineRule="auto"/>
        <w:tabs>
          <w:tab w:leader="none" w:pos="1579" w:val="left"/>
        </w:tabs>
        <w:numPr>
          <w:ilvl w:val="3"/>
          <w:numId w:val="80"/>
        </w:numPr>
        <w:rPr>
          <w:rFonts w:ascii="Arial" w:cs="Arial" w:eastAsia="Arial" w:hAnsi="Arial"/>
          <w:sz w:val="18"/>
          <w:szCs w:val="18"/>
          <w:color w:val="auto"/>
        </w:rPr>
      </w:pPr>
      <w:r>
        <w:rPr>
          <w:rFonts w:ascii="Arial" w:cs="Arial" w:eastAsia="Arial" w:hAnsi="Arial"/>
          <w:sz w:val="18"/>
          <w:szCs w:val="18"/>
          <w:color w:val="auto"/>
        </w:rPr>
        <w:t>The existence of outstanding Awards shall not affect in any manner the right or power of the Corporation or its stockholders to make or authorize any or all adjustments, recapitalizations, reorganizations or other changes in the capital stock of the Corporation or its business or any merger or consolidation of the Corporation, or any issue of bonds, debentures, preferred or prior preference stock (whether or not such issue is prior to, on a parity with or junior to the Shares) or the dissolution or liquidation of the Corporation, or any sale or transfer of all or any part of its assets or business, or any other corporate act or proceeding of any kind, whether or not of a character similar to that of the acts or proceedings enumerated above.</w:t>
      </w:r>
    </w:p>
    <w:p>
      <w:pPr>
        <w:spacing w:after="0" w:line="63" w:lineRule="exact"/>
        <w:rPr>
          <w:rFonts w:ascii="Arial" w:cs="Arial" w:eastAsia="Arial" w:hAnsi="Arial"/>
          <w:sz w:val="18"/>
          <w:szCs w:val="18"/>
          <w:color w:val="auto"/>
        </w:rPr>
      </w:pPr>
    </w:p>
    <w:p>
      <w:pPr>
        <w:jc w:val="both"/>
        <w:ind w:left="920" w:right="160" w:firstLine="421"/>
        <w:spacing w:after="0" w:line="303" w:lineRule="auto"/>
        <w:tabs>
          <w:tab w:leader="none" w:pos="1588" w:val="left"/>
        </w:tabs>
        <w:numPr>
          <w:ilvl w:val="3"/>
          <w:numId w:val="80"/>
        </w:numPr>
        <w:rPr>
          <w:rFonts w:ascii="Arial" w:cs="Arial" w:eastAsia="Arial" w:hAnsi="Arial"/>
          <w:sz w:val="15"/>
          <w:szCs w:val="15"/>
          <w:color w:val="auto"/>
        </w:rPr>
      </w:pPr>
      <w:r>
        <w:rPr>
          <w:rFonts w:ascii="Arial" w:cs="Arial" w:eastAsia="Arial" w:hAnsi="Arial"/>
          <w:sz w:val="15"/>
          <w:szCs w:val="15"/>
          <w:color w:val="auto"/>
        </w:rPr>
        <w:t>In the event of any subdivision or consolidation of outstanding shares of Common Stock, declaration of a dividend payable in Shares or other stock split, then (1) the number of Shares reserved under this Plan, (2) the number of Shares covered by outstanding Awards in the form of Shares or units denominated in Shares, (3) the exercise price or other price in respect of such Awards, (4) the Stock Based Awards Limitations, and</w:t>
      </w:r>
    </w:p>
    <w:p>
      <w:pPr>
        <w:spacing w:after="0" w:line="1" w:lineRule="exact"/>
        <w:rPr>
          <w:rFonts w:ascii="Arial" w:cs="Arial" w:eastAsia="Arial" w:hAnsi="Arial"/>
          <w:sz w:val="15"/>
          <w:szCs w:val="15"/>
          <w:color w:val="auto"/>
        </w:rPr>
      </w:pPr>
    </w:p>
    <w:p>
      <w:pPr>
        <w:jc w:val="both"/>
        <w:ind w:left="920" w:right="260" w:firstLine="1"/>
        <w:spacing w:after="0" w:line="254" w:lineRule="auto"/>
        <w:tabs>
          <w:tab w:leader="none" w:pos="1169"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appropriate Fair Market Value and other price determinations for such Awards shall each be proportionately adjusted by the Committee as appropriate to reflect such transaction. In the event of any other recapitalization or capital reorganization of the Corporation, any consolidation or merger of the Corporation with another corporation or entity, the adoption by the Corporation of any plan of exchange affecting the Shares or any distribution to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94" w:lineRule="auto"/>
        <w:rPr>
          <w:sz w:val="20"/>
          <w:szCs w:val="20"/>
          <w:color w:val="auto"/>
        </w:rPr>
      </w:pPr>
      <w:r>
        <w:rPr>
          <w:rFonts w:ascii="Arial" w:cs="Arial" w:eastAsia="Arial" w:hAnsi="Arial"/>
          <w:sz w:val="16"/>
          <w:szCs w:val="16"/>
          <w:color w:val="auto"/>
        </w:rPr>
        <w:t>of Shares of securities or property (other than normal cash dividends or dividends payable in Shares), the Committee shall make appropriate adjustments to (i) the number and kind of shares covered by Awards in the form of Shares or units denominated in Shares, (ii) the exercise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w:t>
      </w:r>
    </w:p>
    <w:p>
      <w:pPr>
        <w:spacing w:after="0" w:line="35" w:lineRule="exact"/>
        <w:rPr>
          <w:sz w:val="20"/>
          <w:szCs w:val="20"/>
          <w:color w:val="auto"/>
        </w:rPr>
      </w:pPr>
    </w:p>
    <w:p>
      <w:pPr>
        <w:ind w:left="920" w:right="40" w:firstLine="421"/>
        <w:spacing w:after="0" w:line="283" w:lineRule="auto"/>
        <w:tabs>
          <w:tab w:leader="none" w:pos="1579"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connection with a corporate merger, consolidation, acquisition of property or stock, separation, reorganization or liquidation, the Committee may make such adjustments to Awards or other provisions for the disposition of Awards as it deems equitable, and shall be authorized, in its discretion, (1) to provide for the substitution of a new Award or other arrangement (which, if applicable, may be exercisable for such property or stock as the Committee determines) for an Award or the assumption of the Award, regardless of whether in a transaction to which Code</w:t>
      </w:r>
    </w:p>
    <w:p>
      <w:pPr>
        <w:spacing w:after="0" w:line="2" w:lineRule="exact"/>
        <w:rPr>
          <w:rFonts w:ascii="Arial" w:cs="Arial" w:eastAsia="Arial" w:hAnsi="Arial"/>
          <w:sz w:val="16"/>
          <w:szCs w:val="16"/>
          <w:color w:val="auto"/>
        </w:rPr>
      </w:pPr>
    </w:p>
    <w:p>
      <w:pPr>
        <w:ind w:left="920"/>
        <w:spacing w:after="0" w:line="292" w:lineRule="auto"/>
        <w:rPr>
          <w:rFonts w:ascii="Arial" w:cs="Arial" w:eastAsia="Arial" w:hAnsi="Arial"/>
          <w:sz w:val="16"/>
          <w:szCs w:val="16"/>
          <w:color w:val="auto"/>
        </w:rPr>
      </w:pPr>
      <w:r>
        <w:rPr>
          <w:rFonts w:ascii="Arial" w:cs="Arial" w:eastAsia="Arial" w:hAnsi="Arial"/>
          <w:sz w:val="16"/>
          <w:szCs w:val="16"/>
          <w:color w:val="auto"/>
        </w:rPr>
        <w:t>Section 424(a) applies, (2) to provide for the acceleration of the vesting and exercisability of, or lapse of restrictions with respect to, the Award and, if the transaction is a cash merger, provide for the termination of any portion of the Award that remains unexercised at the time of such transaction, or (3) to cancel any such Awards and to deliver to the Participants cash in an amount that the Committee shall determine in its sole discretion is equal to the Fair Market Value of such Awards on the date of such event, which in the case of Options or Stock Appreciation Rights shall be the excess of the Fair Market Value of Common Stock on such date over the Option or base price of such Award.</w:t>
      </w:r>
    </w:p>
    <w:p>
      <w:pPr>
        <w:spacing w:after="0" w:line="35" w:lineRule="exact"/>
        <w:rPr>
          <w:rFonts w:ascii="Arial" w:cs="Arial" w:eastAsia="Arial" w:hAnsi="Arial"/>
          <w:sz w:val="16"/>
          <w:szCs w:val="16"/>
          <w:color w:val="auto"/>
        </w:rPr>
      </w:pPr>
    </w:p>
    <w:p>
      <w:pPr>
        <w:ind w:left="920" w:right="80" w:firstLine="421"/>
        <w:spacing w:after="0" w:line="268" w:lineRule="auto"/>
        <w:tabs>
          <w:tab w:leader="none" w:pos="15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 adjustment or substitution pursuant to this Section 15 shall be made in a manner that results in noncompliance with the requirements of Code Section 409A, to the extent applicable.</w:t>
      </w:r>
    </w:p>
    <w:p>
      <w:pPr>
        <w:spacing w:after="0" w:line="131" w:lineRule="exact"/>
        <w:rPr>
          <w:rFonts w:ascii="Arial" w:cs="Arial" w:eastAsia="Arial" w:hAnsi="Arial"/>
          <w:sz w:val="18"/>
          <w:szCs w:val="18"/>
          <w:color w:val="auto"/>
        </w:rPr>
      </w:pPr>
    </w:p>
    <w:p>
      <w:pPr>
        <w:ind w:right="140" w:firstLine="464"/>
        <w:spacing w:after="0" w:line="291"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No Common Stock or other form of payment shall be issued with respect to any Award unless the Corporation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20" w:lineRule="exact"/>
        <w:rPr>
          <w:rFonts w:ascii="Arial" w:cs="Arial" w:eastAsia="Arial" w:hAnsi="Arial"/>
          <w:sz w:val="16"/>
          <w:szCs w:val="16"/>
          <w:color w:val="auto"/>
        </w:rPr>
      </w:pPr>
    </w:p>
    <w:p>
      <w:pPr>
        <w:ind w:right="20" w:firstLine="464"/>
        <w:spacing w:after="0" w:line="289"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Unfunded Plan</w:t>
      </w:r>
      <w:r>
        <w:rPr>
          <w:rFonts w:ascii="Arial" w:cs="Arial" w:eastAsia="Arial" w:hAnsi="Arial"/>
          <w:sz w:val="16"/>
          <w:szCs w:val="16"/>
          <w:color w:val="auto"/>
        </w:rPr>
        <w:t>. This Plan shall be unfunded. Although bookkeeping accounts may be established with respect to Participants under this Plan, any such accounts shall be used merely as a bookkeeping convenience, including bookkeeping accounts established by a third party administrator retained by the Corporation to administer the Plan. The Corporation shall not be required to segregate any assets for purposes of this Plan or Awards hereunder, nor shall the Corporation, the Board or the Committee be deemed to be a trustee of any benefit to be granted under this Plan. Any liability or obligation of the Corporation to any Participant with respect to an Award under this Plan shall be based solely upon any contractual obligations that may be created by this Plan and any Award Agreement or the terms of the Award, and no such liability or obligation of the Corporation shall be deemed to be secured by any pledge or other encumbrance on any property of the Corporation. Neither the Corporation nor the Board nor the Committee shall be required to give any security or bond for the performance of any obligation that may be created by this Plan.</w:t>
      </w:r>
    </w:p>
    <w:p>
      <w:pPr>
        <w:spacing w:after="0" w:line="118"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Right to Employment</w:t>
      </w:r>
      <w:r>
        <w:rPr>
          <w:rFonts w:ascii="Arial" w:cs="Arial" w:eastAsia="Arial" w:hAnsi="Arial"/>
          <w:sz w:val="18"/>
          <w:szCs w:val="18"/>
          <w:color w:val="auto"/>
        </w:rPr>
        <w:t>. Nothing in the Plan or an Award Agreement shall interfere with or limit in any way the right of the Corporation to terminate any Participant’s employment or other service relationship at any time, nor confer upon any Participant any right to continue in the capacity in which he or she is employed or otherwise serves the Corporation.</w:t>
      </w:r>
    </w:p>
    <w:p>
      <w:pPr>
        <w:spacing w:after="0" w:line="140" w:lineRule="exact"/>
        <w:rPr>
          <w:rFonts w:ascii="Arial" w:cs="Arial" w:eastAsia="Arial" w:hAnsi="Arial"/>
          <w:sz w:val="18"/>
          <w:szCs w:val="18"/>
          <w:color w:val="auto"/>
        </w:rPr>
      </w:pPr>
    </w:p>
    <w:p>
      <w:pPr>
        <w:ind w:right="80" w:firstLine="464"/>
        <w:spacing w:after="0" w:line="259"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Corporation under the Plan with respect to Awards granted hereunder shall be binding on any successor to the Corporation, whether the existence of such successor is the result of a direct or indirect purchase, merger, consolidation, or otherwise, of all or substantially all of the business and/or assets of the Corporation.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60" w:firstLine="421"/>
        <w:spacing w:after="0" w:line="291" w:lineRule="auto"/>
        <w:tabs>
          <w:tab w:leader="none" w:pos="1579" w:val="left"/>
        </w:tabs>
        <w:numPr>
          <w:ilvl w:val="1"/>
          <w:numId w:val="82"/>
        </w:numPr>
        <w:rPr>
          <w:rFonts w:ascii="Arial" w:cs="Arial" w:eastAsia="Arial" w:hAnsi="Arial"/>
          <w:sz w:val="16"/>
          <w:szCs w:val="16"/>
          <w:color w:val="auto"/>
        </w:rPr>
      </w:pPr>
      <w:r>
        <w:rPr>
          <w:rFonts w:ascii="Arial" w:cs="Arial" w:eastAsia="Arial" w:hAnsi="Arial"/>
          <w:sz w:val="16"/>
          <w:szCs w:val="16"/>
          <w:color w:val="auto"/>
        </w:rPr>
        <w:t>Awards made under this Plan are intended to comply with or be exempt from Code Section 409A, and ambiguous provisions hereof, if any, shall be construed and interpreted in a manner consistent with such intent. No payment, benefit or consideration shall be substituted for an Award if such action would result in the imposition of taxes under Code Section 409A. Notwithstanding anything in this Plan to the contrary, if any Plan provision or Award under this Plan would result in the imposition of an additional tax under Code Section 409A, that Plan provision or Award shall be reformed, to the extent permissible under Code Section 409A, to avoid imposition of the additional tax, and no such action shall be deemed to adversely affect the Participant’s rights to an Award.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94" w:lineRule="auto"/>
        <w:tabs>
          <w:tab w:leader="none" w:pos="1588" w:val="left"/>
        </w:tabs>
        <w:numPr>
          <w:ilvl w:val="1"/>
          <w:numId w:val="83"/>
        </w:numPr>
        <w:rPr>
          <w:rFonts w:ascii="Arial" w:cs="Arial" w:eastAsia="Arial" w:hAnsi="Arial"/>
          <w:sz w:val="16"/>
          <w:szCs w:val="16"/>
          <w:color w:val="auto"/>
        </w:rPr>
      </w:pPr>
      <w:r>
        <w:rPr>
          <w:rFonts w:ascii="Arial" w:cs="Arial" w:eastAsia="Arial" w:hAnsi="Arial"/>
          <w:sz w:val="16"/>
          <w:szCs w:val="16"/>
          <w:color w:val="auto"/>
        </w:rPr>
        <w:t>Unless the Committee provides otherwise in an Award Agreement, each restricted or performance Unit Award or Cash Award (or portion thereof if the Award is subject to a vesting schedule) shall be settled no later than the 15th day of the third month after the end of the first calendar year in which the Award (or such portion thereof) is no longer subject to a “substantial risk of forfeiture” within the meaning of Code Section 409A. If the Committee determines that a restricted or performance Unit Award or Cash Award is intended to be subject to Code Section 409A, the applicable Award Agreement shall include terms that are designed to satisfy the requirements of Code Section 409A.</w:t>
      </w:r>
    </w:p>
    <w:p>
      <w:pPr>
        <w:spacing w:after="0" w:line="34" w:lineRule="exact"/>
        <w:rPr>
          <w:rFonts w:ascii="Arial" w:cs="Arial" w:eastAsia="Arial" w:hAnsi="Arial"/>
          <w:sz w:val="16"/>
          <w:szCs w:val="16"/>
          <w:color w:val="auto"/>
        </w:rPr>
      </w:pPr>
    </w:p>
    <w:p>
      <w:pPr>
        <w:ind w:left="920" w:right="140" w:firstLine="421"/>
        <w:spacing w:after="0" w:line="294" w:lineRule="auto"/>
        <w:tabs>
          <w:tab w:leader="none" w:pos="1579"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the Participant is identified by the Corporation as a “specified employee” within the meaning of Code Section 409A(a)(2)(B)(i) on the date on which the Participant has a “separation from service” (other than due to death) within the meaning of Treasury Regulation § 1.409A-1(h), any Award payable or settled on account of a separation from service that is deferred compensation subject to Code Section 409A shall be paid or settled on the earliest of (1) the first business day following the expiration of six months from the Participant’s separation from service, (2) the date of the Participant’s death, or (3) such earlier date as complies with the requirements of Code Section 409A.</w:t>
      </w:r>
    </w:p>
    <w:p>
      <w:pPr>
        <w:spacing w:after="0" w:line="115" w:lineRule="exact"/>
        <w:rPr>
          <w:rFonts w:ascii="Arial" w:cs="Arial" w:eastAsia="Arial" w:hAnsi="Arial"/>
          <w:sz w:val="16"/>
          <w:szCs w:val="16"/>
          <w:color w:val="auto"/>
        </w:rPr>
      </w:pPr>
    </w:p>
    <w:p>
      <w:pPr>
        <w:jc w:val="both"/>
        <w:ind w:right="720" w:firstLine="464"/>
        <w:spacing w:after="0" w:line="370" w:lineRule="auto"/>
        <w:tabs>
          <w:tab w:leader="none" w:pos="72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62" w:lineRule="exact"/>
        <w:rPr>
          <w:rFonts w:ascii="Arial" w:cs="Arial" w:eastAsia="Arial" w:hAnsi="Arial"/>
          <w:sz w:val="15"/>
          <w:szCs w:val="15"/>
          <w:color w:val="auto"/>
        </w:rPr>
      </w:pPr>
    </w:p>
    <w:p>
      <w:pPr>
        <w:ind w:firstLine="464"/>
        <w:spacing w:after="0" w:line="254"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Effective Date of Amended and Restated Plan; Expiration of Plan</w:t>
      </w:r>
      <w:r>
        <w:rPr>
          <w:rFonts w:ascii="Arial" w:cs="Arial" w:eastAsia="Arial" w:hAnsi="Arial"/>
          <w:sz w:val="18"/>
          <w:szCs w:val="18"/>
          <w:color w:val="auto"/>
        </w:rPr>
        <w:t>. The Plan shall be effective on the date of the approval of the Plan by the holders of the shares entitled to vote at a duly constituted meeting of the stockholders of the Corporation. The Plan shall be null and void and of no effect if the foregoing condition is not fulfilled and in such event the Prior Plan as in effect immediately prior to the Restatement Date will continue to operate in accordance with its terms. Awards may be granted under the Plan at any time and from time to time on or prior to the tenth anniversary of the effective date of the Plan, on which date the Plan will expire except as to any such Awards then outstanding under the Plan. Such outstanding Awards shall remain in effect until they have been exercised or terminated, or have expired.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VOTE BY INTERNET - www.proxyvote.com</w:t>
      </w:r>
    </w:p>
    <w:p>
      <w:pPr>
        <w:ind w:left="5480"/>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w:t>
      </w:r>
    </w:p>
    <w:p>
      <w:pPr>
        <w:ind w:left="5480"/>
        <w:spacing w:after="0" w:line="222" w:lineRule="auto"/>
        <w:rPr>
          <w:sz w:val="20"/>
          <w:szCs w:val="20"/>
          <w:color w:val="auto"/>
        </w:rPr>
      </w:pPr>
      <w:r>
        <w:rPr>
          <w:rFonts w:ascii="Arial" w:cs="Arial" w:eastAsia="Arial" w:hAnsi="Arial"/>
          <w:sz w:val="14"/>
          <w:szCs w:val="14"/>
          <w:color w:val="auto"/>
        </w:rPr>
        <w:t>until 11:59 P.M. Eastern Time the day before the cut-off date or meeting date. Have your proxy</w:t>
      </w:r>
    </w:p>
    <w:p>
      <w:pPr>
        <w:ind w:left="5480"/>
        <w:spacing w:after="0" w:line="221" w:lineRule="auto"/>
        <w:rPr>
          <w:sz w:val="20"/>
          <w:szCs w:val="20"/>
          <w:color w:val="auto"/>
        </w:rPr>
      </w:pPr>
      <w:r>
        <w:rPr>
          <w:rFonts w:ascii="Arial" w:cs="Arial" w:eastAsia="Arial" w:hAnsi="Arial"/>
          <w:sz w:val="14"/>
          <w:szCs w:val="14"/>
          <w:color w:val="auto"/>
        </w:rPr>
        <w:t>card in hand when you access the web site and follow the instructions to obtain your records</w:t>
      </w:r>
    </w:p>
    <w:p>
      <w:pPr>
        <w:ind w:left="5480"/>
        <w:spacing w:after="0"/>
        <w:rPr>
          <w:sz w:val="20"/>
          <w:szCs w:val="20"/>
          <w:color w:val="auto"/>
        </w:rPr>
      </w:pPr>
      <w:r>
        <w:rPr>
          <w:rFonts w:ascii="Arial" w:cs="Arial" w:eastAsia="Arial" w:hAnsi="Arial"/>
          <w:sz w:val="14"/>
          <w:szCs w:val="14"/>
          <w:color w:val="auto"/>
        </w:rPr>
        <w:t>and to create an electronic voting instruction form.</w:t>
      </w:r>
    </w:p>
    <w:tbl>
      <w:tblPr>
        <w:tblLayout w:type="fixed"/>
        <w:tblInd w:w="220" w:type="dxa"/>
        <w:tblCellMar>
          <w:top w:w="0" w:type="dxa"/>
          <w:left w:w="0" w:type="dxa"/>
          <w:bottom w:w="0" w:type="dxa"/>
          <w:right w:w="0" w:type="dxa"/>
        </w:tblCellMar>
      </w:tblPr>
      <w:tr>
        <w:trPr>
          <w:trHeight w:val="136"/>
        </w:trPr>
        <w:tc>
          <w:tcPr>
            <w:tcW w:w="3520" w:type="dxa"/>
            <w:vAlign w:val="bottom"/>
          </w:tcPr>
          <w:p>
            <w:pPr>
              <w:spacing w:after="0" w:line="136" w:lineRule="exact"/>
              <w:rPr>
                <w:sz w:val="20"/>
                <w:szCs w:val="20"/>
                <w:color w:val="auto"/>
              </w:rPr>
            </w:pPr>
            <w:r>
              <w:rPr>
                <w:rFonts w:ascii="Arial" w:cs="Arial" w:eastAsia="Arial" w:hAnsi="Arial"/>
                <w:sz w:val="14"/>
                <w:szCs w:val="14"/>
                <w:i w:val="1"/>
                <w:iCs w:val="1"/>
                <w:color w:val="auto"/>
              </w:rPr>
              <w:t>EAGLE MATERIALS INC.</w:t>
            </w:r>
          </w:p>
        </w:tc>
        <w:tc>
          <w:tcPr>
            <w:tcW w:w="73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95"/>
        </w:trPr>
        <w:tc>
          <w:tcPr>
            <w:tcW w:w="3520" w:type="dxa"/>
            <w:vAlign w:val="bottom"/>
            <w:vMerge w:val="restart"/>
          </w:tcPr>
          <w:p>
            <w:pPr>
              <w:spacing w:after="0" w:line="149" w:lineRule="exact"/>
              <w:rPr>
                <w:sz w:val="20"/>
                <w:szCs w:val="20"/>
                <w:color w:val="auto"/>
              </w:rPr>
            </w:pPr>
            <w:r>
              <w:rPr>
                <w:rFonts w:ascii="Arial" w:cs="Arial" w:eastAsia="Arial" w:hAnsi="Arial"/>
                <w:sz w:val="14"/>
                <w:szCs w:val="14"/>
                <w:i w:val="1"/>
                <w:iCs w:val="1"/>
                <w:color w:val="auto"/>
              </w:rPr>
              <w:t>3811 TURTLE CREEK BLVD.</w:t>
            </w: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520" w:type="dxa"/>
            <w:vAlign w:val="bottom"/>
            <w:vMerge w:val="continue"/>
          </w:tcPr>
          <w:p>
            <w:pPr>
              <w:spacing w:after="0"/>
              <w:rPr>
                <w:sz w:val="4"/>
                <w:szCs w:val="4"/>
                <w:color w:val="auto"/>
              </w:rPr>
            </w:pPr>
          </w:p>
        </w:tc>
        <w:tc>
          <w:tcPr>
            <w:tcW w:w="7300" w:type="dxa"/>
            <w:vAlign w:val="bottom"/>
            <w:vMerge w:val="restart"/>
          </w:tcPr>
          <w:p>
            <w:pPr>
              <w:ind w:left="1740"/>
              <w:spacing w:after="0" w:line="149" w:lineRule="exact"/>
              <w:rPr>
                <w:sz w:val="20"/>
                <w:szCs w:val="20"/>
                <w:color w:val="auto"/>
              </w:rPr>
            </w:pPr>
            <w:r>
              <w:rPr>
                <w:rFonts w:ascii="Arial" w:cs="Arial" w:eastAsia="Arial" w:hAnsi="Arial"/>
                <w:sz w:val="14"/>
                <w:szCs w:val="14"/>
                <w:color w:val="auto"/>
                <w:w w:val="96"/>
              </w:rPr>
              <w:t>If you would like to reduce the costs incurred by our company in mailing proxy materials, you</w:t>
            </w:r>
          </w:p>
        </w:tc>
        <w:tc>
          <w:tcPr>
            <w:tcW w:w="0" w:type="dxa"/>
            <w:vAlign w:val="bottom"/>
          </w:tcPr>
          <w:p>
            <w:pPr>
              <w:spacing w:after="0"/>
              <w:rPr>
                <w:sz w:val="1"/>
                <w:szCs w:val="1"/>
                <w:color w:val="auto"/>
              </w:rPr>
            </w:pPr>
          </w:p>
        </w:tc>
      </w:tr>
      <w:tr>
        <w:trPr>
          <w:trHeight w:val="95"/>
        </w:trPr>
        <w:tc>
          <w:tcPr>
            <w:tcW w:w="3520" w:type="dxa"/>
            <w:vAlign w:val="bottom"/>
            <w:vMerge w:val="restart"/>
          </w:tcPr>
          <w:p>
            <w:pPr>
              <w:spacing w:after="0" w:line="149" w:lineRule="exact"/>
              <w:rPr>
                <w:sz w:val="20"/>
                <w:szCs w:val="20"/>
                <w:color w:val="auto"/>
              </w:rPr>
            </w:pPr>
            <w:r>
              <w:rPr>
                <w:rFonts w:ascii="Arial" w:cs="Arial" w:eastAsia="Arial" w:hAnsi="Arial"/>
                <w:sz w:val="14"/>
                <w:szCs w:val="14"/>
                <w:i w:val="1"/>
                <w:iCs w:val="1"/>
                <w:color w:val="auto"/>
              </w:rPr>
              <w:t>SUITE 1100</w:t>
            </w: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520" w:type="dxa"/>
            <w:vAlign w:val="bottom"/>
            <w:vMerge w:val="continue"/>
          </w:tcPr>
          <w:p>
            <w:pPr>
              <w:spacing w:after="0"/>
              <w:rPr>
                <w:sz w:val="4"/>
                <w:szCs w:val="4"/>
                <w:color w:val="auto"/>
              </w:rPr>
            </w:pPr>
          </w:p>
        </w:tc>
        <w:tc>
          <w:tcPr>
            <w:tcW w:w="7300" w:type="dxa"/>
            <w:vAlign w:val="bottom"/>
            <w:vMerge w:val="restart"/>
          </w:tcPr>
          <w:p>
            <w:pPr>
              <w:ind w:left="174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95"/>
        </w:trPr>
        <w:tc>
          <w:tcPr>
            <w:tcW w:w="3520" w:type="dxa"/>
            <w:vAlign w:val="bottom"/>
            <w:vMerge w:val="restart"/>
          </w:tcPr>
          <w:p>
            <w:pPr>
              <w:spacing w:after="0"/>
              <w:rPr>
                <w:sz w:val="20"/>
                <w:szCs w:val="20"/>
                <w:color w:val="auto"/>
              </w:rPr>
            </w:pPr>
            <w:r>
              <w:rPr>
                <w:rFonts w:ascii="Arial" w:cs="Arial" w:eastAsia="Arial" w:hAnsi="Arial"/>
                <w:sz w:val="14"/>
                <w:szCs w:val="14"/>
                <w:i w:val="1"/>
                <w:iCs w:val="1"/>
                <w:color w:val="auto"/>
              </w:rPr>
              <w:t>DALLAS, TX 75219</w:t>
            </w: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20" w:type="dxa"/>
            <w:vAlign w:val="bottom"/>
            <w:vMerge w:val="continue"/>
          </w:tcPr>
          <w:p>
            <w:pPr>
              <w:spacing w:after="0"/>
              <w:rPr>
                <w:sz w:val="7"/>
                <w:szCs w:val="7"/>
                <w:color w:val="auto"/>
              </w:rPr>
            </w:pPr>
          </w:p>
        </w:tc>
        <w:tc>
          <w:tcPr>
            <w:tcW w:w="7300" w:type="dxa"/>
            <w:vAlign w:val="bottom"/>
            <w:vMerge w:val="restart"/>
          </w:tcPr>
          <w:p>
            <w:pPr>
              <w:ind w:left="1740"/>
              <w:spacing w:after="0" w:line="149" w:lineRule="exact"/>
              <w:rPr>
                <w:sz w:val="20"/>
                <w:szCs w:val="20"/>
                <w:color w:val="auto"/>
              </w:rPr>
            </w:pPr>
            <w:r>
              <w:rPr>
                <w:rFonts w:ascii="Arial" w:cs="Arial" w:eastAsia="Arial" w:hAnsi="Arial"/>
                <w:sz w:val="14"/>
                <w:szCs w:val="14"/>
                <w:color w:val="auto"/>
                <w:w w:val="99"/>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67"/>
        </w:trPr>
        <w:tc>
          <w:tcPr>
            <w:tcW w:w="3520" w:type="dxa"/>
            <w:vAlign w:val="bottom"/>
          </w:tcPr>
          <w:p>
            <w:pPr>
              <w:spacing w:after="0"/>
              <w:rPr>
                <w:sz w:val="5"/>
                <w:szCs w:val="5"/>
                <w:color w:val="auto"/>
              </w:rPr>
            </w:pPr>
          </w:p>
        </w:tc>
        <w:tc>
          <w:tcPr>
            <w:tcW w:w="7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300" w:type="dxa"/>
            <w:vAlign w:val="bottom"/>
          </w:tcPr>
          <w:p>
            <w:pPr>
              <w:ind w:left="1740"/>
              <w:spacing w:after="0" w:line="149" w:lineRule="exact"/>
              <w:rPr>
                <w:sz w:val="20"/>
                <w:szCs w:val="20"/>
                <w:color w:val="auto"/>
              </w:rPr>
            </w:pPr>
            <w:r>
              <w:rPr>
                <w:rFonts w:ascii="Arial" w:cs="Arial" w:eastAsia="Arial" w:hAnsi="Arial"/>
                <w:sz w:val="14"/>
                <w:szCs w:val="14"/>
                <w:color w:val="auto"/>
                <w:w w:val="97"/>
              </w:rPr>
              <w:t>instructions above to vote using the Internet and, when prompted, indicate that you agree to</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7300" w:type="dxa"/>
            <w:vAlign w:val="bottom"/>
          </w:tcPr>
          <w:p>
            <w:pPr>
              <w:ind w:left="174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300" w:type="dxa"/>
            <w:vAlign w:val="bottom"/>
          </w:tcPr>
          <w:p>
            <w:pPr>
              <w:ind w:left="174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300" w:type="dxa"/>
            <w:vAlign w:val="bottom"/>
          </w:tcPr>
          <w:p>
            <w:pPr>
              <w:ind w:left="1740"/>
              <w:spacing w:after="0" w:line="149" w:lineRule="exact"/>
              <w:rPr>
                <w:sz w:val="20"/>
                <w:szCs w:val="20"/>
                <w:color w:val="auto"/>
              </w:rPr>
            </w:pPr>
            <w:r>
              <w:rPr>
                <w:rFonts w:ascii="Arial" w:cs="Arial" w:eastAsia="Arial" w:hAnsi="Arial"/>
                <w:sz w:val="14"/>
                <w:szCs w:val="14"/>
                <w:color w:val="auto"/>
                <w:w w:val="96"/>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300" w:type="dxa"/>
            <w:vAlign w:val="bottom"/>
          </w:tcPr>
          <w:p>
            <w:pPr>
              <w:ind w:left="1740"/>
              <w:spacing w:after="0" w:line="149" w:lineRule="exact"/>
              <w:rPr>
                <w:sz w:val="20"/>
                <w:szCs w:val="20"/>
                <w:color w:val="auto"/>
              </w:rPr>
            </w:pPr>
            <w:r>
              <w:rPr>
                <w:rFonts w:ascii="Arial" w:cs="Arial" w:eastAsia="Arial" w:hAnsi="Arial"/>
                <w:sz w:val="14"/>
                <w:szCs w:val="14"/>
                <w:color w:val="auto"/>
                <w:w w:val="95"/>
              </w:rPr>
              <w:t>Time the day before the cut-off date or meeting date. Have your proxy card in hand when you</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7300" w:type="dxa"/>
            <w:vAlign w:val="bottom"/>
          </w:tcPr>
          <w:p>
            <w:pPr>
              <w:ind w:left="1740"/>
              <w:spacing w:after="0"/>
              <w:rPr>
                <w:sz w:val="20"/>
                <w:szCs w:val="20"/>
                <w:color w:val="auto"/>
              </w:rPr>
            </w:pPr>
            <w:r>
              <w:rPr>
                <w:rFonts w:ascii="Arial" w:cs="Arial" w:eastAsia="Arial" w:hAnsi="Arial"/>
                <w:sz w:val="14"/>
                <w:szCs w:val="14"/>
                <w:color w:val="auto"/>
              </w:rPr>
              <w:t>call and then follow the instructions.</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300" w:type="dxa"/>
            <w:vAlign w:val="bottom"/>
          </w:tcPr>
          <w:p>
            <w:pPr>
              <w:ind w:left="174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300" w:type="dxa"/>
            <w:vAlign w:val="bottom"/>
          </w:tcPr>
          <w:p>
            <w:pPr>
              <w:ind w:left="174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300" w:type="dxa"/>
            <w:vAlign w:val="bottom"/>
          </w:tcPr>
          <w:p>
            <w:pPr>
              <w:ind w:left="1740"/>
              <w:spacing w:after="0" w:line="149" w:lineRule="exact"/>
              <w:rPr>
                <w:sz w:val="20"/>
                <w:szCs w:val="20"/>
                <w:color w:val="auto"/>
              </w:rPr>
            </w:pPr>
            <w:r>
              <w:rPr>
                <w:rFonts w:ascii="Arial" w:cs="Arial" w:eastAsia="Arial" w:hAnsi="Arial"/>
                <w:sz w:val="14"/>
                <w:szCs w:val="14"/>
                <w:color w:val="auto"/>
                <w:w w:val="98"/>
              </w:rPr>
              <w:t>provided or return it to Vote Processing, c/o Broadridge, 51 Mercedes Way, Edgewood, NY</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7300" w:type="dxa"/>
            <w:vAlign w:val="bottom"/>
          </w:tcPr>
          <w:p>
            <w:pPr>
              <w:ind w:left="1740"/>
              <w:spacing w:after="0"/>
              <w:rPr>
                <w:sz w:val="20"/>
                <w:szCs w:val="20"/>
                <w:color w:val="auto"/>
              </w:rPr>
            </w:pPr>
            <w:r>
              <w:rPr>
                <w:rFonts w:ascii="Arial" w:cs="Arial" w:eastAsia="Arial" w:hAnsi="Arial"/>
                <w:sz w:val="14"/>
                <w:szCs w:val="14"/>
                <w:color w:val="auto"/>
              </w:rPr>
              <w:t>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 VOTE, MARK BLOCKS BELOW IN BLUE OR BLACK INK AS FOLLOWS:</w:t>
      </w:r>
    </w:p>
    <w:tbl>
      <w:tblPr>
        <w:tblLayout w:type="fixed"/>
        <w:tblInd w:w="80" w:type="dxa"/>
        <w:tblCellMar>
          <w:top w:w="0" w:type="dxa"/>
          <w:left w:w="0" w:type="dxa"/>
          <w:bottom w:w="0" w:type="dxa"/>
          <w:right w:w="0" w:type="dxa"/>
        </w:tblCellMar>
      </w:tblPr>
      <w:tr>
        <w:trPr>
          <w:trHeight w:val="147"/>
        </w:trPr>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40" w:type="dxa"/>
            <w:vAlign w:val="bottom"/>
          </w:tcPr>
          <w:p>
            <w:pPr>
              <w:spacing w:after="0"/>
              <w:rPr>
                <w:sz w:val="12"/>
                <w:szCs w:val="12"/>
                <w:color w:val="auto"/>
              </w:rPr>
            </w:pPr>
          </w:p>
        </w:tc>
        <w:tc>
          <w:tcPr>
            <w:tcW w:w="302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40" w:type="dxa"/>
            <w:vAlign w:val="bottom"/>
            <w:vMerge w:val="restart"/>
          </w:tcPr>
          <w:p>
            <w:pPr>
              <w:ind w:left="3980"/>
              <w:spacing w:after="0"/>
              <w:rPr>
                <w:sz w:val="20"/>
                <w:szCs w:val="20"/>
                <w:color w:val="auto"/>
              </w:rPr>
            </w:pPr>
            <w:r>
              <w:rPr>
                <w:rFonts w:ascii="Arial" w:cs="Arial" w:eastAsia="Arial" w:hAnsi="Arial"/>
                <w:sz w:val="14"/>
                <w:szCs w:val="14"/>
                <w:b w:val="1"/>
                <w:bCs w:val="1"/>
                <w:color w:val="auto"/>
                <w:w w:val="98"/>
              </w:rPr>
              <w:t>THIS PROXY CARD IS VALID ONLY WHEN SIGNED AND DATED.</w:t>
            </w:r>
          </w:p>
        </w:tc>
        <w:tc>
          <w:tcPr>
            <w:tcW w:w="302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4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8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2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82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40" w:type="dxa"/>
            <w:vAlign w:val="bottom"/>
          </w:tcPr>
          <w:p>
            <w:pPr>
              <w:ind w:left="160"/>
              <w:spacing w:after="0"/>
              <w:rPr>
                <w:sz w:val="20"/>
                <w:szCs w:val="20"/>
                <w:color w:val="auto"/>
              </w:rPr>
            </w:pPr>
            <w:r>
              <w:rPr>
                <w:rFonts w:ascii="Arial" w:cs="Arial" w:eastAsia="Arial" w:hAnsi="Arial"/>
                <w:sz w:val="14"/>
                <w:szCs w:val="14"/>
                <w:b w:val="1"/>
                <w:bCs w:val="1"/>
                <w:color w:val="auto"/>
              </w:rPr>
              <w:t>the following:</w:t>
            </w:r>
          </w:p>
        </w:tc>
        <w:tc>
          <w:tcPr>
            <w:tcW w:w="2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-603250</wp:posOffset>
            </wp:positionV>
            <wp:extent cx="7190740" cy="4695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0740" cy="46951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243" w:lineRule="exact"/>
        <w:rPr>
          <w:sz w:val="20"/>
          <w:szCs w:val="20"/>
          <w:color w:val="auto"/>
        </w:rPr>
      </w:pPr>
    </w:p>
    <w:p>
      <w:pPr>
        <w:ind w:left="600" w:hanging="268"/>
        <w:spacing w:after="0"/>
        <w:tabs>
          <w:tab w:leader="none" w:pos="6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3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1A Robert L. Clarke</w:t>
      </w:r>
    </w:p>
    <w:p>
      <w:pPr>
        <w:spacing w:after="0" w:line="29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1B Martin M. Ellen</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1C Steven R. Rowley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368" w:lineRule="exact"/>
        <w:rPr>
          <w:sz w:val="20"/>
          <w:szCs w:val="20"/>
          <w:color w:val="auto"/>
        </w:rPr>
      </w:pPr>
    </w:p>
    <w:p>
      <w:pPr>
        <w:ind w:left="520" w:hanging="188"/>
        <w:spacing w:after="0"/>
        <w:tabs>
          <w:tab w:leader="none" w:pos="5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Advisory resolution regarding the compensation of our named executive officers.</w:t>
      </w:r>
    </w:p>
    <w:p>
      <w:pPr>
        <w:spacing w:after="0" w:line="240"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4"/>
          <w:szCs w:val="14"/>
          <w:color w:val="auto"/>
        </w:rPr>
        <w:t>3  Approval of the Eagle Materials Inc. Amended and Restated Incentive Plan.</w:t>
      </w:r>
    </w:p>
    <w:p>
      <w:pPr>
        <w:spacing w:after="0" w:line="200" w:lineRule="exact"/>
        <w:rPr>
          <w:sz w:val="20"/>
          <w:szCs w:val="20"/>
          <w:color w:val="auto"/>
        </w:rPr>
      </w:pPr>
    </w:p>
    <w:p>
      <w:pPr>
        <w:spacing w:after="0" w:line="260" w:lineRule="exact"/>
        <w:rPr>
          <w:sz w:val="20"/>
          <w:szCs w:val="20"/>
          <w:color w:val="auto"/>
        </w:rPr>
      </w:pPr>
    </w:p>
    <w:p>
      <w:pPr>
        <w:ind w:left="540" w:right="260" w:hanging="208"/>
        <w:spacing w:after="0" w:line="231" w:lineRule="auto"/>
        <w:tabs>
          <w:tab w:leader="none" w:pos="50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 approve the expected appointment of Ernst &amp; Young LLP as independent auditors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68580" cy="1097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097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4"/>
        </w:trPr>
        <w:tc>
          <w:tcPr>
            <w:tcW w:w="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SHARES REPRESENTED BY THIS</w:t>
            </w: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PROXY WHEN PROPERLY EXECUTED WILL BE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w w:val="95"/>
              </w:rPr>
              <w:t>VOTED IN THE MANNER DIRECTED HEREIN BY THE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UNDERSIGNED STOCKHOLDER(S). IF NO</w:t>
            </w:r>
          </w:p>
        </w:tc>
        <w:tc>
          <w:tcPr>
            <w:tcW w:w="0" w:type="dxa"/>
            <w:vAlign w:val="bottom"/>
          </w:tcPr>
          <w:p>
            <w:pPr>
              <w:spacing w:after="0"/>
              <w:rPr>
                <w:sz w:val="1"/>
                <w:szCs w:val="1"/>
                <w:color w:val="auto"/>
              </w:rPr>
            </w:pPr>
          </w:p>
        </w:tc>
      </w:tr>
      <w:tr>
        <w:trPr>
          <w:trHeight w:val="203"/>
        </w:trPr>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3440" w:type="dxa"/>
            <w:vAlign w:val="bottom"/>
          </w:tcPr>
          <w:p>
            <w:pPr>
              <w:ind w:left="80"/>
              <w:spacing w:after="0"/>
              <w:rPr>
                <w:sz w:val="20"/>
                <w:szCs w:val="20"/>
                <w:color w:val="auto"/>
              </w:rPr>
            </w:pPr>
            <w:r>
              <w:rPr>
                <w:rFonts w:ascii="Arial" w:cs="Arial" w:eastAsia="Arial" w:hAnsi="Arial"/>
                <w:sz w:val="14"/>
                <w:szCs w:val="14"/>
                <w:color w:val="auto"/>
                <w:w w:val="97"/>
              </w:rPr>
              <w:t>DIRECTION IS MADE, THIS PROXY WILL BE VOTED</w:t>
            </w: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40" w:type="dxa"/>
            <w:vAlign w:val="bottom"/>
          </w:tcPr>
          <w:p>
            <w:pPr>
              <w:ind w:left="80"/>
              <w:spacing w:after="0" w:line="94" w:lineRule="exact"/>
              <w:rPr>
                <w:sz w:val="20"/>
                <w:szCs w:val="20"/>
                <w:color w:val="auto"/>
              </w:rPr>
            </w:pPr>
            <w:r>
              <w:rPr>
                <w:rFonts w:ascii="Arial" w:cs="Arial" w:eastAsia="Arial" w:hAnsi="Arial"/>
                <w:sz w:val="10"/>
                <w:szCs w:val="10"/>
                <w:color w:val="auto"/>
              </w:rPr>
              <w:t>FOR ITEMS 1, 2, 3 AND 4. IF ANY OTHER MATTERS</w:t>
            </w:r>
          </w:p>
        </w:tc>
        <w:tc>
          <w:tcPr>
            <w:tcW w:w="0" w:type="dxa"/>
            <w:vAlign w:val="bottom"/>
          </w:tcPr>
          <w:p>
            <w:pPr>
              <w:spacing w:after="0"/>
              <w:rPr>
                <w:sz w:val="1"/>
                <w:szCs w:val="1"/>
                <w:color w:val="auto"/>
              </w:rPr>
            </w:pPr>
          </w:p>
        </w:tc>
      </w:tr>
      <w:tr>
        <w:trPr>
          <w:trHeight w:val="149"/>
        </w:trPr>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PROPERLY COME BEFORE THE MEETING, THE</w:t>
            </w: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PROXIES NAMED IN THIS PROXY WILL VOTE IN</w:t>
            </w:r>
          </w:p>
        </w:tc>
        <w:tc>
          <w:tcPr>
            <w:tcW w:w="0" w:type="dxa"/>
            <w:vAlign w:val="bottom"/>
          </w:tcPr>
          <w:p>
            <w:pPr>
              <w:spacing w:after="0"/>
              <w:rPr>
                <w:sz w:val="1"/>
                <w:szCs w:val="1"/>
                <w:color w:val="auto"/>
              </w:rPr>
            </w:pPr>
          </w:p>
        </w:tc>
      </w:tr>
      <w:tr>
        <w:trPr>
          <w:trHeight w:val="149"/>
        </w:trPr>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w w:val="99"/>
              </w:rPr>
              <w:t>THEIR DISCRETION. BY EXECUTING THIS PROXY,</w:t>
            </w: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40" w:type="dxa"/>
            <w:vAlign w:val="bottom"/>
          </w:tcPr>
          <w:p>
            <w:pPr>
              <w:ind w:left="80"/>
              <w:spacing w:after="0" w:line="149" w:lineRule="exact"/>
              <w:rPr>
                <w:sz w:val="20"/>
                <w:szCs w:val="20"/>
                <w:color w:val="auto"/>
              </w:rPr>
            </w:pPr>
            <w:r>
              <w:rPr>
                <w:rFonts w:ascii="Arial" w:cs="Arial" w:eastAsia="Arial" w:hAnsi="Arial"/>
                <w:sz w:val="14"/>
                <w:szCs w:val="14"/>
                <w:color w:val="auto"/>
              </w:rPr>
              <w:t>THE UNDERSIGNED HEREBY REVOKES PRIOR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PROXIES RELATING TO THE MEETING.</w:t>
            </w:r>
          </w:p>
        </w:tc>
        <w:tc>
          <w:tcPr>
            <w:tcW w:w="0" w:type="dxa"/>
            <w:vAlign w:val="bottom"/>
          </w:tcPr>
          <w:p>
            <w:pPr>
              <w:spacing w:after="0"/>
              <w:rPr>
                <w:sz w:val="1"/>
                <w:szCs w:val="1"/>
                <w:color w:val="auto"/>
              </w:rPr>
            </w:pPr>
          </w:p>
        </w:tc>
      </w:tr>
      <w:tr>
        <w:trPr>
          <w:trHeight w:val="505"/>
        </w:trPr>
        <w:tc>
          <w:tcPr>
            <w:tcW w:w="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ectPr>
          <w:pgSz w:w="11900" w:h="16838" w:orient="portrait"/>
          <w:cols w:equalWidth="0" w:num="2">
            <w:col w:w="5320" w:space="320"/>
            <w:col w:w="5800"/>
          </w:cols>
          <w:pgMar w:left="240" w:top="459" w:right="219" w:bottom="1440" w:gutter="0" w:footer="0" w:header="0"/>
          <w:type w:val="continuous"/>
        </w:sectPr>
      </w:pPr>
    </w:p>
    <w:p>
      <w:pPr>
        <w:spacing w:after="0" w:line="314" w:lineRule="exact"/>
        <w:rPr>
          <w:sz w:val="20"/>
          <w:szCs w:val="20"/>
          <w:color w:val="auto"/>
        </w:rPr>
      </w:pPr>
    </w:p>
    <w:p>
      <w:pPr>
        <w:ind w:left="340" w:right="4300"/>
        <w:spacing w:after="0" w:line="22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tabs>
          <w:tab w:leader="none" w:pos="5040" w:val="left"/>
          <w:tab w:leader="none" w:pos="7260" w:val="left"/>
          <w:tab w:leader="none" w:pos="101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40"/>
          </w:cols>
          <w:pgMar w:left="240" w:top="459" w:right="2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61595</wp:posOffset>
            </wp:positionV>
            <wp:extent cx="7194550" cy="4386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438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EAGLE MATERIALS INC.</w:t>
      </w:r>
    </w:p>
    <w:p>
      <w:pPr>
        <w:spacing w:after="0" w:line="20"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THIS PROXY IS SOLICITED ON BEHALF OF</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BOARD OF DIRECTORS</w:t>
      </w:r>
    </w:p>
    <w:p>
      <w:pPr>
        <w:spacing w:after="0" w:line="200" w:lineRule="exact"/>
        <w:rPr>
          <w:sz w:val="20"/>
          <w:szCs w:val="20"/>
          <w:color w:val="auto"/>
        </w:rPr>
      </w:pPr>
    </w:p>
    <w:p>
      <w:pPr>
        <w:spacing w:after="0" w:line="350"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August 7, 2013</w:t>
      </w:r>
    </w:p>
    <w:p>
      <w:pPr>
        <w:spacing w:after="0" w:line="16" w:lineRule="exact"/>
        <w:rPr>
          <w:sz w:val="20"/>
          <w:szCs w:val="20"/>
          <w:color w:val="auto"/>
        </w:rPr>
      </w:pPr>
    </w:p>
    <w:p>
      <w:pPr>
        <w:ind w:left="660" w:right="220"/>
        <w:spacing w:after="0" w:line="302" w:lineRule="auto"/>
        <w:rPr>
          <w:sz w:val="20"/>
          <w:szCs w:val="20"/>
          <w:color w:val="auto"/>
        </w:rPr>
      </w:pPr>
      <w:r>
        <w:rPr>
          <w:rFonts w:ascii="Arial" w:cs="Arial" w:eastAsia="Arial" w:hAnsi="Arial"/>
          <w:sz w:val="15"/>
          <w:szCs w:val="15"/>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Wednesday, August 7, 2013 at Arlington Hall at Lee Park, 3333 Turtle Creek Blvd., Dallas, Texas 75219, and any adjournment or postponement thereof.</w:t>
      </w:r>
    </w:p>
    <w:p>
      <w:pPr>
        <w:spacing w:after="0" w:line="3" w:lineRule="exact"/>
        <w:rPr>
          <w:sz w:val="20"/>
          <w:szCs w:val="20"/>
          <w:color w:val="auto"/>
        </w:rPr>
      </w:pPr>
    </w:p>
    <w:p>
      <w:pPr>
        <w:ind w:left="660" w:right="440"/>
        <w:spacing w:after="0" w:line="250"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3 AND 4. THE PROXIES WILL USE THEIR DISCRETION WITH RESPECT TO ANY OTHER MATTERS THAT PROPERLY COME BEFORE THE MEETING.</w:t>
      </w:r>
    </w:p>
    <w:p>
      <w:pPr>
        <w:spacing w:after="0" w:line="2" w:lineRule="exact"/>
        <w:rPr>
          <w:sz w:val="20"/>
          <w:szCs w:val="20"/>
          <w:color w:val="auto"/>
        </w:rPr>
      </w:pPr>
    </w:p>
    <w:p>
      <w:pPr>
        <w:ind w:left="660" w:right="320"/>
        <w:spacing w:after="0" w:line="250" w:lineRule="auto"/>
        <w:rPr>
          <w:sz w:val="20"/>
          <w:szCs w:val="20"/>
          <w:color w:val="auto"/>
        </w:rPr>
      </w:pPr>
      <w:r>
        <w:rPr>
          <w:rFonts w:ascii="Arial" w:cs="Arial" w:eastAsia="Arial" w:hAnsi="Arial"/>
          <w:sz w:val="18"/>
          <w:szCs w:val="18"/>
          <w:b w:val="1"/>
          <w:bCs w:val="1"/>
          <w:color w:val="auto"/>
        </w:rPr>
        <w:t>By execution of this proxy, the undersigned hereby acknowledges receipt of the Notice of Annual Meeting and Proxy Statement for the August 7, 2013 Annual Meeting.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 address changes, please contact our transfer agent, Computershare Shareowner Services LLC, at 1-800-279-1248.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68580" cy="10979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000000"/>
                        </a:clrFrom>
                        <a:clrTo>
                          <a:srgbClr val="000000">
                            <a:alpha val="0"/>
                          </a:srgbClr>
                        </a:clrTo>
                      </a:clrChange>
                      <a:extLst>
                        <a:ext uri="{28A0092B-C50C-407E-A947-70E740481C1C}"/>
                      </a:extLst>
                    </a:blip>
                    <a:srcRect/>
                    <a:stretch>
                      <a:fillRect/>
                    </a:stretch>
                  </pic:blipFill>
                  <pic:spPr bwMode="auto">
                    <a:xfrm>
                      <a:off x="0" y="0"/>
                      <a:ext cx="68580" cy="1097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68580" cy="1097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6858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24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lvl w:ilvl="1">
      <w:lvlJc w:val="left"/>
      <w:lvlText w:val="%2)"/>
      <w:numFmt w:val="decimal"/>
      <w:start w:val="1"/>
    </w:lvl>
  </w:abstractNum>
  <w:abstractNum w:abstractNumId="5">
    <w:nsid w:val="542289EC"/>
    <w:multiLevelType w:val="hybridMultilevel"/>
    <w:lvl w:ilvl="0">
      <w:lvlJc w:val="left"/>
      <w:lvlText w:val="%1)"/>
      <w:numFmt w:val="decimal"/>
      <w:start w:val="4"/>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2"/>
    </w:lvl>
  </w:abstractNum>
  <w:abstractNum w:abstractNumId="9">
    <w:nsid w:val="32FFF902"/>
    <w:multiLevelType w:val="hybridMultilevel"/>
    <w:lvl w:ilvl="0">
      <w:lvlJc w:val="left"/>
      <w:lvlText w:val="(%1)"/>
      <w:numFmt w:val="decimal"/>
      <w:start w:val="3"/>
    </w:lvl>
  </w:abstractNum>
  <w:abstractNum w:abstractNumId="10">
    <w:nsid w:val="684A481A"/>
    <w:multiLevelType w:val="hybridMultilevel"/>
    <w:lvl w:ilvl="0">
      <w:lvlJc w:val="left"/>
      <w:lvlText w:val="(%1)"/>
      <w:numFmt w:val="decimal"/>
      <w:start w:val="4"/>
    </w:lvl>
  </w:abstractNum>
  <w:abstractNum w:abstractNumId="11">
    <w:nsid w:val="579478FE"/>
    <w:multiLevelType w:val="hybridMultilevel"/>
    <w:lvl w:ilvl="0">
      <w:lvlJc w:val="left"/>
      <w:lvlText w:val="(%1)"/>
      <w:numFmt w:val="decimal"/>
      <w:start w:val="5"/>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lvl w:ilvl="1">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lvl w:ilvl="1">
      <w:lvlJc w:val="left"/>
      <w:lvlText w:val="•"/>
      <w:numFmt w:val="bullet"/>
      <w:start w:val="1"/>
    </w:lvl>
  </w:abstractNum>
  <w:abstractNum w:abstractNumId="27">
    <w:nsid w:val="180115BE"/>
    <w:multiLevelType w:val="hybridMultilevel"/>
    <w:lvl w:ilvl="0">
      <w:lvlJc w:val="left"/>
      <w:lvlText w:val="(%1)"/>
      <w:numFmt w:val="decimal"/>
      <w:start w:val="2"/>
    </w:lvl>
    <w:lvl w:ilvl="1">
      <w:lvlJc w:val="left"/>
      <w:lvlText w:val="•"/>
      <w:numFmt w:val="bullet"/>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
    </w:lvl>
    <w:lvl w:ilvl="1">
      <w:lvlJc w:val="left"/>
      <w:lvlText w:val="•"/>
      <w:numFmt w:val="bullet"/>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4"/>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5"/>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7"/>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lvl w:ilvl="1">
      <w:lvlJc w:val="left"/>
      <w:lvlText w:val="%2."/>
      <w:numFmt w:val="lowerLetter"/>
      <w:start w:val="1"/>
    </w:lvl>
  </w:abstractNum>
  <w:abstractNum w:abstractNumId="50">
    <w:nsid w:val="6590700B"/>
    <w:multiLevelType w:val="hybridMultilevel"/>
    <w:lvl w:ilvl="0">
      <w:lvlJc w:val="left"/>
      <w:lvlText w:val="%1."/>
      <w:numFmt w:val="lowerLetter"/>
      <w:start w:val="4"/>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7"/>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3">
    <w:nsid w:val="51D9C56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Roman"/>
      <w:start w:val="3"/>
    </w:lvl>
  </w:abstractNum>
  <w:abstractNum w:abstractNumId="64">
    <w:nsid w:val="613EFDC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lvl w:ilvl="3">
      <w:lvlJc w:val="left"/>
      <w:lvlText w:val="%4"/>
      <w:numFmt w:val="lowerRoman"/>
      <w:start w:val="1"/>
    </w:lvl>
  </w:abstractNum>
  <w:abstractNum w:abstractNumId="65">
    <w:nsid w:val="BF72B14"/>
    <w:multiLevelType w:val="hybridMultilevel"/>
    <w:lvl w:ilvl="0">
      <w:lvlJc w:val="left"/>
      <w:lvlText w:val="%1."/>
      <w:numFmt w:val="decimal"/>
      <w:start w:val="6"/>
    </w:lvl>
    <w:lvl w:ilvl="1">
      <w:lvlJc w:val="left"/>
      <w:lvlText w:val="(%2)"/>
      <w:numFmt w:val="lowerRoman"/>
    </w:lvl>
    <w:lvl w:ilvl="2">
      <w:lvlJc w:val="left"/>
      <w:lvlText w:val="(%3)"/>
      <w:numFmt w:val="lowerLetter"/>
      <w:start w:val="1"/>
    </w:lvl>
    <w:lvl w:ilvl="3">
      <w:lvlJc w:val="left"/>
      <w:lvlText w:val="%4"/>
      <w:numFmt w:val="lowerRoman"/>
      <w:start w:val="1"/>
    </w:lvl>
  </w:abstractNum>
  <w:abstractNum w:abstractNumId="66">
    <w:nsid w:val="11447B73"/>
    <w:multiLevelType w:val="hybridMultilevel"/>
    <w:lvl w:ilvl="0">
      <w:lvlJc w:val="left"/>
      <w:lvlText w:val="%1"/>
      <w:numFmt w:val="decimal"/>
      <w:start w:val="1"/>
    </w:lvl>
    <w:lvl w:ilvl="1">
      <w:lvlJc w:val="left"/>
      <w:lvlText w:val="(%2)"/>
      <w:numFmt w:val="lowerRoman"/>
      <w:start w:val="6"/>
    </w:lvl>
    <w:lvl w:ilvl="2">
      <w:lvlJc w:val="left"/>
      <w:lvlText w:val="(%3)"/>
      <w:numFmt w:val="lowerLetter"/>
      <w:start w:val="2"/>
    </w:lvl>
    <w:lvl w:ilvl="3">
      <w:lvlJc w:val="left"/>
      <w:lvlText w:val="%4"/>
      <w:numFmt w:val="lowerRoman"/>
      <w:start w:val="1"/>
    </w:lvl>
  </w:abstractNum>
  <w:abstractNum w:abstractNumId="67">
    <w:nsid w:val="42963E5A"/>
    <w:multiLevelType w:val="hybridMultilevel"/>
    <w:lvl w:ilvl="0">
      <w:lvlJc w:val="left"/>
      <w:lvlText w:val="%1."/>
      <w:numFmt w:val="decimal"/>
      <w:start w:val="7"/>
    </w:lvl>
  </w:abstractNum>
  <w:abstractNum w:abstractNumId="68">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8F2B15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0">
    <w:nsid w:val="1A32234B"/>
    <w:multiLevelType w:val="hybridMultilevel"/>
    <w:lvl w:ilvl="0">
      <w:lvlJc w:val="left"/>
      <w:lvlText w:val="%1"/>
      <w:numFmt w:val="lowerRoman"/>
      <w:start w:val="1"/>
    </w:lvl>
    <w:lvl w:ilvl="1">
      <w:lvlJc w:val="left"/>
      <w:lvlText w:val="(%2)"/>
      <w:numFmt w:val="upperLetter"/>
      <w:start w:val="1"/>
    </w:lvl>
  </w:abstractNum>
  <w:abstractNum w:abstractNumId="71">
    <w:nsid w:val="3B0FD379"/>
    <w:multiLevelType w:val="hybridMultilevel"/>
    <w:lvl w:ilvl="0">
      <w:lvlJc w:val="left"/>
      <w:lvlText w:val="(%1)"/>
      <w:numFmt w:val="lowerRoman"/>
      <w:start w:val="3"/>
    </w:lvl>
    <w:lvl w:ilvl="1">
      <w:lvlJc w:val="left"/>
      <w:lvlText w:val="%2"/>
      <w:numFmt w:val="upperLetter"/>
      <w:start w:val="1"/>
    </w:lvl>
  </w:abstractNum>
  <w:abstractNum w:abstractNumId="72">
    <w:nsid w:val="68EB2F63"/>
    <w:multiLevelType w:val="hybridMultilevel"/>
    <w:lvl w:ilvl="0">
      <w:lvlJc w:val="left"/>
      <w:lvlText w:val="(%1)"/>
      <w:numFmt w:val="lowerRoman"/>
      <w:start w:val="4"/>
    </w:lvl>
    <w:lvl w:ilvl="1">
      <w:lvlJc w:val="left"/>
      <w:lvlText w:val="(%2)"/>
      <w:numFmt w:val="upperLetter"/>
      <w:start w:val="1"/>
    </w:lvl>
  </w:abstractNum>
  <w:abstractNum w:abstractNumId="73">
    <w:nsid w:val="4962813B"/>
    <w:multiLevelType w:val="hybridMultilevel"/>
    <w:lvl w:ilvl="0">
      <w:lvlJc w:val="left"/>
      <w:lvlText w:val="(%1)"/>
      <w:numFmt w:val="lowerLetter"/>
      <w:start w:val="2"/>
    </w:lvl>
    <w:lvl w:ilvl="1">
      <w:lvlJc w:val="left"/>
      <w:lvlText w:val="(%2)"/>
      <w:numFmt w:val="lowerLetter"/>
      <w:start w:val="9"/>
    </w:lvl>
  </w:abstractNum>
  <w:abstractNum w:abstractNumId="74">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6">
    <w:nsid w:val="1433062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7">
    <w:nsid w:val="7FFFCA11"/>
    <w:multiLevelType w:val="hybridMultilevel"/>
    <w:lvl w:ilvl="0">
      <w:lvlJc w:val="left"/>
      <w:lvlText w:val="%1"/>
      <w:numFmt w:val="lowerLetter"/>
      <w:start w:val="1"/>
    </w:lvl>
    <w:lvl w:ilvl="1">
      <w:lvlJc w:val="left"/>
      <w:lvlText w:val="%2."/>
      <w:numFmt w:val="decimal"/>
      <w:start w:val="11"/>
    </w:lvl>
    <w:lvl w:ilvl="2">
      <w:lvlJc w:val="left"/>
      <w:lvlText w:val="%3"/>
      <w:numFmt w:val="decimal"/>
      <w:start w:val="1"/>
    </w:lvl>
    <w:lvl w:ilvl="3">
      <w:lvlJc w:val="left"/>
      <w:lvlText w:val="%4"/>
      <w:numFmt w:val="lowerLetter"/>
      <w:start w:val="1"/>
    </w:lvl>
  </w:abstractNum>
  <w:abstractNum w:abstractNumId="78">
    <w:nsid w:val="1A27709E"/>
    <w:multiLevelType w:val="hybridMultilevel"/>
    <w:lvl w:ilvl="0">
      <w:lvlJc w:val="left"/>
      <w:lvlText w:val="(%1)"/>
      <w:numFmt w:val="lowerLetter"/>
      <w:start w:val="6"/>
    </w:lvl>
    <w:lvl w:ilvl="1">
      <w:lvlJc w:val="left"/>
      <w:lvlText w:val="%2."/>
      <w:numFmt w:val="decimal"/>
      <w:start w:val="12"/>
    </w:lvl>
    <w:lvl w:ilvl="2">
      <w:lvlJc w:val="left"/>
      <w:lvlText w:val="%3"/>
      <w:numFmt w:val="decimal"/>
      <w:start w:val="1"/>
    </w:lvl>
    <w:lvl w:ilvl="3">
      <w:lvlJc w:val="left"/>
      <w:lvlText w:val="%4"/>
      <w:numFmt w:val="lowerLetter"/>
      <w:start w:val="1"/>
    </w:lvl>
  </w:abstractNum>
  <w:abstractNum w:abstractNumId="79">
    <w:nsid w:val="71EA1109"/>
    <w:multiLevelType w:val="hybridMultilevel"/>
    <w:lvl w:ilvl="0">
      <w:lvlJc w:val="left"/>
      <w:lvlText w:val="(%1)"/>
      <w:numFmt w:val="lowerLetter"/>
      <w:start w:val="35"/>
    </w:lvl>
    <w:lvl w:ilvl="1">
      <w:lvlJc w:val="left"/>
      <w:lvlText w:val="%2."/>
      <w:numFmt w:val="decimal"/>
      <w:start w:val="14"/>
    </w:lvl>
    <w:lvl w:ilvl="2">
      <w:lvlJc w:val="left"/>
      <w:lvlText w:val="(%3)"/>
      <w:numFmt w:val="decimal"/>
      <w:start w:val="4"/>
    </w:lvl>
    <w:lvl w:ilvl="3">
      <w:lvlJc w:val="left"/>
      <w:lvlText w:val="(%4)"/>
      <w:numFmt w:val="lowerLetter"/>
      <w:start w:val="1"/>
    </w:lvl>
  </w:abstractNum>
  <w:abstractNum w:abstractNumId="80">
    <w:nsid w:val="100F59DC"/>
    <w:multiLevelType w:val="hybridMultilevel"/>
    <w:lvl w:ilvl="0">
      <w:lvlJc w:val="left"/>
      <w:lvlText w:val="%1"/>
      <w:numFmt w:val="decimal"/>
      <w:start w:val="1"/>
    </w:lvl>
    <w:lvl w:ilvl="1">
      <w:lvlJc w:val="left"/>
      <w:lvlText w:val="(%2)"/>
      <w:numFmt w:val="lowerLetter"/>
      <w:start w:val="3"/>
    </w:lvl>
  </w:abstractNum>
  <w:abstractNum w:abstractNumId="81">
    <w:nsid w:val="7FB7E0AA"/>
    <w:multiLevelType w:val="hybridMultilevel"/>
    <w:lvl w:ilvl="0">
      <w:lvlJc w:val="left"/>
      <w:lvlText w:val="%1."/>
      <w:numFmt w:val="decimal"/>
      <w:start w:val="16"/>
    </w:lvl>
    <w:lvl w:ilvl="1">
      <w:lvlJc w:val="left"/>
      <w:lvlText w:val="(%2)"/>
      <w:numFmt w:val="lowerLetter"/>
      <w:start w:val="1"/>
    </w:lvl>
  </w:abstractNum>
  <w:abstractNum w:abstractNumId="82">
    <w:nsid w:val="6EB5BD4"/>
    <w:multiLevelType w:val="hybridMultilevel"/>
    <w:lvl w:ilvl="0">
      <w:lvlJc w:val="left"/>
      <w:lvlText w:val="%1"/>
      <w:numFmt w:val="decimal"/>
      <w:start w:val="1"/>
    </w:lvl>
    <w:lvl w:ilvl="1">
      <w:lvlJc w:val="left"/>
      <w:lvlText w:val="(%2)"/>
      <w:numFmt w:val="lowerLetter"/>
      <w:start w:val="2"/>
    </w:lvl>
  </w:abstractNum>
  <w:abstractNum w:abstractNumId="83">
    <w:nsid w:val="6F6DD9AC"/>
    <w:multiLevelType w:val="hybridMultilevel"/>
    <w:lvl w:ilvl="0">
      <w:lvlJc w:val="left"/>
      <w:lvlText w:val="%1."/>
      <w:numFmt w:val="decimal"/>
      <w:start w:val="21"/>
    </w:lvl>
    <w:lvl w:ilvl="1">
      <w:lvlJc w:val="left"/>
      <w:lvlText w:val="%2"/>
      <w:numFmt w:val="lowerLetter"/>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2"/>
      <w:numFmt w:val="bullet"/>
      <w:start w:val="1"/>
    </w:lvl>
  </w:abstractNum>
  <w:abstractNum w:abstractNumId="86">
    <w:nsid w:val="7627211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2019-12-06T10:58:21Z</dcterms:created>
  <dcterms:modified xsi:type="dcterms:W3CDTF">2019-12-06T10:58:21Z</dcterms:modified>
</cp:coreProperties>
</file>