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2024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8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4"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ind w:left="5000" w:right="2240" w:hanging="4991"/>
        <w:spacing w:after="0" w:line="2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7060" w:type="dxa"/>
            <w:vAlign w:val="bottom"/>
            <w:gridSpan w:val="3"/>
          </w:tcPr>
          <w:p>
            <w:pPr>
              <w:spacing w:after="0"/>
              <w:rPr>
                <w:sz w:val="20"/>
                <w:szCs w:val="20"/>
                <w:color w:val="auto"/>
              </w:rPr>
            </w:pPr>
            <w:r>
              <w:rPr>
                <w:rFonts w:ascii="Arial" w:cs="Arial" w:eastAsia="Arial" w:hAnsi="Arial"/>
                <w:sz w:val="18"/>
                <w:szCs w:val="18"/>
                <w:color w:val="auto"/>
              </w:rPr>
              <w:t>As of October 25, 2024, the number of outstanding shares of common stock was:</w:t>
            </w:r>
          </w:p>
        </w:tc>
        <w:tc>
          <w:tcPr>
            <w:tcW w:w="4180" w:type="dxa"/>
            <w:vAlign w:val="bottom"/>
          </w:tcPr>
          <w:p>
            <w:pPr>
              <w:spacing w:after="0"/>
              <w:rPr>
                <w:sz w:val="20"/>
                <w:szCs w:val="20"/>
                <w:color w:val="auto"/>
              </w:rPr>
            </w:pPr>
          </w:p>
        </w:tc>
      </w:tr>
      <w:tr>
        <w:trPr>
          <w:trHeight w:val="280"/>
        </w:trPr>
        <w:tc>
          <w:tcPr>
            <w:tcW w:w="70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99"/>
              </w:rPr>
              <w:t>Class</w:t>
            </w:r>
          </w:p>
        </w:tc>
        <w:tc>
          <w:tcPr>
            <w:tcW w:w="41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9"/>
              </w:rPr>
              <w:t>Outstanding Shares</w:t>
            </w:r>
          </w:p>
        </w:tc>
      </w:tr>
      <w:tr>
        <w:trPr>
          <w:trHeight w:val="232"/>
        </w:trPr>
        <w:tc>
          <w:tcPr>
            <w:tcW w:w="5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$.01 Par Value</w:t>
            </w: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180" w:type="dxa"/>
            <w:vAlign w:val="bottom"/>
            <w:tcBorders>
              <w:top w:val="single" w:sz="8" w:color="auto"/>
            </w:tcBorders>
          </w:tcPr>
          <w:p>
            <w:pPr>
              <w:jc w:val="right"/>
              <w:ind w:right="2210"/>
              <w:spacing w:after="0"/>
              <w:rPr>
                <w:sz w:val="20"/>
                <w:szCs w:val="20"/>
                <w:color w:val="auto"/>
              </w:rPr>
            </w:pPr>
            <w:r>
              <w:rPr>
                <w:rFonts w:ascii="Arial" w:cs="Arial" w:eastAsia="Arial" w:hAnsi="Arial"/>
                <w:sz w:val="18"/>
                <w:szCs w:val="18"/>
                <w:color w:val="auto"/>
              </w:rPr>
              <w:t>33,543,406</w:t>
            </w:r>
          </w:p>
        </w:tc>
      </w:tr>
      <w:tr>
        <w:trPr>
          <w:trHeight w:val="79"/>
        </w:trPr>
        <w:tc>
          <w:tcPr>
            <w:tcW w:w="5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180" w:type="dxa"/>
            <w:vAlign w:val="bottom"/>
            <w:tcBorders>
              <w:bottom w:val="single" w:sz="8" w:color="auto"/>
            </w:tcBorders>
          </w:tcPr>
          <w:p>
            <w:pPr>
              <w:spacing w:after="0"/>
              <w:rPr>
                <w:sz w:val="6"/>
                <w:szCs w:val="6"/>
                <w:color w:val="auto"/>
              </w:rPr>
            </w:pPr>
          </w:p>
        </w:tc>
      </w:tr>
      <w:tr>
        <w:trPr>
          <w:trHeight w:val="1303"/>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00" w:type="dxa"/>
            <w:vAlign w:val="bottom"/>
            <w:gridSpan w:val="18"/>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9500" w:type="dxa"/>
            <w:vAlign w:val="bottom"/>
            <w:gridSpan w:val="18"/>
            <w:vMerge w:val="continue"/>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Arial" w:cs="Arial" w:eastAsia="Arial" w:hAnsi="Arial"/>
                <w:sz w:val="18"/>
                <w:szCs w:val="18"/>
                <w:color w:val="auto"/>
              </w:rPr>
              <w:t>Consolidated Statements of Earnings for the Three and Six Months Ended September 30, 2024 and 2023</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Arial" w:cs="Arial" w:eastAsia="Arial" w:hAnsi="Arial"/>
                <w:sz w:val="18"/>
                <w:szCs w:val="18"/>
                <w:color w:val="auto"/>
              </w:rPr>
              <w:t>Consolidated Statements of Comprehensive Earnings for the Three and Six Months Ended September 30, 2024 and</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Borders>
              <w:top w:val="single" w:sz="8" w:color="0000EE"/>
            </w:tcBorders>
            <w:gridSpan w:val="2"/>
          </w:tcPr>
          <w:p>
            <w:pPr>
              <w:jc w:val="right"/>
              <w:ind w:right="20"/>
              <w:spacing w:after="0"/>
              <w:rPr>
                <w:sz w:val="20"/>
                <w:szCs w:val="20"/>
                <w:color w:val="auto"/>
              </w:rPr>
            </w:pPr>
            <w:r>
              <w:rPr>
                <w:rFonts w:ascii="Arial" w:cs="Arial" w:eastAsia="Arial" w:hAnsi="Arial"/>
                <w:sz w:val="18"/>
                <w:szCs w:val="18"/>
                <w:color w:val="auto"/>
              </w:rPr>
              <w:t>2023</w:t>
            </w:r>
          </w:p>
        </w:tc>
        <w:tc>
          <w:tcPr>
            <w:tcW w:w="3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3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w w:val="99"/>
              </w:rPr>
              <w:t>Consolidated Balance Sheets as of September 30, 2024 and March 31, 2024</w:t>
            </w:r>
          </w:p>
        </w:tc>
        <w:tc>
          <w:tcPr>
            <w:tcW w:w="33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Arial" w:cs="Arial" w:eastAsia="Arial" w:hAnsi="Arial"/>
                <w:sz w:val="18"/>
                <w:szCs w:val="18"/>
                <w:color w:val="auto"/>
              </w:rPr>
              <w:t>Consolidated Statements of Cash Flows for the Three and Six Months Ended September 30, 2024 and 2023</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auto"/>
                <w:w w:val="99"/>
              </w:rPr>
              <w:t>Consolidated Statements of Stockholders' Equity for the Three and Six Months Ended September 30, 2024 and 2023</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514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00" w:type="dxa"/>
            <w:vAlign w:val="bottom"/>
            <w:gridSpan w:val="1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3"/>
          </w:tcPr>
          <w:p>
            <w:pPr>
              <w:spacing w:after="0"/>
              <w:rPr>
                <w:sz w:val="24"/>
                <w:szCs w:val="24"/>
                <w:color w:val="auto"/>
              </w:rPr>
            </w:pPr>
          </w:p>
        </w:tc>
        <w:tc>
          <w:tcPr>
            <w:tcW w:w="24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8"/>
              </w:rPr>
              <w:t>Controls and Procedures</w:t>
            </w:r>
          </w:p>
        </w:tc>
        <w:tc>
          <w:tcPr>
            <w:tcW w:w="75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940" w:type="dxa"/>
            <w:vAlign w:val="bottom"/>
            <w:tcBorders>
              <w:bottom w:val="single" w:sz="8" w:color="auto"/>
            </w:tcBorders>
            <w:gridSpan w:val="8"/>
          </w:tcPr>
          <w:p>
            <w:pPr>
              <w:spacing w:after="0"/>
              <w:rPr>
                <w:sz w:val="20"/>
                <w:szCs w:val="20"/>
                <w:color w:val="auto"/>
              </w:rPr>
            </w:pPr>
            <w:r>
              <w:rPr>
                <w:rFonts w:ascii="Arial" w:cs="Arial" w:eastAsia="Arial" w:hAnsi="Arial"/>
                <w:sz w:val="20"/>
                <w:szCs w:val="20"/>
                <w:b w:val="1"/>
                <w:bCs w:val="1"/>
                <w:color w:val="auto"/>
                <w:w w:val="97"/>
              </w:rPr>
              <w:t>PART II. OTHER INFORMATION</w:t>
            </w:r>
          </w:p>
        </w:tc>
        <w:tc>
          <w:tcPr>
            <w:tcW w:w="76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7"/>
              </w:rPr>
              <w:t>Legal Proceedings</w:t>
            </w:r>
          </w:p>
        </w:tc>
        <w:tc>
          <w:tcPr>
            <w:tcW w:w="80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00" w:type="dxa"/>
            <w:vAlign w:val="bottom"/>
            <w:gridSpan w:val="18"/>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6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00" w:type="dxa"/>
            <w:vAlign w:val="bottom"/>
            <w:gridSpan w:val="18"/>
          </w:tcPr>
          <w:p>
            <w:pPr>
              <w:spacing w:after="0"/>
              <w:rPr>
                <w:sz w:val="20"/>
                <w:szCs w:val="20"/>
                <w:color w:val="auto"/>
              </w:rPr>
            </w:pPr>
            <w:r>
              <w:rPr>
                <w:rFonts w:ascii="Arial" w:cs="Arial" w:eastAsia="Arial" w:hAnsi="Arial"/>
                <w:sz w:val="18"/>
                <w:szCs w:val="18"/>
                <w:color w:val="auto"/>
              </w:rPr>
              <w:t>Mine Safety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Other Information</w:t>
            </w:r>
          </w:p>
        </w:tc>
        <w:tc>
          <w:tcPr>
            <w:tcW w:w="76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5"/>
              </w:rPr>
              <w:t>Exhibits</w:t>
            </w:r>
          </w:p>
        </w:tc>
        <w:tc>
          <w:tcPr>
            <w:tcW w:w="760" w:type="dxa"/>
            <w:vAlign w:val="bottom"/>
            <w:tcBorders>
              <w:top w:val="single" w:sz="8" w:color="0000EE"/>
            </w:tcBorders>
            <w:gridSpan w:val="2"/>
          </w:tcPr>
          <w:p>
            <w:pPr>
              <w:spacing w:after="0"/>
              <w:rPr>
                <w:sz w:val="24"/>
                <w:szCs w:val="24"/>
                <w:color w:val="auto"/>
              </w:rPr>
            </w:pPr>
          </w:p>
        </w:tc>
        <w:tc>
          <w:tcPr>
            <w:tcW w:w="812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71"/>
        </w:trPr>
        <w:tc>
          <w:tcPr>
            <w:tcW w:w="20" w:type="dxa"/>
            <w:vAlign w:val="bottom"/>
            <w:tcBorders>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2820" w:type="dxa"/>
            <w:vAlign w:val="bottom"/>
            <w:gridSpan w:val="7"/>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272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85"/>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80" w:type="dxa"/>
            <w:vAlign w:val="bottom"/>
            <w:tcBorders>
              <w:bottom w:val="single" w:sz="8" w:color="004483"/>
            </w:tcBorders>
          </w:tcPr>
          <w:p>
            <w:pPr>
              <w:spacing w:after="0"/>
              <w:rPr>
                <w:sz w:val="16"/>
                <w:szCs w:val="16"/>
                <w:color w:val="auto"/>
              </w:rPr>
            </w:pPr>
          </w:p>
        </w:tc>
        <w:tc>
          <w:tcPr>
            <w:tcW w:w="3200" w:type="dxa"/>
            <w:vAlign w:val="bottom"/>
            <w:tcBorders>
              <w:bottom w:val="single" w:sz="8" w:color="004483"/>
            </w:tcBorders>
            <w:gridSpan w:val="10"/>
          </w:tcPr>
          <w:p>
            <w:pPr>
              <w:spacing w:after="0"/>
              <w:rPr>
                <w:sz w:val="20"/>
                <w:szCs w:val="20"/>
                <w:color w:val="auto"/>
              </w:rPr>
            </w:pPr>
            <w:r>
              <w:rPr>
                <w:rFonts w:ascii="Arial" w:cs="Arial" w:eastAsia="Arial" w:hAnsi="Arial"/>
                <w:sz w:val="13"/>
                <w:szCs w:val="13"/>
                <w:color w:val="auto"/>
                <w:w w:val="99"/>
              </w:rPr>
              <w:t>(dollars in thousands, except share and per share data)</w:t>
            </w:r>
          </w:p>
        </w:tc>
        <w:tc>
          <w:tcPr>
            <w:tcW w:w="26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5320" w:type="dxa"/>
            <w:vAlign w:val="bottom"/>
          </w:tcPr>
          <w:p>
            <w:pPr>
              <w:ind w:left="200"/>
              <w:spacing w:after="0"/>
              <w:rPr>
                <w:sz w:val="20"/>
                <w:szCs w:val="20"/>
                <w:color w:val="auto"/>
              </w:rPr>
            </w:pPr>
            <w:r>
              <w:rPr>
                <w:rFonts w:ascii="Arial" w:cs="Arial" w:eastAsia="Arial" w:hAnsi="Arial"/>
                <w:sz w:val="16"/>
                <w:szCs w:val="16"/>
                <w:color w:val="004483"/>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623,619</w:t>
            </w:r>
          </w:p>
        </w:tc>
        <w:tc>
          <w:tcPr>
            <w:tcW w:w="80" w:type="dxa"/>
            <w:vAlign w:val="bottom"/>
          </w:tcPr>
          <w:p>
            <w:pPr>
              <w:spacing w:after="0"/>
              <w:rPr>
                <w:sz w:val="19"/>
                <w:szCs w:val="19"/>
                <w:color w:val="auto"/>
              </w:rPr>
            </w:pPr>
          </w:p>
        </w:tc>
        <w:tc>
          <w:tcPr>
            <w:tcW w:w="4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622,236</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1,232,308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1,223,757</w:t>
            </w:r>
          </w:p>
        </w:tc>
        <w:tc>
          <w:tcPr>
            <w:tcW w:w="100" w:type="dxa"/>
            <w:vAlign w:val="bottom"/>
          </w:tcPr>
          <w:p>
            <w:pPr>
              <w:spacing w:after="0"/>
              <w:rPr>
                <w:sz w:val="19"/>
                <w:szCs w:val="19"/>
                <w:color w:val="auto"/>
              </w:rPr>
            </w:pPr>
          </w:p>
        </w:tc>
      </w:tr>
      <w:tr>
        <w:trPr>
          <w:trHeight w:val="237"/>
        </w:trPr>
        <w:tc>
          <w:tcPr>
            <w:tcW w:w="53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120" w:type="dxa"/>
            <w:vAlign w:val="bottom"/>
            <w:tcBorders>
              <w:top w:val="single" w:sz="8" w:color="A6A6A6"/>
              <w:bottom w:val="single" w:sz="8" w:color="004483"/>
            </w:tcBorders>
          </w:tcPr>
          <w:p>
            <w:pPr>
              <w:spacing w:after="0"/>
              <w:rPr>
                <w:sz w:val="20"/>
                <w:szCs w:val="20"/>
                <w:color w:val="auto"/>
              </w:rPr>
            </w:pPr>
          </w:p>
        </w:tc>
        <w:tc>
          <w:tcPr>
            <w:tcW w:w="11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419,775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28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413,218</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841,596</w:t>
            </w:r>
          </w:p>
        </w:tc>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260" w:type="dxa"/>
            <w:vAlign w:val="bottom"/>
            <w:tcBorders>
              <w:top w:val="single" w:sz="8" w:color="A6A6A6"/>
              <w:bottom w:val="single" w:sz="8" w:color="004483"/>
            </w:tcBorders>
          </w:tcPr>
          <w:p>
            <w:pPr>
              <w:spacing w:after="0"/>
              <w:rPr>
                <w:sz w:val="20"/>
                <w:szCs w:val="20"/>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838,744</w:t>
            </w:r>
          </w:p>
        </w:tc>
        <w:tc>
          <w:tcPr>
            <w:tcW w:w="100" w:type="dxa"/>
            <w:vAlign w:val="bottom"/>
          </w:tcPr>
          <w:p>
            <w:pPr>
              <w:spacing w:after="0"/>
              <w:rPr>
                <w:sz w:val="20"/>
                <w:szCs w:val="20"/>
                <w:color w:val="auto"/>
              </w:rPr>
            </w:pPr>
          </w:p>
        </w:tc>
      </w:tr>
      <w:tr>
        <w:trPr>
          <w:trHeight w:val="222"/>
        </w:trPr>
        <w:tc>
          <w:tcPr>
            <w:tcW w:w="53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203,844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209,018</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390,712</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385,013</w:t>
            </w:r>
          </w:p>
        </w:tc>
        <w:tc>
          <w:tcPr>
            <w:tcW w:w="100" w:type="dxa"/>
            <w:vAlign w:val="bottom"/>
          </w:tcPr>
          <w:p>
            <w:pPr>
              <w:spacing w:after="0"/>
              <w:rPr>
                <w:sz w:val="19"/>
                <w:szCs w:val="19"/>
                <w:color w:val="auto"/>
              </w:rPr>
            </w:pPr>
          </w:p>
        </w:tc>
      </w:tr>
      <w:tr>
        <w:trPr>
          <w:trHeight w:val="223"/>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9,276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13,505</w:t>
            </w:r>
          </w:p>
        </w:tc>
        <w:tc>
          <w:tcPr>
            <w:tcW w:w="100" w:type="dxa"/>
            <w:vAlign w:val="bottom"/>
          </w:tcPr>
          <w:p>
            <w:pPr>
              <w:spacing w:after="0"/>
              <w:rPr>
                <w:sz w:val="19"/>
                <w:szCs w:val="19"/>
                <w:color w:val="auto"/>
              </w:rPr>
            </w:pPr>
          </w:p>
        </w:tc>
      </w:tr>
      <w:tr>
        <w:trPr>
          <w:trHeight w:val="223"/>
        </w:trPr>
        <w:tc>
          <w:tcPr>
            <w:tcW w:w="532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(17,879 )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(16,576 )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(33,528 )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(28,255 )</w:t>
            </w:r>
          </w:p>
        </w:tc>
      </w:tr>
      <w:tr>
        <w:trPr>
          <w:trHeight w:val="223"/>
        </w:trPr>
        <w:tc>
          <w:tcPr>
            <w:tcW w:w="53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12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9"/>
                <w:szCs w:val="19"/>
                <w:color w:val="auto"/>
              </w:rPr>
            </w:pPr>
          </w:p>
        </w:tc>
      </w:tr>
      <w:tr>
        <w:trPr>
          <w:trHeight w:val="238"/>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Interest Expense, net</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(10,714</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(10,204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(21,398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(22,443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532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185,251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194,189</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356,185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349,638</w:t>
            </w:r>
          </w:p>
        </w:tc>
        <w:tc>
          <w:tcPr>
            <w:tcW w:w="100" w:type="dxa"/>
            <w:vAlign w:val="bottom"/>
          </w:tcPr>
          <w:p>
            <w:pPr>
              <w:spacing w:after="0"/>
              <w:rPr>
                <w:sz w:val="19"/>
                <w:szCs w:val="19"/>
                <w:color w:val="auto"/>
              </w:rPr>
            </w:pPr>
          </w:p>
        </w:tc>
      </w:tr>
      <w:tr>
        <w:trPr>
          <w:trHeight w:val="238"/>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(41,731</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2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(43,636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(78,823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26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(78,236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320" w:type="dxa"/>
            <w:vAlign w:val="bottom"/>
          </w:tcPr>
          <w:p>
            <w:pPr>
              <w:ind w:left="380"/>
              <w:spacing w:after="0"/>
              <w:rPr>
                <w:sz w:val="20"/>
                <w:szCs w:val="20"/>
                <w:color w:val="auto"/>
              </w:rPr>
            </w:pPr>
            <w:r>
              <w:rPr>
                <w:rFonts w:ascii="Arial" w:cs="Arial" w:eastAsia="Arial" w:hAnsi="Arial"/>
                <w:sz w:val="16"/>
                <w:szCs w:val="16"/>
                <w:b w:val="1"/>
                <w:bCs w:val="1"/>
                <w:color w:val="auto"/>
              </w:rPr>
              <w:t>Net Earnings</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143,520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150,553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277,362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271,402</w:t>
            </w:r>
          </w:p>
        </w:tc>
        <w:tc>
          <w:tcPr>
            <w:tcW w:w="100" w:type="dxa"/>
            <w:vAlign w:val="bottom"/>
          </w:tcPr>
          <w:p>
            <w:pPr>
              <w:spacing w:after="0"/>
              <w:rPr>
                <w:sz w:val="18"/>
                <w:szCs w:val="18"/>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1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Basic</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6A6A6"/>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9"/>
                <w:szCs w:val="19"/>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9"/>
                <w:szCs w:val="19"/>
                <w:color w:val="auto"/>
              </w:rPr>
            </w:pPr>
          </w:p>
        </w:tc>
      </w:tr>
      <w:tr>
        <w:trPr>
          <w:trHeight w:val="223"/>
        </w:trPr>
        <w:tc>
          <w:tcPr>
            <w:tcW w:w="532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9"/>
                <w:szCs w:val="19"/>
                <w:color w:val="auto"/>
              </w:rPr>
            </w:pPr>
          </w:p>
        </w:tc>
        <w:tc>
          <w:tcPr>
            <w:tcW w:w="4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9"/>
                <w:szCs w:val="19"/>
                <w:color w:val="auto"/>
              </w:rPr>
            </w:pPr>
          </w:p>
        </w:tc>
      </w:tr>
      <w:tr>
        <w:trPr>
          <w:trHeight w:val="221"/>
        </w:trPr>
        <w:tc>
          <w:tcPr>
            <w:tcW w:w="5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12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1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320" w:type="dxa"/>
            <w:vAlign w:val="bottom"/>
          </w:tcPr>
          <w:p>
            <w:pPr>
              <w:ind w:left="200"/>
              <w:spacing w:after="0"/>
              <w:rPr>
                <w:sz w:val="20"/>
                <w:szCs w:val="20"/>
                <w:color w:val="auto"/>
              </w:rPr>
            </w:pPr>
            <w:r>
              <w:rPr>
                <w:rFonts w:ascii="Arial" w:cs="Arial" w:eastAsia="Arial" w:hAnsi="Arial"/>
                <w:sz w:val="16"/>
                <w:szCs w:val="16"/>
                <w:color w:val="004483"/>
              </w:rPr>
              <w:t>Basic</w:t>
            </w: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33,431,315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35,056,973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33,581,970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004483"/>
            </w:tcBorders>
          </w:tcPr>
          <w:p>
            <w:pPr>
              <w:spacing w:after="0"/>
              <w:rPr>
                <w:sz w:val="18"/>
                <w:szCs w:val="18"/>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35,165,268</w:t>
            </w:r>
          </w:p>
        </w:tc>
        <w:tc>
          <w:tcPr>
            <w:tcW w:w="100" w:type="dxa"/>
            <w:vAlign w:val="bottom"/>
          </w:tcPr>
          <w:p>
            <w:pPr>
              <w:spacing w:after="0"/>
              <w:rPr>
                <w:sz w:val="18"/>
                <w:szCs w:val="18"/>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120" w:type="dxa"/>
            <w:vAlign w:val="bottom"/>
            <w:tcBorders>
              <w:bottom w:val="single" w:sz="8" w:color="004483"/>
            </w:tcBorders>
          </w:tcPr>
          <w:p>
            <w:pPr>
              <w:spacing w:after="0"/>
              <w:rPr>
                <w:sz w:val="17"/>
                <w:szCs w:val="17"/>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33,716,036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35,336,966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33,853,703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004483"/>
            </w:tcBorders>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35,433,837</w:t>
            </w:r>
          </w:p>
        </w:tc>
        <w:tc>
          <w:tcPr>
            <w:tcW w:w="100" w:type="dxa"/>
            <w:vAlign w:val="bottom"/>
          </w:tcPr>
          <w:p>
            <w:pPr>
              <w:spacing w:after="0"/>
              <w:rPr>
                <w:sz w:val="17"/>
                <w:szCs w:val="17"/>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004483"/>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0.50</w:t>
            </w:r>
          </w:p>
        </w:tc>
        <w:tc>
          <w:tcPr>
            <w:tcW w:w="100" w:type="dxa"/>
            <w:vAlign w:val="bottom"/>
          </w:tcPr>
          <w:p>
            <w:pPr>
              <w:spacing w:after="0"/>
              <w:rPr>
                <w:sz w:val="17"/>
                <w:szCs w:val="17"/>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6"/>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8"/>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500" w:type="dxa"/>
            <w:vAlign w:val="bottom"/>
            <w:tcBorders>
              <w:bottom w:val="single" w:sz="8" w:color="004483"/>
            </w:tcBorders>
            <w:gridSpan w:val="6"/>
          </w:tcPr>
          <w:p>
            <w:pPr>
              <w:jc w:val="right"/>
              <w:ind w:right="83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143,520</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277,362</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271,402</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Tax Expense</w:t>
            </w: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8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143,565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150,601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277,452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271,498</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6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September 30,</w:t>
            </w: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8120" w:type="dxa"/>
            <w:vAlign w:val="bottom"/>
          </w:tcPr>
          <w:p>
            <w:pPr>
              <w:spacing w:after="0"/>
              <w:rPr>
                <w:sz w:val="13"/>
                <w:szCs w:val="13"/>
                <w:color w:val="auto"/>
              </w:rPr>
            </w:pPr>
          </w:p>
        </w:tc>
        <w:tc>
          <w:tcPr>
            <w:tcW w:w="2260" w:type="dxa"/>
            <w:vAlign w:val="bottom"/>
          </w:tcPr>
          <w:p>
            <w:pPr>
              <w:jc w:val="right"/>
              <w:ind w:right="837"/>
              <w:spacing w:after="0"/>
              <w:rPr>
                <w:sz w:val="20"/>
                <w:szCs w:val="20"/>
                <w:color w:val="auto"/>
              </w:rPr>
            </w:pPr>
            <w:r>
              <w:rPr>
                <w:rFonts w:ascii="Arial" w:cs="Arial" w:eastAsia="Arial" w:hAnsi="Arial"/>
                <w:sz w:val="13"/>
                <w:szCs w:val="13"/>
                <w:b w:val="1"/>
                <w:bCs w:val="1"/>
                <w:color w:val="auto"/>
              </w:rPr>
              <w:t>2024</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8120" w:type="dxa"/>
            <w:vAlign w:val="bottom"/>
            <w:tcBorders>
              <w:bottom w:val="single" w:sz="8" w:color="004483"/>
            </w:tcBorders>
          </w:tcPr>
          <w:p>
            <w:pPr>
              <w:spacing w:after="0"/>
              <w:rPr>
                <w:sz w:val="16"/>
                <w:szCs w:val="16"/>
                <w:color w:val="auto"/>
              </w:rPr>
            </w:pPr>
          </w:p>
        </w:tc>
        <w:tc>
          <w:tcPr>
            <w:tcW w:w="2260" w:type="dxa"/>
            <w:vAlign w:val="bottom"/>
            <w:tcBorders>
              <w:bottom w:val="single" w:sz="8" w:color="004483"/>
            </w:tcBorders>
          </w:tcPr>
          <w:p>
            <w:pPr>
              <w:jc w:val="right"/>
              <w:ind w:right="97"/>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09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26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80" w:type="dxa"/>
            <w:vAlign w:val="bottom"/>
            <w:tcBorders>
              <w:top w:val="single" w:sz="8" w:color="A6A6A6"/>
              <w:bottom w:val="single" w:sz="8" w:color="A6A6A6"/>
            </w:tcBorders>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93,909</w:t>
            </w:r>
          </w:p>
        </w:tc>
      </w:tr>
      <w:tr>
        <w:trPr>
          <w:trHeight w:val="209"/>
        </w:trPr>
        <w:tc>
          <w:tcPr>
            <w:tcW w:w="5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246,349</w:t>
            </w:r>
          </w:p>
        </w:tc>
      </w:tr>
      <w:tr>
        <w:trPr>
          <w:trHeight w:val="209"/>
        </w:trPr>
        <w:tc>
          <w:tcPr>
            <w:tcW w:w="548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8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375,602</w:t>
            </w:r>
          </w:p>
        </w:tc>
      </w:tr>
      <w:tr>
        <w:trPr>
          <w:trHeight w:val="209"/>
        </w:trPr>
        <w:tc>
          <w:tcPr>
            <w:tcW w:w="548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26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34,925</w:t>
            </w:r>
          </w:p>
        </w:tc>
      </w:tr>
      <w:tr>
        <w:trPr>
          <w:trHeight w:val="209"/>
        </w:trPr>
        <w:tc>
          <w:tcPr>
            <w:tcW w:w="6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202,985</w:t>
            </w:r>
          </w:p>
        </w:tc>
      </w:tr>
      <w:tr>
        <w:trPr>
          <w:trHeight w:val="209"/>
        </w:trPr>
        <w:tc>
          <w:tcPr>
            <w:tcW w:w="60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373,923</w:t>
            </w:r>
          </w:p>
        </w:tc>
      </w:tr>
      <w:tr>
        <w:trPr>
          <w:trHeight w:val="209"/>
        </w:trPr>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-727075</wp:posOffset>
            </wp:positionV>
            <wp:extent cx="968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wp:posOffset>
            </wp:positionV>
            <wp:extent cx="968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9500" w:space="100"/>
            <w:col w:w="1640"/>
          </w:cols>
          <w:pgMar w:left="320" w:top="109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5151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026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12,115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74395" cy="2540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730,449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4395" cy="2540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1,724,288</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130,685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17,316</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489,232</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74395" cy="26035"/>
                    </a:xfrm>
                    <a:prstGeom prst="rect">
                      <a:avLst/>
                    </a:prstGeom>
                    <a:noFill/>
                  </pic:spPr>
                </pic:pic>
              </a:graphicData>
            </a:graphic>
          </wp:anchor>
        </w:drawing>
      </w:r>
    </w:p>
    <w:p>
      <w:pPr>
        <w:spacing w:after="0" w:line="53" w:lineRule="exact"/>
        <w:rPr>
          <w:sz w:val="20"/>
          <w:szCs w:val="20"/>
          <w:color w:val="auto"/>
        </w:rPr>
      </w:pPr>
    </w:p>
    <w:p>
      <w:pPr>
        <w:ind w:left="625" w:hanging="625"/>
        <w:spacing w:after="0"/>
        <w:tabs>
          <w:tab w:leader="none" w:pos="62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3,121,803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20955</wp:posOffset>
            </wp:positionV>
            <wp:extent cx="874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38100</wp:posOffset>
            </wp:positionV>
            <wp:extent cx="874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5,950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627,693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1,676,217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113,478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486,117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8375" cy="26035"/>
                    </a:xfrm>
                    <a:prstGeom prst="rect">
                      <a:avLst/>
                    </a:prstGeom>
                    <a:noFill/>
                  </pic:spPr>
                </pic:pic>
              </a:graphicData>
            </a:graphic>
          </wp:anchor>
        </w:drawing>
      </w:r>
    </w:p>
    <w:p>
      <w:pPr>
        <w:spacing w:after="0" w:line="53" w:lineRule="exact"/>
        <w:rPr>
          <w:sz w:val="20"/>
          <w:szCs w:val="20"/>
          <w:color w:val="auto"/>
        </w:rPr>
      </w:pPr>
    </w:p>
    <w:p>
      <w:pPr>
        <w:ind w:left="605" w:hanging="605"/>
        <w:spacing w:after="0"/>
        <w:tabs>
          <w:tab w:leader="none" w:pos="60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183515</wp:posOffset>
            </wp:positionV>
            <wp:extent cx="968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3">
            <w:col w:w="7415" w:space="720"/>
            <w:col w:w="1345" w:space="315"/>
            <w:col w:w="1445"/>
          </w:cols>
          <w:pgMar w:left="320" w:top="109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Accounts Payable</w:t>
            </w:r>
          </w:p>
        </w:tc>
        <w:tc>
          <w:tcPr>
            <w:tcW w:w="380" w:type="dxa"/>
            <w:vAlign w:val="bottom"/>
            <w:tcBorders>
              <w:top w:val="single" w:sz="8" w:color="A6A6A6"/>
              <w:bottom w:val="single" w:sz="8" w:color="A6A6A6"/>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131,411</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Accrued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95,337</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6,029</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Income Taxes Payable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69,450</w:t>
            </w:r>
          </w:p>
        </w:tc>
        <w:tc>
          <w:tcPr>
            <w:tcW w:w="60" w:type="dxa"/>
            <w:vAlign w:val="bottom"/>
          </w:tcPr>
          <w:p>
            <w:pPr>
              <w:spacing w:after="0"/>
              <w:rPr>
                <w:sz w:val="18"/>
                <w:szCs w:val="18"/>
                <w:color w:val="auto"/>
              </w:rPr>
            </w:pPr>
          </w:p>
        </w:tc>
      </w:tr>
      <w:tr>
        <w:trPr>
          <w:trHeight w:val="237"/>
        </w:trPr>
        <w:tc>
          <w:tcPr>
            <w:tcW w:w="8120" w:type="dxa"/>
            <w:vAlign w:val="bottom"/>
            <w:tcBorders>
              <w:bottom w:val="single" w:sz="8" w:color="A3A3A3"/>
            </w:tcBorders>
            <w:gridSpan w:val="2"/>
          </w:tcPr>
          <w:p>
            <w:pPr>
              <w:ind w:left="200"/>
              <w:spacing w:after="0"/>
              <w:rPr>
                <w:sz w:val="20"/>
                <w:szCs w:val="20"/>
                <w:color w:val="auto"/>
              </w:rPr>
            </w:pPr>
            <w:r>
              <w:rPr>
                <w:rFonts w:ascii="Arial" w:cs="Arial" w:eastAsia="Arial" w:hAnsi="Arial"/>
                <w:sz w:val="16"/>
                <w:szCs w:val="16"/>
                <w:color w:val="004483"/>
              </w:rPr>
              <w:t>Current Portion of Long-term Debt</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0"/>
                <w:szCs w:val="20"/>
                <w:color w:val="auto"/>
              </w:rPr>
            </w:pPr>
          </w:p>
        </w:tc>
      </w:tr>
      <w:tr>
        <w:trPr>
          <w:trHeight w:val="209"/>
        </w:trPr>
        <w:tc>
          <w:tcPr>
            <w:tcW w:w="812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Current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312,227</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Long-term Debt</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1,063,933</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17,628</w:t>
            </w:r>
          </w:p>
        </w:tc>
        <w:tc>
          <w:tcPr>
            <w:tcW w:w="60" w:type="dxa"/>
            <w:vAlign w:val="bottom"/>
          </w:tcPr>
          <w:p>
            <w:pPr>
              <w:spacing w:after="0"/>
              <w:rPr>
                <w:sz w:val="18"/>
                <w:szCs w:val="18"/>
                <w:color w:val="auto"/>
              </w:rPr>
            </w:pPr>
          </w:p>
        </w:tc>
      </w:tr>
      <w:tr>
        <w:trPr>
          <w:trHeight w:val="209"/>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Long-term Liabilities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50,633</w:t>
            </w:r>
          </w:p>
        </w:tc>
        <w:tc>
          <w:tcPr>
            <w:tcW w:w="60" w:type="dxa"/>
            <w:vAlign w:val="bottom"/>
          </w:tcPr>
          <w:p>
            <w:pPr>
              <w:spacing w:after="0"/>
              <w:rPr>
                <w:sz w:val="18"/>
                <w:szCs w:val="18"/>
                <w:color w:val="auto"/>
              </w:rPr>
            </w:pPr>
          </w:p>
        </w:tc>
      </w:tr>
      <w:tr>
        <w:trPr>
          <w:trHeight w:val="237"/>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Deferred Income Taxes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245,733</w:t>
            </w:r>
          </w:p>
        </w:tc>
        <w:tc>
          <w:tcPr>
            <w:tcW w:w="60" w:type="dxa"/>
            <w:vAlign w:val="bottom"/>
          </w:tcPr>
          <w:p>
            <w:pPr>
              <w:spacing w:after="0"/>
              <w:rPr>
                <w:sz w:val="20"/>
                <w:szCs w:val="20"/>
                <w:color w:val="auto"/>
              </w:rPr>
            </w:pPr>
          </w:p>
        </w:tc>
      </w:tr>
      <w:tr>
        <w:trPr>
          <w:trHeight w:val="237"/>
        </w:trPr>
        <w:tc>
          <w:tcPr>
            <w:tcW w:w="812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Liabilities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1,690,154</w:t>
            </w:r>
          </w:p>
        </w:tc>
        <w:tc>
          <w:tcPr>
            <w:tcW w:w="60" w:type="dxa"/>
            <w:vAlign w:val="bottom"/>
          </w:tcPr>
          <w:p>
            <w:pPr>
              <w:spacing w:after="0"/>
              <w:rPr>
                <w:sz w:val="20"/>
                <w:szCs w:val="20"/>
                <w:color w:val="auto"/>
              </w:rPr>
            </w:pPr>
          </w:p>
        </w:tc>
      </w:tr>
      <w:tr>
        <w:trPr>
          <w:trHeight w:val="209"/>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Stockholders’ Equity</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183"/>
        </w:trPr>
        <w:tc>
          <w:tcPr>
            <w:tcW w:w="8120" w:type="dxa"/>
            <w:vAlign w:val="bottom"/>
            <w:gridSpan w:val="2"/>
          </w:tcPr>
          <w:p>
            <w:pPr>
              <w:ind w:left="200"/>
              <w:spacing w:after="0" w:line="183" w:lineRule="exact"/>
              <w:rPr>
                <w:sz w:val="20"/>
                <w:szCs w:val="20"/>
                <w:color w:val="auto"/>
              </w:rPr>
            </w:pPr>
            <w:r>
              <w:rPr>
                <w:rFonts w:ascii="Arial" w:cs="Arial" w:eastAsia="Arial" w:hAnsi="Arial"/>
                <w:sz w:val="16"/>
                <w:szCs w:val="16"/>
                <w:color w:val="004483"/>
              </w:rPr>
              <w:t>Common Stock, Par Value $0.01; Authorized 100,000,000 Shares;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8120" w:type="dxa"/>
            <w:vAlign w:val="bottom"/>
            <w:tcBorders>
              <w:bottom w:val="single" w:sz="8" w:color="A6A6A6"/>
            </w:tcBorders>
            <w:gridSpan w:val="2"/>
          </w:tcPr>
          <w:p>
            <w:pPr>
              <w:ind w:left="340"/>
              <w:spacing w:after="0"/>
              <w:rPr>
                <w:sz w:val="20"/>
                <w:szCs w:val="20"/>
                <w:color w:val="auto"/>
              </w:rPr>
            </w:pPr>
            <w:r>
              <w:rPr>
                <w:rFonts w:ascii="Arial" w:cs="Arial" w:eastAsia="Arial" w:hAnsi="Arial"/>
                <w:sz w:val="16"/>
                <w:szCs w:val="16"/>
                <w:color w:val="004483"/>
              </w:rPr>
              <w:t>Issued and Outstanding 33,539,154 and 34,143,945 Shares, respectively</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335</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Capital in Excess of Par Value</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10"/>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(3,283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81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Retained Earnings</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1,434,597</w:t>
            </w:r>
          </w:p>
        </w:tc>
        <w:tc>
          <w:tcPr>
            <w:tcW w:w="60" w:type="dxa"/>
            <w:vAlign w:val="bottom"/>
          </w:tcPr>
          <w:p>
            <w:pPr>
              <w:spacing w:after="0"/>
              <w:rPr>
                <w:sz w:val="20"/>
                <w:szCs w:val="20"/>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004483"/>
              </w:rPr>
              <w:t>Total Stockholders’ Equity</w:t>
            </w:r>
          </w:p>
        </w:tc>
        <w:tc>
          <w:tcPr>
            <w:tcW w:w="380" w:type="dxa"/>
            <w:vAlign w:val="bottom"/>
            <w:tcBorders>
              <w:bottom w:val="single" w:sz="8" w:color="004483"/>
            </w:tcBorders>
          </w:tcPr>
          <w:p>
            <w:pPr>
              <w:spacing w:after="0"/>
              <w:rPr>
                <w:sz w:val="20"/>
                <w:szCs w:val="20"/>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1,431,649</w:t>
            </w:r>
          </w:p>
        </w:tc>
        <w:tc>
          <w:tcPr>
            <w:tcW w:w="60" w:type="dxa"/>
            <w:vAlign w:val="bottom"/>
          </w:tcPr>
          <w:p>
            <w:pPr>
              <w:spacing w:after="0"/>
              <w:rPr>
                <w:sz w:val="20"/>
                <w:szCs w:val="20"/>
                <w:color w:val="auto"/>
              </w:rPr>
            </w:pPr>
          </w:p>
        </w:tc>
      </w:tr>
      <w:tr>
        <w:trPr>
          <w:trHeight w:val="210"/>
        </w:trPr>
        <w:tc>
          <w:tcPr>
            <w:tcW w:w="7940" w:type="dxa"/>
            <w:vAlign w:val="bottom"/>
            <w:tcBorders>
              <w:top w:val="single" w:sz="8" w:color="A6A6A6"/>
            </w:tcBorders>
          </w:tcPr>
          <w:p>
            <w:pPr>
              <w:ind w:left="380"/>
              <w:spacing w:after="0"/>
              <w:rPr>
                <w:sz w:val="20"/>
                <w:szCs w:val="20"/>
                <w:color w:val="auto"/>
              </w:rPr>
            </w:pPr>
            <w:r>
              <w:rPr>
                <w:rFonts w:ascii="Arial" w:cs="Arial" w:eastAsia="Arial" w:hAnsi="Arial"/>
                <w:sz w:val="16"/>
                <w:szCs w:val="16"/>
                <w:color w:val="004483"/>
              </w:rPr>
              <w:t>Total Liabilities and Stockholders’ Equity</w:t>
            </w:r>
          </w:p>
        </w:tc>
        <w:tc>
          <w:tcPr>
            <w:tcW w:w="180" w:type="dxa"/>
            <w:vAlign w:val="bottom"/>
          </w:tcPr>
          <w:p>
            <w:pPr>
              <w:spacing w:after="0"/>
              <w:rPr>
                <w:sz w:val="18"/>
                <w:szCs w:val="18"/>
                <w:color w:val="auto"/>
              </w:rPr>
            </w:pPr>
          </w:p>
        </w:tc>
        <w:tc>
          <w:tcPr>
            <w:tcW w:w="380" w:type="dxa"/>
            <w:vAlign w:val="bottom"/>
            <w:tcBorders>
              <w:top w:val="single" w:sz="8" w:color="004483"/>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3,121,803</w:t>
            </w:r>
          </w:p>
        </w:tc>
        <w:tc>
          <w:tcPr>
            <w:tcW w:w="6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45" w:hanging="745"/>
        <w:spacing w:after="0"/>
        <w:tabs>
          <w:tab w:leader="none" w:pos="745" w:val="left"/>
        </w:tabs>
        <w:numPr>
          <w:ilvl w:val="0"/>
          <w:numId w:val="4"/>
        </w:numPr>
        <w:rPr>
          <w:rFonts w:ascii="Arial" w:cs="Arial" w:eastAsia="Arial" w:hAnsi="Arial"/>
          <w:sz w:val="16"/>
          <w:szCs w:val="16"/>
          <w:color w:val="auto"/>
        </w:rPr>
      </w:pPr>
      <w:r>
        <w:rPr>
          <w:rFonts w:ascii="Arial" w:cs="Arial" w:eastAsia="Arial" w:hAnsi="Arial"/>
          <w:sz w:val="16"/>
          <w:szCs w:val="16"/>
          <w:color w:val="auto"/>
        </w:rPr>
        <w:t>127,183</w:t>
      </w:r>
    </w:p>
    <w:p>
      <w:pPr>
        <w:spacing w:after="0" w:line="45"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6"/>
          <w:szCs w:val="16"/>
          <w:color w:val="auto"/>
        </w:rPr>
        <w:t>94,327</w:t>
      </w:r>
    </w:p>
    <w:p>
      <w:pPr>
        <w:spacing w:after="0" w:line="45"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7,899</w:t>
      </w:r>
    </w:p>
    <w:p>
      <w:pPr>
        <w:spacing w:after="0" w:line="45"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w:t>
      </w:r>
    </w:p>
    <w:p>
      <w:pPr>
        <w:spacing w:after="0" w:line="45"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-707390</wp:posOffset>
            </wp:positionV>
            <wp:extent cx="968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-561340</wp:posOffset>
            </wp:positionV>
            <wp:extent cx="968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-415925</wp:posOffset>
            </wp:positionV>
            <wp:extent cx="968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-269875</wp:posOffset>
            </wp:positionV>
            <wp:extent cx="968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-124460</wp:posOffset>
            </wp:positionV>
            <wp:extent cx="8572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239,409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1,083,299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244,797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ind w:left="605"/>
        <w:spacing w:after="0"/>
        <w:rPr>
          <w:sz w:val="20"/>
          <w:szCs w:val="20"/>
          <w:color w:val="auto"/>
        </w:rPr>
      </w:pPr>
      <w:r>
        <w:rPr>
          <w:rFonts w:ascii="Arial" w:cs="Arial" w:eastAsia="Arial" w:hAnsi="Arial"/>
          <w:sz w:val="16"/>
          <w:szCs w:val="16"/>
          <w:color w:val="auto"/>
        </w:rPr>
        <w:t>1,638,484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8375"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183515</wp:posOffset>
            </wp:positionV>
            <wp:extent cx="96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82"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15" w:lineRule="exact"/>
        <w:rPr>
          <w:sz w:val="20"/>
          <w:szCs w:val="20"/>
          <w:color w:val="auto"/>
        </w:rPr>
      </w:pPr>
    </w:p>
    <w:p>
      <w:pPr>
        <w:ind w:left="1045"/>
        <w:spacing w:after="0"/>
        <w:rPr>
          <w:sz w:val="20"/>
          <w:szCs w:val="20"/>
          <w:color w:val="auto"/>
        </w:rPr>
      </w:pPr>
      <w:r>
        <w:rPr>
          <w:rFonts w:ascii="Arial" w:cs="Arial" w:eastAsia="Arial" w:hAnsi="Arial"/>
          <w:sz w:val="16"/>
          <w:szCs w:val="16"/>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ind w:left="116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(3,373 )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6" w:lineRule="exact"/>
        <w:rPr>
          <w:sz w:val="20"/>
          <w:szCs w:val="20"/>
          <w:color w:val="auto"/>
        </w:rPr>
      </w:pPr>
    </w:p>
    <w:p>
      <w:pPr>
        <w:ind w:left="625"/>
        <w:spacing w:after="0"/>
        <w:rPr>
          <w:sz w:val="20"/>
          <w:szCs w:val="20"/>
          <w:color w:val="auto"/>
        </w:rPr>
      </w:pPr>
      <w:r>
        <w:rPr>
          <w:rFonts w:ascii="Arial" w:cs="Arial" w:eastAsia="Arial" w:hAnsi="Arial"/>
          <w:sz w:val="16"/>
          <w:szCs w:val="16"/>
          <w:color w:val="auto"/>
        </w:rPr>
        <w:t>1,311,567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wp:posOffset>
            </wp:positionV>
            <wp:extent cx="96837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53" w:lineRule="exact"/>
        <w:rPr>
          <w:sz w:val="20"/>
          <w:szCs w:val="20"/>
          <w:color w:val="auto"/>
        </w:rPr>
      </w:pPr>
    </w:p>
    <w:p>
      <w:pPr>
        <w:ind w:left="605"/>
        <w:spacing w:after="0"/>
        <w:rPr>
          <w:sz w:val="20"/>
          <w:szCs w:val="20"/>
          <w:color w:val="auto"/>
        </w:rPr>
      </w:pPr>
      <w:r>
        <w:rPr>
          <w:rFonts w:ascii="Arial" w:cs="Arial" w:eastAsia="Arial" w:hAnsi="Arial"/>
          <w:sz w:val="16"/>
          <w:szCs w:val="16"/>
          <w:color w:val="auto"/>
        </w:rPr>
        <w:t>1,308,535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572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25400"/>
                    </a:xfrm>
                    <a:prstGeom prst="rect">
                      <a:avLst/>
                    </a:prstGeom>
                    <a:noFill/>
                  </pic:spPr>
                </pic:pic>
              </a:graphicData>
            </a:graphic>
          </wp:anchor>
        </w:drawing>
      </w:r>
    </w:p>
    <w:p>
      <w:pPr>
        <w:spacing w:after="0" w:line="53" w:lineRule="exact"/>
        <w:rPr>
          <w:sz w:val="20"/>
          <w:szCs w:val="20"/>
          <w:color w:val="auto"/>
        </w:rPr>
      </w:pPr>
    </w:p>
    <w:p>
      <w:pPr>
        <w:ind w:left="605" w:hanging="605"/>
        <w:spacing w:after="0"/>
        <w:tabs>
          <w:tab w:leader="none" w:pos="60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2,947,019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8572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857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9560" w:space="235"/>
            <w:col w:w="1445"/>
          </w:cols>
          <w:pgMar w:left="320" w:top="1093"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340" w:type="dxa"/>
            <w:vAlign w:val="bottom"/>
            <w:shd w:val="clear" w:color="auto" w:fill="004483"/>
          </w:tcPr>
          <w:p>
            <w:pPr>
              <w:spacing w:after="0"/>
              <w:rPr>
                <w:sz w:val="14"/>
                <w:szCs w:val="14"/>
                <w:color w:val="auto"/>
              </w:rPr>
            </w:pPr>
          </w:p>
        </w:tc>
        <w:tc>
          <w:tcPr>
            <w:tcW w:w="3400" w:type="dxa"/>
            <w:vAlign w:val="bottom"/>
            <w:gridSpan w:val="6"/>
            <w:shd w:val="clear" w:color="auto" w:fill="004483"/>
          </w:tcPr>
          <w:p>
            <w:pPr>
              <w:jc w:val="right"/>
              <w:ind w:right="619"/>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58"/>
        </w:trPr>
        <w:tc>
          <w:tcPr>
            <w:tcW w:w="7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500" w:type="dxa"/>
            <w:vAlign w:val="bottom"/>
            <w:tcBorders>
              <w:bottom w:val="single" w:sz="8" w:color="004483"/>
            </w:tcBorders>
          </w:tcPr>
          <w:p>
            <w:pPr>
              <w:spacing w:after="0"/>
              <w:rPr>
                <w:sz w:val="16"/>
                <w:szCs w:val="16"/>
                <w:color w:val="auto"/>
              </w:rPr>
            </w:pPr>
          </w:p>
        </w:tc>
        <w:tc>
          <w:tcPr>
            <w:tcW w:w="340" w:type="dxa"/>
            <w:vAlign w:val="bottom"/>
            <w:tcBorders>
              <w:bottom w:val="single" w:sz="8" w:color="004483"/>
            </w:tcBorders>
          </w:tcPr>
          <w:p>
            <w:pPr>
              <w:spacing w:after="0"/>
              <w:rPr>
                <w:sz w:val="16"/>
                <w:szCs w:val="16"/>
                <w:color w:val="auto"/>
              </w:rPr>
            </w:pPr>
          </w:p>
        </w:tc>
        <w:tc>
          <w:tcPr>
            <w:tcW w:w="2360" w:type="dxa"/>
            <w:vAlign w:val="bottom"/>
            <w:tcBorders>
              <w:bottom w:val="single" w:sz="8" w:color="004483"/>
            </w:tcBorders>
            <w:gridSpan w:val="4"/>
          </w:tcPr>
          <w:p>
            <w:pPr>
              <w:jc w:val="right"/>
              <w:ind w:right="199"/>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40" w:type="dxa"/>
            <w:vAlign w:val="bottom"/>
            <w:tcBorders>
              <w:bottom w:val="single" w:sz="8" w:color="A6A6A6"/>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277,362</w:t>
            </w:r>
          </w:p>
        </w:tc>
        <w:tc>
          <w:tcPr>
            <w:tcW w:w="120" w:type="dxa"/>
            <w:vAlign w:val="bottom"/>
          </w:tcPr>
          <w:p>
            <w:pPr>
              <w:spacing w:after="0"/>
              <w:rPr>
                <w:sz w:val="18"/>
                <w:szCs w:val="18"/>
                <w:color w:val="auto"/>
              </w:rPr>
            </w:pPr>
          </w:p>
        </w:tc>
        <w:tc>
          <w:tcPr>
            <w:tcW w:w="900" w:type="dxa"/>
            <w:vAlign w:val="bottom"/>
            <w:tcBorders>
              <w:bottom w:val="single" w:sz="8" w:color="A6A6A6"/>
            </w:tcBorders>
            <w:gridSpan w:val="2"/>
          </w:tcPr>
          <w:p>
            <w:pPr>
              <w:jc w:val="right"/>
              <w:ind w:right="5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271,402</w:t>
            </w:r>
          </w:p>
        </w:tc>
        <w:tc>
          <w:tcPr>
            <w:tcW w:w="100" w:type="dxa"/>
            <w:vAlign w:val="bottom"/>
          </w:tcPr>
          <w:p>
            <w:pPr>
              <w:spacing w:after="0"/>
              <w:rPr>
                <w:sz w:val="18"/>
                <w:szCs w:val="18"/>
                <w:color w:val="auto"/>
              </w:rPr>
            </w:pP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6"/>
                <w:szCs w:val="16"/>
                <w:color w:val="004483"/>
              </w:rPr>
              <w:t>Adjustments to Reconcile Net Earnings to Net Cash Provided</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77,427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73,879</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6,826</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9,403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10,999</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(43,364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(42,398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3,763</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3,996</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(16,279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 Payable (Receivable)</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74,000</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8,310</w:t>
            </w:r>
          </w:p>
        </w:tc>
        <w:tc>
          <w:tcPr>
            <w:tcW w:w="100" w:type="dxa"/>
            <w:vAlign w:val="bottom"/>
          </w:tcPr>
          <w:p>
            <w:pPr>
              <w:spacing w:after="0"/>
              <w:rPr>
                <w:sz w:val="20"/>
                <w:szCs w:val="20"/>
                <w:color w:val="auto"/>
              </w:rPr>
            </w:pPr>
          </w:p>
        </w:tc>
      </w:tr>
      <w:tr>
        <w:trPr>
          <w:trHeight w:val="237"/>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365,898</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312,839</w:t>
            </w:r>
          </w:p>
        </w:tc>
        <w:tc>
          <w:tcPr>
            <w:tcW w:w="100" w:type="dxa"/>
            <w:vAlign w:val="bottom"/>
          </w:tcPr>
          <w:p>
            <w:pPr>
              <w:spacing w:after="0"/>
              <w:rPr>
                <w:sz w:val="20"/>
                <w:szCs w:val="20"/>
                <w:color w:val="auto"/>
              </w:rPr>
            </w:pP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(99,605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(65,453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(24,881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(55,053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(124,486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(120,506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Borrowings Under Revolving Credit Facility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Borrowings Under Revolving Credit Facility</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(146,176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(151,321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2,205</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11,469</w:t>
            </w:r>
          </w:p>
        </w:tc>
        <w:tc>
          <w:tcPr>
            <w:tcW w:w="100" w:type="dxa"/>
            <w:vAlign w:val="bottom"/>
          </w:tcPr>
          <w:p>
            <w:pPr>
              <w:spacing w:after="0"/>
              <w:rPr>
                <w:sz w:val="18"/>
                <w:szCs w:val="18"/>
                <w:color w:val="auto"/>
              </w:rPr>
            </w:pPr>
          </w:p>
        </w:tc>
      </w:tr>
      <w:tr>
        <w:trPr>
          <w:trHeight w:val="237"/>
        </w:trPr>
        <w:tc>
          <w:tcPr>
            <w:tcW w:w="7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5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(182,428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(160,254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tcBorders>
              <w:bottom w:val="single" w:sz="8" w:color="A6A6A6"/>
            </w:tcBorders>
          </w:tcPr>
          <w:p>
            <w:pPr>
              <w:spacing w:after="0"/>
              <w:rPr>
                <w:sz w:val="18"/>
                <w:szCs w:val="18"/>
                <w:color w:val="auto"/>
              </w:rPr>
            </w:pPr>
          </w:p>
        </w:tc>
        <w:tc>
          <w:tcPr>
            <w:tcW w:w="1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58,984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tcPr>
          <w:p>
            <w:pPr>
              <w:spacing w:after="0"/>
              <w:rPr>
                <w:sz w:val="18"/>
                <w:szCs w:val="18"/>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32,079</w:t>
            </w:r>
          </w:p>
        </w:tc>
        <w:tc>
          <w:tcPr>
            <w:tcW w:w="100" w:type="dxa"/>
            <w:vAlign w:val="bottom"/>
          </w:tcPr>
          <w:p>
            <w:pPr>
              <w:spacing w:after="0"/>
              <w:rPr>
                <w:sz w:val="18"/>
                <w:szCs w:val="18"/>
                <w:color w:val="auto"/>
              </w:rPr>
            </w:pPr>
          </w:p>
        </w:tc>
      </w:tr>
      <w:tr>
        <w:trPr>
          <w:trHeight w:val="236"/>
        </w:trPr>
        <w:tc>
          <w:tcPr>
            <w:tcW w:w="75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340" w:type="dxa"/>
            <w:vAlign w:val="bottom"/>
            <w:tcBorders>
              <w:bottom w:val="single" w:sz="8" w:color="004483"/>
            </w:tcBorders>
          </w:tcPr>
          <w:p>
            <w:pPr>
              <w:spacing w:after="0"/>
              <w:rPr>
                <w:sz w:val="20"/>
                <w:szCs w:val="20"/>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34,925</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20" w:type="dxa"/>
            <w:vAlign w:val="bottom"/>
            <w:tcBorders>
              <w:bottom w:val="single" w:sz="8" w:color="004483"/>
            </w:tcBorders>
          </w:tcPr>
          <w:p>
            <w:pPr>
              <w:spacing w:after="0"/>
              <w:rPr>
                <w:sz w:val="20"/>
                <w:szCs w:val="20"/>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20"/>
                <w:szCs w:val="20"/>
                <w:color w:val="auto"/>
              </w:rPr>
            </w:pPr>
          </w:p>
        </w:tc>
      </w:tr>
      <w:tr>
        <w:trPr>
          <w:trHeight w:val="21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40" w:type="dxa"/>
            <w:vAlign w:val="bottom"/>
            <w:tcBorders>
              <w:bottom w:val="single" w:sz="8" w:color="004483"/>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93,909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004483"/>
            </w:tcBorders>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47,321</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7"/>
        </w:trPr>
        <w:tc>
          <w:tcPr>
            <w:tcW w:w="508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4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1,188,883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(3,547 )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1,185,694</w:t>
            </w:r>
          </w:p>
        </w:tc>
        <w:tc>
          <w:tcPr>
            <w:tcW w:w="60" w:type="dxa"/>
            <w:vAlign w:val="bottom"/>
          </w:tcPr>
          <w:p>
            <w:pPr>
              <w:spacing w:after="0"/>
              <w:rPr>
                <w:sz w:val="18"/>
                <w:szCs w:val="18"/>
                <w:color w:val="auto"/>
              </w:rPr>
            </w:pPr>
          </w:p>
        </w:tc>
      </w:tr>
      <w:tr>
        <w:trPr>
          <w:trHeight w:val="209"/>
        </w:trPr>
        <w:tc>
          <w:tcPr>
            <w:tcW w:w="5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120,849</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6,457</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10,383</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10,385</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(15,481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(59,313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(74,799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(8,863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1,241,556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(3,499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1,238,411</w:t>
            </w:r>
          </w:p>
        </w:tc>
        <w:tc>
          <w:tcPr>
            <w:tcW w:w="60" w:type="dxa"/>
            <w:vAlign w:val="bottom"/>
          </w:tcPr>
          <w:p>
            <w:pPr>
              <w:spacing w:after="0"/>
              <w:rPr>
                <w:sz w:val="18"/>
                <w:szCs w:val="18"/>
                <w:color w:val="auto"/>
              </w:rPr>
            </w:pPr>
          </w:p>
        </w:tc>
      </w:tr>
      <w:tr>
        <w:trPr>
          <w:trHeight w:val="20"/>
        </w:trPr>
        <w:tc>
          <w:tcPr>
            <w:tcW w:w="50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150,553</w:t>
            </w:r>
          </w:p>
        </w:tc>
        <w:tc>
          <w:tcPr>
            <w:tcW w:w="60" w:type="dxa"/>
            <w:vAlign w:val="bottom"/>
          </w:tcPr>
          <w:p>
            <w:pPr>
              <w:spacing w:after="0"/>
              <w:rPr>
                <w:sz w:val="17"/>
                <w:szCs w:val="17"/>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4,542</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4,542</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1,084</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(73,541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(78,037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(8,833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(8,833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0"/>
                <w:szCs w:val="20"/>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1,309,735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1,306,634</w:t>
            </w:r>
          </w:p>
        </w:tc>
        <w:tc>
          <w:tcPr>
            <w:tcW w:w="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7"/>
        </w:trPr>
        <w:tc>
          <w:tcPr>
            <w:tcW w:w="508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40" w:type="dxa"/>
            <w:vAlign w:val="bottom"/>
            <w:tcBorders>
              <w:bottom w:val="single" w:sz="8" w:color="004483"/>
            </w:tcBorders>
            <w:gridSpan w:val="5"/>
          </w:tcPr>
          <w:p>
            <w:pPr>
              <w:ind w:left="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1,311,567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(3,373 )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1,308,535</w:t>
            </w:r>
          </w:p>
        </w:tc>
        <w:tc>
          <w:tcPr>
            <w:tcW w:w="60" w:type="dxa"/>
            <w:vAlign w:val="bottom"/>
          </w:tcPr>
          <w:p>
            <w:pPr>
              <w:spacing w:after="0"/>
              <w:rPr>
                <w:sz w:val="18"/>
                <w:szCs w:val="18"/>
                <w:color w:val="auto"/>
              </w:rPr>
            </w:pPr>
          </w:p>
        </w:tc>
      </w:tr>
      <w:tr>
        <w:trPr>
          <w:trHeight w:val="209"/>
        </w:trPr>
        <w:tc>
          <w:tcPr>
            <w:tcW w:w="5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top w:val="single" w:sz="8" w:color="A6A6A6"/>
              <w:bottom w:val="single" w:sz="8" w:color="A6A6A6"/>
            </w:tcBorders>
          </w:tcPr>
          <w:p>
            <w:pPr>
              <w:spacing w:after="0"/>
              <w:rPr>
                <w:sz w:val="18"/>
                <w:szCs w:val="18"/>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0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133,842</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4,539</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(83,168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(86,345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(8,453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(8,453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1,353,788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1,350,798</w:t>
            </w:r>
          </w:p>
        </w:tc>
        <w:tc>
          <w:tcPr>
            <w:tcW w:w="60" w:type="dxa"/>
            <w:vAlign w:val="bottom"/>
          </w:tcPr>
          <w:p>
            <w:pPr>
              <w:spacing w:after="0"/>
              <w:rPr>
                <w:sz w:val="18"/>
                <w:szCs w:val="18"/>
                <w:color w:val="auto"/>
              </w:rPr>
            </w:pPr>
          </w:p>
        </w:tc>
      </w:tr>
      <w:tr>
        <w:trPr>
          <w:trHeight w:val="20"/>
        </w:trPr>
        <w:tc>
          <w:tcPr>
            <w:tcW w:w="50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4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143,520</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143,520</w:t>
            </w:r>
          </w:p>
        </w:tc>
        <w:tc>
          <w:tcPr>
            <w:tcW w:w="60" w:type="dxa"/>
            <w:vAlign w:val="bottom"/>
          </w:tcPr>
          <w:p>
            <w:pPr>
              <w:spacing w:after="0"/>
              <w:rPr>
                <w:sz w:val="17"/>
                <w:szCs w:val="17"/>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4,864</w:t>
            </w:r>
          </w:p>
        </w:tc>
        <w:tc>
          <w:tcPr>
            <w:tcW w:w="60" w:type="dxa"/>
            <w:vAlign w:val="bottom"/>
          </w:tcPr>
          <w:p>
            <w:pPr>
              <w:spacing w:after="0"/>
              <w:rPr>
                <w:sz w:val="18"/>
                <w:szCs w:val="18"/>
                <w:color w:val="auto"/>
              </w:rPr>
            </w:pP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2,149</w:t>
            </w:r>
          </w:p>
        </w:tc>
        <w:tc>
          <w:tcPr>
            <w:tcW w:w="60" w:type="dxa"/>
            <w:vAlign w:val="bottom"/>
          </w:tcPr>
          <w:p>
            <w:pPr>
              <w:spacing w:after="0"/>
              <w:rPr>
                <w:sz w:val="18"/>
                <w:szCs w:val="18"/>
                <w:color w:val="auto"/>
              </w:rPr>
            </w:pP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(54,312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(61,293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 to Shareholders</w:t>
            </w:r>
          </w:p>
        </w:tc>
        <w:tc>
          <w:tcPr>
            <w:tcW w:w="240" w:type="dxa"/>
            <w:vAlign w:val="bottom"/>
            <w:tcBorders>
              <w:bottom w:val="single" w:sz="8" w:color="A6A6A6"/>
            </w:tcBorders>
          </w:tcPr>
          <w:p>
            <w:pPr>
              <w:spacing w:after="0"/>
              <w:rPr>
                <w:sz w:val="18"/>
                <w:szCs w:val="18"/>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(8,399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(8,399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40" w:type="dxa"/>
            <w:vAlign w:val="bottom"/>
            <w:tcBorders>
              <w:bottom w:val="single" w:sz="8" w:color="004483"/>
            </w:tcBorders>
          </w:tcPr>
          <w:p>
            <w:pPr>
              <w:spacing w:after="0"/>
              <w:rPr>
                <w:sz w:val="20"/>
                <w:szCs w:val="20"/>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20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6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18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1,434,597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(3,283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1,431,649</w:t>
            </w:r>
          </w:p>
        </w:tc>
        <w:tc>
          <w:tcPr>
            <w:tcW w:w="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 w:name="page8"/>
    <w:bookmarkEnd w:id="7"/>
    <w:p>
      <w:pPr>
        <w:spacing w:after="0" w:line="3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9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accompanying Unaudited Consolidated Financial Statements as of and for the three and six months ended September 30, 2024,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22, 2024.</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and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November 2023, the Financial Accounting Standards Board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ASU 2023-07 will become effective for public companies during annual reporting periods beginning after December 15, 2023, and interim reporting periods beginning after December 15, 2024, with early adoption permitted. The Company is currently evaluating the impact of adopting this guidance on its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the FASB issued Accounting Standards Update No. 2023-09, Income Taxes (Topic 740): Improvements to Income Tax Disclosures (ASU 2023-09), which focuses on the rate reconciliation and income taxes paid. ASU 2023-09 requires public entities to disclose, on an annual basis, a tabular rate reconciliation using both percentages and currency amounts organized by specified categories with certain reconciling items that exceed a specified threshold broken out by nature and jurisdiction. Additionally, all entities are required to disclose income taxes paid, net of refunds received, disaggregated by federal, state, and local jurisdiction, if the amount is at least 5% of the total income tax payments, net of refunds received, by individual jurisdiction.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(B) SUPPLEMENTAL CASH FLOW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Pr>
          <w:p>
            <w:pPr>
              <w:spacing w:after="0"/>
              <w:rPr>
                <w:sz w:val="21"/>
                <w:szCs w:val="21"/>
                <w:color w:val="auto"/>
              </w:rPr>
            </w:pPr>
          </w:p>
        </w:tc>
        <w:tc>
          <w:tcPr>
            <w:tcW w:w="360" w:type="dxa"/>
            <w:vAlign w:val="bottom"/>
            <w:shd w:val="clear" w:color="auto" w:fill="004483"/>
          </w:tcPr>
          <w:p>
            <w:pPr>
              <w:spacing w:after="0"/>
              <w:rPr>
                <w:sz w:val="21"/>
                <w:szCs w:val="21"/>
                <w:color w:val="auto"/>
              </w:rPr>
            </w:pPr>
          </w:p>
        </w:tc>
        <w:tc>
          <w:tcPr>
            <w:tcW w:w="27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580" w:type="dxa"/>
            <w:vAlign w:val="bottom"/>
            <w:shd w:val="clear" w:color="auto" w:fill="004483"/>
          </w:tcPr>
          <w:p>
            <w:pPr>
              <w:spacing w:after="0"/>
              <w:rPr>
                <w:sz w:val="21"/>
                <w:szCs w:val="21"/>
                <w:color w:val="auto"/>
              </w:rPr>
            </w:pPr>
          </w:p>
        </w:tc>
        <w:tc>
          <w:tcPr>
            <w:tcW w:w="100" w:type="dxa"/>
            <w:vAlign w:val="bottom"/>
            <w:shd w:val="clear" w:color="auto" w:fill="004483"/>
          </w:tcPr>
          <w:p>
            <w:pPr>
              <w:spacing w:after="0"/>
              <w:rPr>
                <w:sz w:val="21"/>
                <w:szCs w:val="21"/>
                <w:color w:val="auto"/>
              </w:rPr>
            </w:pPr>
          </w:p>
        </w:tc>
      </w:tr>
      <w:tr>
        <w:trPr>
          <w:trHeight w:val="158"/>
        </w:trPr>
        <w:tc>
          <w:tcPr>
            <w:tcW w:w="7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4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2780" w:type="dxa"/>
            <w:vAlign w:val="bottom"/>
            <w:tcBorders>
              <w:bottom w:val="single" w:sz="8" w:color="004483"/>
            </w:tcBorders>
            <w:gridSpan w:val="3"/>
          </w:tcPr>
          <w:p>
            <w:pPr>
              <w:jc w:val="right"/>
              <w:ind w:right="599"/>
              <w:spacing w:after="0"/>
              <w:rPr>
                <w:sz w:val="20"/>
                <w:szCs w:val="20"/>
                <w:color w:val="auto"/>
              </w:rPr>
            </w:pPr>
            <w:r>
              <w:rPr>
                <w:rFonts w:ascii="Arial" w:cs="Arial" w:eastAsia="Arial" w:hAnsi="Arial"/>
                <w:sz w:val="13"/>
                <w:szCs w:val="13"/>
                <w:color w:val="auto"/>
              </w:rPr>
              <w:t>(dollars in thousands)</w:t>
            </w:r>
          </w:p>
        </w:tc>
        <w:tc>
          <w:tcPr>
            <w:tcW w:w="5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Cash Payments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4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136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2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19,058</w:t>
            </w:r>
          </w:p>
        </w:tc>
        <w:tc>
          <w:tcPr>
            <w:tcW w:w="142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22,298</w:t>
            </w:r>
          </w:p>
        </w:tc>
        <w:tc>
          <w:tcPr>
            <w:tcW w:w="100" w:type="dxa"/>
            <w:vAlign w:val="bottom"/>
          </w:tcPr>
          <w:p>
            <w:pPr>
              <w:spacing w:after="0"/>
              <w:rPr>
                <w:sz w:val="20"/>
                <w:szCs w:val="20"/>
                <w:color w:val="auto"/>
              </w:rPr>
            </w:pPr>
          </w:p>
        </w:tc>
      </w:tr>
      <w:tr>
        <w:trPr>
          <w:trHeight w:val="236"/>
        </w:trPr>
        <w:tc>
          <w:tcPr>
            <w:tcW w:w="742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360" w:type="dxa"/>
            <w:vAlign w:val="bottom"/>
            <w:tcBorders>
              <w:top w:val="single" w:sz="8" w:color="A6A6A6"/>
              <w:bottom w:val="single" w:sz="8" w:color="A6A6A6"/>
            </w:tcBorders>
          </w:tcPr>
          <w:p>
            <w:pPr>
              <w:spacing w:after="0"/>
              <w:rPr>
                <w:sz w:val="20"/>
                <w:szCs w:val="20"/>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10,778</w:t>
            </w:r>
          </w:p>
        </w:tc>
        <w:tc>
          <w:tcPr>
            <w:tcW w:w="120" w:type="dxa"/>
            <w:vAlign w:val="bottom"/>
          </w:tcPr>
          <w:p>
            <w:pPr>
              <w:spacing w:after="0"/>
              <w:rPr>
                <w:sz w:val="20"/>
                <w:szCs w:val="20"/>
                <w:color w:val="auto"/>
              </w:rPr>
            </w:pPr>
          </w:p>
        </w:tc>
        <w:tc>
          <w:tcPr>
            <w:tcW w:w="1300" w:type="dxa"/>
            <w:vAlign w:val="bottom"/>
            <w:tcBorders>
              <w:top w:val="single" w:sz="8" w:color="A6A6A6"/>
              <w:bottom w:val="single" w:sz="8" w:color="A6A6A6"/>
            </w:tcBorders>
          </w:tcPr>
          <w:p>
            <w:pPr>
              <w:spacing w:after="0"/>
              <w:rPr>
                <w:sz w:val="20"/>
                <w:szCs w:val="20"/>
                <w:color w:val="auto"/>
              </w:rPr>
            </w:pP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63,033</w:t>
            </w:r>
          </w:p>
        </w:tc>
        <w:tc>
          <w:tcPr>
            <w:tcW w:w="100" w:type="dxa"/>
            <w:vAlign w:val="bottom"/>
          </w:tcPr>
          <w:p>
            <w:pPr>
              <w:spacing w:after="0"/>
              <w:rPr>
                <w:sz w:val="20"/>
                <w:szCs w:val="20"/>
                <w:color w:val="auto"/>
              </w:rPr>
            </w:pPr>
          </w:p>
        </w:tc>
      </w:tr>
      <w:tr>
        <w:trPr>
          <w:trHeight w:val="236"/>
        </w:trPr>
        <w:tc>
          <w:tcPr>
            <w:tcW w:w="74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3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4,550</w:t>
            </w:r>
          </w:p>
        </w:tc>
        <w:tc>
          <w:tcPr>
            <w:tcW w:w="120" w:type="dxa"/>
            <w:vAlign w:val="bottom"/>
          </w:tcPr>
          <w:p>
            <w:pPr>
              <w:spacing w:after="0"/>
              <w:rPr>
                <w:sz w:val="20"/>
                <w:szCs w:val="20"/>
                <w:color w:val="auto"/>
              </w:rPr>
            </w:pPr>
          </w:p>
        </w:tc>
        <w:tc>
          <w:tcPr>
            <w:tcW w:w="13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20"/>
                <w:szCs w:val="20"/>
                <w:color w:val="auto"/>
              </w:rPr>
            </w:pPr>
          </w:p>
        </w:tc>
      </w:tr>
      <w:tr>
        <w:trPr>
          <w:trHeight w:val="238"/>
        </w:trPr>
        <w:tc>
          <w:tcPr>
            <w:tcW w:w="7420" w:type="dxa"/>
            <w:vAlign w:val="bottom"/>
            <w:tcBorders>
              <w:bottom w:val="single" w:sz="8" w:color="A6A6A6"/>
            </w:tcBorders>
          </w:tcPr>
          <w:p>
            <w:pPr>
              <w:spacing w:after="0"/>
              <w:rPr>
                <w:sz w:val="20"/>
                <w:szCs w:val="20"/>
                <w:color w:val="auto"/>
              </w:rPr>
            </w:pPr>
          </w:p>
        </w:tc>
        <w:tc>
          <w:tcPr>
            <w:tcW w:w="3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2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Excise Tax on Share Repurchases</w:t>
            </w:r>
          </w:p>
        </w:tc>
        <w:tc>
          <w:tcPr>
            <w:tcW w:w="360" w:type="dxa"/>
            <w:vAlign w:val="bottom"/>
            <w:tcBorders>
              <w:top w:val="single" w:sz="8" w:color="A6A6A6"/>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1300" w:type="dxa"/>
            <w:vAlign w:val="bottom"/>
            <w:tcBorders>
              <w:top w:val="single" w:sz="8" w:color="A6A6A6"/>
              <w:bottom w:val="single" w:sz="8" w:color="A6A6A6"/>
            </w:tcBorders>
          </w:tcPr>
          <w:p>
            <w:pPr>
              <w:jc w:val="right"/>
              <w:ind w:right="9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Pr>
          <w:p>
            <w:pPr>
              <w:spacing w:after="0"/>
              <w:rPr>
                <w:sz w:val="18"/>
                <w:szCs w:val="18"/>
                <w:color w:val="auto"/>
              </w:rPr>
            </w:pPr>
          </w:p>
        </w:tc>
      </w:tr>
      <w:tr>
        <w:trPr>
          <w:trHeight w:val="236"/>
        </w:trPr>
        <w:tc>
          <w:tcPr>
            <w:tcW w:w="74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Right-of-Use Assets Acquired for Capitalized Operating Leases</w:t>
            </w:r>
          </w:p>
        </w:tc>
        <w:tc>
          <w:tcPr>
            <w:tcW w:w="360" w:type="dxa"/>
            <w:vAlign w:val="bottom"/>
            <w:tcBorders>
              <w:bottom w:val="single" w:sz="8" w:color="A6A6A6"/>
            </w:tcBorders>
          </w:tcPr>
          <w:p>
            <w:pPr>
              <w:spacing w:after="0"/>
              <w:rPr>
                <w:sz w:val="20"/>
                <w:szCs w:val="20"/>
                <w:color w:val="auto"/>
              </w:rPr>
            </w:pP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130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20"/>
                <w:szCs w:val="20"/>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ACQUISITION</w:t>
      </w:r>
    </w:p>
    <w:p>
      <w:pPr>
        <w:spacing w:after="0" w:line="20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On August 9, 2024, we purchased the assets of an aggregates operation in Battletown, Kentucky (the Acquisition), which was accounted for under the acquisition method. The purchase price of the Acquisition was approximately $24.9 million. The purchase price allocation has not yet been finalized. The purchase price was funded through borrowings under our Revolving Credit Facility. Operations related to the Acquisition are included in the Concrete and Aggregates business in our segment reporting from August 9, 2024, through September 30, 2024.</w:t>
      </w:r>
    </w:p>
    <w:p>
      <w:pPr>
        <w:spacing w:after="0" w:line="17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following table summarizes the preliminary allocation of the purchase price to the fair value of assets acquired and liabilities assumed (based on Level 3 inputs) as of September 30,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Estimated Fair Value</w:t>
            </w:r>
          </w:p>
        </w:tc>
      </w:tr>
      <w:tr>
        <w:trPr>
          <w:trHeight w:val="215"/>
        </w:trPr>
        <w:tc>
          <w:tcPr>
            <w:tcW w:w="89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Inventory</w:t>
            </w:r>
          </w:p>
        </w:tc>
        <w:tc>
          <w:tcPr>
            <w:tcW w:w="580" w:type="dxa"/>
            <w:vAlign w:val="bottom"/>
            <w:tcBorders>
              <w:top w:val="single" w:sz="8" w:color="004483"/>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1,322</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580" w:type="dxa"/>
            <w:vAlign w:val="bottom"/>
            <w:tcBorders>
              <w:bottom w:val="single" w:sz="8" w:color="A6A6A6"/>
            </w:tcBorders>
          </w:tcPr>
          <w:p>
            <w:pPr>
              <w:spacing w:after="0"/>
              <w:rPr>
                <w:sz w:val="18"/>
                <w:szCs w:val="18"/>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16,815</w:t>
            </w:r>
          </w:p>
        </w:tc>
        <w:tc>
          <w:tcPr>
            <w:tcW w:w="60" w:type="dxa"/>
            <w:vAlign w:val="bottom"/>
          </w:tcPr>
          <w:p>
            <w:pPr>
              <w:spacing w:after="0"/>
              <w:rPr>
                <w:sz w:val="18"/>
                <w:szCs w:val="18"/>
                <w:color w:val="auto"/>
              </w:rPr>
            </w:pPr>
          </w:p>
        </w:tc>
      </w:tr>
      <w:tr>
        <w:trPr>
          <w:trHeight w:val="20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Right-of-Use Assets</w:t>
            </w:r>
          </w:p>
        </w:tc>
        <w:tc>
          <w:tcPr>
            <w:tcW w:w="580" w:type="dxa"/>
            <w:vAlign w:val="bottom"/>
            <w:tcBorders>
              <w:bottom w:val="single" w:sz="8" w:color="A6A6A6"/>
            </w:tcBorders>
          </w:tcPr>
          <w:p>
            <w:pPr>
              <w:spacing w:after="0"/>
              <w:rPr>
                <w:sz w:val="18"/>
                <w:szCs w:val="18"/>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757</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580" w:type="dxa"/>
            <w:vAlign w:val="bottom"/>
            <w:tcBorders>
              <w:bottom w:val="single" w:sz="8" w:color="A6A6A6"/>
            </w:tcBorders>
          </w:tcPr>
          <w:p>
            <w:pPr>
              <w:spacing w:after="0"/>
              <w:rPr>
                <w:sz w:val="18"/>
                <w:szCs w:val="18"/>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18"/>
                <w:szCs w:val="18"/>
                <w:color w:val="auto"/>
              </w:rPr>
            </w:pP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Accrued Liabilities</w:t>
            </w:r>
          </w:p>
        </w:tc>
        <w:tc>
          <w:tcPr>
            <w:tcW w:w="580" w:type="dxa"/>
            <w:vAlign w:val="bottom"/>
            <w:tcBorders>
              <w:bottom w:val="single" w:sz="8" w:color="A6A6A6"/>
            </w:tcBorders>
          </w:tcPr>
          <w:p>
            <w:pPr>
              <w:spacing w:after="0"/>
              <w:rPr>
                <w:sz w:val="18"/>
                <w:szCs w:val="18"/>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Lease Obligations</w:t>
            </w:r>
          </w:p>
        </w:tc>
        <w:tc>
          <w:tcPr>
            <w:tcW w:w="580" w:type="dxa"/>
            <w:vAlign w:val="bottom"/>
            <w:tcBorders>
              <w:bottom w:val="single" w:sz="8" w:color="A6A6A6"/>
            </w:tcBorders>
          </w:tcPr>
          <w:p>
            <w:pPr>
              <w:spacing w:after="0"/>
              <w:rPr>
                <w:sz w:val="18"/>
                <w:szCs w:val="18"/>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Goodwill</w:t>
            </w:r>
          </w:p>
        </w:tc>
        <w:tc>
          <w:tcPr>
            <w:tcW w:w="580" w:type="dxa"/>
            <w:vAlign w:val="bottom"/>
            <w:tcBorders>
              <w:bottom w:val="single" w:sz="8" w:color="004483"/>
            </w:tcBorders>
          </w:tcPr>
          <w:p>
            <w:pPr>
              <w:spacing w:after="0"/>
              <w:rPr>
                <w:sz w:val="20"/>
                <w:szCs w:val="20"/>
                <w:color w:val="auto"/>
              </w:rPr>
            </w:pPr>
          </w:p>
        </w:tc>
        <w:tc>
          <w:tcPr>
            <w:tcW w:w="1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4,315</w:t>
            </w:r>
          </w:p>
        </w:tc>
        <w:tc>
          <w:tcPr>
            <w:tcW w:w="60" w:type="dxa"/>
            <w:vAlign w:val="bottom"/>
          </w:tcPr>
          <w:p>
            <w:pPr>
              <w:spacing w:after="0"/>
              <w:rPr>
                <w:sz w:val="20"/>
                <w:szCs w:val="20"/>
                <w:color w:val="auto"/>
              </w:rPr>
            </w:pPr>
          </w:p>
        </w:tc>
      </w:tr>
      <w:tr>
        <w:trPr>
          <w:trHeight w:val="210"/>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 Estimated Purchase Price</w:t>
            </w: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24,881</w:t>
            </w:r>
          </w:p>
        </w:tc>
        <w:tc>
          <w:tcPr>
            <w:tcW w:w="6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66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are approximately 15 years. All goodwill generated from the Acquisition is deductible for income tax purposes.</w:t>
      </w:r>
    </w:p>
    <w:p>
      <w:pPr>
        <w:spacing w:after="0" w:line="154"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The following table presents the Revenue and Operating Loss related to the Acquisition that has been included in our Consolidated Statement of Earnings from August 9, 2024, through September 30,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Pr>
          <w:p>
            <w:pPr>
              <w:spacing w:after="0"/>
              <w:rPr>
                <w:sz w:val="12"/>
                <w:szCs w:val="12"/>
                <w:color w:val="auto"/>
              </w:rPr>
            </w:pPr>
          </w:p>
        </w:tc>
        <w:tc>
          <w:tcPr>
            <w:tcW w:w="320" w:type="dxa"/>
            <w:vAlign w:val="bottom"/>
            <w:shd w:val="clear" w:color="auto" w:fill="004483"/>
          </w:tcPr>
          <w:p>
            <w:pPr>
              <w:spacing w:after="0"/>
              <w:rPr>
                <w:sz w:val="12"/>
                <w:szCs w:val="12"/>
                <w:color w:val="auto"/>
              </w:rPr>
            </w:pPr>
          </w:p>
        </w:tc>
        <w:tc>
          <w:tcPr>
            <w:tcW w:w="2060" w:type="dxa"/>
            <w:vAlign w:val="bottom"/>
            <w:gridSpan w:val="2"/>
            <w:shd w:val="clear" w:color="auto" w:fill="004483"/>
          </w:tcPr>
          <w:p>
            <w:pPr>
              <w:jc w:val="right"/>
              <w:ind w:right="79"/>
              <w:spacing w:after="0"/>
              <w:rPr>
                <w:sz w:val="20"/>
                <w:szCs w:val="20"/>
                <w:color w:val="auto"/>
              </w:rPr>
            </w:pPr>
            <w:r>
              <w:rPr>
                <w:rFonts w:ascii="Arial" w:cs="Arial" w:eastAsia="Arial" w:hAnsi="Arial"/>
                <w:sz w:val="13"/>
                <w:szCs w:val="13"/>
                <w:b w:val="1"/>
                <w:bCs w:val="1"/>
                <w:color w:val="FFFFFF"/>
              </w:rPr>
              <w:t>For the Three and</w:t>
            </w:r>
          </w:p>
        </w:tc>
      </w:tr>
      <w:tr>
        <w:trPr>
          <w:trHeight w:val="135"/>
        </w:trPr>
        <w:tc>
          <w:tcPr>
            <w:tcW w:w="8860" w:type="dxa"/>
            <w:vAlign w:val="bottom"/>
          </w:tcPr>
          <w:p>
            <w:pPr>
              <w:spacing w:after="0"/>
              <w:rPr>
                <w:sz w:val="11"/>
                <w:szCs w:val="11"/>
                <w:color w:val="auto"/>
              </w:rPr>
            </w:pPr>
          </w:p>
        </w:tc>
        <w:tc>
          <w:tcPr>
            <w:tcW w:w="320" w:type="dxa"/>
            <w:vAlign w:val="bottom"/>
            <w:shd w:val="clear" w:color="auto" w:fill="004483"/>
          </w:tcPr>
          <w:p>
            <w:pPr>
              <w:spacing w:after="0"/>
              <w:rPr>
                <w:sz w:val="11"/>
                <w:szCs w:val="11"/>
                <w:color w:val="auto"/>
              </w:rPr>
            </w:pPr>
          </w:p>
        </w:tc>
        <w:tc>
          <w:tcPr>
            <w:tcW w:w="2060" w:type="dxa"/>
            <w:vAlign w:val="bottom"/>
            <w:gridSpan w:val="2"/>
            <w:shd w:val="clear" w:color="auto" w:fill="004483"/>
          </w:tcPr>
          <w:p>
            <w:pPr>
              <w:jc w:val="right"/>
              <w:ind w:right="39"/>
              <w:spacing w:after="0" w:line="135" w:lineRule="exact"/>
              <w:rPr>
                <w:sz w:val="20"/>
                <w:szCs w:val="20"/>
                <w:color w:val="auto"/>
              </w:rPr>
            </w:pPr>
            <w:r>
              <w:rPr>
                <w:rFonts w:ascii="Arial" w:cs="Arial" w:eastAsia="Arial" w:hAnsi="Arial"/>
                <w:sz w:val="13"/>
                <w:szCs w:val="13"/>
                <w:b w:val="1"/>
                <w:bCs w:val="1"/>
                <w:color w:val="FFFFFF"/>
              </w:rPr>
              <w:t>Six Months Ended</w:t>
            </w:r>
          </w:p>
        </w:tc>
      </w:tr>
      <w:tr>
        <w:trPr>
          <w:trHeight w:val="166"/>
        </w:trPr>
        <w:tc>
          <w:tcPr>
            <w:tcW w:w="8860" w:type="dxa"/>
            <w:vAlign w:val="bottom"/>
          </w:tcPr>
          <w:p>
            <w:pPr>
              <w:spacing w:after="0"/>
              <w:rPr>
                <w:sz w:val="14"/>
                <w:szCs w:val="14"/>
                <w:color w:val="auto"/>
              </w:rPr>
            </w:pPr>
          </w:p>
        </w:tc>
        <w:tc>
          <w:tcPr>
            <w:tcW w:w="320" w:type="dxa"/>
            <w:vAlign w:val="bottom"/>
            <w:shd w:val="clear" w:color="auto" w:fill="004483"/>
          </w:tcPr>
          <w:p>
            <w:pPr>
              <w:spacing w:after="0"/>
              <w:rPr>
                <w:sz w:val="14"/>
                <w:szCs w:val="14"/>
                <w:color w:val="auto"/>
              </w:rPr>
            </w:pPr>
          </w:p>
        </w:tc>
        <w:tc>
          <w:tcPr>
            <w:tcW w:w="206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September 30,</w:t>
            </w:r>
          </w:p>
        </w:tc>
      </w:tr>
      <w:tr>
        <w:trPr>
          <w:trHeight w:val="158"/>
        </w:trPr>
        <w:tc>
          <w:tcPr>
            <w:tcW w:w="8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8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2"/>
          </w:tcPr>
          <w:p>
            <w:pPr>
              <w:jc w:val="right"/>
              <w:ind w:right="559"/>
              <w:spacing w:after="0"/>
              <w:rPr>
                <w:sz w:val="20"/>
                <w:szCs w:val="20"/>
                <w:color w:val="auto"/>
              </w:rPr>
            </w:pPr>
            <w:r>
              <w:rPr>
                <w:rFonts w:ascii="Arial" w:cs="Arial" w:eastAsia="Arial" w:hAnsi="Arial"/>
                <w:sz w:val="13"/>
                <w:szCs w:val="13"/>
                <w:color w:val="auto"/>
              </w:rPr>
              <w:t>(dollars in thousands)</w:t>
            </w:r>
          </w:p>
        </w:tc>
      </w:tr>
      <w:tr>
        <w:trPr>
          <w:trHeight w:val="216"/>
        </w:trPr>
        <w:tc>
          <w:tcPr>
            <w:tcW w:w="886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320" w:type="dxa"/>
            <w:vAlign w:val="bottom"/>
            <w:tcBorders>
              <w:top w:val="single" w:sz="8" w:color="004483"/>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8"/>
                <w:szCs w:val="18"/>
                <w:color w:val="auto"/>
              </w:rPr>
            </w:pPr>
          </w:p>
        </w:tc>
      </w:tr>
      <w:tr>
        <w:trPr>
          <w:trHeight w:val="209"/>
        </w:trPr>
        <w:tc>
          <w:tcPr>
            <w:tcW w:w="88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Loss</w:t>
            </w:r>
          </w:p>
        </w:tc>
        <w:tc>
          <w:tcPr>
            <w:tcW w:w="320" w:type="dxa"/>
            <w:vAlign w:val="bottom"/>
            <w:tcBorders>
              <w:bottom w:val="single" w:sz="8" w:color="A6A6A6"/>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Operating Loss for the three and six months ended September 30, 2024, was affected by approximately $0.4 million and $0.7 million related to depreciation and amortization and the recording of acquired inventories at fair value, respectively.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(D) REVENUE</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concrete, aggregates, and gypsum wallboard is originated by purchase orders from our customers, who are mostly third-party contractors and suppliers. Revenue from the sale of cement is recognized at the point-of-sale to customers under sales orders. Revenue from our Recycled Paperboard segment is generated mainly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7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jc w:val="both"/>
        <w:ind w:right="420"/>
        <w:spacing w:after="0" w:line="247"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we incur for shipping and handling are recorded as expenses and included in Cost of Goods Sold.</w:t>
      </w:r>
    </w:p>
    <w:p>
      <w:pPr>
        <w:spacing w:after="0" w:line="66"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Accounts Receivable are shown net of the allowance for credit losses totaling $6.7 million at both September 30, 2024, and March 31, 2024, respectively. We perform ongoing credit evaluations of our customers’ financial condition and generally require no collateral from our customers. The allowance for credit losses is based on analysis of economic trends in the construction industry, detailed analysis of the expected collectability of past-due accounts receivable, and the expected collectability of overall receivables. We have no significant credit risk concentration among our diversified customer base.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1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10" w:name="page11"/>
    <w:bookmarkEnd w:id="10"/>
    <w:p>
      <w:pPr>
        <w:ind w:right="420"/>
        <w:spacing w:after="0" w:line="271" w:lineRule="auto"/>
        <w:rPr>
          <w:sz w:val="20"/>
          <w:szCs w:val="20"/>
          <w:color w:val="auto"/>
        </w:rPr>
      </w:pPr>
      <w:r>
        <w:rPr>
          <w:rFonts w:ascii="Arial" w:cs="Arial" w:eastAsia="Arial" w:hAnsi="Arial"/>
          <w:sz w:val="18"/>
          <w:szCs w:val="18"/>
          <w:color w:val="auto"/>
        </w:rPr>
        <w:t>size and location of the inventory piles, and are converted to tonnage using standard inventory density factors. Inventories consist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6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125,453</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122,772</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4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65,720</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71,396</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15,717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12,149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5,996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5,242</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12,359</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126,251</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127,511</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24,106</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20,575</w:t>
            </w:r>
          </w:p>
        </w:tc>
        <w:tc>
          <w:tcPr>
            <w:tcW w:w="100" w:type="dxa"/>
            <w:vAlign w:val="bottom"/>
          </w:tcPr>
          <w:p>
            <w:pPr>
              <w:spacing w:after="0"/>
              <w:rPr>
                <w:sz w:val="20"/>
                <w:szCs w:val="20"/>
                <w:color w:val="auto"/>
              </w:rPr>
            </w:pPr>
          </w:p>
        </w:tc>
      </w:tr>
      <w:tr>
        <w:trPr>
          <w:trHeight w:val="210"/>
        </w:trPr>
        <w:tc>
          <w:tcPr>
            <w:tcW w:w="77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375,602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373,923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6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27,321</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34,274</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4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17,607</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17,507</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8,580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6,374</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9,417</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8,729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10,238</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2,646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4,392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Excise Tax</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5,632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2,766</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2,602</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7,492</w:t>
            </w:r>
          </w:p>
        </w:tc>
        <w:tc>
          <w:tcPr>
            <w:tcW w:w="10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95,337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94,327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 LEASES</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lease certain real estate, buildings, and equipment, including railcars and barges. Certain of these leases contain escalations of rent over the term of the lease, as well as options for us to extend the term of the lease at the end of the original term. These extensions range from periods of 1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Pr>
          <w:p>
            <w:pPr>
              <w:spacing w:after="0"/>
              <w:rPr>
                <w:sz w:val="21"/>
                <w:szCs w:val="21"/>
                <w:color w:val="auto"/>
              </w:rPr>
            </w:pPr>
          </w:p>
        </w:tc>
        <w:tc>
          <w:tcPr>
            <w:tcW w:w="120" w:type="dxa"/>
            <w:vAlign w:val="bottom"/>
            <w:tcBorders>
              <w:bottom w:val="single" w:sz="8" w:color="004483"/>
            </w:tcBorders>
            <w:shd w:val="clear" w:color="auto" w:fill="004483"/>
          </w:tcPr>
          <w:p>
            <w:pPr>
              <w:spacing w:after="0"/>
              <w:rPr>
                <w:sz w:val="21"/>
                <w:szCs w:val="21"/>
                <w:color w:val="auto"/>
              </w:rPr>
            </w:pPr>
          </w:p>
        </w:tc>
        <w:tc>
          <w:tcPr>
            <w:tcW w:w="2820" w:type="dxa"/>
            <w:vAlign w:val="bottom"/>
            <w:tcBorders>
              <w:bottom w:val="single" w:sz="8" w:color="004483"/>
            </w:tcBorders>
            <w:gridSpan w:val="6"/>
            <w:shd w:val="clear" w:color="auto" w:fill="004483"/>
          </w:tcPr>
          <w:p>
            <w:pPr>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21"/>
                <w:szCs w:val="21"/>
                <w:color w:val="auto"/>
              </w:rPr>
            </w:pPr>
          </w:p>
        </w:tc>
        <w:tc>
          <w:tcPr>
            <w:tcW w:w="120" w:type="dxa"/>
            <w:vAlign w:val="bottom"/>
            <w:tcBorders>
              <w:bottom w:val="single" w:sz="8" w:color="004483"/>
            </w:tcBorders>
            <w:shd w:val="clear" w:color="auto" w:fill="004483"/>
          </w:tcPr>
          <w:p>
            <w:pPr>
              <w:spacing w:after="0"/>
              <w:rPr>
                <w:sz w:val="21"/>
                <w:szCs w:val="21"/>
                <w:color w:val="auto"/>
              </w:rPr>
            </w:pPr>
          </w:p>
        </w:tc>
        <w:tc>
          <w:tcPr>
            <w:tcW w:w="2720" w:type="dxa"/>
            <w:vAlign w:val="bottom"/>
            <w:tcBorders>
              <w:bottom w:val="single" w:sz="8" w:color="004483"/>
            </w:tcBorders>
            <w:gridSpan w:val="6"/>
            <w:shd w:val="clear" w:color="auto" w:fill="004483"/>
          </w:tcPr>
          <w:p>
            <w:pPr>
              <w:ind w:left="2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51"/>
        </w:trPr>
        <w:tc>
          <w:tcPr>
            <w:tcW w:w="5320" w:type="dxa"/>
            <w:vAlign w:val="bottom"/>
          </w:tcPr>
          <w:p>
            <w:pPr>
              <w:spacing w:after="0"/>
              <w:rPr>
                <w:sz w:val="13"/>
                <w:szCs w:val="13"/>
                <w:color w:val="auto"/>
              </w:rPr>
            </w:pPr>
          </w:p>
        </w:tc>
        <w:tc>
          <w:tcPr>
            <w:tcW w:w="120" w:type="dxa"/>
            <w:vAlign w:val="bottom"/>
            <w:tcBorders>
              <w:top w:val="single" w:sz="8" w:color="A6A6A6"/>
            </w:tcBorders>
          </w:tcPr>
          <w:p>
            <w:pPr>
              <w:spacing w:after="0"/>
              <w:rPr>
                <w:sz w:val="13"/>
                <w:szCs w:val="13"/>
                <w:color w:val="auto"/>
              </w:rPr>
            </w:pPr>
          </w:p>
        </w:tc>
        <w:tc>
          <w:tcPr>
            <w:tcW w:w="116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6A6A6"/>
            </w:tcBorders>
          </w:tcPr>
          <w:p>
            <w:pPr>
              <w:spacing w:after="0"/>
              <w:rPr>
                <w:sz w:val="13"/>
                <w:szCs w:val="13"/>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2340" w:type="dxa"/>
            <w:vAlign w:val="bottom"/>
            <w:tcBorders>
              <w:bottom w:val="single" w:sz="8" w:color="004483"/>
            </w:tcBorders>
            <w:gridSpan w:val="5"/>
          </w:tcPr>
          <w:p>
            <w:pPr>
              <w:jc w:val="right"/>
              <w:ind w:right="726"/>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4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532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1,904</w:t>
            </w:r>
          </w:p>
        </w:tc>
        <w:tc>
          <w:tcPr>
            <w:tcW w:w="70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1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3,951</w:t>
            </w:r>
          </w:p>
        </w:tc>
        <w:tc>
          <w:tcPr>
            <w:tcW w:w="700" w:type="dxa"/>
            <w:vAlign w:val="bottom"/>
            <w:gridSpan w:val="3"/>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4,227</w:t>
            </w:r>
          </w:p>
        </w:tc>
        <w:tc>
          <w:tcPr>
            <w:tcW w:w="100" w:type="dxa"/>
            <w:vAlign w:val="bottom"/>
          </w:tcPr>
          <w:p>
            <w:pPr>
              <w:spacing w:after="0"/>
              <w:rPr>
                <w:sz w:val="21"/>
                <w:szCs w:val="21"/>
                <w:color w:val="auto"/>
              </w:rPr>
            </w:pPr>
          </w:p>
        </w:tc>
      </w:tr>
      <w:tr>
        <w:trPr>
          <w:trHeight w:val="237"/>
        </w:trPr>
        <w:tc>
          <w:tcPr>
            <w:tcW w:w="5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120" w:type="dxa"/>
            <w:vAlign w:val="bottom"/>
            <w:tcBorders>
              <w:top w:val="single" w:sz="8" w:color="A6A6A6"/>
              <w:bottom w:val="single" w:sz="8" w:color="004483"/>
            </w:tcBorders>
          </w:tcPr>
          <w:p>
            <w:pPr>
              <w:spacing w:after="0"/>
              <w:rPr>
                <w:sz w:val="20"/>
                <w:szCs w:val="20"/>
                <w:color w:val="auto"/>
              </w:rPr>
            </w:pPr>
          </w:p>
        </w:tc>
        <w:tc>
          <w:tcPr>
            <w:tcW w:w="11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304</w:t>
            </w:r>
          </w:p>
        </w:tc>
        <w:tc>
          <w:tcPr>
            <w:tcW w:w="14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440" w:type="dxa"/>
            <w:vAlign w:val="bottom"/>
            <w:tcBorders>
              <w:top w:val="single" w:sz="8" w:color="A6A6A6"/>
              <w:bottom w:val="single" w:sz="8" w:color="004483"/>
            </w:tcBorders>
          </w:tcPr>
          <w:p>
            <w:pPr>
              <w:spacing w:after="0"/>
              <w:rPr>
                <w:sz w:val="20"/>
                <w:szCs w:val="20"/>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40" w:type="dxa"/>
            <w:vAlign w:val="bottom"/>
            <w:tcBorders>
              <w:top w:val="single" w:sz="8" w:color="A6A6A6"/>
              <w:bottom w:val="single" w:sz="8" w:color="A6A6A6"/>
            </w:tcBorders>
          </w:tcPr>
          <w:p>
            <w:pPr>
              <w:spacing w:after="0"/>
              <w:rPr>
                <w:sz w:val="20"/>
                <w:szCs w:val="20"/>
                <w:color w:val="auto"/>
              </w:rPr>
            </w:pPr>
          </w:p>
        </w:tc>
        <w:tc>
          <w:tcPr>
            <w:tcW w:w="120" w:type="dxa"/>
            <w:vAlign w:val="bottom"/>
            <w:tcBorders>
              <w:top w:val="single" w:sz="8" w:color="A6A6A6"/>
              <w:bottom w:val="single" w:sz="8" w:color="004483"/>
            </w:tcBorders>
          </w:tcPr>
          <w:p>
            <w:pPr>
              <w:spacing w:after="0"/>
              <w:rPr>
                <w:sz w:val="20"/>
                <w:szCs w:val="20"/>
                <w:color w:val="auto"/>
              </w:rPr>
            </w:pPr>
          </w:p>
        </w:tc>
        <w:tc>
          <w:tcPr>
            <w:tcW w:w="11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460" w:type="dxa"/>
            <w:vAlign w:val="bottom"/>
            <w:tcBorders>
              <w:top w:val="single" w:sz="8" w:color="A6A6A6"/>
              <w:bottom w:val="single" w:sz="8" w:color="004483"/>
            </w:tcBorders>
          </w:tcPr>
          <w:p>
            <w:pPr>
              <w:spacing w:after="0"/>
              <w:rPr>
                <w:sz w:val="20"/>
                <w:szCs w:val="20"/>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4,641</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tcPr>
          <w:p>
            <w:pPr>
              <w:spacing w:after="0"/>
              <w:rPr>
                <w:sz w:val="21"/>
                <w:szCs w:val="21"/>
                <w:color w:val="auto"/>
              </w:rPr>
            </w:pPr>
          </w:p>
        </w:tc>
        <w:tc>
          <w:tcPr>
            <w:tcW w:w="256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September 30,</w:t>
            </w:r>
          </w:p>
        </w:tc>
        <w:tc>
          <w:tcPr>
            <w:tcW w:w="9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2560" w:type="dxa"/>
            <w:vAlign w:val="bottom"/>
          </w:tcPr>
          <w:p>
            <w:pPr>
              <w:jc w:val="right"/>
              <w:ind w:right="957"/>
              <w:spacing w:after="0"/>
              <w:rPr>
                <w:sz w:val="20"/>
                <w:szCs w:val="20"/>
                <w:color w:val="auto"/>
              </w:rPr>
            </w:pPr>
            <w:r>
              <w:rPr>
                <w:rFonts w:ascii="Arial" w:cs="Arial" w:eastAsia="Arial" w:hAnsi="Arial"/>
                <w:sz w:val="13"/>
                <w:szCs w:val="13"/>
                <w:b w:val="1"/>
                <w:bCs w:val="1"/>
                <w:color w:val="auto"/>
              </w:rPr>
              <w:t>2024</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2560" w:type="dxa"/>
            <w:vAlign w:val="bottom"/>
            <w:tcBorders>
              <w:bottom w:val="single" w:sz="8" w:color="004483"/>
            </w:tcBorders>
          </w:tcPr>
          <w:p>
            <w:pPr>
              <w:jc w:val="right"/>
              <w:ind w:right="197"/>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80"/>
          </w:cols>
          <w:pgMar w:left="320" w:top="1201" w:right="29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580" w:type="dxa"/>
            <w:vAlign w:val="bottom"/>
            <w:tcBorders>
              <w:top w:val="single" w:sz="8" w:color="A6A6A6"/>
              <w:bottom w:val="single" w:sz="8" w:color="004483"/>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17,316</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97"/>
        </w:trPr>
        <w:tc>
          <w:tcPr>
            <w:tcW w:w="77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r>
      <w:tr>
        <w:trPr>
          <w:trHeight w:val="209"/>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6,029</w:t>
            </w:r>
          </w:p>
        </w:tc>
      </w:tr>
      <w:tr>
        <w:trPr>
          <w:trHeight w:val="237"/>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580" w:type="dxa"/>
            <w:vAlign w:val="bottom"/>
            <w:tcBorders>
              <w:bottom w:val="single" w:sz="8" w:color="004483"/>
            </w:tcBorders>
          </w:tcPr>
          <w:p>
            <w:pPr>
              <w:spacing w:after="0"/>
              <w:rPr>
                <w:sz w:val="20"/>
                <w:szCs w:val="20"/>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17,628</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027" w:hanging="1027"/>
        <w:spacing w:after="0"/>
        <w:tabs>
          <w:tab w:leader="none" w:pos="1027" w:val="left"/>
        </w:tabs>
        <w:numPr>
          <w:ilvl w:val="0"/>
          <w:numId w:val="6"/>
        </w:numPr>
        <w:rPr>
          <w:rFonts w:ascii="Arial" w:cs="Arial" w:eastAsia="Arial" w:hAnsi="Arial"/>
          <w:sz w:val="16"/>
          <w:szCs w:val="16"/>
          <w:color w:val="auto"/>
        </w:rPr>
      </w:pPr>
      <w:r>
        <w:rPr>
          <w:rFonts w:ascii="Arial" w:cs="Arial" w:eastAsia="Arial" w:hAnsi="Arial"/>
          <w:sz w:val="16"/>
          <w:szCs w:val="16"/>
          <w:color w:val="auto"/>
        </w:rPr>
        <w:t>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-124460</wp:posOffset>
            </wp:positionV>
            <wp:extent cx="11055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20955</wp:posOffset>
            </wp:positionV>
            <wp:extent cx="11055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5535" cy="2540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183515</wp:posOffset>
            </wp:positionV>
            <wp:extent cx="11055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82" w:lineRule="exact"/>
        <w:rPr>
          <w:sz w:val="20"/>
          <w:szCs w:val="20"/>
          <w:color w:val="auto"/>
        </w:rPr>
      </w:pPr>
    </w:p>
    <w:p>
      <w:pPr>
        <w:ind w:left="1127" w:hanging="1127"/>
        <w:spacing w:after="0"/>
        <w:tabs>
          <w:tab w:leader="none" w:pos="1127" w:val="left"/>
        </w:tabs>
        <w:numPr>
          <w:ilvl w:val="0"/>
          <w:numId w:val="7"/>
        </w:numPr>
        <w:rPr>
          <w:rFonts w:ascii="Arial" w:cs="Arial" w:eastAsia="Arial" w:hAnsi="Arial"/>
          <w:sz w:val="15"/>
          <w:szCs w:val="15"/>
          <w:color w:val="auto"/>
        </w:rPr>
      </w:pPr>
      <w:r>
        <w:rPr>
          <w:rFonts w:ascii="Arial" w:cs="Arial" w:eastAsia="Arial" w:hAnsi="Arial"/>
          <w:sz w:val="15"/>
          <w:szCs w:val="15"/>
          <w:color w:val="auto"/>
        </w:rPr>
        <w:t>7,899</w:t>
      </w:r>
    </w:p>
    <w:p>
      <w:pPr>
        <w:spacing w:after="0" w:line="57" w:lineRule="exact"/>
        <w:rPr>
          <w:rFonts w:ascii="Arial" w:cs="Arial" w:eastAsia="Arial" w:hAnsi="Arial"/>
          <w:sz w:val="15"/>
          <w:szCs w:val="15"/>
          <w:color w:val="auto"/>
        </w:rPr>
      </w:pPr>
    </w:p>
    <w:p>
      <w:pPr>
        <w:ind w:left="1027"/>
        <w:spacing w:after="0"/>
        <w:rPr>
          <w:rFonts w:ascii="Arial" w:cs="Arial" w:eastAsia="Arial" w:hAnsi="Arial"/>
          <w:sz w:val="15"/>
          <w:szCs w:val="15"/>
          <w:color w:val="auto"/>
        </w:rPr>
      </w:pPr>
      <w:r>
        <w:rPr>
          <w:rFonts w:ascii="Arial" w:cs="Arial" w:eastAsia="Arial" w:hAnsi="Arial"/>
          <w:sz w:val="16"/>
          <w:szCs w:val="16"/>
          <w:color w:val="auto"/>
        </w:rPr>
        <w:t>19,037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-124460</wp:posOffset>
            </wp:positionV>
            <wp:extent cx="11055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20955</wp:posOffset>
            </wp:positionV>
            <wp:extent cx="11055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05535" cy="2603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9280" w:space="313"/>
            <w:col w:w="1687"/>
          </w:cols>
          <w:pgMar w:left="320" w:top="1201" w:right="299" w:bottom="1440" w:gutter="0" w:footer="0" w:header="0"/>
          <w:type w:val="continuous"/>
        </w:sectPr>
      </w:pPr>
    </w:p>
    <w:p>
      <w:pPr>
        <w:ind w:left="20"/>
        <w:spacing w:after="0"/>
        <w:tabs>
          <w:tab w:leader="none" w:pos="7720" w:val="left"/>
          <w:tab w:leader="none" w:pos="8760" w:val="left"/>
          <w:tab w:leader="none" w:pos="9580" w:val="left"/>
          <w:tab w:leader="none" w:pos="1060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auto"/>
          <w:vertAlign w:val="superscript"/>
        </w:rPr>
        <w:t>23,657</w:t>
      </w:r>
      <w:r>
        <w:rPr>
          <w:rFonts w:ascii="Arial" w:cs="Arial" w:eastAsia="Arial" w:hAnsi="Arial"/>
          <w:sz w:val="32"/>
          <w:szCs w:val="32"/>
          <w:b w:val="1"/>
          <w:bCs w:val="1"/>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4"/>
          <w:szCs w:val="24"/>
          <w:b w:val="1"/>
          <w:bCs w:val="1"/>
          <w:color w:val="auto"/>
          <w:vertAlign w:val="superscript"/>
        </w:rPr>
        <w:t>26,936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-92710</wp:posOffset>
            </wp:positionV>
            <wp:extent cx="216852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852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4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740" w:type="dxa"/>
            <w:vAlign w:val="bottom"/>
          </w:tcPr>
          <w:p>
            <w:pPr>
              <w:spacing w:after="0"/>
              <w:rPr>
                <w:sz w:val="14"/>
                <w:szCs w:val="14"/>
                <w:color w:val="auto"/>
              </w:rPr>
            </w:pPr>
          </w:p>
        </w:tc>
        <w:tc>
          <w:tcPr>
            <w:tcW w:w="1300" w:type="dxa"/>
            <w:vAlign w:val="bottom"/>
            <w:gridSpan w:val="2"/>
          </w:tcPr>
          <w:p>
            <w:pPr>
              <w:ind w:left="660"/>
              <w:spacing w:after="0"/>
              <w:rPr>
                <w:sz w:val="20"/>
                <w:szCs w:val="20"/>
                <w:color w:val="auto"/>
              </w:rPr>
            </w:pPr>
            <w:r>
              <w:rPr>
                <w:rFonts w:ascii="Arial" w:cs="Arial" w:eastAsia="Arial" w:hAnsi="Arial"/>
                <w:sz w:val="13"/>
                <w:szCs w:val="13"/>
                <w:b w:val="1"/>
                <w:bCs w:val="1"/>
                <w:color w:val="auto"/>
              </w:rPr>
              <w:t>Amount</w:t>
            </w:r>
          </w:p>
        </w:tc>
      </w:tr>
      <w:tr>
        <w:trPr>
          <w:trHeight w:val="209"/>
        </w:trPr>
        <w:tc>
          <w:tcPr>
            <w:tcW w:w="92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2025 (remaining six months)</w:t>
            </w:r>
          </w:p>
        </w:tc>
        <w:tc>
          <w:tcPr>
            <w:tcW w:w="740" w:type="dxa"/>
            <w:vAlign w:val="bottom"/>
            <w:tcBorders>
              <w:top w:val="single" w:sz="8" w:color="004483"/>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4,133</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4,845</w:t>
            </w:r>
          </w:p>
        </w:tc>
        <w:tc>
          <w:tcPr>
            <w:tcW w:w="140" w:type="dxa"/>
            <w:vAlign w:val="bottom"/>
          </w:tcPr>
          <w:p>
            <w:pPr>
              <w:spacing w:after="0"/>
              <w:rPr>
                <w:sz w:val="18"/>
                <w:szCs w:val="18"/>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3,679</w:t>
            </w:r>
          </w:p>
        </w:tc>
        <w:tc>
          <w:tcPr>
            <w:tcW w:w="140" w:type="dxa"/>
            <w:vAlign w:val="bottom"/>
          </w:tcPr>
          <w:p>
            <w:pPr>
              <w:spacing w:after="0"/>
              <w:rPr>
                <w:sz w:val="18"/>
                <w:szCs w:val="18"/>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2028</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2,812</w:t>
            </w:r>
          </w:p>
        </w:tc>
        <w:tc>
          <w:tcPr>
            <w:tcW w:w="140" w:type="dxa"/>
            <w:vAlign w:val="bottom"/>
          </w:tcPr>
          <w:p>
            <w:pPr>
              <w:spacing w:after="0"/>
              <w:rPr>
                <w:sz w:val="18"/>
                <w:szCs w:val="18"/>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2029</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2,734</w:t>
            </w:r>
          </w:p>
        </w:tc>
        <w:tc>
          <w:tcPr>
            <w:tcW w:w="140" w:type="dxa"/>
            <w:vAlign w:val="bottom"/>
          </w:tcPr>
          <w:p>
            <w:pPr>
              <w:spacing w:after="0"/>
              <w:rPr>
                <w:sz w:val="18"/>
                <w:szCs w:val="18"/>
                <w:color w:val="auto"/>
              </w:rPr>
            </w:pPr>
          </w:p>
        </w:tc>
      </w:tr>
      <w:tr>
        <w:trPr>
          <w:trHeight w:val="237"/>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4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12,210</w:t>
            </w:r>
          </w:p>
        </w:tc>
        <w:tc>
          <w:tcPr>
            <w:tcW w:w="140" w:type="dxa"/>
            <w:vAlign w:val="bottom"/>
          </w:tcPr>
          <w:p>
            <w:pPr>
              <w:spacing w:after="0"/>
              <w:rPr>
                <w:sz w:val="20"/>
                <w:szCs w:val="20"/>
                <w:color w:val="auto"/>
              </w:rPr>
            </w:pPr>
          </w:p>
        </w:tc>
      </w:tr>
      <w:tr>
        <w:trPr>
          <w:trHeight w:val="209"/>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30,413</w:t>
            </w:r>
          </w:p>
        </w:tc>
        <w:tc>
          <w:tcPr>
            <w:tcW w:w="140" w:type="dxa"/>
            <w:vAlign w:val="bottom"/>
          </w:tcPr>
          <w:p>
            <w:pPr>
              <w:spacing w:after="0"/>
              <w:rPr>
                <w:sz w:val="18"/>
                <w:szCs w:val="18"/>
                <w:color w:val="auto"/>
              </w:rPr>
            </w:pPr>
          </w:p>
        </w:tc>
      </w:tr>
      <w:tr>
        <w:trPr>
          <w:trHeight w:val="237"/>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Imputed Interest</w:t>
            </w:r>
          </w:p>
        </w:tc>
        <w:tc>
          <w:tcPr>
            <w:tcW w:w="74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(6,756</w:t>
            </w:r>
          </w:p>
        </w:tc>
        <w:tc>
          <w:tcPr>
            <w:tcW w:w="140" w:type="dxa"/>
            <w:vAlign w:val="bottom"/>
          </w:tcPr>
          <w:p>
            <w:pPr>
              <w:spacing w:after="0"/>
              <w:rPr>
                <w:sz w:val="20"/>
                <w:szCs w:val="20"/>
                <w:color w:val="auto"/>
              </w:rPr>
            </w:pPr>
            <w:r>
              <w:rPr>
                <w:rFonts w:ascii="Arial" w:cs="Arial" w:eastAsia="Arial" w:hAnsi="Arial"/>
                <w:sz w:val="16"/>
                <w:szCs w:val="16"/>
                <w:color w:val="auto"/>
              </w:rPr>
              <w:t>)</w:t>
            </w:r>
          </w:p>
        </w:tc>
      </w:tr>
      <w:tr>
        <w:trPr>
          <w:trHeight w:val="209"/>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40" w:type="dxa"/>
            <w:vAlign w:val="bottom"/>
            <w:tcBorders>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23,657</w:t>
            </w:r>
          </w:p>
        </w:tc>
        <w:tc>
          <w:tcPr>
            <w:tcW w:w="14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9240" w:type="dxa"/>
            <w:vAlign w:val="bottom"/>
            <w:tcBorders>
              <w:bottom w:val="single" w:sz="8" w:color="A6A6A6"/>
            </w:tcBorders>
          </w:tcPr>
          <w:p>
            <w:pPr>
              <w:spacing w:after="0"/>
              <w:rPr>
                <w:sz w:val="17"/>
                <w:szCs w:val="17"/>
                <w:color w:val="auto"/>
              </w:rPr>
            </w:pP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10.7</w:t>
            </w:r>
          </w:p>
        </w:tc>
        <w:tc>
          <w:tcPr>
            <w:tcW w:w="140" w:type="dxa"/>
            <w:vAlign w:val="bottom"/>
          </w:tcPr>
          <w:p>
            <w:pPr>
              <w:spacing w:after="0"/>
              <w:rPr>
                <w:sz w:val="18"/>
                <w:szCs w:val="18"/>
                <w:color w:val="auto"/>
              </w:rPr>
            </w:pPr>
          </w:p>
        </w:tc>
      </w:tr>
      <w:tr>
        <w:trPr>
          <w:trHeight w:val="210"/>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4.25</w:t>
            </w:r>
          </w:p>
        </w:tc>
        <w:tc>
          <w:tcPr>
            <w:tcW w:w="140" w:type="dxa"/>
            <w:vAlign w:val="bottom"/>
          </w:tcPr>
          <w:p>
            <w:pPr>
              <w:spacing w:after="0"/>
              <w:rPr>
                <w:sz w:val="20"/>
                <w:szCs w:val="20"/>
                <w:color w:val="auto"/>
              </w:rPr>
            </w:pPr>
            <w:r>
              <w:rPr>
                <w:rFonts w:ascii="Arial" w:cs="Arial" w:eastAsia="Arial" w:hAnsi="Arial"/>
                <w:sz w:val="16"/>
                <w:szCs w:val="16"/>
                <w:b w:val="1"/>
                <w:bCs w:val="1"/>
                <w:color w:val="auto"/>
                <w:w w:val="84"/>
              </w:rPr>
              <w:t>%</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99"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and consultants, independent contractors, and agents of the Company. The Compensation Committee of our Board of Directors (Compensation Committee) specifies grant terms for awards under the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2025 Equity Awards</w:t>
      </w:r>
    </w:p>
    <w:p>
      <w:pPr>
        <w:spacing w:after="0" w:line="10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In May 2024, the Compensation Committee awarded to certain officers and key employees an aggregate of 29,391 performance stock units and 1,963 performance stock options, as compensation for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on certain levels of average annual return on equity (as defined in the Performance Stock Award Agreements) ranging from 10.0% to 20.0% measured at the end of fiscal 2027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$11.7 million. Any forfeitures are recognized as a reduction to expense in the period in which they occur.</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1" w:right="299" w:bottom="1440" w:gutter="0" w:footer="0" w:header="0"/>
          <w:type w:val="continuous"/>
        </w:sectPr>
      </w:pPr>
    </w:p>
    <w:bookmarkStart w:id="12" w:name="page13"/>
    <w:bookmarkEnd w:id="12"/>
    <w:p>
      <w:pPr>
        <w:ind w:right="260"/>
        <w:spacing w:after="0" w:line="271" w:lineRule="auto"/>
        <w:rPr>
          <w:sz w:val="20"/>
          <w:szCs w:val="20"/>
          <w:color w:val="auto"/>
        </w:rPr>
      </w:pPr>
      <w:r>
        <w:rPr>
          <w:rFonts w:ascii="Arial" w:cs="Arial" w:eastAsia="Arial" w:hAnsi="Arial"/>
          <w:sz w:val="18"/>
          <w:szCs w:val="18"/>
          <w:color w:val="auto"/>
        </w:rPr>
        <w:t>The fair value of the above Performance Stock Awards was determined using a Monte Carlo simulation. The following are key inputs in the Monte Carlo analysis for the Fiscal 2025 Employee Performance Stock Award.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Measurement Period (in years)</w:t>
            </w:r>
          </w:p>
        </w:tc>
        <w:tc>
          <w:tcPr>
            <w:tcW w:w="3240" w:type="dxa"/>
            <w:vAlign w:val="bottom"/>
            <w:tcBorders>
              <w:top w:val="single" w:sz="8" w:color="004483"/>
              <w:bottom w:val="single" w:sz="8" w:color="A6A6A6"/>
            </w:tcBorders>
          </w:tcPr>
          <w:p>
            <w:pPr>
              <w:spacing w:after="0"/>
              <w:rPr>
                <w:sz w:val="22"/>
                <w:szCs w:val="22"/>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22"/>
                <w:szCs w:val="22"/>
                <w:color w:val="auto"/>
              </w:rPr>
            </w:pPr>
          </w:p>
        </w:tc>
      </w:tr>
      <w:tr>
        <w:trPr>
          <w:trHeight w:val="210"/>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Risk-Free Interest Rate</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 Yield</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Volatility</w:t>
            </w:r>
          </w:p>
        </w:tc>
        <w:tc>
          <w:tcPr>
            <w:tcW w:w="324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9"/>
        </w:trPr>
        <w:tc>
          <w:tcPr>
            <w:tcW w:w="6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Estimated Fair Value of Market-Based PSAs at Grant Date</w:t>
            </w:r>
          </w:p>
        </w:tc>
        <w:tc>
          <w:tcPr>
            <w:tcW w:w="32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238.27</w:t>
            </w:r>
          </w:p>
        </w:tc>
        <w:tc>
          <w:tcPr>
            <w:tcW w:w="140" w:type="dxa"/>
            <w:vAlign w:val="bottom"/>
          </w:tcPr>
          <w:p>
            <w:pPr>
              <w:spacing w:after="0"/>
              <w:rPr>
                <w:sz w:val="18"/>
                <w:szCs w:val="18"/>
                <w:color w:val="auto"/>
              </w:rPr>
            </w:pPr>
          </w:p>
        </w:tc>
      </w:tr>
    </w:tbl>
    <w:p>
      <w:pPr>
        <w:spacing w:after="0" w:line="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addition to the Performance Stock Awards discussed above, the Compensation Committee approved the granting to certain officers and key employees an aggregate of 1,963 time-vesting stock options, which vest ratably over three years (the Fiscal 2025 Employee Time-Vesting Stock Option Grant) and 30,272 shares of time-vesting restricted stock units, which vest ratably over three years (the Fiscal 2025 Employee Restricted Stock Unit Time-Vesting Award). The Fiscal 2025 Employee Restricted Stock Unit Time-Vesting Award was valued at the closing price of the stock on the grant date and is being expensed over a three-year period. The Fiscal 2025 Employee Time-Vesting Stock Option Grant was valued at its grant date using the Black-Scholes option pricing model, which used similar inputs as the Monte Carlo analysis shown above.</w:t>
      </w:r>
    </w:p>
    <w:p>
      <w:pPr>
        <w:spacing w:after="0" w:line="7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August 2024, the Compensation Committee granted 1,550 options to members of the Board of Directors (the Fiscal 2025 Board of Directors Stock Option Award). Options granted under the Fiscal 2025 Board of Directors Stock Option Award vest one year after the grant date, and can be exercised from the date of vesting until their expiration on the tenth anniversary of the grant date.</w:t>
      </w:r>
    </w:p>
    <w:p>
      <w:pPr>
        <w:spacing w:after="0" w:line="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Fiscal 2025 Board of Directors Stock Option Award was valued at its grant date using the Black-Scholes option pricing model and is being expensed over a one-year period. The weighted-average assumptions used in the Black-Scholes model to value the Fiscal 2025 Board of Directors Stock Option Award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60" w:type="dxa"/>
            <w:vAlign w:val="bottom"/>
            <w:shd w:val="clear" w:color="auto" w:fill="004483"/>
          </w:tcPr>
          <w:p>
            <w:pPr>
              <w:spacing w:after="0"/>
              <w:rPr>
                <w:sz w:val="3"/>
                <w:szCs w:val="3"/>
                <w:color w:val="auto"/>
              </w:rPr>
            </w:pPr>
          </w:p>
        </w:tc>
        <w:tc>
          <w:tcPr>
            <w:tcW w:w="5080" w:type="dxa"/>
            <w:vAlign w:val="bottom"/>
            <w:shd w:val="clear" w:color="auto" w:fill="004483"/>
          </w:tcPr>
          <w:p>
            <w:pPr>
              <w:spacing w:after="0"/>
              <w:rPr>
                <w:sz w:val="3"/>
                <w:szCs w:val="3"/>
                <w:color w:val="auto"/>
              </w:rPr>
            </w:pPr>
          </w:p>
        </w:tc>
        <w:tc>
          <w:tcPr>
            <w:tcW w:w="140" w:type="dxa"/>
            <w:vAlign w:val="bottom"/>
          </w:tcPr>
          <w:p>
            <w:pPr>
              <w:spacing w:after="0"/>
              <w:rPr>
                <w:sz w:val="3"/>
                <w:szCs w:val="3"/>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20" w:type="dxa"/>
            <w:vAlign w:val="bottom"/>
            <w:gridSpan w:val="2"/>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60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Volatility</w:t>
            </w:r>
          </w:p>
        </w:tc>
        <w:tc>
          <w:tcPr>
            <w:tcW w:w="50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38.8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Risk-Free Interest Rate</w:t>
            </w:r>
          </w:p>
        </w:tc>
        <w:tc>
          <w:tcPr>
            <w:tcW w:w="5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0"/>
        </w:trPr>
        <w:tc>
          <w:tcPr>
            <w:tcW w:w="60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8"/>
                <w:szCs w:val="18"/>
                <w:color w:val="auto"/>
              </w:rPr>
            </w:pPr>
          </w:p>
        </w:tc>
      </w:tr>
    </w:tbl>
    <w:p>
      <w:pPr>
        <w:spacing w:after="0" w:line="89"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In August 2024, the Compensation Committee granted 7,078 shares of time-vesting restricted stock to members of the Board of Directors (the Fiscal 2025 Board of Directors Restricted Stock Award). Restricted stock granted under the Fiscal 2025 Board of Directors Restricted Stock Award vest one year after the grant date, and were valued at the closing price of the stock on the grant date. The value of the Fiscal 2025 Board of Directors Restricted Stock Award is being expensed over a one-year period.</w:t>
      </w:r>
    </w:p>
    <w:p>
      <w:pPr>
        <w:spacing w:after="0" w:line="6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to the awards described above, we may issue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Stock option expense for all outstanding stock option awards totaled approximately $0.3 million and $0.6 million for the three and six months ended September 30, 2024, respectively, and $0.5 million and $1.0 million for the three and six months ended September 30, 2023, respectively. At September 30, 2024, there was approximately $1.7 million of unrecognized compensation expense related to outstanding stock options, which is expected to be recognized over a weighted-average period of 1.5 years.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01"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stock option activity for the six months ended September 30,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Number</w:t>
            </w: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16"/>
        </w:trPr>
        <w:tc>
          <w:tcPr>
            <w:tcW w:w="77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2024</w:t>
            </w:r>
          </w:p>
        </w:tc>
        <w:tc>
          <w:tcPr>
            <w:tcW w:w="540" w:type="dxa"/>
            <w:vAlign w:val="bottom"/>
            <w:tcBorders>
              <w:top w:val="single" w:sz="8" w:color="004483"/>
              <w:bottom w:val="single" w:sz="8" w:color="A6A6A6"/>
            </w:tcBorders>
          </w:tcPr>
          <w:p>
            <w:pPr>
              <w:spacing w:after="0"/>
              <w:rPr>
                <w:sz w:val="18"/>
                <w:szCs w:val="18"/>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252,364</w:t>
            </w:r>
          </w:p>
        </w:tc>
        <w:tc>
          <w:tcPr>
            <w:tcW w:w="120" w:type="dxa"/>
            <w:vAlign w:val="bottom"/>
          </w:tcPr>
          <w:p>
            <w:pPr>
              <w:spacing w:after="0"/>
              <w:rPr>
                <w:sz w:val="18"/>
                <w:szCs w:val="18"/>
                <w:color w:val="auto"/>
              </w:rPr>
            </w:pPr>
          </w:p>
        </w:tc>
        <w:tc>
          <w:tcPr>
            <w:tcW w:w="70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5,476</w:t>
            </w:r>
          </w:p>
        </w:tc>
        <w:tc>
          <w:tcPr>
            <w:tcW w:w="120" w:type="dxa"/>
            <w:vAlign w:val="bottom"/>
          </w:tcPr>
          <w:p>
            <w:pPr>
              <w:spacing w:after="0"/>
              <w:rPr>
                <w:sz w:val="18"/>
                <w:szCs w:val="18"/>
                <w:color w:val="auto"/>
              </w:rPr>
            </w:pP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244.92</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Exercised</w:t>
            </w:r>
          </w:p>
        </w:tc>
        <w:tc>
          <w:tcPr>
            <w:tcW w:w="540" w:type="dxa"/>
            <w:vAlign w:val="bottom"/>
            <w:tcBorders>
              <w:bottom w:val="single" w:sz="8" w:color="A6A6A6"/>
            </w:tcBorders>
          </w:tcPr>
          <w:p>
            <w:pPr>
              <w:spacing w:after="0"/>
              <w:rPr>
                <w:sz w:val="18"/>
                <w:szCs w:val="18"/>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(24,366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97.26</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Cancelled</w:t>
            </w:r>
          </w:p>
        </w:tc>
        <w:tc>
          <w:tcPr>
            <w:tcW w:w="540" w:type="dxa"/>
            <w:vAlign w:val="bottom"/>
            <w:tcBorders>
              <w:bottom w:val="single" w:sz="8" w:color="004483"/>
            </w:tcBorders>
          </w:tcPr>
          <w:p>
            <w:pPr>
              <w:spacing w:after="0"/>
              <w:rPr>
                <w:sz w:val="20"/>
                <w:szCs w:val="20"/>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Outstanding Options at September 30, 2024</w:t>
            </w:r>
          </w:p>
        </w:tc>
        <w:tc>
          <w:tcPr>
            <w:tcW w:w="540" w:type="dxa"/>
            <w:vAlign w:val="bottom"/>
            <w:tcBorders>
              <w:bottom w:val="single" w:sz="8" w:color="004483"/>
            </w:tcBorders>
          </w:tcPr>
          <w:p>
            <w:pPr>
              <w:spacing w:after="0"/>
              <w:rPr>
                <w:sz w:val="18"/>
                <w:szCs w:val="18"/>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233,474</w:t>
            </w:r>
          </w:p>
        </w:tc>
        <w:tc>
          <w:tcPr>
            <w:tcW w:w="120" w:type="dxa"/>
            <w:vAlign w:val="bottom"/>
          </w:tcPr>
          <w:p>
            <w:pPr>
              <w:spacing w:after="0"/>
              <w:rPr>
                <w:sz w:val="18"/>
                <w:szCs w:val="18"/>
                <w:color w:val="auto"/>
              </w:rPr>
            </w:pPr>
          </w:p>
        </w:tc>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94.00</w:t>
            </w: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September 30, 2024</w:t>
            </w:r>
          </w:p>
        </w:tc>
        <w:tc>
          <w:tcPr>
            <w:tcW w:w="540" w:type="dxa"/>
            <w:vAlign w:val="bottom"/>
            <w:tcBorders>
              <w:bottom w:val="single" w:sz="8" w:color="004483"/>
            </w:tcBorders>
          </w:tcPr>
          <w:p>
            <w:pPr>
              <w:spacing w:after="0"/>
              <w:rPr>
                <w:sz w:val="17"/>
                <w:szCs w:val="17"/>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195,201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Weighted-Average Fair Value of Options Granted</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104.45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shd w:val="clear" w:color="auto" w:fill="004483"/>
          </w:tcPr>
          <w:p>
            <w:pPr>
              <w:spacing w:after="0"/>
              <w:rPr>
                <w:sz w:val="14"/>
                <w:szCs w:val="14"/>
                <w:color w:val="auto"/>
              </w:rPr>
            </w:pPr>
          </w:p>
        </w:tc>
        <w:tc>
          <w:tcPr>
            <w:tcW w:w="1400" w:type="dxa"/>
            <w:vAlign w:val="bottom"/>
            <w:gridSpan w:val="4"/>
            <w:shd w:val="clear" w:color="auto" w:fill="004483"/>
          </w:tcPr>
          <w:p>
            <w:pPr>
              <w:ind w:left="100"/>
              <w:spacing w:after="0"/>
              <w:rPr>
                <w:sz w:val="20"/>
                <w:szCs w:val="20"/>
                <w:color w:val="auto"/>
              </w:rPr>
            </w:pPr>
            <w:r>
              <w:rPr>
                <w:rFonts w:ascii="Arial" w:cs="Arial" w:eastAsia="Arial" w:hAnsi="Arial"/>
                <w:sz w:val="13"/>
                <w:szCs w:val="13"/>
                <w:b w:val="1"/>
                <w:bCs w:val="1"/>
                <w:color w:val="FFFFFF"/>
                <w:w w:val="98"/>
              </w:rPr>
              <w:t>Options Outstanding</w:t>
            </w:r>
          </w:p>
        </w:tc>
        <w:tc>
          <w:tcPr>
            <w:tcW w:w="340" w:type="dxa"/>
            <w:vAlign w:val="bottom"/>
            <w:shd w:val="clear" w:color="auto" w:fill="004483"/>
          </w:tcPr>
          <w:p>
            <w:pPr>
              <w:spacing w:after="0"/>
              <w:rPr>
                <w:sz w:val="14"/>
                <w:szCs w:val="14"/>
                <w:color w:val="auto"/>
              </w:rPr>
            </w:pPr>
          </w:p>
        </w:tc>
        <w:tc>
          <w:tcPr>
            <w:tcW w:w="74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shd w:val="clear" w:color="auto" w:fill="004483"/>
          </w:tcPr>
          <w:p>
            <w:pPr>
              <w:ind w:left="540"/>
              <w:spacing w:after="0"/>
              <w:rPr>
                <w:sz w:val="20"/>
                <w:szCs w:val="20"/>
                <w:color w:val="auto"/>
              </w:rPr>
            </w:pPr>
            <w:r>
              <w:rPr>
                <w:rFonts w:ascii="Arial" w:cs="Arial" w:eastAsia="Arial" w:hAnsi="Arial"/>
                <w:sz w:val="13"/>
                <w:szCs w:val="13"/>
                <w:b w:val="1"/>
                <w:bCs w:val="1"/>
                <w:color w:val="FFFFFF"/>
              </w:rPr>
              <w:t>Options Exercisable</w:t>
            </w: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Weighted-</w:t>
            </w:r>
          </w:p>
        </w:tc>
        <w:tc>
          <w:tcPr>
            <w:tcW w:w="3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3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Remaining</w:t>
            </w:r>
          </w:p>
        </w:tc>
        <w:tc>
          <w:tcPr>
            <w:tcW w:w="3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5"/>
        </w:trPr>
        <w:tc>
          <w:tcPr>
            <w:tcW w:w="5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Contractual</w:t>
            </w:r>
          </w:p>
        </w:tc>
        <w:tc>
          <w:tcPr>
            <w:tcW w:w="3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3"/>
        </w:trPr>
        <w:tc>
          <w:tcPr>
            <w:tcW w:w="5120" w:type="dxa"/>
            <w:vAlign w:val="bottom"/>
            <w:gridSpan w:val="2"/>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Life (in years)</w:t>
            </w:r>
          </w:p>
        </w:tc>
        <w:tc>
          <w:tcPr>
            <w:tcW w:w="3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9"/>
        </w:trPr>
        <w:tc>
          <w:tcPr>
            <w:tcW w:w="49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$59.32 - $81.28</w:t>
            </w:r>
          </w:p>
        </w:tc>
        <w:tc>
          <w:tcPr>
            <w:tcW w:w="140" w:type="dxa"/>
            <w:vAlign w:val="bottom"/>
            <w:tcBorders>
              <w:top w:val="single" w:sz="8" w:color="004483"/>
              <w:bottom w:val="single" w:sz="8" w:color="A3A3A3"/>
            </w:tcBorders>
          </w:tcPr>
          <w:p>
            <w:pPr>
              <w:spacing w:after="0"/>
              <w:rPr>
                <w:sz w:val="18"/>
                <w:szCs w:val="18"/>
                <w:color w:val="auto"/>
              </w:rPr>
            </w:pPr>
          </w:p>
        </w:tc>
        <w:tc>
          <w:tcPr>
            <w:tcW w:w="10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101,349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3A3A3"/>
            </w:tcBorders>
          </w:tcPr>
          <w:p>
            <w:pPr>
              <w:spacing w:after="0"/>
              <w:rPr>
                <w:sz w:val="18"/>
                <w:szCs w:val="18"/>
                <w:color w:val="auto"/>
              </w:rPr>
            </w:pPr>
          </w:p>
        </w:tc>
        <w:tc>
          <w:tcPr>
            <w:tcW w:w="10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340" w:type="dxa"/>
            <w:vAlign w:val="bottom"/>
            <w:tcBorders>
              <w:top w:val="single" w:sz="8" w:color="004483"/>
              <w:bottom w:val="single" w:sz="8" w:color="A3A3A3"/>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62.64</w:t>
            </w:r>
          </w:p>
        </w:tc>
        <w:tc>
          <w:tcPr>
            <w:tcW w:w="120" w:type="dxa"/>
            <w:vAlign w:val="bottom"/>
          </w:tcPr>
          <w:p>
            <w:pPr>
              <w:spacing w:after="0"/>
              <w:rPr>
                <w:sz w:val="18"/>
                <w:szCs w:val="18"/>
                <w:color w:val="auto"/>
              </w:rPr>
            </w:pPr>
          </w:p>
        </w:tc>
        <w:tc>
          <w:tcPr>
            <w:tcW w:w="1140" w:type="dxa"/>
            <w:vAlign w:val="bottom"/>
            <w:tcBorders>
              <w:top w:val="single" w:sz="8" w:color="004483"/>
              <w:bottom w:val="single" w:sz="8" w:color="A3A3A3"/>
            </w:tcBorders>
            <w:gridSpan w:val="2"/>
          </w:tcPr>
          <w:p>
            <w:pPr>
              <w:jc w:val="right"/>
              <w:spacing w:after="0"/>
              <w:rPr>
                <w:sz w:val="20"/>
                <w:szCs w:val="20"/>
                <w:color w:val="auto"/>
              </w:rPr>
            </w:pPr>
            <w:r>
              <w:rPr>
                <w:rFonts w:ascii="Arial" w:cs="Arial" w:eastAsia="Arial" w:hAnsi="Arial"/>
                <w:sz w:val="16"/>
                <w:szCs w:val="16"/>
                <w:color w:val="auto"/>
              </w:rPr>
              <w:t>101,349</w:t>
            </w:r>
          </w:p>
        </w:tc>
        <w:tc>
          <w:tcPr>
            <w:tcW w:w="120" w:type="dxa"/>
            <w:vAlign w:val="bottom"/>
          </w:tcPr>
          <w:p>
            <w:pPr>
              <w:spacing w:after="0"/>
              <w:rPr>
                <w:sz w:val="18"/>
                <w:szCs w:val="18"/>
                <w:color w:val="auto"/>
              </w:rPr>
            </w:pPr>
          </w:p>
        </w:tc>
        <w:tc>
          <w:tcPr>
            <w:tcW w:w="120" w:type="dxa"/>
            <w:vAlign w:val="bottom"/>
            <w:tcBorders>
              <w:bottom w:val="single" w:sz="8" w:color="A3A3A3"/>
            </w:tcBorders>
          </w:tcPr>
          <w:p>
            <w:pPr>
              <w:spacing w:after="0"/>
              <w:rPr>
                <w:sz w:val="18"/>
                <w:szCs w:val="18"/>
                <w:color w:val="auto"/>
              </w:rPr>
            </w:pPr>
          </w:p>
        </w:tc>
        <w:tc>
          <w:tcPr>
            <w:tcW w:w="240" w:type="dxa"/>
            <w:vAlign w:val="bottom"/>
            <w:tcBorders>
              <w:top w:val="single" w:sz="8" w:color="004483"/>
              <w:bottom w:val="single" w:sz="8" w:color="A3A3A3"/>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004483"/>
              <w:bottom w:val="single" w:sz="8" w:color="A3A3A3"/>
            </w:tcBorders>
          </w:tcPr>
          <w:p>
            <w:pPr>
              <w:jc w:val="right"/>
              <w:spacing w:after="0"/>
              <w:rPr>
                <w:sz w:val="20"/>
                <w:szCs w:val="20"/>
                <w:color w:val="auto"/>
              </w:rPr>
            </w:pPr>
            <w:r>
              <w:rPr>
                <w:rFonts w:ascii="Arial" w:cs="Arial" w:eastAsia="Arial" w:hAnsi="Arial"/>
                <w:sz w:val="16"/>
                <w:szCs w:val="16"/>
                <w:color w:val="auto"/>
              </w:rPr>
              <w:t>62.64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$87.37 - $106.00</w:t>
            </w:r>
          </w:p>
        </w:tc>
        <w:tc>
          <w:tcPr>
            <w:tcW w:w="140" w:type="dxa"/>
            <w:vAlign w:val="bottom"/>
            <w:tcBorders>
              <w:bottom w:val="single" w:sz="8" w:color="A3A3A3"/>
            </w:tcBorders>
          </w:tcPr>
          <w:p>
            <w:pPr>
              <w:spacing w:after="0"/>
              <w:rPr>
                <w:sz w:val="18"/>
                <w:szCs w:val="18"/>
                <w:color w:val="auto"/>
              </w:rPr>
            </w:pPr>
          </w:p>
        </w:tc>
        <w:tc>
          <w:tcPr>
            <w:tcW w:w="104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65,031</w:t>
            </w:r>
          </w:p>
        </w:tc>
        <w:tc>
          <w:tcPr>
            <w:tcW w:w="120" w:type="dxa"/>
            <w:vAlign w:val="bottom"/>
          </w:tcPr>
          <w:p>
            <w:pPr>
              <w:spacing w:after="0"/>
              <w:rPr>
                <w:sz w:val="18"/>
                <w:szCs w:val="18"/>
                <w:color w:val="auto"/>
              </w:rPr>
            </w:pPr>
          </w:p>
        </w:tc>
        <w:tc>
          <w:tcPr>
            <w:tcW w:w="116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340" w:type="dxa"/>
            <w:vAlign w:val="bottom"/>
            <w:tcBorders>
              <w:bottom w:val="single" w:sz="8" w:color="A3A3A3"/>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94.54</w:t>
            </w:r>
          </w:p>
        </w:tc>
        <w:tc>
          <w:tcPr>
            <w:tcW w:w="120" w:type="dxa"/>
            <w:vAlign w:val="bottom"/>
          </w:tcPr>
          <w:p>
            <w:pPr>
              <w:spacing w:after="0"/>
              <w:rPr>
                <w:sz w:val="18"/>
                <w:szCs w:val="18"/>
                <w:color w:val="auto"/>
              </w:rPr>
            </w:pPr>
          </w:p>
        </w:tc>
        <w:tc>
          <w:tcPr>
            <w:tcW w:w="1140" w:type="dxa"/>
            <w:vAlign w:val="bottom"/>
            <w:tcBorders>
              <w:bottom w:val="single" w:sz="8" w:color="A3A3A3"/>
            </w:tcBorders>
            <w:gridSpan w:val="2"/>
          </w:tcPr>
          <w:p>
            <w:pPr>
              <w:jc w:val="right"/>
              <w:spacing w:after="0"/>
              <w:rPr>
                <w:sz w:val="20"/>
                <w:szCs w:val="20"/>
                <w:color w:val="auto"/>
              </w:rPr>
            </w:pPr>
            <w:r>
              <w:rPr>
                <w:rFonts w:ascii="Arial" w:cs="Arial" w:eastAsia="Arial" w:hAnsi="Arial"/>
                <w:sz w:val="16"/>
                <w:szCs w:val="16"/>
                <w:color w:val="auto"/>
              </w:rPr>
              <w:t>63,173</w:t>
            </w:r>
          </w:p>
        </w:tc>
        <w:tc>
          <w:tcPr>
            <w:tcW w:w="120" w:type="dxa"/>
            <w:vAlign w:val="bottom"/>
          </w:tcPr>
          <w:p>
            <w:pPr>
              <w:spacing w:after="0"/>
              <w:rPr>
                <w:sz w:val="18"/>
                <w:szCs w:val="18"/>
                <w:color w:val="auto"/>
              </w:rPr>
            </w:pPr>
          </w:p>
        </w:tc>
        <w:tc>
          <w:tcPr>
            <w:tcW w:w="360" w:type="dxa"/>
            <w:vAlign w:val="bottom"/>
            <w:tcBorders>
              <w:bottom w:val="single" w:sz="8" w:color="A3A3A3"/>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94.46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$118.27 - $139.25</w:t>
            </w:r>
          </w:p>
        </w:tc>
        <w:tc>
          <w:tcPr>
            <w:tcW w:w="14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52,615</w:t>
            </w:r>
          </w:p>
        </w:tc>
        <w:tc>
          <w:tcPr>
            <w:tcW w:w="120" w:type="dxa"/>
            <w:vAlign w:val="bottom"/>
          </w:tcPr>
          <w:p>
            <w:pPr>
              <w:spacing w:after="0"/>
              <w:rPr>
                <w:sz w:val="18"/>
                <w:szCs w:val="18"/>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18"/>
                <w:szCs w:val="18"/>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$143.09 - $261.73</w:t>
            </w:r>
          </w:p>
        </w:tc>
        <w:tc>
          <w:tcPr>
            <w:tcW w:w="140" w:type="dxa"/>
            <w:vAlign w:val="bottom"/>
            <w:tcBorders>
              <w:bottom w:val="single" w:sz="8" w:color="A6A6A6"/>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14,479</w:t>
            </w:r>
          </w:p>
        </w:tc>
        <w:tc>
          <w:tcPr>
            <w:tcW w:w="120" w:type="dxa"/>
            <w:vAlign w:val="bottom"/>
          </w:tcPr>
          <w:p>
            <w:pPr>
              <w:spacing w:after="0"/>
              <w:rPr>
                <w:sz w:val="20"/>
                <w:szCs w:val="20"/>
                <w:color w:val="auto"/>
              </w:rPr>
            </w:pPr>
          </w:p>
        </w:tc>
        <w:tc>
          <w:tcPr>
            <w:tcW w:w="11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20"/>
                <w:szCs w:val="20"/>
                <w:color w:val="auto"/>
              </w:rPr>
            </w:pPr>
          </w:p>
        </w:tc>
        <w:tc>
          <w:tcPr>
            <w:tcW w:w="340" w:type="dxa"/>
            <w:vAlign w:val="bottom"/>
            <w:tcBorders>
              <w:bottom w:val="single" w:sz="8" w:color="A6A6A6"/>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192.94</w:t>
            </w:r>
          </w:p>
        </w:tc>
        <w:tc>
          <w:tcPr>
            <w:tcW w:w="120" w:type="dxa"/>
            <w:vAlign w:val="bottom"/>
          </w:tcPr>
          <w:p>
            <w:pPr>
              <w:spacing w:after="0"/>
              <w:rPr>
                <w:sz w:val="20"/>
                <w:szCs w:val="20"/>
                <w:color w:val="auto"/>
              </w:rPr>
            </w:pPr>
          </w:p>
        </w:tc>
        <w:tc>
          <w:tcPr>
            <w:tcW w:w="100" w:type="dxa"/>
            <w:vAlign w:val="bottom"/>
            <w:tcBorders>
              <w:bottom w:val="single" w:sz="8" w:color="A6A6A6"/>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6,006</w:t>
            </w:r>
          </w:p>
        </w:tc>
        <w:tc>
          <w:tcPr>
            <w:tcW w:w="240" w:type="dxa"/>
            <w:vAlign w:val="bottom"/>
            <w:gridSpan w:val="2"/>
          </w:tcPr>
          <w:p>
            <w:pPr>
              <w:spacing w:after="0"/>
              <w:rPr>
                <w:sz w:val="20"/>
                <w:szCs w:val="20"/>
                <w:color w:val="auto"/>
              </w:rPr>
            </w:pPr>
          </w:p>
        </w:tc>
        <w:tc>
          <w:tcPr>
            <w:tcW w:w="24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233,474</w:t>
            </w: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5.59</w:t>
            </w:r>
          </w:p>
        </w:tc>
        <w:tc>
          <w:tcPr>
            <w:tcW w:w="12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195,201</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6A6A6"/>
            </w:tcBorders>
          </w:tcPr>
          <w:p>
            <w:pPr>
              <w:spacing w:after="0" w:line="20" w:lineRule="exact"/>
              <w:rPr>
                <w:sz w:val="1"/>
                <w:szCs w:val="1"/>
                <w:color w:val="auto"/>
              </w:rPr>
            </w:pPr>
          </w:p>
        </w:tc>
        <w:tc>
          <w:tcPr>
            <w:tcW w:w="74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At September 30, 2024, the aggregate intrinsic value of the outstanding and exercisable options was approximately $45.2 million and $39.8 million, respectively. The total intrinsic value of options exercised during the six months ended September 30, 2024, was approximately $4.1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04"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The following table summarizes the activity for restricted stock units and nonvested restricted stock during the six months ended September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7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 of Shares</w:t>
            </w: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w w:val="98"/>
              </w:rPr>
              <w:t>Weighted-Average Grant</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42"/>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Restricted Stock Units and Nonvested Restricted Stock at March 31, 2024</w:t>
            </w:r>
          </w:p>
        </w:tc>
        <w:tc>
          <w:tcPr>
            <w:tcW w:w="16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204,946</w:t>
            </w:r>
          </w:p>
        </w:tc>
        <w:tc>
          <w:tcPr>
            <w:tcW w:w="120" w:type="dxa"/>
            <w:vAlign w:val="bottom"/>
          </w:tcPr>
          <w:p>
            <w:pPr>
              <w:spacing w:after="0"/>
              <w:rPr>
                <w:sz w:val="21"/>
                <w:szCs w:val="21"/>
                <w:color w:val="auto"/>
              </w:rPr>
            </w:pPr>
          </w:p>
        </w:tc>
        <w:tc>
          <w:tcPr>
            <w:tcW w:w="54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121.12</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Granted</w:t>
            </w:r>
          </w:p>
        </w:tc>
        <w:tc>
          <w:tcPr>
            <w:tcW w:w="16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66,741</w:t>
            </w:r>
          </w:p>
        </w:tc>
        <w:tc>
          <w:tcPr>
            <w:tcW w:w="120" w:type="dxa"/>
            <w:vAlign w:val="bottom"/>
          </w:tcPr>
          <w:p>
            <w:pPr>
              <w:spacing w:after="0"/>
              <w:rPr>
                <w:sz w:val="20"/>
                <w:szCs w:val="20"/>
                <w:color w:val="auto"/>
              </w:rPr>
            </w:pPr>
          </w:p>
        </w:tc>
        <w:tc>
          <w:tcPr>
            <w:tcW w:w="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240.61</w:t>
            </w:r>
          </w:p>
        </w:tc>
        <w:tc>
          <w:tcPr>
            <w:tcW w:w="0" w:type="dxa"/>
            <w:vAlign w:val="bottom"/>
          </w:tcPr>
          <w:p>
            <w:pPr>
              <w:spacing w:after="0"/>
              <w:rPr>
                <w:sz w:val="1"/>
                <w:szCs w:val="1"/>
                <w:color w:val="auto"/>
              </w:rPr>
            </w:pPr>
          </w:p>
        </w:tc>
      </w:tr>
      <w:tr>
        <w:trPr>
          <w:trHeight w:val="236"/>
        </w:trPr>
        <w:tc>
          <w:tcPr>
            <w:tcW w:w="7680" w:type="dxa"/>
            <w:vAlign w:val="bottom"/>
          </w:tcPr>
          <w:p>
            <w:pPr>
              <w:ind w:left="120"/>
              <w:spacing w:after="0"/>
              <w:rPr>
                <w:sz w:val="20"/>
                <w:szCs w:val="20"/>
                <w:color w:val="auto"/>
              </w:rPr>
            </w:pPr>
            <w:r>
              <w:rPr>
                <w:rFonts w:ascii="Arial" w:cs="Arial" w:eastAsia="Arial" w:hAnsi="Arial"/>
                <w:sz w:val="16"/>
                <w:szCs w:val="16"/>
                <w:color w:val="004483"/>
              </w:rPr>
              <w:t>Vested</w:t>
            </w:r>
          </w:p>
        </w:tc>
        <w:tc>
          <w:tcPr>
            <w:tcW w:w="1720" w:type="dxa"/>
            <w:vAlign w:val="bottom"/>
            <w:gridSpan w:val="2"/>
          </w:tcPr>
          <w:p>
            <w:pPr>
              <w:jc w:val="right"/>
              <w:ind w:right="40"/>
              <w:spacing w:after="0"/>
              <w:rPr>
                <w:sz w:val="20"/>
                <w:szCs w:val="20"/>
                <w:color w:val="auto"/>
              </w:rPr>
            </w:pPr>
            <w:r>
              <w:rPr>
                <w:rFonts w:ascii="Arial" w:cs="Arial" w:eastAsia="Arial" w:hAnsi="Arial"/>
                <w:sz w:val="16"/>
                <w:szCs w:val="16"/>
                <w:color w:val="auto"/>
              </w:rPr>
              <w:t>(26,194 )</w:t>
            </w:r>
          </w:p>
        </w:tc>
        <w:tc>
          <w:tcPr>
            <w:tcW w:w="540" w:type="dxa"/>
            <w:vAlign w:val="bottom"/>
          </w:tcPr>
          <w:p>
            <w:pPr>
              <w:ind w:lef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183.42</w:t>
            </w:r>
          </w:p>
        </w:tc>
        <w:tc>
          <w:tcPr>
            <w:tcW w:w="0" w:type="dxa"/>
            <w:vAlign w:val="bottom"/>
          </w:tcPr>
          <w:p>
            <w:pPr>
              <w:spacing w:after="0"/>
              <w:rPr>
                <w:sz w:val="1"/>
                <w:szCs w:val="1"/>
                <w:color w:val="auto"/>
              </w:rPr>
            </w:pPr>
          </w:p>
        </w:tc>
      </w:tr>
      <w:tr>
        <w:trPr>
          <w:trHeight w:val="238"/>
        </w:trPr>
        <w:tc>
          <w:tcPr>
            <w:tcW w:w="768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Forfeited</w:t>
            </w:r>
          </w:p>
        </w:tc>
        <w:tc>
          <w:tcPr>
            <w:tcW w:w="16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Restricted Stock Units and Nonvested Restricted Stock at September 30, 2024</w:t>
            </w:r>
          </w:p>
        </w:tc>
        <w:tc>
          <w:tcPr>
            <w:tcW w:w="1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245,493</w:t>
            </w:r>
          </w:p>
        </w:tc>
        <w:tc>
          <w:tcPr>
            <w:tcW w:w="120" w:type="dxa"/>
            <w:vAlign w:val="bottom"/>
          </w:tcPr>
          <w:p>
            <w:pPr>
              <w:spacing w:after="0"/>
              <w:rPr>
                <w:sz w:val="18"/>
                <w:szCs w:val="18"/>
                <w:color w:val="auto"/>
              </w:rPr>
            </w:pPr>
          </w:p>
        </w:tc>
        <w:tc>
          <w:tcPr>
            <w:tcW w:w="54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156.30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Expense related to restricted stock units and restricted stock was approximately $4.6 million and $8.8 million for the three and six months ended September 30, 2024, respectively, and $3.8 million and $9.8 million for the three and six months ended September 30, 2023, respectively. At September 30, 2024, there was approximately $28.2 million of unearned compensation from restricted stock units and restricted stock, which will be recognized over a weighted-average period of 1.7 years.</w:t>
      </w:r>
    </w:p>
    <w:p>
      <w:pPr>
        <w:spacing w:after="0" w:line="6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1,342,965 at September 30,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920" w:type="dxa"/>
            <w:vAlign w:val="bottom"/>
            <w:gridSpan w:val="5"/>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rPr>
              <w:t>For the Three Months Ended September 30,</w:t>
            </w:r>
          </w:p>
        </w:tc>
        <w:tc>
          <w:tcPr>
            <w:tcW w:w="120" w:type="dxa"/>
            <w:vAlign w:val="bottom"/>
          </w:tcPr>
          <w:p>
            <w:pPr>
              <w:spacing w:after="0"/>
              <w:rPr>
                <w:sz w:val="14"/>
                <w:szCs w:val="14"/>
                <w:color w:val="auto"/>
              </w:rPr>
            </w:pPr>
          </w:p>
        </w:tc>
        <w:tc>
          <w:tcPr>
            <w:tcW w:w="2900" w:type="dxa"/>
            <w:vAlign w:val="bottom"/>
            <w:gridSpan w:val="5"/>
            <w:shd w:val="clear" w:color="auto" w:fill="004483"/>
          </w:tcPr>
          <w:p>
            <w:pPr>
              <w:jc w:val="right"/>
              <w:ind w:right="28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83"/>
        </w:trPr>
        <w:tc>
          <w:tcPr>
            <w:tcW w:w="5300" w:type="dxa"/>
            <w:vAlign w:val="bottom"/>
            <w:tcBorders>
              <w:bottom w:val="single" w:sz="8" w:color="004483"/>
            </w:tcBorders>
          </w:tcPr>
          <w:p>
            <w:pPr>
              <w:spacing w:after="0"/>
              <w:rPr>
                <w:sz w:val="15"/>
                <w:szCs w:val="15"/>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5"/>
                <w:szCs w:val="15"/>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42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r>
      <w:tr>
        <w:trPr>
          <w:trHeight w:val="216"/>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33,431,315</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35,056,973</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33,581,970</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35,165,268</w:t>
            </w:r>
          </w:p>
        </w:tc>
        <w:tc>
          <w:tcPr>
            <w:tcW w:w="100" w:type="dxa"/>
            <w:vAlign w:val="bottom"/>
          </w:tcPr>
          <w:p>
            <w:pPr>
              <w:spacing w:after="0"/>
              <w:rPr>
                <w:sz w:val="18"/>
                <w:szCs w:val="18"/>
                <w:color w:val="auto"/>
              </w:rPr>
            </w:pPr>
          </w:p>
        </w:tc>
      </w:tr>
      <w:tr>
        <w:trPr>
          <w:trHeight w:val="209"/>
        </w:trPr>
        <w:tc>
          <w:tcPr>
            <w:tcW w:w="5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30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0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239,969</w:t>
            </w:r>
          </w:p>
        </w:tc>
        <w:tc>
          <w:tcPr>
            <w:tcW w:w="140" w:type="dxa"/>
            <w:vAlign w:val="bottom"/>
          </w:tcPr>
          <w:p>
            <w:pPr>
              <w:spacing w:after="0"/>
              <w:rPr>
                <w:sz w:val="18"/>
                <w:szCs w:val="18"/>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312,065</w:t>
            </w:r>
          </w:p>
        </w:tc>
        <w:tc>
          <w:tcPr>
            <w:tcW w:w="100" w:type="dxa"/>
            <w:vAlign w:val="bottom"/>
          </w:tcPr>
          <w:p>
            <w:pPr>
              <w:spacing w:after="0"/>
              <w:rPr>
                <w:sz w:val="18"/>
                <w:szCs w:val="18"/>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245,200</w:t>
            </w:r>
          </w:p>
        </w:tc>
        <w:tc>
          <w:tcPr>
            <w:tcW w:w="100" w:type="dxa"/>
            <w:vAlign w:val="bottom"/>
          </w:tcPr>
          <w:p>
            <w:pPr>
              <w:spacing w:after="0"/>
              <w:rPr>
                <w:sz w:val="18"/>
                <w:szCs w:val="18"/>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316,163</w:t>
            </w:r>
          </w:p>
        </w:tc>
        <w:tc>
          <w:tcPr>
            <w:tcW w:w="100" w:type="dxa"/>
            <w:vAlign w:val="bottom"/>
          </w:tcPr>
          <w:p>
            <w:pPr>
              <w:spacing w:after="0"/>
              <w:rPr>
                <w:sz w:val="18"/>
                <w:szCs w:val="18"/>
                <w:color w:val="auto"/>
              </w:rPr>
            </w:pPr>
          </w:p>
        </w:tc>
      </w:tr>
      <w:tr>
        <w:trPr>
          <w:trHeight w:val="183"/>
        </w:trPr>
        <w:tc>
          <w:tcPr>
            <w:tcW w:w="5300" w:type="dxa"/>
            <w:vAlign w:val="bottom"/>
          </w:tcPr>
          <w:p>
            <w:pPr>
              <w:ind w:left="120"/>
              <w:spacing w:after="0" w:line="183" w:lineRule="exact"/>
              <w:rPr>
                <w:sz w:val="20"/>
                <w:szCs w:val="20"/>
                <w:color w:val="auto"/>
              </w:rPr>
            </w:pPr>
            <w:r>
              <w:rPr>
                <w:rFonts w:ascii="Arial" w:cs="Arial" w:eastAsia="Arial" w:hAnsi="Arial"/>
                <w:sz w:val="16"/>
                <w:szCs w:val="16"/>
                <w:color w:val="004483"/>
              </w:rPr>
              <w:t>Less Shares Repurchased from Proceeds of Assumed Exercised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300" w:type="dxa"/>
            <w:vAlign w:val="bottom"/>
          </w:tcPr>
          <w:p>
            <w:pPr>
              <w:ind w:left="120"/>
              <w:spacing w:after="0"/>
              <w:rPr>
                <w:sz w:val="20"/>
                <w:szCs w:val="20"/>
                <w:color w:val="auto"/>
              </w:rPr>
            </w:pPr>
            <w:r>
              <w:rPr>
                <w:rFonts w:ascii="Arial" w:cs="Arial" w:eastAsia="Arial" w:hAnsi="Arial"/>
                <w:sz w:val="16"/>
                <w:szCs w:val="16"/>
                <w:color w:val="004483"/>
              </w:rPr>
              <w:t>Options</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(92,198 )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(169,038 )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(95,378 )</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color w:val="auto"/>
              </w:rPr>
              <w:t>(171,659 )</w:t>
            </w:r>
          </w:p>
        </w:tc>
      </w:tr>
      <w:tr>
        <w:trPr>
          <w:trHeight w:val="238"/>
        </w:trPr>
        <w:tc>
          <w:tcPr>
            <w:tcW w:w="530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Restricted Stock and Restricted Stock Units</w:t>
            </w: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136,950</w:t>
            </w:r>
          </w:p>
        </w:tc>
        <w:tc>
          <w:tcPr>
            <w:tcW w:w="14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136,966</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121,911</w:t>
            </w:r>
          </w:p>
        </w:tc>
        <w:tc>
          <w:tcPr>
            <w:tcW w:w="10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124,065</w:t>
            </w:r>
          </w:p>
        </w:tc>
        <w:tc>
          <w:tcPr>
            <w:tcW w:w="1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304" w:right="339" w:bottom="1440" w:gutter="0" w:footer="0" w:header="0"/>
        </w:sectPr>
      </w:pPr>
    </w:p>
    <w:p>
      <w:pPr>
        <w:ind w:left="20" w:right="600"/>
        <w:spacing w:after="0" w:line="272" w:lineRule="auto"/>
        <w:rPr>
          <w:sz w:val="20"/>
          <w:szCs w:val="20"/>
          <w:color w:val="auto"/>
        </w:rPr>
      </w:pPr>
      <w:r>
        <w:rPr>
          <w:rFonts w:ascii="Arial" w:cs="Arial" w:eastAsia="Arial" w:hAnsi="Arial"/>
          <w:sz w:val="16"/>
          <w:szCs w:val="16"/>
          <w:b w:val="1"/>
          <w:bCs w:val="1"/>
          <w:color w:val="auto"/>
        </w:rPr>
        <w:t>Weighted-Average Common Stock and Dilutive Securities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3604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20" w:right="780"/>
        <w:spacing w:after="0" w:line="296" w:lineRule="auto"/>
        <w:rPr>
          <w:sz w:val="20"/>
          <w:szCs w:val="20"/>
          <w:color w:val="auto"/>
        </w:rPr>
      </w:pPr>
      <w:r>
        <w:rPr>
          <w:rFonts w:ascii="Arial" w:cs="Arial" w:eastAsia="Arial" w:hAnsi="Arial"/>
          <w:sz w:val="16"/>
          <w:szCs w:val="16"/>
          <w:b w:val="1"/>
          <w:bCs w:val="1"/>
          <w:color w:val="auto"/>
        </w:rPr>
        <w:t>Shares Excluded Due to Anti-Dilution Effects, Including Contingent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3360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1500" w:val="left"/>
          <w:tab w:leader="none" w:pos="3000" w:val="left"/>
          <w:tab w:leader="none" w:pos="4500" w:val="left"/>
        </w:tabs>
        <w:rPr>
          <w:sz w:val="20"/>
          <w:szCs w:val="20"/>
          <w:color w:val="auto"/>
        </w:rPr>
      </w:pPr>
      <w:r>
        <w:rPr>
          <w:rFonts w:ascii="Arial" w:cs="Arial" w:eastAsia="Arial" w:hAnsi="Arial"/>
          <w:sz w:val="16"/>
          <w:szCs w:val="16"/>
          <w:b w:val="1"/>
          <w:bCs w:val="1"/>
          <w:color w:val="auto"/>
        </w:rPr>
        <w:t>33,716,036</w:t>
      </w:r>
      <w:r>
        <w:rPr>
          <w:sz w:val="20"/>
          <w:szCs w:val="20"/>
          <w:color w:val="auto"/>
        </w:rPr>
        <w:tab/>
      </w:r>
      <w:r>
        <w:rPr>
          <w:rFonts w:ascii="Arial" w:cs="Arial" w:eastAsia="Arial" w:hAnsi="Arial"/>
          <w:sz w:val="16"/>
          <w:szCs w:val="16"/>
          <w:b w:val="1"/>
          <w:bCs w:val="1"/>
          <w:color w:val="auto"/>
        </w:rPr>
        <w:t>35,336,966</w:t>
      </w:r>
      <w:r>
        <w:rPr>
          <w:sz w:val="20"/>
          <w:szCs w:val="20"/>
          <w:color w:val="auto"/>
        </w:rPr>
        <w:tab/>
      </w:r>
      <w:r>
        <w:rPr>
          <w:rFonts w:ascii="Arial" w:cs="Arial" w:eastAsia="Arial" w:hAnsi="Arial"/>
          <w:sz w:val="16"/>
          <w:szCs w:val="16"/>
          <w:b w:val="1"/>
          <w:bCs w:val="1"/>
          <w:color w:val="auto"/>
        </w:rPr>
        <w:t>33,853,703</w:t>
      </w:r>
      <w:r>
        <w:rPr>
          <w:sz w:val="20"/>
          <w:szCs w:val="20"/>
          <w:color w:val="auto"/>
        </w:rPr>
        <w:tab/>
      </w:r>
      <w:r>
        <w:rPr>
          <w:rFonts w:ascii="Arial" w:cs="Arial" w:eastAsia="Arial" w:hAnsi="Arial"/>
          <w:sz w:val="16"/>
          <w:szCs w:val="16"/>
          <w:b w:val="1"/>
          <w:bCs w:val="1"/>
          <w:color w:val="auto"/>
        </w:rPr>
        <w:t>35,433,837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20955</wp:posOffset>
            </wp:positionV>
            <wp:extent cx="37033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03320" cy="26035"/>
                    </a:xfrm>
                    <a:prstGeom prst="rect">
                      <a:avLst/>
                    </a:prstGeom>
                    <a:noFill/>
                  </pic:spPr>
                </pic:pic>
              </a:graphicData>
            </a:graphic>
          </wp:anchor>
        </w:drawing>
      </w:r>
    </w:p>
    <w:p>
      <w:pPr>
        <w:spacing w:after="0" w:line="215" w:lineRule="exact"/>
        <w:rPr>
          <w:sz w:val="20"/>
          <w:szCs w:val="20"/>
          <w:color w:val="auto"/>
        </w:rPr>
      </w:pPr>
    </w:p>
    <w:p>
      <w:pPr>
        <w:ind w:left="420"/>
        <w:spacing w:after="0"/>
        <w:tabs>
          <w:tab w:leader="none" w:pos="1900" w:val="left"/>
          <w:tab w:leader="none" w:pos="3400" w:val="left"/>
          <w:tab w:leader="none" w:pos="4820" w:val="left"/>
        </w:tabs>
        <w:rPr>
          <w:sz w:val="20"/>
          <w:szCs w:val="20"/>
          <w:color w:val="auto"/>
        </w:rPr>
      </w:pPr>
      <w:r>
        <w:rPr>
          <w:rFonts w:ascii="Arial" w:cs="Arial" w:eastAsia="Arial" w:hAnsi="Arial"/>
          <w:sz w:val="16"/>
          <w:szCs w:val="16"/>
          <w:color w:val="auto"/>
        </w:rPr>
        <w:t>4,701</w:t>
      </w:r>
      <w:r>
        <w:rPr>
          <w:sz w:val="20"/>
          <w:szCs w:val="20"/>
          <w:color w:val="auto"/>
        </w:rPr>
        <w:tab/>
      </w:r>
      <w:r>
        <w:rPr>
          <w:rFonts w:ascii="Arial" w:cs="Arial" w:eastAsia="Arial" w:hAnsi="Arial"/>
          <w:sz w:val="16"/>
          <w:szCs w:val="16"/>
          <w:color w:val="auto"/>
        </w:rPr>
        <w:t>4,884</w:t>
      </w:r>
      <w:r>
        <w:rPr>
          <w:sz w:val="20"/>
          <w:szCs w:val="20"/>
          <w:color w:val="auto"/>
        </w:rPr>
        <w:tab/>
      </w:r>
      <w:r>
        <w:rPr>
          <w:rFonts w:ascii="Arial" w:cs="Arial" w:eastAsia="Arial" w:hAnsi="Arial"/>
          <w:sz w:val="16"/>
          <w:szCs w:val="16"/>
          <w:color w:val="auto"/>
        </w:rPr>
        <w:t>3,332</w:t>
      </w:r>
      <w:r>
        <w:rPr>
          <w:sz w:val="20"/>
          <w:szCs w:val="20"/>
          <w:color w:val="auto"/>
        </w:rPr>
        <w:tab/>
      </w:r>
      <w:r>
        <w:rPr>
          <w:rFonts w:ascii="Arial" w:cs="Arial" w:eastAsia="Arial" w:hAnsi="Arial"/>
          <w:sz w:val="16"/>
          <w:szCs w:val="16"/>
          <w:color w:val="auto"/>
        </w:rPr>
        <w:t>31,586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20955</wp:posOffset>
            </wp:positionV>
            <wp:extent cx="3703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03320" cy="2603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5060" w:space="720"/>
            <w:col w:w="5460"/>
          </w:cols>
          <w:pgMar w:left="320" w:top="1304"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2024. Due to the frozen status and current funding of the single-employer pension plans, our expected pension expense for fiscal 2025 is less than $0.2 million.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 INCOME TAXES</w:t>
      </w:r>
    </w:p>
    <w:p>
      <w:pPr>
        <w:spacing w:after="0" w:line="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six months ended September 30, 2024, was approximately 22%, which was consistent with the effective tax rate of 22% for the six months ended September 30, 2023. The effective tax rate was higher than the U.S. Statutory rate of 21% mainly due to state income taxes, partially offset by a benefit recognized related to percentage depletion.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2024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280" w:type="dxa"/>
            <w:vAlign w:val="bottom"/>
            <w:gridSpan w:val="2"/>
            <w:shd w:val="clear" w:color="auto" w:fill="004483"/>
          </w:tcPr>
          <w:p>
            <w:pPr>
              <w:jc w:val="right"/>
              <w:ind w:right="59"/>
              <w:spacing w:after="0"/>
              <w:rPr>
                <w:sz w:val="20"/>
                <w:szCs w:val="20"/>
                <w:color w:val="auto"/>
              </w:rPr>
            </w:pPr>
            <w:r>
              <w:rPr>
                <w:rFonts w:ascii="Arial" w:cs="Arial" w:eastAsia="Arial" w:hAnsi="Arial"/>
                <w:sz w:val="13"/>
                <w:szCs w:val="13"/>
                <w:b w:val="1"/>
                <w:bCs w:val="1"/>
                <w:color w:val="FFFFFF"/>
              </w:rPr>
              <w:t>September 30,</w:t>
            </w:r>
          </w:p>
        </w:tc>
        <w:tc>
          <w:tcPr>
            <w:tcW w:w="180" w:type="dxa"/>
            <w:vAlign w:val="bottom"/>
            <w:shd w:val="clear" w:color="auto" w:fill="004483"/>
          </w:tcPr>
          <w:p>
            <w:pPr>
              <w:spacing w:after="0"/>
              <w:rPr>
                <w:sz w:val="14"/>
                <w:szCs w:val="14"/>
                <w:color w:val="auto"/>
              </w:rPr>
            </w:pPr>
          </w:p>
        </w:tc>
        <w:tc>
          <w:tcPr>
            <w:tcW w:w="640" w:type="dxa"/>
            <w:vAlign w:val="bottom"/>
            <w:shd w:val="clear" w:color="auto" w:fill="004483"/>
          </w:tcPr>
          <w:p>
            <w:pPr>
              <w:spacing w:after="0"/>
              <w:rPr>
                <w:sz w:val="14"/>
                <w:szCs w:val="14"/>
                <w:color w:val="auto"/>
              </w:rPr>
            </w:pPr>
          </w:p>
        </w:tc>
        <w:tc>
          <w:tcPr>
            <w:tcW w:w="102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0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155,000</w:t>
            </w:r>
          </w:p>
        </w:tc>
        <w:tc>
          <w:tcPr>
            <w:tcW w:w="120" w:type="dxa"/>
            <w:vAlign w:val="bottom"/>
          </w:tcPr>
          <w:p>
            <w:pPr>
              <w:spacing w:after="0"/>
              <w:rPr>
                <w:sz w:val="18"/>
                <w:szCs w:val="18"/>
                <w:color w:val="auto"/>
              </w:rPr>
            </w:pPr>
          </w:p>
        </w:tc>
        <w:tc>
          <w:tcPr>
            <w:tcW w:w="820" w:type="dxa"/>
            <w:vAlign w:val="bottom"/>
            <w:tcBorders>
              <w:bottom w:val="single" w:sz="8" w:color="A6A6A6"/>
            </w:tcBorders>
            <w:gridSpan w:val="2"/>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170,000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Term Loan</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177,500</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182,500</w:t>
            </w:r>
          </w:p>
        </w:tc>
        <w:tc>
          <w:tcPr>
            <w:tcW w:w="100" w:type="dxa"/>
            <w:vAlign w:val="bottom"/>
          </w:tcPr>
          <w:p>
            <w:pPr>
              <w:spacing w:after="0"/>
              <w:rPr>
                <w:sz w:val="20"/>
                <w:szCs w:val="20"/>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1,082,500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1,102,500</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(8,567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6A6A6"/>
            </w:tcBorders>
          </w:tcPr>
          <w:p>
            <w:pPr>
              <w:spacing w:after="0"/>
              <w:rPr>
                <w:sz w:val="20"/>
                <w:szCs w:val="20"/>
                <w:color w:val="auto"/>
              </w:rPr>
            </w:pPr>
          </w:p>
        </w:tc>
        <w:tc>
          <w:tcPr>
            <w:tcW w:w="640" w:type="dxa"/>
            <w:vAlign w:val="bottom"/>
            <w:tcBorders>
              <w:bottom w:val="single" w:sz="8" w:color="004483"/>
            </w:tcBorders>
          </w:tcPr>
          <w:p>
            <w:pPr>
              <w:spacing w:after="0"/>
              <w:rPr>
                <w:sz w:val="20"/>
                <w:szCs w:val="20"/>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1,063,933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004483"/>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1,083,299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an unsecured $750.0 million revolving credit facility (the Revolving Credit Facility). The Revolving Credit Facility includes a separate $200.0 million term loan facility (the Term Loan) and also provides the Company the option to increase the borrowing capacity by up to $375.0 million (for a total borrowing capacity of $1,125.0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type w:val="continuous"/>
        </w:sectPr>
      </w:pPr>
    </w:p>
    <w:bookmarkStart w:id="15" w:name="page16"/>
    <w:bookmarkEnd w:id="15"/>
    <w:p>
      <w:pPr>
        <w:ind w:right="60" w:firstLine="50"/>
        <w:spacing w:after="0" w:line="271" w:lineRule="auto"/>
        <w:rPr>
          <w:sz w:val="20"/>
          <w:szCs w:val="20"/>
          <w:color w:val="auto"/>
        </w:rPr>
      </w:pPr>
      <w:r>
        <w:rPr>
          <w:rFonts w:ascii="Arial" w:cs="Arial" w:eastAsia="Arial" w:hAnsi="Arial"/>
          <w:sz w:val="18"/>
          <w:szCs w:val="18"/>
          <w:color w:val="auto"/>
        </w:rPr>
        <w:t>million), provided the existing lenders, or new lenders, agree to such increase. The Revolving Credit Facility includes a $40.0 million letter of credit facility and a swingline loan sub-facility of $25.0 million, and expires on May 5, 2027.</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 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7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There were $155.0 million of outstanding borrowings under the Revolving Credit Facility, plus $10.0 million outstanding letters of credit as of September 30, 2024, resulting in $585.0 million of available borrowings under the Revolving Credit Facility, net of the outstanding letters of credit. We were in compliance with all Financial Covenants on September 30, 2024; therefore, the entire $585.0 million is available for future borrowings.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to allocate resources and assess performance.</w:t>
      </w:r>
    </w:p>
    <w:p>
      <w:pPr>
        <w:spacing w:after="0" w:line="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to build, expand, and repair roads and buildings; and all repair and remodel activities.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over 30 cement distribution terminals. Our cement companies focus on the U.S. heartland and operate as an integrated network selling product primarily in California, Colorado, Illinois, Indiana, Iowa, Kansas, Kentucky, Missouri, Nebraska, Nevada, Ohio, Oklahoma, Tennessee, and Texas. We operate 25 readymix concrete batch plants and six aggregates processing plants in markets that are complementary to our cement network.</w:t>
      </w:r>
    </w:p>
    <w:p>
      <w:pPr>
        <w:spacing w:after="0" w:line="6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7" w:name="page18"/>
    <w:bookmarkEnd w:id="17"/>
    <w:p>
      <w:pPr>
        <w:ind w:right="160"/>
        <w:spacing w:after="0" w:line="253"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6"/>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8"/>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500" w:type="dxa"/>
            <w:vAlign w:val="bottom"/>
            <w:tcBorders>
              <w:bottom w:val="single" w:sz="8" w:color="004483"/>
            </w:tcBorders>
            <w:gridSpan w:val="6"/>
          </w:tcPr>
          <w:p>
            <w:pPr>
              <w:jc w:val="right"/>
              <w:ind w:right="83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0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352,780</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360,751</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691,942</w:t>
            </w:r>
          </w:p>
        </w:tc>
        <w:tc>
          <w:tcPr>
            <w:tcW w:w="120" w:type="dxa"/>
            <w:vAlign w:val="bottom"/>
          </w:tcPr>
          <w:p>
            <w:pPr>
              <w:spacing w:after="0"/>
              <w:rPr>
                <w:sz w:val="18"/>
                <w:szCs w:val="18"/>
                <w:color w:val="auto"/>
              </w:rPr>
            </w:pPr>
          </w:p>
        </w:tc>
        <w:tc>
          <w:tcPr>
            <w:tcW w:w="42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689,783</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69,980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69,887</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134,795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140,340</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214,975</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209,233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432,801</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428,330</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50,777</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43,016</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105,017</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88,344</w:t>
            </w:r>
          </w:p>
        </w:tc>
        <w:tc>
          <w:tcPr>
            <w:tcW w:w="100" w:type="dxa"/>
            <w:vAlign w:val="bottom"/>
          </w:tcPr>
          <w:p>
            <w:pPr>
              <w:spacing w:after="0"/>
              <w:rPr>
                <w:sz w:val="20"/>
                <w:szCs w:val="20"/>
                <w:color w:val="auto"/>
              </w:rPr>
            </w:pPr>
          </w:p>
        </w:tc>
      </w:tr>
      <w:tr>
        <w:trPr>
          <w:trHeight w:val="209"/>
        </w:trPr>
        <w:tc>
          <w:tcPr>
            <w:tcW w:w="53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688,512</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682,887</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1,364,555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1,346,797</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Intersegment Revenue</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(36,068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(31,744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(74,112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(67,010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Less: Joint Venture Revenue</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(28,825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(28,907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(58,135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(56,030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53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623,619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622,236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1,232,308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1,223,757</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Borders>
              <w:bottom w:val="single" w:sz="8" w:color="004483"/>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6"/>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6"/>
          </w:tcPr>
          <w:p>
            <w:pPr>
              <w:spacing w:after="0"/>
              <w:rPr>
                <w:sz w:val="19"/>
                <w:szCs w:val="19"/>
                <w:color w:val="auto"/>
              </w:rPr>
            </w:pPr>
          </w:p>
        </w:tc>
      </w:tr>
      <w:tr>
        <w:trPr>
          <w:trHeight w:val="162"/>
        </w:trPr>
        <w:tc>
          <w:tcPr>
            <w:tcW w:w="53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6"/>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8"/>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500" w:type="dxa"/>
            <w:vAlign w:val="bottom"/>
            <w:tcBorders>
              <w:bottom w:val="single" w:sz="8" w:color="004483"/>
            </w:tcBorders>
            <w:gridSpan w:val="6"/>
          </w:tcPr>
          <w:p>
            <w:pPr>
              <w:jc w:val="right"/>
              <w:ind w:right="839"/>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00" w:type="dxa"/>
            <w:vAlign w:val="bottom"/>
            <w:tcBorders>
              <w:bottom w:val="single" w:sz="8" w:color="004483"/>
            </w:tcBorders>
          </w:tcPr>
          <w:p>
            <w:pPr>
              <w:spacing w:after="0"/>
              <w:rPr>
                <w:sz w:val="16"/>
                <w:szCs w:val="16"/>
                <w:color w:val="auto"/>
              </w:rPr>
            </w:pPr>
          </w:p>
        </w:tc>
        <w:tc>
          <w:tcPr>
            <w:tcW w:w="9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10,384</w:t>
            </w:r>
          </w:p>
        </w:tc>
        <w:tc>
          <w:tcPr>
            <w:tcW w:w="140" w:type="dxa"/>
            <w:vAlign w:val="bottom"/>
          </w:tcPr>
          <w:p>
            <w:pPr>
              <w:spacing w:after="0"/>
              <w:rPr>
                <w:sz w:val="18"/>
                <w:szCs w:val="18"/>
                <w:color w:val="auto"/>
              </w:rPr>
            </w:pPr>
          </w:p>
        </w:tc>
        <w:tc>
          <w:tcPr>
            <w:tcW w:w="520" w:type="dxa"/>
            <w:vAlign w:val="bottom"/>
            <w:tcBorders>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9,251</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20,664</w:t>
            </w:r>
          </w:p>
        </w:tc>
        <w:tc>
          <w:tcPr>
            <w:tcW w:w="120" w:type="dxa"/>
            <w:vAlign w:val="bottom"/>
          </w:tcPr>
          <w:p>
            <w:pPr>
              <w:spacing w:after="0"/>
              <w:rPr>
                <w:sz w:val="18"/>
                <w:szCs w:val="18"/>
                <w:color w:val="auto"/>
              </w:rPr>
            </w:pPr>
          </w:p>
        </w:tc>
        <w:tc>
          <w:tcPr>
            <w:tcW w:w="42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19,388</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4,050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3,783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7,827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6,821</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21,634</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18,710</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45,621</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40,801</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36,068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74,112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67,010</w:t>
            </w:r>
          </w:p>
        </w:tc>
        <w:tc>
          <w:tcPr>
            <w:tcW w:w="100" w:type="dxa"/>
            <w:vAlign w:val="bottom"/>
          </w:tcPr>
          <w:p>
            <w:pPr>
              <w:spacing w:after="0"/>
              <w:rPr>
                <w:sz w:val="18"/>
                <w:szCs w:val="18"/>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40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00" w:type="dxa"/>
            <w:vAlign w:val="bottom"/>
            <w:tcBorders>
              <w:bottom w:val="single" w:sz="8" w:color="A6A6A6"/>
            </w:tcBorders>
          </w:tcPr>
          <w:p>
            <w:pPr>
              <w:spacing w:after="0"/>
              <w:rPr>
                <w:sz w:val="17"/>
                <w:szCs w:val="17"/>
                <w:color w:val="auto"/>
              </w:rPr>
            </w:pPr>
          </w:p>
        </w:tc>
        <w:tc>
          <w:tcPr>
            <w:tcW w:w="9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1,848</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3,615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30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300" w:type="dxa"/>
            <w:vAlign w:val="bottom"/>
            <w:tcBorders>
              <w:bottom w:val="single" w:sz="8" w:color="004483"/>
            </w:tcBorders>
          </w:tcPr>
          <w:p>
            <w:pPr>
              <w:spacing w:after="0"/>
              <w:rPr>
                <w:sz w:val="20"/>
                <w:szCs w:val="20"/>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004483"/>
            </w:tcBorders>
          </w:tcPr>
          <w:p>
            <w:pPr>
              <w:spacing w:after="0"/>
              <w:rPr>
                <w:sz w:val="18"/>
                <w:szCs w:val="18"/>
                <w:color w:val="auto"/>
              </w:rPr>
            </w:pP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4,142</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7"/>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9"/>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8"/>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2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000" w:type="dxa"/>
            <w:vAlign w:val="bottom"/>
            <w:tcBorders>
              <w:bottom w:val="single" w:sz="8" w:color="004483"/>
            </w:tcBorders>
            <w:gridSpan w:val="4"/>
          </w:tcPr>
          <w:p>
            <w:pPr>
              <w:jc w:val="right"/>
              <w:ind w:right="19"/>
              <w:spacing w:after="0"/>
              <w:rPr>
                <w:sz w:val="20"/>
                <w:szCs w:val="20"/>
                <w:color w:val="auto"/>
              </w:rPr>
            </w:pPr>
            <w:r>
              <w:rPr>
                <w:rFonts w:ascii="Arial" w:cs="Arial" w:eastAsia="Arial" w:hAnsi="Arial"/>
                <w:sz w:val="13"/>
                <w:szCs w:val="13"/>
                <w:color w:val="auto"/>
              </w:rPr>
              <w:t>(dollars in thousands)</w:t>
            </w:r>
          </w:p>
        </w:tc>
        <w:tc>
          <w:tcPr>
            <w:tcW w:w="28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60" w:type="dxa"/>
            <w:vAlign w:val="bottom"/>
            <w:tcBorders>
              <w:bottom w:val="single" w:sz="8" w:color="004483"/>
            </w:tcBorders>
            <w:gridSpan w:val="7"/>
          </w:tcPr>
          <w:p>
            <w:pPr>
              <w:jc w:val="right"/>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115,933</w:t>
            </w:r>
          </w:p>
        </w:tc>
        <w:tc>
          <w:tcPr>
            <w:tcW w:w="14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121,429</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205,058</w:t>
            </w:r>
          </w:p>
        </w:tc>
        <w:tc>
          <w:tcPr>
            <w:tcW w:w="120" w:type="dxa"/>
            <w:vAlign w:val="bottom"/>
          </w:tcPr>
          <w:p>
            <w:pPr>
              <w:spacing w:after="0"/>
              <w:rPr>
                <w:sz w:val="18"/>
                <w:szCs w:val="18"/>
                <w:color w:val="auto"/>
              </w:rPr>
            </w:pPr>
          </w:p>
        </w:tc>
        <w:tc>
          <w:tcPr>
            <w:tcW w:w="62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195,490</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11,674</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90,141</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85,705</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184,117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176,562</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8,041</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7,590</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16,544</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14,792</w:t>
            </w:r>
          </w:p>
        </w:tc>
        <w:tc>
          <w:tcPr>
            <w:tcW w:w="100" w:type="dxa"/>
            <w:vAlign w:val="bottom"/>
          </w:tcPr>
          <w:p>
            <w:pPr>
              <w:spacing w:after="0"/>
              <w:rPr>
                <w:sz w:val="20"/>
                <w:szCs w:val="20"/>
                <w:color w:val="auto"/>
              </w:rPr>
            </w:pPr>
          </w:p>
        </w:tc>
      </w:tr>
      <w:tr>
        <w:trPr>
          <w:trHeight w:val="209"/>
        </w:trPr>
        <w:tc>
          <w:tcPr>
            <w:tcW w:w="532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Sub-Total</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213,120</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219,364</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407,704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398,518</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(16,576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(33,528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(28,255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Non-Operating Income</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20"/>
                <w:szCs w:val="20"/>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195,965</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204,393</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377,583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372,081</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Interest Expense, net</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(10,714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(10,204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(21,398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(22,443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185,251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194,189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356,185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349,638</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Cement Operating Earnings</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Wholly Owned</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106,657</w:t>
            </w:r>
          </w:p>
        </w:tc>
        <w:tc>
          <w:tcPr>
            <w:tcW w:w="14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111,083</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188,066</w:t>
            </w:r>
          </w:p>
        </w:tc>
        <w:tc>
          <w:tcPr>
            <w:tcW w:w="120" w:type="dxa"/>
            <w:vAlign w:val="bottom"/>
          </w:tcPr>
          <w:p>
            <w:pPr>
              <w:spacing w:after="0"/>
              <w:rPr>
                <w:sz w:val="18"/>
                <w:szCs w:val="18"/>
                <w:color w:val="auto"/>
              </w:rPr>
            </w:pPr>
          </w:p>
        </w:tc>
        <w:tc>
          <w:tcPr>
            <w:tcW w:w="62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181,985</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Joint Venture</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9,276</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10,346</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13,505</w:t>
            </w: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115,933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121,429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205,058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195,490</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47,981</w:t>
            </w:r>
          </w:p>
        </w:tc>
        <w:tc>
          <w:tcPr>
            <w:tcW w:w="14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14,487</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66,775</w:t>
            </w:r>
          </w:p>
        </w:tc>
        <w:tc>
          <w:tcPr>
            <w:tcW w:w="120" w:type="dxa"/>
            <w:vAlign w:val="bottom"/>
          </w:tcPr>
          <w:p>
            <w:pPr>
              <w:spacing w:after="0"/>
              <w:rPr>
                <w:sz w:val="18"/>
                <w:szCs w:val="18"/>
                <w:color w:val="auto"/>
              </w:rPr>
            </w:pPr>
          </w:p>
        </w:tc>
        <w:tc>
          <w:tcPr>
            <w:tcW w:w="62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26,757</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7,538</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5,854</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14,127</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18"/>
                <w:szCs w:val="18"/>
                <w:color w:val="auto"/>
              </w:rPr>
            </w:pPr>
          </w:p>
        </w:tc>
      </w:tr>
      <w:tr>
        <w:trPr>
          <w:trHeight w:val="210"/>
        </w:trPr>
        <w:tc>
          <w:tcPr>
            <w:tcW w:w="5320" w:type="dxa"/>
            <w:vAlign w:val="bottom"/>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6"/>
                <w:szCs w:val="16"/>
                <w:color w:val="auto"/>
              </w:rPr>
              <w:t>7,365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16,480</w:t>
            </w:r>
          </w:p>
        </w:tc>
        <w:tc>
          <w:tcPr>
            <w:tcW w:w="100" w:type="dxa"/>
            <w:vAlign w:val="bottom"/>
          </w:tcPr>
          <w:p>
            <w:pPr>
              <w:spacing w:after="0"/>
              <w:rPr>
                <w:sz w:val="18"/>
                <w:szCs w:val="18"/>
                <w:color w:val="auto"/>
              </w:rPr>
            </w:pPr>
          </w:p>
        </w:tc>
      </w:tr>
      <w:tr>
        <w:trPr>
          <w:trHeight w:val="209"/>
        </w:trPr>
        <w:tc>
          <w:tcPr>
            <w:tcW w:w="52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4,555</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gridSpan w:val="4"/>
          </w:tcPr>
          <w:p>
            <w:pPr>
              <w:jc w:val="right"/>
              <w:spacing w:after="0"/>
              <w:rPr>
                <w:sz w:val="20"/>
                <w:szCs w:val="20"/>
                <w:color w:val="auto"/>
              </w:rPr>
            </w:pPr>
            <w:r>
              <w:rPr>
                <w:rFonts w:ascii="Arial" w:cs="Arial" w:eastAsia="Arial" w:hAnsi="Arial"/>
                <w:sz w:val="16"/>
                <w:szCs w:val="16"/>
                <w:color w:val="auto"/>
              </w:rPr>
              <w:t>8,116</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5,865</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2,318</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7,277</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66,477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29,454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99,605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65,453</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12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8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42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6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22,907</w:t>
            </w:r>
          </w:p>
        </w:tc>
        <w:tc>
          <w:tcPr>
            <w:tcW w:w="140" w:type="dxa"/>
            <w:vAlign w:val="bottom"/>
          </w:tcPr>
          <w:p>
            <w:pPr>
              <w:spacing w:after="0"/>
              <w:rPr>
                <w:sz w:val="18"/>
                <w:szCs w:val="18"/>
                <w:color w:val="auto"/>
              </w:rPr>
            </w:pPr>
          </w:p>
        </w:tc>
        <w:tc>
          <w:tcPr>
            <w:tcW w:w="700" w:type="dxa"/>
            <w:vAlign w:val="bottom"/>
            <w:tcBorders>
              <w:bottom w:val="single" w:sz="8" w:color="A6A6A6"/>
            </w:tcBorders>
            <w:gridSpan w:val="2"/>
          </w:tcPr>
          <w:p>
            <w:pPr>
              <w:jc w:val="right"/>
              <w:ind w:right="3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22,187</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45,824</w:t>
            </w:r>
          </w:p>
        </w:tc>
        <w:tc>
          <w:tcPr>
            <w:tcW w:w="120" w:type="dxa"/>
            <w:vAlign w:val="bottom"/>
          </w:tcPr>
          <w:p>
            <w:pPr>
              <w:spacing w:after="0"/>
              <w:rPr>
                <w:sz w:val="18"/>
                <w:szCs w:val="18"/>
                <w:color w:val="auto"/>
              </w:rPr>
            </w:pPr>
          </w:p>
        </w:tc>
        <w:tc>
          <w:tcPr>
            <w:tcW w:w="620" w:type="dxa"/>
            <w:vAlign w:val="bottom"/>
            <w:tcBorders>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43,866</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5,283</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4,962</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9,813</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9,993</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6,451</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5,548</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12,924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11,009</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3,669</w:t>
            </w:r>
          </w:p>
        </w:tc>
        <w:tc>
          <w:tcPr>
            <w:tcW w:w="14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3,708</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2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7,359</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7,427</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767</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004483"/>
            </w:tcBorders>
          </w:tcPr>
          <w:p>
            <w:pPr>
              <w:spacing w:after="0"/>
              <w:rPr>
                <w:sz w:val="20"/>
                <w:szCs w:val="20"/>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39,077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37,197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77,427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73,879</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880" w:type="dxa"/>
            <w:vAlign w:val="bottom"/>
            <w:gridSpan w:val="2"/>
            <w:shd w:val="clear" w:color="auto" w:fill="004483"/>
          </w:tcPr>
          <w:p>
            <w:pPr>
              <w:spacing w:after="0"/>
              <w:rPr>
                <w:sz w:val="20"/>
                <w:szCs w:val="20"/>
                <w:color w:val="auto"/>
              </w:rPr>
            </w:pPr>
            <w:r>
              <w:rPr>
                <w:rFonts w:ascii="Arial" w:cs="Arial" w:eastAsia="Arial" w:hAnsi="Arial"/>
                <w:sz w:val="13"/>
                <w:szCs w:val="13"/>
                <w:b w:val="1"/>
                <w:bCs w:val="1"/>
                <w:color w:val="FFFFFF"/>
                <w:w w:val="96"/>
              </w:rPr>
              <w:t>September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6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860" w:type="dxa"/>
            <w:vAlign w:val="bottom"/>
            <w:gridSpan w:val="2"/>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52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580" w:type="dxa"/>
            <w:vAlign w:val="bottom"/>
            <w:tcBorders>
              <w:bottom w:val="single" w:sz="8" w:color="004483"/>
            </w:tcBorders>
          </w:tcPr>
          <w:p>
            <w:pPr>
              <w:spacing w:after="0"/>
              <w:rPr>
                <w:sz w:val="16"/>
                <w:szCs w:val="16"/>
                <w:color w:val="auto"/>
              </w:rPr>
            </w:pPr>
          </w:p>
        </w:tc>
        <w:tc>
          <w:tcPr>
            <w:tcW w:w="28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60" w:type="dxa"/>
            <w:vAlign w:val="bottom"/>
            <w:tcBorders>
              <w:bottom w:val="single" w:sz="8" w:color="004483"/>
            </w:tcBorders>
            <w:gridSpan w:val="7"/>
          </w:tcPr>
          <w:p>
            <w:pPr>
              <w:jc w:val="right"/>
              <w:ind w:right="27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2,130,543</w:t>
            </w:r>
          </w:p>
        </w:tc>
        <w:tc>
          <w:tcPr>
            <w:tcW w:w="120" w:type="dxa"/>
            <w:vAlign w:val="bottom"/>
          </w:tcPr>
          <w:p>
            <w:pPr>
              <w:spacing w:after="0"/>
              <w:rPr>
                <w:sz w:val="18"/>
                <w:szCs w:val="18"/>
                <w:color w:val="auto"/>
              </w:rPr>
            </w:pPr>
          </w:p>
        </w:tc>
        <w:tc>
          <w:tcPr>
            <w:tcW w:w="36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2,042,499</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269,410</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225,485</w:t>
            </w:r>
          </w:p>
        </w:tc>
        <w:tc>
          <w:tcPr>
            <w:tcW w:w="100" w:type="dxa"/>
            <w:vAlign w:val="bottom"/>
          </w:tcPr>
          <w:p>
            <w:pPr>
              <w:spacing w:after="0"/>
              <w:rPr>
                <w:sz w:val="18"/>
                <w:szCs w:val="18"/>
                <w:color w:val="auto"/>
              </w:rPr>
            </w:pPr>
          </w:p>
        </w:tc>
      </w:tr>
      <w:tr>
        <w:trPr>
          <w:trHeight w:val="210"/>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417,304</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432,122</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Recycled Paperboard</w:t>
            </w:r>
          </w:p>
        </w:tc>
        <w:tc>
          <w:tcPr>
            <w:tcW w:w="12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8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170,662</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6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170,832</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net</w:t>
            </w:r>
          </w:p>
        </w:tc>
        <w:tc>
          <w:tcPr>
            <w:tcW w:w="120" w:type="dxa"/>
            <w:vAlign w:val="bottom"/>
            <w:tcBorders>
              <w:bottom w:val="single" w:sz="8" w:color="A6A6A6"/>
            </w:tcBorders>
          </w:tcPr>
          <w:p>
            <w:pPr>
              <w:spacing w:after="0"/>
              <w:rPr>
                <w:sz w:val="20"/>
                <w:szCs w:val="20"/>
                <w:color w:val="auto"/>
              </w:rPr>
            </w:pPr>
          </w:p>
        </w:tc>
        <w:tc>
          <w:tcPr>
            <w:tcW w:w="1160" w:type="dxa"/>
            <w:vAlign w:val="bottom"/>
            <w:tcBorders>
              <w:bottom w:val="single" w:sz="8" w:color="A6A6A6"/>
            </w:tcBorders>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580" w:type="dxa"/>
            <w:vAlign w:val="bottom"/>
            <w:tcBorders>
              <w:bottom w:val="single" w:sz="8" w:color="A6A6A6"/>
            </w:tcBorders>
          </w:tcPr>
          <w:p>
            <w:pPr>
              <w:spacing w:after="0"/>
              <w:rPr>
                <w:sz w:val="20"/>
                <w:szCs w:val="20"/>
                <w:color w:val="auto"/>
              </w:rPr>
            </w:pPr>
          </w:p>
        </w:tc>
        <w:tc>
          <w:tcPr>
            <w:tcW w:w="280" w:type="dxa"/>
            <w:vAlign w:val="bottom"/>
            <w:tcBorders>
              <w:bottom w:val="single" w:sz="8" w:color="A6A6A6"/>
            </w:tcBorders>
          </w:tcPr>
          <w:p>
            <w:pPr>
              <w:spacing w:after="0"/>
              <w:rPr>
                <w:sz w:val="20"/>
                <w:szCs w:val="20"/>
                <w:color w:val="auto"/>
              </w:rPr>
            </w:pPr>
          </w:p>
        </w:tc>
        <w:tc>
          <w:tcPr>
            <w:tcW w:w="42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4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133,884</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6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50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76,081</w:t>
            </w:r>
          </w:p>
        </w:tc>
        <w:tc>
          <w:tcPr>
            <w:tcW w:w="10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004483"/>
            </w:tcBorders>
          </w:tcPr>
          <w:p>
            <w:pPr>
              <w:spacing w:after="0"/>
              <w:rPr>
                <w:sz w:val="18"/>
                <w:szCs w:val="18"/>
                <w:color w:val="auto"/>
              </w:rPr>
            </w:pPr>
          </w:p>
        </w:tc>
        <w:tc>
          <w:tcPr>
            <w:tcW w:w="14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3,121,803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bottom w:val="single" w:sz="8" w:color="004483"/>
            </w:tcBorders>
          </w:tcPr>
          <w:p>
            <w:pPr>
              <w:spacing w:after="0"/>
              <w:rPr>
                <w:sz w:val="18"/>
                <w:szCs w:val="18"/>
                <w:color w:val="auto"/>
              </w:rPr>
            </w:pPr>
          </w:p>
        </w:tc>
        <w:tc>
          <w:tcPr>
            <w:tcW w:w="50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2,947,019</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segment breakdown of Goodwill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20" w:type="dxa"/>
            <w:vAlign w:val="bottom"/>
            <w:shd w:val="clear" w:color="auto" w:fill="004483"/>
          </w:tcPr>
          <w:p>
            <w:pPr>
              <w:spacing w:after="0"/>
              <w:rPr>
                <w:sz w:val="14"/>
                <w:szCs w:val="14"/>
                <w:color w:val="auto"/>
              </w:rPr>
            </w:pPr>
          </w:p>
        </w:tc>
        <w:tc>
          <w:tcPr>
            <w:tcW w:w="180" w:type="dxa"/>
            <w:vAlign w:val="bottom"/>
            <w:shd w:val="clear" w:color="auto" w:fill="004483"/>
          </w:tcPr>
          <w:p>
            <w:pPr>
              <w:spacing w:after="0"/>
              <w:rPr>
                <w:sz w:val="14"/>
                <w:szCs w:val="14"/>
                <w:color w:val="auto"/>
              </w:rPr>
            </w:pPr>
          </w:p>
        </w:tc>
        <w:tc>
          <w:tcPr>
            <w:tcW w:w="70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60" w:type="dxa"/>
            <w:vAlign w:val="bottom"/>
            <w:tcBorders>
              <w:bottom w:val="single" w:sz="8" w:color="004483"/>
            </w:tcBorders>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Cement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227,639</w:t>
            </w:r>
          </w:p>
        </w:tc>
        <w:tc>
          <w:tcPr>
            <w:tcW w:w="100" w:type="dxa"/>
            <w:vAlign w:val="bottom"/>
          </w:tcPr>
          <w:p>
            <w:pPr>
              <w:spacing w:after="0"/>
              <w:rPr>
                <w:sz w:val="18"/>
                <w:szCs w:val="18"/>
                <w:color w:val="auto"/>
              </w:rPr>
            </w:pPr>
          </w:p>
        </w:tc>
      </w:tr>
      <w:tr>
        <w:trPr>
          <w:trHeight w:val="209"/>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40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45,089</w:t>
            </w:r>
          </w:p>
        </w:tc>
        <w:tc>
          <w:tcPr>
            <w:tcW w:w="12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7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0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8"/>
                <w:szCs w:val="18"/>
                <w:color w:val="auto"/>
              </w:rPr>
            </w:pPr>
          </w:p>
        </w:tc>
      </w:tr>
      <w:tr>
        <w:trPr>
          <w:trHeight w:val="23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Recycled Paperboard</w:t>
            </w:r>
          </w:p>
        </w:tc>
        <w:tc>
          <w:tcPr>
            <w:tcW w:w="40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2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7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396,884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392,569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increase in Goodwill in the Concrete and Aggregates segment is related to the Acquisition. The purchase price allocation is still in progress, and may affect the recorded balance of Goodwill when completed.</w:t>
      </w:r>
    </w:p>
    <w:p>
      <w:pPr>
        <w:spacing w:after="0" w:line="4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5"/>
            <w:shd w:val="clear" w:color="auto" w:fill="004483"/>
          </w:tcPr>
          <w:p>
            <w:pPr>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5"/>
            <w:shd w:val="clear" w:color="auto" w:fill="004483"/>
          </w:tcPr>
          <w:p>
            <w:pPr>
              <w:ind w:left="2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58"/>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040" w:type="dxa"/>
            <w:vAlign w:val="bottom"/>
            <w:tcBorders>
              <w:bottom w:val="single" w:sz="8" w:color="004483"/>
            </w:tcBorders>
            <w:gridSpan w:val="3"/>
          </w:tcPr>
          <w:p>
            <w:pPr>
              <w:jc w:val="right"/>
              <w:ind w:right="5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940" w:type="dxa"/>
            <w:vAlign w:val="bottom"/>
            <w:tcBorders>
              <w:bottom w:val="single" w:sz="8" w:color="004483"/>
            </w:tcBorders>
            <w:gridSpan w:val="3"/>
          </w:tcPr>
          <w:p>
            <w:pPr>
              <w:jc w:val="right"/>
              <w:ind w:right="1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004483"/>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57,650</w:t>
            </w:r>
          </w:p>
        </w:tc>
        <w:tc>
          <w:tcPr>
            <w:tcW w:w="88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57,813</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116,270</w:t>
            </w:r>
          </w:p>
        </w:tc>
        <w:tc>
          <w:tcPr>
            <w:tcW w:w="82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112,060</w:t>
            </w:r>
          </w:p>
        </w:tc>
        <w:tc>
          <w:tcPr>
            <w:tcW w:w="100" w:type="dxa"/>
            <w:vAlign w:val="bottom"/>
          </w:tcPr>
          <w:p>
            <w:pPr>
              <w:spacing w:after="0"/>
              <w:rPr>
                <w:sz w:val="18"/>
                <w:szCs w:val="18"/>
                <w:color w:val="auto"/>
              </w:rPr>
            </w:pPr>
          </w:p>
        </w:tc>
      </w:tr>
      <w:tr>
        <w:trPr>
          <w:trHeight w:val="209"/>
        </w:trPr>
        <w:tc>
          <w:tcPr>
            <w:tcW w:w="5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20,370</w:t>
            </w:r>
          </w:p>
        </w:tc>
        <w:tc>
          <w:tcPr>
            <w:tcW w:w="140" w:type="dxa"/>
            <w:vAlign w:val="bottom"/>
          </w:tcPr>
          <w:p>
            <w:pPr>
              <w:spacing w:after="0"/>
              <w:rPr>
                <w:sz w:val="18"/>
                <w:szCs w:val="18"/>
                <w:color w:val="auto"/>
              </w:rPr>
            </w:pPr>
          </w:p>
        </w:tc>
        <w:tc>
          <w:tcPr>
            <w:tcW w:w="740" w:type="dxa"/>
            <w:vAlign w:val="bottom"/>
            <w:tcBorders>
              <w:top w:val="single" w:sz="8" w:color="A6A6A6"/>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23,509</w:t>
            </w:r>
          </w:p>
        </w:tc>
        <w:tc>
          <w:tcPr>
            <w:tcW w:w="120" w:type="dxa"/>
            <w:vAlign w:val="bottom"/>
          </w:tcPr>
          <w:p>
            <w:pPr>
              <w:spacing w:after="0"/>
              <w:rPr>
                <w:sz w:val="18"/>
                <w:szCs w:val="18"/>
                <w:color w:val="auto"/>
              </w:rPr>
            </w:pPr>
          </w:p>
        </w:tc>
        <w:tc>
          <w:tcPr>
            <w:tcW w:w="260" w:type="dxa"/>
            <w:vAlign w:val="bottom"/>
            <w:tcBorders>
              <w:top w:val="single" w:sz="8" w:color="A6A6A6"/>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36,794</w:t>
            </w:r>
          </w:p>
        </w:tc>
        <w:tc>
          <w:tcPr>
            <w:tcW w:w="120" w:type="dxa"/>
            <w:vAlign w:val="bottom"/>
          </w:tcPr>
          <w:p>
            <w:pPr>
              <w:spacing w:after="0"/>
              <w:rPr>
                <w:sz w:val="18"/>
                <w:szCs w:val="18"/>
                <w:color w:val="auto"/>
              </w:rPr>
            </w:pPr>
          </w:p>
        </w:tc>
        <w:tc>
          <w:tcPr>
            <w:tcW w:w="700" w:type="dxa"/>
            <w:vAlign w:val="bottom"/>
            <w:tcBorders>
              <w:top w:val="single" w:sz="8" w:color="A6A6A6"/>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32,047</w:t>
            </w:r>
          </w:p>
        </w:tc>
        <w:tc>
          <w:tcPr>
            <w:tcW w:w="100" w:type="dxa"/>
            <w:vAlign w:val="bottom"/>
          </w:tcPr>
          <w:p>
            <w:pPr>
              <w:spacing w:after="0"/>
              <w:rPr>
                <w:sz w:val="18"/>
                <w:szCs w:val="18"/>
                <w:color w:val="auto"/>
              </w:rPr>
            </w:pPr>
          </w:p>
        </w:tc>
      </w:tr>
      <w:tr>
        <w:trPr>
          <w:trHeight w:val="209"/>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18,437</w:t>
            </w:r>
          </w:p>
        </w:tc>
        <w:tc>
          <w:tcPr>
            <w:tcW w:w="140" w:type="dxa"/>
            <w:vAlign w:val="bottom"/>
          </w:tcPr>
          <w:p>
            <w:pPr>
              <w:spacing w:after="0"/>
              <w:rPr>
                <w:sz w:val="18"/>
                <w:szCs w:val="18"/>
                <w:color w:val="auto"/>
              </w:rPr>
            </w:pPr>
          </w:p>
        </w:tc>
        <w:tc>
          <w:tcPr>
            <w:tcW w:w="74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20,690</w:t>
            </w:r>
          </w:p>
        </w:tc>
        <w:tc>
          <w:tcPr>
            <w:tcW w:w="120" w:type="dxa"/>
            <w:vAlign w:val="bottom"/>
          </w:tcPr>
          <w:p>
            <w:pPr>
              <w:spacing w:after="0"/>
              <w:rPr>
                <w:sz w:val="18"/>
                <w:szCs w:val="18"/>
                <w:color w:val="auto"/>
              </w:rPr>
            </w:pPr>
          </w:p>
        </w:tc>
        <w:tc>
          <w:tcPr>
            <w:tcW w:w="26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33,985</w:t>
            </w:r>
          </w:p>
        </w:tc>
        <w:tc>
          <w:tcPr>
            <w:tcW w:w="120" w:type="dxa"/>
            <w:vAlign w:val="bottom"/>
          </w:tcPr>
          <w:p>
            <w:pPr>
              <w:spacing w:after="0"/>
              <w:rPr>
                <w:sz w:val="18"/>
                <w:szCs w:val="18"/>
                <w:color w:val="auto"/>
              </w:rPr>
            </w:pPr>
          </w:p>
        </w:tc>
        <w:tc>
          <w:tcPr>
            <w:tcW w:w="70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27,009</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20" w:type="dxa"/>
            <w:vAlign w:val="bottom"/>
            <w:shd w:val="clear" w:color="auto" w:fill="004483"/>
          </w:tcPr>
          <w:p>
            <w:pPr>
              <w:spacing w:after="0"/>
              <w:rPr>
                <w:sz w:val="14"/>
                <w:szCs w:val="14"/>
                <w:color w:val="auto"/>
              </w:rPr>
            </w:pPr>
          </w:p>
        </w:tc>
        <w:tc>
          <w:tcPr>
            <w:tcW w:w="88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r>
      <w:tr>
        <w:trPr>
          <w:trHeight w:val="158"/>
        </w:trPr>
        <w:tc>
          <w:tcPr>
            <w:tcW w:w="7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r>
      <w:tr>
        <w:trPr>
          <w:trHeight w:val="187"/>
        </w:trPr>
        <w:tc>
          <w:tcPr>
            <w:tcW w:w="772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60" w:type="dxa"/>
            <w:vAlign w:val="bottom"/>
            <w:tcBorders>
              <w:bottom w:val="single" w:sz="8" w:color="004483"/>
            </w:tcBorders>
            <w:gridSpan w:val="3"/>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004483"/>
              </w:rPr>
              <w:t>Current Assets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124,109</w:t>
            </w:r>
          </w:p>
        </w:tc>
        <w:tc>
          <w:tcPr>
            <w:tcW w:w="1000" w:type="dxa"/>
            <w:vAlign w:val="bottom"/>
            <w:gridSpan w:val="2"/>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111,164</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00" w:type="dxa"/>
            <w:vAlign w:val="bottom"/>
            <w:tcBorders>
              <w:top w:val="single" w:sz="8" w:color="A6A6A6"/>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184,289</w:t>
            </w:r>
          </w:p>
        </w:tc>
        <w:tc>
          <w:tcPr>
            <w:tcW w:w="120" w:type="dxa"/>
            <w:vAlign w:val="bottom"/>
          </w:tcPr>
          <w:p>
            <w:pPr>
              <w:spacing w:after="0"/>
              <w:rPr>
                <w:sz w:val="18"/>
                <w:szCs w:val="18"/>
                <w:color w:val="auto"/>
              </w:rPr>
            </w:pPr>
          </w:p>
        </w:tc>
        <w:tc>
          <w:tcPr>
            <w:tcW w:w="880" w:type="dxa"/>
            <w:vAlign w:val="bottom"/>
            <w:tcBorders>
              <w:top w:val="single" w:sz="8" w:color="A6A6A6"/>
              <w:bottom w:val="single" w:sz="8" w:color="A6A6A6"/>
            </w:tcBorders>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158,618</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42,864</w:t>
            </w:r>
          </w:p>
        </w:tc>
        <w:tc>
          <w:tcPr>
            <w:tcW w:w="120" w:type="dxa"/>
            <w:vAlign w:val="bottom"/>
          </w:tcPr>
          <w:p>
            <w:pPr>
              <w:spacing w:after="0"/>
              <w:rPr>
                <w:sz w:val="18"/>
                <w:szCs w:val="18"/>
                <w:color w:val="auto"/>
              </w:rPr>
            </w:pPr>
          </w:p>
        </w:tc>
        <w:tc>
          <w:tcPr>
            <w:tcW w:w="880" w:type="dxa"/>
            <w:vAlign w:val="bottom"/>
            <w:tcBorders>
              <w:bottom w:val="single" w:sz="8" w:color="A6A6A6"/>
            </w:tcBorders>
          </w:tcPr>
          <w:p>
            <w:pPr>
              <w:jc w:val="right"/>
              <w:ind w:right="5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27,994</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820" w:type="dxa"/>
            <w:vAlign w:val="bottom"/>
            <w:gridSpan w:val="6"/>
            <w:shd w:val="clear" w:color="auto" w:fill="004483"/>
          </w:tcPr>
          <w:p>
            <w:pPr>
              <w:jc w:val="right"/>
              <w:ind w:right="139"/>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20" w:type="dxa"/>
            <w:vAlign w:val="bottom"/>
            <w:gridSpan w:val="6"/>
            <w:shd w:val="clear" w:color="auto" w:fill="004483"/>
          </w:tcPr>
          <w:p>
            <w:pPr>
              <w:jc w:val="right"/>
              <w:ind w:right="179"/>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8"/>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53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04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98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(558 )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(740 )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3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120" w:type="dxa"/>
            <w:vAlign w:val="bottom"/>
            <w:tcBorders>
              <w:top w:val="single" w:sz="8" w:color="A6A6A6"/>
              <w:bottom w:val="single" w:sz="8" w:color="A6A6A6"/>
            </w:tcBorders>
          </w:tcPr>
          <w:p>
            <w:pPr>
              <w:spacing w:after="0"/>
              <w:rPr>
                <w:sz w:val="18"/>
                <w:szCs w:val="18"/>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10,798</w:t>
            </w:r>
          </w:p>
        </w:tc>
        <w:tc>
          <w:tcPr>
            <w:tcW w:w="14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9,944</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21,189</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62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21,867</w:t>
            </w:r>
          </w:p>
        </w:tc>
        <w:tc>
          <w:tcPr>
            <w:tcW w:w="100" w:type="dxa"/>
            <w:vAlign w:val="bottom"/>
          </w:tcPr>
          <w:p>
            <w:pPr>
              <w:spacing w:after="0"/>
              <w:rPr>
                <w:sz w:val="18"/>
                <w:szCs w:val="18"/>
                <w:color w:val="auto"/>
              </w:rPr>
            </w:pPr>
          </w:p>
        </w:tc>
      </w:tr>
      <w:tr>
        <w:trPr>
          <w:trHeight w:val="237"/>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120" w:type="dxa"/>
            <w:vAlign w:val="bottom"/>
            <w:tcBorders>
              <w:bottom w:val="single" w:sz="8" w:color="004483"/>
            </w:tcBorders>
          </w:tcPr>
          <w:p>
            <w:pPr>
              <w:spacing w:after="0"/>
              <w:rPr>
                <w:sz w:val="20"/>
                <w:szCs w:val="20"/>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140" w:type="dxa"/>
            <w:vAlign w:val="bottom"/>
            <w:tcBorders>
              <w:bottom w:val="single" w:sz="8" w:color="A6A6A6"/>
            </w:tcBorders>
          </w:tcPr>
          <w:p>
            <w:pPr>
              <w:spacing w:after="0"/>
              <w:rPr>
                <w:sz w:val="20"/>
                <w:szCs w:val="20"/>
                <w:color w:val="auto"/>
              </w:rPr>
            </w:pPr>
          </w:p>
        </w:tc>
        <w:tc>
          <w:tcPr>
            <w:tcW w:w="120" w:type="dxa"/>
            <w:vAlign w:val="bottom"/>
            <w:tcBorders>
              <w:bottom w:val="single" w:sz="8" w:color="004483"/>
            </w:tcBorders>
          </w:tcPr>
          <w:p>
            <w:pPr>
              <w:spacing w:after="0"/>
              <w:rPr>
                <w:sz w:val="20"/>
                <w:szCs w:val="20"/>
                <w:color w:val="auto"/>
              </w:rPr>
            </w:pP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120" w:type="dxa"/>
            <w:vAlign w:val="bottom"/>
            <w:tcBorders>
              <w:bottom w:val="single" w:sz="8" w:color="A6A6A6"/>
            </w:tcBorders>
          </w:tcPr>
          <w:p>
            <w:pPr>
              <w:spacing w:after="0"/>
              <w:rPr>
                <w:sz w:val="20"/>
                <w:szCs w:val="20"/>
                <w:color w:val="auto"/>
              </w:rPr>
            </w:pPr>
          </w:p>
        </w:tc>
        <w:tc>
          <w:tcPr>
            <w:tcW w:w="620" w:type="dxa"/>
            <w:vAlign w:val="bottom"/>
            <w:tcBorders>
              <w:bottom w:val="single" w:sz="8" w:color="004483"/>
            </w:tcBorders>
          </w:tcPr>
          <w:p>
            <w:pPr>
              <w:spacing w:after="0"/>
              <w:rPr>
                <w:sz w:val="20"/>
                <w:szCs w:val="20"/>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0"/>
                <w:szCs w:val="20"/>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10,714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22,443</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9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September 30, 2024, we had contingent liabilities under these outstanding letters of credit of approximately $10.0 million.</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currently contingently liable for performance under $30.0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9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fair value of our long-term debt has been determined using market transactions (level 1 inputs). The fair value of our 2.500% Senior Unsecured Notes at September 30, 2024, is as follows:</w:t>
      </w:r>
    </w:p>
    <w:p>
      <w:pPr>
        <w:spacing w:after="0" w:line="60"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6374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940" w:val="left"/>
          <w:tab w:leader="none" w:pos="1052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637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23"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at September 30, 2024, due to the short-term maturities of these assets and liabilities. The fair value of our Revolving Credit Facility and Term Loan also approximates the carrying value at September 30, 2024.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21" w:name="page22"/>
    <w:bookmarkEnd w:id="21"/>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7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2024 and 2023, are presented on a consolidated basis and by these business segments – Cement, Concrete and Aggregates, Gypsum Wallboard, and Recycled Paperboard.</w:t>
      </w:r>
    </w:p>
    <w:p>
      <w:pPr>
        <w:spacing w:after="0" w:line="6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On August 9, 2024, we finalized the Acquisition of an aggregates operation in Battletown, Kentucky. The purchase price of the Acquisition was approximately $24.9 million. The Acquisition is included in our Heavy Materials sector, and its results of operations are reported in the Concrete and Aggregates business segment. See Footnote (B) in the Unaudited Consolidated Financial Statements for more information regarding the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end markets remained resilient despite the Federal Reserve's continued restrictive monetary policy throughout most of the first half of our fiscal year, and they may benefit from more accommodative monetary policy moving forward. Although Cement Sales Volume declined in the second quarter of fiscal 2025, Gypsum Wallboard Sales Volume increased.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Outlook</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We expect demand for cement to remain steady in the near term given growth in heavy industrial construction and the continued health of state and local budgets to support infrastructure projects. To date, only approximately 25% of federal funding from the trillion-dollar </w:t>
      </w:r>
      <w:r>
        <w:rPr>
          <w:rFonts w:ascii="Arial" w:cs="Arial" w:eastAsia="Arial" w:hAnsi="Arial"/>
          <w:sz w:val="18"/>
          <w:szCs w:val="18"/>
          <w:i w:val="1"/>
          <w:iCs w:val="1"/>
          <w:color w:val="auto"/>
        </w:rPr>
        <w:t xml:space="preserve">Infrastructure Investment and Jobs Act </w:t>
      </w:r>
      <w:r>
        <w:rPr>
          <w:rFonts w:ascii="Arial" w:cs="Arial" w:eastAsia="Arial" w:hAnsi="Arial"/>
          <w:sz w:val="18"/>
          <w:szCs w:val="18"/>
          <w:color w:val="auto"/>
        </w:rPr>
        <w:t>(IIJA) has been spent. We anticipate a pick-up in demand as the remaining approximately 75% of IIJA</w:t>
      </w:r>
      <w:r>
        <w:rPr>
          <w:rFonts w:ascii="Arial" w:cs="Arial" w:eastAsia="Arial" w:hAnsi="Arial"/>
          <w:sz w:val="18"/>
          <w:szCs w:val="18"/>
          <w:i w:val="1"/>
          <w:iCs w:val="1"/>
          <w:color w:val="auto"/>
        </w:rPr>
        <w:t xml:space="preserve"> </w:t>
      </w:r>
      <w:r>
        <w:rPr>
          <w:rFonts w:ascii="Arial" w:cs="Arial" w:eastAsia="Arial" w:hAnsi="Arial"/>
          <w:sz w:val="18"/>
          <w:szCs w:val="18"/>
          <w:color w:val="auto"/>
        </w:rPr>
        <w:t>funds gets spent on public construction and repair projects.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2" w:name="page23"/>
    <w:bookmarkEnd w:id="22"/>
    <w:p>
      <w:pPr>
        <w:ind w:right="380"/>
        <w:spacing w:after="0" w:line="244" w:lineRule="auto"/>
        <w:rPr>
          <w:sz w:val="20"/>
          <w:szCs w:val="20"/>
          <w:color w:val="auto"/>
        </w:rPr>
      </w:pPr>
      <w:r>
        <w:rPr>
          <w:rFonts w:ascii="Arial" w:cs="Arial" w:eastAsia="Arial" w:hAnsi="Arial"/>
          <w:sz w:val="18"/>
          <w:szCs w:val="18"/>
          <w:color w:val="auto"/>
        </w:rPr>
        <w:t>In residential construction, activity has remained steady. While the higher interest rate environment has been a headwind for housing demand and affordability, several factors, including the chronic housing shortage caused by more than a decade of underproduction and exacerbated by the "rate lock-in", has supported solid levels of housing construction activity. Moving forward, lower interest rates and continued healthy consumer balance sheets should support residential construction. We believe our geographic footprint across the U.S. heartland and fast-growing Sun Belt region positions us to capitalize on these favorable market dynamics.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we are well-positioned to manage our cost structure and meet our customers’ needs during the second half of this fiscal year. Our substantial raw material reserves for our Cement, Aggregates, and Gypsum Wallboard businesses, and their proximity to our respective manufacturing facilities, support our low-cost producer position across all our business segments.</w:t>
      </w:r>
    </w:p>
    <w:p>
      <w:pPr>
        <w:spacing w:after="0" w:line="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Energy costs decreased in all our businesses during the second quarter of fiscal 2025, compared with fiscal 2024. We anticipate fuel costs will be lower in fiscal 2025 but will remain higher than they have been historically. We are expecting increases in freight and delivery costs in fiscal 2025 compared with fiscal 2024.</w:t>
      </w:r>
    </w:p>
    <w:p>
      <w:pPr>
        <w:spacing w:after="0" w:line="6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primary raw material used to produce paperboard is OCC. Prices for OCC increased during the six months ended September 30, 2024 compared with fiscal 2024. Fiber prices are subject to change upon short notice due to several factors, including supply of OCC and demand for OCC from both domestic and international companies.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fluctuate until the effects of these price adjustments are realized.</w:t>
      </w:r>
    </w:p>
    <w:p>
      <w:pPr>
        <w:spacing w:after="0" w:line="6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Maintenance costs increased in fiscal 2024, and we expect continued inflation for maintenance in fiscal 2025 as equipment and contractor costs remain high.</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2024, COMPARED WITH THREE MONTHS ENDED SEPTEMBER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3240" w:type="dxa"/>
            <w:vAlign w:val="bottom"/>
            <w:gridSpan w:val="6"/>
            <w:shd w:val="clear" w:color="auto" w:fill="004483"/>
          </w:tcPr>
          <w:p>
            <w:pPr>
              <w:jc w:val="right"/>
              <w:ind w:right="419"/>
              <w:spacing w:after="0"/>
              <w:rPr>
                <w:sz w:val="20"/>
                <w:szCs w:val="20"/>
                <w:color w:val="auto"/>
              </w:rPr>
            </w:pPr>
            <w:r>
              <w:rPr>
                <w:rFonts w:ascii="Arial" w:cs="Arial" w:eastAsia="Arial" w:hAnsi="Arial"/>
                <w:sz w:val="13"/>
                <w:szCs w:val="13"/>
                <w:b w:val="1"/>
                <w:bCs w:val="1"/>
                <w:color w:val="FFFFFF"/>
              </w:rPr>
              <w:t>For the Three Months Ended September 30,</w:t>
            </w:r>
          </w:p>
        </w:tc>
        <w:tc>
          <w:tcPr>
            <w:tcW w:w="146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6"/>
          </w:tcPr>
          <w:p>
            <w:pPr>
              <w:jc w:val="right"/>
              <w:ind w:right="599"/>
              <w:spacing w:after="0"/>
              <w:rPr>
                <w:sz w:val="20"/>
                <w:szCs w:val="20"/>
                <w:color w:val="auto"/>
              </w:rPr>
            </w:pPr>
            <w:r>
              <w:rPr>
                <w:rFonts w:ascii="Arial" w:cs="Arial" w:eastAsia="Arial" w:hAnsi="Arial"/>
                <w:sz w:val="13"/>
                <w:szCs w:val="13"/>
                <w:color w:val="auto"/>
              </w:rPr>
              <w:t>(dollars in thousands, except per share)</w:t>
            </w: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0" w:type="dxa"/>
            <w:vAlign w:val="bottom"/>
            <w:tcBorders>
              <w:top w:val="single" w:sz="8" w:color="004483"/>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240" w:type="dxa"/>
            <w:vAlign w:val="bottom"/>
            <w:tcBorders>
              <w:top w:val="single" w:sz="8" w:color="004483"/>
              <w:bottom w:val="single" w:sz="8" w:color="A6A6A6"/>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623,619</w:t>
            </w:r>
          </w:p>
        </w:tc>
        <w:tc>
          <w:tcPr>
            <w:tcW w:w="120" w:type="dxa"/>
            <w:vAlign w:val="bottom"/>
            <w:tcBorders>
              <w:top w:val="single" w:sz="8" w:color="004483"/>
            </w:tcBorders>
          </w:tcPr>
          <w:p>
            <w:pPr>
              <w:spacing w:after="0"/>
              <w:rPr>
                <w:sz w:val="18"/>
                <w:szCs w:val="18"/>
                <w:color w:val="auto"/>
              </w:rPr>
            </w:pPr>
          </w:p>
        </w:tc>
        <w:tc>
          <w:tcPr>
            <w:tcW w:w="680" w:type="dxa"/>
            <w:vAlign w:val="bottom"/>
            <w:tcBorders>
              <w:top w:val="single" w:sz="8" w:color="004483"/>
              <w:bottom w:val="single" w:sz="8" w:color="A6A6A6"/>
            </w:tcBorders>
            <w:gridSpan w:val="2"/>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622,236</w:t>
            </w:r>
          </w:p>
        </w:tc>
        <w:tc>
          <w:tcPr>
            <w:tcW w:w="100" w:type="dxa"/>
            <w:vAlign w:val="bottom"/>
          </w:tcPr>
          <w:p>
            <w:pPr>
              <w:spacing w:after="0"/>
              <w:rPr>
                <w:sz w:val="18"/>
                <w:szCs w:val="18"/>
                <w:color w:val="auto"/>
              </w:rPr>
            </w:pP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4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(419,775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(413,218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9"/>
        </w:trPr>
        <w:tc>
          <w:tcPr>
            <w:tcW w:w="64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Gross Profit</w:t>
            </w:r>
          </w:p>
        </w:tc>
        <w:tc>
          <w:tcPr>
            <w:tcW w:w="240" w:type="dxa"/>
            <w:vAlign w:val="bottom"/>
            <w:tcBorders>
              <w:top w:val="single" w:sz="8" w:color="004483"/>
              <w:bottom w:val="single" w:sz="8" w:color="A6A6A6"/>
            </w:tcBorders>
          </w:tcPr>
          <w:p>
            <w:pPr>
              <w:spacing w:after="0"/>
              <w:rPr>
                <w:sz w:val="18"/>
                <w:szCs w:val="18"/>
                <w:color w:val="auto"/>
              </w:rPr>
            </w:pPr>
          </w:p>
        </w:tc>
        <w:tc>
          <w:tcPr>
            <w:tcW w:w="1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203,844</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209,018</w:t>
            </w:r>
          </w:p>
        </w:tc>
        <w:tc>
          <w:tcPr>
            <w:tcW w:w="100" w:type="dxa"/>
            <w:vAlign w:val="bottom"/>
          </w:tcPr>
          <w:p>
            <w:pPr>
              <w:spacing w:after="0"/>
              <w:rPr>
                <w:sz w:val="18"/>
                <w:szCs w:val="18"/>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4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9,276</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4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(17,879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(16,576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240" w:type="dxa"/>
            <w:vAlign w:val="bottom"/>
            <w:tcBorders>
              <w:bottom w:val="single" w:sz="8" w:color="A6A6A6"/>
            </w:tcBorders>
          </w:tcPr>
          <w:p>
            <w:pPr>
              <w:spacing w:after="0"/>
              <w:rPr>
                <w:sz w:val="18"/>
                <w:szCs w:val="18"/>
                <w:color w:val="auto"/>
              </w:rPr>
            </w:pP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52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37"/>
        </w:trPr>
        <w:tc>
          <w:tcPr>
            <w:tcW w:w="640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40" w:type="dxa"/>
            <w:vAlign w:val="bottom"/>
            <w:tcBorders>
              <w:bottom w:val="single" w:sz="8" w:color="004483"/>
            </w:tcBorders>
          </w:tcPr>
          <w:p>
            <w:pPr>
              <w:spacing w:after="0"/>
              <w:rPr>
                <w:sz w:val="20"/>
                <w:szCs w:val="20"/>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(10,714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20" w:type="dxa"/>
            <w:vAlign w:val="bottom"/>
            <w:tcBorders>
              <w:bottom w:val="single" w:sz="8" w:color="004483"/>
            </w:tcBorders>
          </w:tcPr>
          <w:p>
            <w:pPr>
              <w:spacing w:after="0"/>
              <w:rPr>
                <w:sz w:val="20"/>
                <w:szCs w:val="20"/>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(10,204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9"/>
        </w:trPr>
        <w:tc>
          <w:tcPr>
            <w:tcW w:w="64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40" w:type="dxa"/>
            <w:vAlign w:val="bottom"/>
            <w:tcBorders>
              <w:top w:val="single" w:sz="8" w:color="004483"/>
              <w:bottom w:val="single" w:sz="8" w:color="A6A6A6"/>
            </w:tcBorders>
          </w:tcPr>
          <w:p>
            <w:pPr>
              <w:spacing w:after="0"/>
              <w:rPr>
                <w:sz w:val="18"/>
                <w:szCs w:val="18"/>
                <w:color w:val="auto"/>
              </w:rPr>
            </w:pPr>
          </w:p>
        </w:tc>
        <w:tc>
          <w:tcPr>
            <w:tcW w:w="1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185,251</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520" w:type="dxa"/>
            <w:vAlign w:val="bottom"/>
            <w:tcBorders>
              <w:top w:val="single" w:sz="8" w:color="004483"/>
              <w:bottom w:val="single" w:sz="8" w:color="A6A6A6"/>
            </w:tcBorders>
          </w:tcPr>
          <w:p>
            <w:pPr>
              <w:spacing w:after="0"/>
              <w:rPr>
                <w:sz w:val="18"/>
                <w:szCs w:val="18"/>
                <w:color w:val="auto"/>
              </w:rPr>
            </w:pP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194,189</w:t>
            </w:r>
          </w:p>
        </w:tc>
        <w:tc>
          <w:tcPr>
            <w:tcW w:w="100" w:type="dxa"/>
            <w:vAlign w:val="bottom"/>
          </w:tcPr>
          <w:p>
            <w:pPr>
              <w:spacing w:after="0"/>
              <w:rPr>
                <w:sz w:val="18"/>
                <w:szCs w:val="18"/>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8"/>
                <w:szCs w:val="18"/>
                <w:color w:val="auto"/>
              </w:rPr>
            </w:pPr>
          </w:p>
        </w:tc>
        <w:tc>
          <w:tcPr>
            <w:tcW w:w="240" w:type="dxa"/>
            <w:vAlign w:val="bottom"/>
            <w:tcBorders>
              <w:bottom w:val="single" w:sz="8" w:color="004483"/>
            </w:tcBorders>
          </w:tcPr>
          <w:p>
            <w:pPr>
              <w:spacing w:after="0"/>
              <w:rPr>
                <w:sz w:val="18"/>
                <w:szCs w:val="18"/>
                <w:color w:val="auto"/>
              </w:rPr>
            </w:pP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(41,731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20" w:type="dxa"/>
            <w:vAlign w:val="bottom"/>
            <w:tcBorders>
              <w:bottom w:val="single" w:sz="8" w:color="004483"/>
            </w:tcBorders>
          </w:tcPr>
          <w:p>
            <w:pPr>
              <w:spacing w:after="0"/>
              <w:rPr>
                <w:sz w:val="18"/>
                <w:szCs w:val="18"/>
                <w:color w:val="auto"/>
              </w:rPr>
            </w:pP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624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13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520" w:type="dxa"/>
            <w:vAlign w:val="bottom"/>
            <w:shd w:val="clear" w:color="auto" w:fill="004483"/>
          </w:tcPr>
          <w:p>
            <w:pPr>
              <w:spacing w:after="0" w:line="20" w:lineRule="exact"/>
              <w:rPr>
                <w:sz w:val="1"/>
                <w:szCs w:val="1"/>
                <w:color w:val="auto"/>
              </w:rPr>
            </w:pPr>
          </w:p>
        </w:tc>
        <w:tc>
          <w:tcPr>
            <w:tcW w:w="10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143,520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150,553</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004483"/>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4.26</w:t>
            </w:r>
          </w:p>
        </w:tc>
        <w:tc>
          <w:tcPr>
            <w:tcW w:w="100" w:type="dxa"/>
            <w:vAlign w:val="bottom"/>
          </w:tcPr>
          <w:p>
            <w:pPr>
              <w:spacing w:after="0"/>
              <w:rPr>
                <w:sz w:val="17"/>
                <w:szCs w:val="17"/>
                <w:color w:val="auto"/>
              </w:rPr>
            </w:pPr>
          </w:p>
        </w:tc>
        <w:tc>
          <w:tcPr>
            <w:tcW w:w="14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520" w:type="dxa"/>
            <w:vAlign w:val="bottom"/>
            <w:tcBorders>
              <w:bottom w:val="single" w:sz="8" w:color="004483"/>
            </w:tcBorders>
          </w:tcPr>
          <w:p>
            <w:pPr>
              <w:spacing w:after="0" w:line="20" w:lineRule="exact"/>
              <w:rPr>
                <w:sz w:val="1"/>
                <w:szCs w:val="1"/>
                <w:color w:val="auto"/>
              </w:rPr>
            </w:pPr>
          </w:p>
        </w:tc>
        <w:tc>
          <w:tcPr>
            <w:tcW w:w="10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Revenue increased by $1.4 million to $623.6 million for the three months ended September 30, 2024. The Acquisition contributed $1.7 million of Revenue during the three months ended September 30, 2024. Excluding the Acquisition, Revenue decreased by $0.4 million. This decrease was due to lower Sales Volume, which adversely affected Revenue by approximately $17.0 million, and was partially offset by higher gross sales prices, which increased Revenue by $16.6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Cost of Goods Sold increased by $6.6 million, or 2%, to $ 419.8 million for the three months ended September 30, 2024. The Acquisition contributed $2.1 million of Cost of Goods Sold during the three months ended September 30, 2024. Excluding the Acquisition, Cost of Goods Sold increased by $4.5 million, or 1%. The increase was due to higher operating costs of $ 16.4 million, partially offset by lower Sales Volume of $11.9 million. Higher operating costs were primarily related to our Cement and Concrete and Aggregates businesses and are discussed further in the segment analysis.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Gross Profit decreased 2% to $203.8 million during the three months ended September 30, 2024. The decrease was primarily related to higher operating costs and lower Sales Volume, partially offset by higher gross sales prices. The gross margin declined to 33%, with higher operating costs being partially offset by a rise in gross sales prices.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Equity in Earnings of our Unconsolidated Joint Venture decreased $1.0 million, or 10%, for the three months ended September 30, 2024. The decrease was primarily due to lower gross sales prices and higher operating costs, which reduced earnings by approximately $1.1 million and $0.3 million, respectively. This was partially offset by higher Sales Volume, which positively affected earnings by $0.4 million.</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Corporate General and Administrative expenses increased by approximately $1.3 million, or 8%, for the three months ended September 30, 2024. The increase was primarily due to $1.0 million of costs associated with business development and transaction due diligence.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Interest Expense, net increased by approximately $0.5 million, or 5%, during the three months ended September 30, 2024. This was primarily due to higher interest on our Revolving Credit Facility, which was mostly related to higher average balances outstanding during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Earnings Before Income Taxes decreased to $185.3 million during the three months ended September 30, 2024, primarily because of lower Gross Profit and Equity in Earnings of Unconsolidated Joint Venture and higher Corporate General and Administrative Expense and Interest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Income Tax Expense was $41.7 million for the three months ended September 30, 2024, compared with $43.6 million for the three months ended September 30, 2023. The effective tax rate was consistent at 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decreased 5% to $143.5 million for the three months ended September 30, 2024, as discussed above.</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6" w:right="41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2024, COMPARED WITH SIX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shd w:val="clear" w:color="auto" w:fill="004483"/>
          </w:tcPr>
          <w:p>
            <w:pPr>
              <w:spacing w:after="0"/>
              <w:rPr>
                <w:sz w:val="13"/>
                <w:szCs w:val="13"/>
                <w:color w:val="auto"/>
              </w:rPr>
            </w:pPr>
          </w:p>
        </w:tc>
        <w:tc>
          <w:tcPr>
            <w:tcW w:w="3200" w:type="dxa"/>
            <w:vAlign w:val="bottom"/>
            <w:gridSpan w:val="6"/>
            <w:shd w:val="clear" w:color="auto" w:fill="004483"/>
          </w:tcPr>
          <w:p>
            <w:pPr>
              <w:jc w:val="right"/>
              <w:ind w:right="479"/>
              <w:spacing w:after="0"/>
              <w:rPr>
                <w:sz w:val="20"/>
                <w:szCs w:val="20"/>
                <w:color w:val="auto"/>
              </w:rPr>
            </w:pPr>
            <w:r>
              <w:rPr>
                <w:rFonts w:ascii="Arial" w:cs="Arial" w:eastAsia="Arial" w:hAnsi="Arial"/>
                <w:sz w:val="13"/>
                <w:szCs w:val="13"/>
                <w:b w:val="1"/>
                <w:bCs w:val="1"/>
                <w:color w:val="FFFFFF"/>
              </w:rPr>
              <w:t>For the Six Months Ended September 30,</w:t>
            </w:r>
          </w:p>
        </w:tc>
        <w:tc>
          <w:tcPr>
            <w:tcW w:w="146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6"/>
          </w:tcPr>
          <w:p>
            <w:pPr>
              <w:jc w:val="right"/>
              <w:ind w:right="599"/>
              <w:spacing w:after="0"/>
              <w:rPr>
                <w:sz w:val="20"/>
                <w:szCs w:val="20"/>
                <w:color w:val="auto"/>
              </w:rPr>
            </w:pPr>
            <w:r>
              <w:rPr>
                <w:rFonts w:ascii="Arial" w:cs="Arial" w:eastAsia="Arial" w:hAnsi="Arial"/>
                <w:sz w:val="13"/>
                <w:szCs w:val="13"/>
                <w:color w:val="auto"/>
              </w:rPr>
              <w:t>(dollars in thousands, except per share)</w:t>
            </w: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0" w:type="dxa"/>
            <w:vAlign w:val="bottom"/>
            <w:tcBorders>
              <w:top w:val="single" w:sz="8" w:color="004483"/>
              <w:bottom w:val="single" w:sz="8" w:color="A6A6A6"/>
            </w:tcBorders>
            <w:gridSpan w:val="2"/>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Borders>
              <w:top w:val="single" w:sz="8" w:color="004483"/>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1,232,308</w:t>
            </w:r>
          </w:p>
        </w:tc>
        <w:tc>
          <w:tcPr>
            <w:tcW w:w="120" w:type="dxa"/>
            <w:vAlign w:val="bottom"/>
            <w:tcBorders>
              <w:top w:val="single" w:sz="8" w:color="004483"/>
            </w:tcBorders>
          </w:tcPr>
          <w:p>
            <w:pPr>
              <w:spacing w:after="0"/>
              <w:rPr>
                <w:sz w:val="18"/>
                <w:szCs w:val="18"/>
                <w:color w:val="auto"/>
              </w:rPr>
            </w:pPr>
          </w:p>
        </w:tc>
        <w:tc>
          <w:tcPr>
            <w:tcW w:w="640" w:type="dxa"/>
            <w:vAlign w:val="bottom"/>
            <w:tcBorders>
              <w:top w:val="single" w:sz="8" w:color="004483"/>
              <w:bottom w:val="single" w:sz="8" w:color="A6A6A6"/>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1,223,757</w:t>
            </w:r>
          </w:p>
        </w:tc>
        <w:tc>
          <w:tcPr>
            <w:tcW w:w="100" w:type="dxa"/>
            <w:vAlign w:val="bottom"/>
          </w:tcPr>
          <w:p>
            <w:pPr>
              <w:spacing w:after="0"/>
              <w:rPr>
                <w:sz w:val="18"/>
                <w:szCs w:val="18"/>
                <w:color w:val="auto"/>
              </w:rPr>
            </w:pP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37"/>
        </w:trPr>
        <w:tc>
          <w:tcPr>
            <w:tcW w:w="640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8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(841,596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(838,744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4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Gross Profit</w:t>
            </w:r>
          </w:p>
        </w:tc>
        <w:tc>
          <w:tcPr>
            <w:tcW w:w="280" w:type="dxa"/>
            <w:vAlign w:val="bottom"/>
            <w:tcBorders>
              <w:top w:val="single" w:sz="8" w:color="004483"/>
              <w:bottom w:val="single" w:sz="8" w:color="A6A6A6"/>
            </w:tcBorders>
          </w:tcPr>
          <w:p>
            <w:pPr>
              <w:spacing w:after="0"/>
              <w:rPr>
                <w:sz w:val="18"/>
                <w:szCs w:val="18"/>
                <w:color w:val="auto"/>
              </w:rPr>
            </w:pP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390,712</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480" w:type="dxa"/>
            <w:vAlign w:val="bottom"/>
            <w:tcBorders>
              <w:top w:val="single" w:sz="8" w:color="004483"/>
              <w:bottom w:val="single" w:sz="8" w:color="A6A6A6"/>
            </w:tcBorders>
          </w:tcPr>
          <w:p>
            <w:pPr>
              <w:spacing w:after="0"/>
              <w:rPr>
                <w:sz w:val="18"/>
                <w:szCs w:val="18"/>
                <w:color w:val="auto"/>
              </w:rPr>
            </w:pPr>
          </w:p>
        </w:tc>
        <w:tc>
          <w:tcPr>
            <w:tcW w:w="1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385,013</w:t>
            </w:r>
          </w:p>
        </w:tc>
        <w:tc>
          <w:tcPr>
            <w:tcW w:w="100" w:type="dxa"/>
            <w:vAlign w:val="bottom"/>
          </w:tcPr>
          <w:p>
            <w:pPr>
              <w:spacing w:after="0"/>
              <w:rPr>
                <w:sz w:val="18"/>
                <w:szCs w:val="18"/>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8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16,992</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13,505</w:t>
            </w:r>
          </w:p>
        </w:tc>
        <w:tc>
          <w:tcPr>
            <w:tcW w:w="100" w:type="dxa"/>
            <w:vAlign w:val="bottom"/>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8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(33,528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(28,255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Non-Operating Income</w:t>
            </w:r>
          </w:p>
        </w:tc>
        <w:tc>
          <w:tcPr>
            <w:tcW w:w="28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1,818</w:t>
            </w:r>
          </w:p>
        </w:tc>
        <w:tc>
          <w:tcPr>
            <w:tcW w:w="100" w:type="dxa"/>
            <w:vAlign w:val="bottom"/>
          </w:tcPr>
          <w:p>
            <w:pPr>
              <w:spacing w:after="0"/>
              <w:rPr>
                <w:sz w:val="18"/>
                <w:szCs w:val="18"/>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37"/>
        </w:trPr>
        <w:tc>
          <w:tcPr>
            <w:tcW w:w="640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80" w:type="dxa"/>
            <w:vAlign w:val="bottom"/>
            <w:tcBorders>
              <w:bottom w:val="single" w:sz="8" w:color="004483"/>
            </w:tcBorders>
          </w:tcPr>
          <w:p>
            <w:pPr>
              <w:spacing w:after="0"/>
              <w:rPr>
                <w:sz w:val="20"/>
                <w:szCs w:val="20"/>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(21,398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80" w:type="dxa"/>
            <w:vAlign w:val="bottom"/>
            <w:tcBorders>
              <w:bottom w:val="single" w:sz="8" w:color="004483"/>
            </w:tcBorders>
          </w:tcPr>
          <w:p>
            <w:pPr>
              <w:spacing w:after="0"/>
              <w:rPr>
                <w:sz w:val="20"/>
                <w:szCs w:val="20"/>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(22,443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9"/>
        </w:trPr>
        <w:tc>
          <w:tcPr>
            <w:tcW w:w="640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80" w:type="dxa"/>
            <w:vAlign w:val="bottom"/>
            <w:tcBorders>
              <w:top w:val="single" w:sz="8" w:color="004483"/>
              <w:bottom w:val="single" w:sz="8" w:color="A6A6A6"/>
            </w:tcBorders>
          </w:tcPr>
          <w:p>
            <w:pPr>
              <w:spacing w:after="0"/>
              <w:rPr>
                <w:sz w:val="18"/>
                <w:szCs w:val="18"/>
                <w:color w:val="auto"/>
              </w:rPr>
            </w:pPr>
          </w:p>
        </w:tc>
        <w:tc>
          <w:tcPr>
            <w:tcW w:w="1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356,185</w:t>
            </w:r>
          </w:p>
        </w:tc>
        <w:tc>
          <w:tcPr>
            <w:tcW w:w="120" w:type="dxa"/>
            <w:vAlign w:val="bottom"/>
          </w:tcPr>
          <w:p>
            <w:pPr>
              <w:spacing w:after="0"/>
              <w:rPr>
                <w:sz w:val="18"/>
                <w:szCs w:val="18"/>
                <w:color w:val="auto"/>
              </w:rPr>
            </w:pPr>
          </w:p>
        </w:tc>
        <w:tc>
          <w:tcPr>
            <w:tcW w:w="160" w:type="dxa"/>
            <w:vAlign w:val="bottom"/>
            <w:tcBorders>
              <w:top w:val="single" w:sz="8" w:color="A6A6A6"/>
              <w:bottom w:val="single" w:sz="8" w:color="A6A6A6"/>
            </w:tcBorders>
          </w:tcPr>
          <w:p>
            <w:pPr>
              <w:spacing w:after="0"/>
              <w:rPr>
                <w:sz w:val="18"/>
                <w:szCs w:val="18"/>
                <w:color w:val="auto"/>
              </w:rPr>
            </w:pPr>
          </w:p>
        </w:tc>
        <w:tc>
          <w:tcPr>
            <w:tcW w:w="480" w:type="dxa"/>
            <w:vAlign w:val="bottom"/>
            <w:tcBorders>
              <w:top w:val="single" w:sz="8" w:color="004483"/>
              <w:bottom w:val="single" w:sz="8" w:color="A6A6A6"/>
            </w:tcBorders>
          </w:tcPr>
          <w:p>
            <w:pPr>
              <w:spacing w:after="0"/>
              <w:rPr>
                <w:sz w:val="18"/>
                <w:szCs w:val="18"/>
                <w:color w:val="auto"/>
              </w:rPr>
            </w:pPr>
          </w:p>
        </w:tc>
        <w:tc>
          <w:tcPr>
            <w:tcW w:w="10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349,638</w:t>
            </w:r>
          </w:p>
        </w:tc>
        <w:tc>
          <w:tcPr>
            <w:tcW w:w="100" w:type="dxa"/>
            <w:vAlign w:val="bottom"/>
          </w:tcPr>
          <w:p>
            <w:pPr>
              <w:spacing w:after="0"/>
              <w:rPr>
                <w:sz w:val="18"/>
                <w:szCs w:val="18"/>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160" w:type="dxa"/>
            <w:vAlign w:val="bottom"/>
          </w:tcPr>
          <w:p>
            <w:pPr>
              <w:spacing w:after="0"/>
              <w:rPr>
                <w:sz w:val="18"/>
                <w:szCs w:val="18"/>
                <w:color w:val="auto"/>
              </w:rPr>
            </w:pPr>
          </w:p>
        </w:tc>
        <w:tc>
          <w:tcPr>
            <w:tcW w:w="280" w:type="dxa"/>
            <w:vAlign w:val="bottom"/>
            <w:tcBorders>
              <w:bottom w:val="single" w:sz="8" w:color="004483"/>
            </w:tcBorders>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(78,823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80" w:type="dxa"/>
            <w:vAlign w:val="bottom"/>
            <w:tcBorders>
              <w:bottom w:val="single" w:sz="8" w:color="004483"/>
            </w:tcBorders>
          </w:tcPr>
          <w:p>
            <w:pPr>
              <w:spacing w:after="0"/>
              <w:rPr>
                <w:sz w:val="18"/>
                <w:szCs w:val="18"/>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(78,236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6240" w:type="dxa"/>
            <w:vAlign w:val="bottom"/>
            <w:shd w:val="clear" w:color="auto" w:fill="A6A6A6"/>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126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80" w:type="dxa"/>
            <w:vAlign w:val="bottom"/>
            <w:shd w:val="clear" w:color="auto" w:fill="004483"/>
          </w:tcPr>
          <w:p>
            <w:pPr>
              <w:spacing w:after="0" w:line="20" w:lineRule="exact"/>
              <w:rPr>
                <w:sz w:val="1"/>
                <w:szCs w:val="1"/>
                <w:color w:val="auto"/>
              </w:rPr>
            </w:pPr>
          </w:p>
        </w:tc>
        <w:tc>
          <w:tcPr>
            <w:tcW w:w="108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8"/>
                <w:szCs w:val="18"/>
                <w:color w:val="auto"/>
              </w:rPr>
            </w:pP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277,362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271,402</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7.66</w:t>
            </w:r>
          </w:p>
        </w:tc>
        <w:tc>
          <w:tcPr>
            <w:tcW w:w="1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7 %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by $8.5 million, or 1%, to $1,232.3 million for the six months ended September 30, 2024. The Acquisition contributed</w:t>
      </w:r>
    </w:p>
    <w:p>
      <w:pPr>
        <w:spacing w:after="0" w:line="14" w:lineRule="exact"/>
        <w:rPr>
          <w:sz w:val="20"/>
          <w:szCs w:val="20"/>
          <w:color w:val="auto"/>
        </w:rPr>
      </w:pPr>
    </w:p>
    <w:p>
      <w:pPr>
        <w:jc w:val="both"/>
        <w:ind w:right="160"/>
        <w:spacing w:after="0" w:line="242" w:lineRule="auto"/>
        <w:rPr>
          <w:sz w:val="20"/>
          <w:szCs w:val="20"/>
          <w:color w:val="auto"/>
        </w:rPr>
      </w:pPr>
      <w:r>
        <w:rPr>
          <w:rFonts w:ascii="Arial" w:cs="Arial" w:eastAsia="Arial" w:hAnsi="Arial"/>
          <w:sz w:val="18"/>
          <w:szCs w:val="18"/>
          <w:color w:val="auto"/>
        </w:rPr>
        <w:t>$1.7 million of Revenue during the six months ended September 30, 2024. Excluding the Acquisition, Revenue increased by $6.8 million, or 1%. The Revenue increase was due to higher gross sales prices, which positively affected Revenue by $43.5 million, partially offset by lower Sales Volume, which adversely affected Revenue by approximately $36.7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4"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Cost of Goods Sold increased by $2.9 million to $841.6 million for the six months ended September 30, 2024. The Acquisition contributed $2.1 million of Cost of Goods Sold during the six months ended September 30, 2024. Excluding the Acquisition, Cost of Goods Sold increased by $ 0.8 million. The increase was due to higher operating costs of $28.4 million, partially offset by lower Sales Volume of $27.6 million. Higher operating costs were primarily related to our Cement and Concrete and Aggregates businesses and are discussed further in the segment analysis.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Gross Profit increased 1% to $390.7 million during the six months ended September 30, 2024. The increase was primarily related to higher gross sales prices, partially offset by lower Sales Volume and increased operating costs. The gross margin expanded to 32%, with higher gross sales prices being partially offset by a rise in operating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0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Equity in Earnings of our Unconsolidated Joint Venture increased $3.5 million, or 26%, for the six months ended September 30, 2024. The increase was primarily due to lower operating costs and higher Sales Volume, which positively affected earnings by $4.0 million and $0.8 million, respectively. This was partially offset by lower gross sales prices, which adversely affected earnings by approximately $1.3 million. The decrease in operating costs was primarily related to maintenance, energy and freight, and distribution costs of approximately $2.1 million, $1.0 million, and $0.9 million, respectively. Lower maintenance costs for the six months were partly due to maintenance costs in the prior year being $2.8 million higher than normal given an extended outage that required additional maintenance spending and reduced production levels.</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Corporate General and Administrative expenses increased by approximately $5.2 million, or 19%, for the six months ended September 30, 2024. The increase was primarily due to higher salaries, information technology upgrades, and costs associated with business development and transaction due diligence of $1.6 million, $1.2 million, and $1.5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net decreased by approximately $1.0 million, or 5%, during the six months ended September 30, 2024. This decrease was primarily due to approximately $0.5 million of lower interest on our Revolving Credit Facility, which was related to lower average outstanding borrowings, as well as increased interest income of $0.5 million on cash deposits.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0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Earnings Before Income Taxes increased to $356.2 million during the six months ended September 30, 2024, primarily because of higher Gross Profit and Equity in Earnings of Unconsolidated Joint Venture, which were partially offset by higher Corporate General and Administrative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Income Tax Expense was $78.8 million for the six months ended September 30, 2024, compared with $78.2 million for the six months ended September 30, 2023. The effective tax rate of 22% remained consistent with the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2% to $277.4 million for the six months ended September 30, 2024, as discussed above.</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sectPr>
      </w:pPr>
    </w:p>
    <w:bookmarkStart w:id="27" w:name="page28"/>
    <w:bookmarkEnd w:id="27"/>
    <w:p>
      <w:pPr>
        <w:ind w:right="440"/>
        <w:spacing w:after="0" w:line="281" w:lineRule="auto"/>
        <w:rPr>
          <w:sz w:val="20"/>
          <w:szCs w:val="20"/>
          <w:color w:val="auto"/>
        </w:rPr>
      </w:pPr>
      <w:r>
        <w:rPr>
          <w:rFonts w:ascii="Arial" w:cs="Arial" w:eastAsia="Arial" w:hAnsi="Arial"/>
          <w:sz w:val="18"/>
          <w:szCs w:val="18"/>
          <w:b w:val="1"/>
          <w:bCs w:val="1"/>
          <w:color w:val="auto"/>
        </w:rPr>
        <w:t>THREE AND SIX MONTHS ENDED SEPTEMBER 30, 2024, COMPARED WITH THREE AND SIX MONTHS ENDED SEPTEMBER 30, 2023, BY SEGMENT</w:t>
      </w:r>
    </w:p>
    <w:p>
      <w:pPr>
        <w:spacing w:after="0" w:line="2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presents results within our two business sectors for the three and six months ended September 30, 2024, and 2023. Revenue and operating results are organized by sector and discussed by individual business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tbl>
      <w:tblPr>
        <w:tblLayout w:type="fixed"/>
        <w:tblInd w:w="4440" w:type="dxa"/>
        <w:tblCellMar>
          <w:top w:w="0" w:type="dxa"/>
          <w:left w:w="0" w:type="dxa"/>
          <w:bottom w:w="0" w:type="dxa"/>
          <w:right w:w="0" w:type="dxa"/>
        </w:tblCellMar>
      </w:tblPr>
      <w:tr>
        <w:trPr>
          <w:trHeight w:val="131"/>
        </w:trPr>
        <w:tc>
          <w:tcPr>
            <w:tcW w:w="1980" w:type="dxa"/>
            <w:vAlign w:val="bottom"/>
            <w:shd w:val="clear" w:color="auto" w:fill="004483"/>
          </w:tcPr>
          <w:p>
            <w:pPr>
              <w:jc w:val="center"/>
              <w:ind w:left="217"/>
              <w:spacing w:after="0" w:line="131" w:lineRule="exact"/>
              <w:rPr>
                <w:sz w:val="20"/>
                <w:szCs w:val="20"/>
                <w:color w:val="auto"/>
              </w:rPr>
            </w:pPr>
            <w:r>
              <w:rPr>
                <w:rFonts w:ascii="Arial" w:cs="Arial" w:eastAsia="Arial" w:hAnsi="Arial"/>
                <w:sz w:val="13"/>
                <w:szCs w:val="13"/>
                <w:b w:val="1"/>
                <w:bCs w:val="1"/>
                <w:color w:val="FFFFFF"/>
                <w:w w:val="96"/>
              </w:rPr>
              <w:t>For the Three Months Ended</w:t>
            </w:r>
          </w:p>
        </w:tc>
        <w:tc>
          <w:tcPr>
            <w:tcW w:w="320" w:type="dxa"/>
            <w:vAlign w:val="bottom"/>
            <w:shd w:val="clear" w:color="auto" w:fill="004483"/>
          </w:tcPr>
          <w:p>
            <w:pPr>
              <w:spacing w:after="0"/>
              <w:rPr>
                <w:sz w:val="11"/>
                <w:szCs w:val="11"/>
                <w:color w:val="auto"/>
              </w:rPr>
            </w:pPr>
          </w:p>
        </w:tc>
        <w:tc>
          <w:tcPr>
            <w:tcW w:w="120" w:type="dxa"/>
            <w:vAlign w:val="bottom"/>
            <w:shd w:val="clear" w:color="auto" w:fill="004483"/>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shd w:val="clear" w:color="auto" w:fill="004483"/>
          </w:tcPr>
          <w:p>
            <w:pPr>
              <w:jc w:val="center"/>
              <w:ind w:left="237"/>
              <w:spacing w:after="0" w:line="131" w:lineRule="exact"/>
              <w:rPr>
                <w:sz w:val="20"/>
                <w:szCs w:val="20"/>
                <w:color w:val="auto"/>
              </w:rPr>
            </w:pPr>
            <w:r>
              <w:rPr>
                <w:rFonts w:ascii="Arial" w:cs="Arial" w:eastAsia="Arial" w:hAnsi="Arial"/>
                <w:sz w:val="13"/>
                <w:szCs w:val="13"/>
                <w:b w:val="1"/>
                <w:bCs w:val="1"/>
                <w:color w:val="FFFFFF"/>
                <w:w w:val="97"/>
              </w:rPr>
              <w:t>For the Six Months Ended</w:t>
            </w:r>
          </w:p>
        </w:tc>
        <w:tc>
          <w:tcPr>
            <w:tcW w:w="320" w:type="dxa"/>
            <w:vAlign w:val="bottom"/>
            <w:shd w:val="clear" w:color="auto" w:fill="004483"/>
          </w:tcPr>
          <w:p>
            <w:pPr>
              <w:spacing w:after="0"/>
              <w:rPr>
                <w:sz w:val="11"/>
                <w:szCs w:val="11"/>
                <w:color w:val="auto"/>
              </w:rPr>
            </w:pPr>
          </w:p>
        </w:tc>
        <w:tc>
          <w:tcPr>
            <w:tcW w:w="100" w:type="dxa"/>
            <w:vAlign w:val="bottom"/>
            <w:shd w:val="clear" w:color="auto" w:fill="004483"/>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980" w:type="dxa"/>
            <w:vAlign w:val="bottom"/>
            <w:tcBorders>
              <w:bottom w:val="single" w:sz="8" w:color="auto"/>
            </w:tcBorders>
            <w:shd w:val="clear" w:color="auto" w:fill="004483"/>
          </w:tcPr>
          <w:p>
            <w:pPr>
              <w:jc w:val="center"/>
              <w:ind w:left="257"/>
              <w:spacing w:after="0"/>
              <w:rPr>
                <w:sz w:val="20"/>
                <w:szCs w:val="20"/>
                <w:color w:val="auto"/>
              </w:rPr>
            </w:pPr>
            <w:r>
              <w:rPr>
                <w:rFonts w:ascii="Arial" w:cs="Arial" w:eastAsia="Arial" w:hAnsi="Arial"/>
                <w:sz w:val="13"/>
                <w:szCs w:val="13"/>
                <w:b w:val="1"/>
                <w:bCs w:val="1"/>
                <w:color w:val="FFFFFF"/>
                <w:w w:val="96"/>
              </w:rPr>
              <w:t>September 30,</w:t>
            </w:r>
          </w:p>
        </w:tc>
        <w:tc>
          <w:tcPr>
            <w:tcW w:w="32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Borders>
              <w:bottom w:val="single" w:sz="8" w:color="auto"/>
            </w:tcBorders>
            <w:shd w:val="clear" w:color="auto" w:fill="004483"/>
          </w:tcPr>
          <w:p>
            <w:pPr>
              <w:jc w:val="center"/>
              <w:ind w:left="257"/>
              <w:spacing w:after="0"/>
              <w:rPr>
                <w:sz w:val="20"/>
                <w:szCs w:val="20"/>
                <w:color w:val="auto"/>
              </w:rPr>
            </w:pPr>
            <w:r>
              <w:rPr>
                <w:rFonts w:ascii="Arial" w:cs="Arial" w:eastAsia="Arial" w:hAnsi="Arial"/>
                <w:sz w:val="13"/>
                <w:szCs w:val="13"/>
                <w:b w:val="1"/>
                <w:bCs w:val="1"/>
                <w:color w:val="FFFFFF"/>
                <w:w w:val="96"/>
              </w:rPr>
              <w:t>September 30,</w:t>
            </w:r>
          </w:p>
        </w:tc>
        <w:tc>
          <w:tcPr>
            <w:tcW w:w="3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980" w:type="dxa"/>
            <w:vAlign w:val="bottom"/>
            <w:vMerge w:val="restart"/>
          </w:tcPr>
          <w:p>
            <w:pPr>
              <w:jc w:val="right"/>
              <w:ind w:right="877"/>
              <w:spacing w:after="0"/>
              <w:rPr>
                <w:sz w:val="20"/>
                <w:szCs w:val="20"/>
                <w:color w:val="auto"/>
              </w:rPr>
            </w:pPr>
            <w:r>
              <w:rPr>
                <w:rFonts w:ascii="Arial" w:cs="Arial" w:eastAsia="Arial" w:hAnsi="Arial"/>
                <w:sz w:val="13"/>
                <w:szCs w:val="13"/>
                <w:b w:val="1"/>
                <w:bCs w:val="1"/>
                <w:color w:val="auto"/>
              </w:rPr>
              <w:t>2024</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2023</w:t>
            </w:r>
          </w:p>
        </w:tc>
        <w:tc>
          <w:tcPr>
            <w:tcW w:w="120" w:type="dxa"/>
            <w:vAlign w:val="bottom"/>
          </w:tcPr>
          <w:p>
            <w:pPr>
              <w:spacing w:after="0"/>
              <w:rPr>
                <w:sz w:val="10"/>
                <w:szCs w:val="10"/>
                <w:color w:val="auto"/>
              </w:rPr>
            </w:pPr>
          </w:p>
        </w:tc>
        <w:tc>
          <w:tcPr>
            <w:tcW w:w="1080" w:type="dxa"/>
            <w:vAlign w:val="bottom"/>
          </w:tcPr>
          <w:p>
            <w:pPr>
              <w:jc w:val="center"/>
              <w:ind w:right="57"/>
              <w:spacing w:after="0" w:line="124" w:lineRule="exact"/>
              <w:rPr>
                <w:sz w:val="20"/>
                <w:szCs w:val="20"/>
                <w:color w:val="auto"/>
              </w:rPr>
            </w:pPr>
            <w:r>
              <w:rPr>
                <w:rFonts w:ascii="Arial" w:cs="Arial" w:eastAsia="Arial" w:hAnsi="Arial"/>
                <w:sz w:val="13"/>
                <w:szCs w:val="13"/>
                <w:b w:val="1"/>
                <w:bCs w:val="1"/>
                <w:color w:val="auto"/>
                <w:w w:val="96"/>
              </w:rPr>
              <w:t>Percentage</w:t>
            </w:r>
          </w:p>
        </w:tc>
        <w:tc>
          <w:tcPr>
            <w:tcW w:w="1900" w:type="dxa"/>
            <w:vAlign w:val="bottom"/>
            <w:vMerge w:val="restart"/>
          </w:tcPr>
          <w:p>
            <w:pPr>
              <w:jc w:val="right"/>
              <w:ind w:right="817"/>
              <w:spacing w:after="0"/>
              <w:rPr>
                <w:sz w:val="20"/>
                <w:szCs w:val="20"/>
                <w:color w:val="auto"/>
              </w:rPr>
            </w:pPr>
            <w:r>
              <w:rPr>
                <w:rFonts w:ascii="Arial" w:cs="Arial" w:eastAsia="Arial" w:hAnsi="Arial"/>
                <w:sz w:val="13"/>
                <w:szCs w:val="13"/>
                <w:b w:val="1"/>
                <w:bCs w:val="1"/>
                <w:color w:val="auto"/>
              </w:rPr>
              <w:t>2024</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0"/>
                <w:szCs w:val="10"/>
                <w:color w:val="auto"/>
              </w:rPr>
            </w:pPr>
          </w:p>
        </w:tc>
        <w:tc>
          <w:tcPr>
            <w:tcW w:w="820" w:type="dxa"/>
            <w:vAlign w:val="bottom"/>
          </w:tcPr>
          <w:p>
            <w:pPr>
              <w:jc w:val="center"/>
              <w:ind w:left="77"/>
              <w:spacing w:after="0" w:line="124"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72"/>
        </w:trPr>
        <w:tc>
          <w:tcPr>
            <w:tcW w:w="19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9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left="9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-200025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-200025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1336" w:right="239" w:bottom="1440" w:gutter="0" w:footer="0" w:header="0"/>
        </w:sectPr>
      </w:pPr>
    </w:p>
    <w:p>
      <w:pPr>
        <w:jc w:val="center"/>
        <w:ind w:left="3640"/>
        <w:spacing w:after="0"/>
        <w:rPr>
          <w:sz w:val="20"/>
          <w:szCs w:val="20"/>
          <w:color w:val="auto"/>
        </w:rPr>
      </w:pPr>
      <w:r>
        <w:rPr>
          <w:rFonts w:ascii="Arial" w:cs="Arial" w:eastAsia="Arial" w:hAnsi="Arial"/>
          <w:sz w:val="12"/>
          <w:szCs w:val="12"/>
          <w:color w:val="auto"/>
        </w:rPr>
        <w:t>(in thousands, except per ton</w:t>
      </w:r>
    </w:p>
    <w:p>
      <w:pPr>
        <w:jc w:val="center"/>
        <w:ind w:left="366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6910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6910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2"/>
          <w:szCs w:val="12"/>
          <w:color w:val="auto"/>
        </w:rPr>
        <w:t>(in thousands, except per ton</w:t>
      </w:r>
    </w:p>
    <w:p>
      <w:pPr>
        <w:jc w:val="center"/>
        <w:ind w:right="1460"/>
        <w:spacing w:after="0"/>
        <w:rPr>
          <w:sz w:val="20"/>
          <w:szCs w:val="20"/>
          <w:color w:val="auto"/>
        </w:rPr>
      </w:pPr>
      <w:r>
        <w:rPr>
          <w:rFonts w:ascii="Arial" w:cs="Arial" w:eastAsia="Arial" w:hAnsi="Arial"/>
          <w:sz w:val="13"/>
          <w:szCs w:val="13"/>
          <w:color w:val="auto"/>
        </w:rPr>
        <w:t>information)</w:t>
      </w:r>
    </w:p>
    <w:p>
      <w:pPr>
        <w:spacing w:after="0" w:line="24" w:lineRule="exact"/>
        <w:rPr>
          <w:sz w:val="20"/>
          <w:szCs w:val="20"/>
          <w:color w:val="auto"/>
        </w:rPr>
      </w:pPr>
    </w:p>
    <w:p>
      <w:pPr>
        <w:sectPr>
          <w:pgSz w:w="11900" w:h="16838" w:orient="portrait"/>
          <w:cols w:equalWidth="0" w:num="2">
            <w:col w:w="7500" w:space="720"/>
            <w:col w:w="3120"/>
          </w:cols>
          <w:pgMar w:left="320" w:top="1336"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 and Joint Venture</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352,780</w:t>
            </w:r>
          </w:p>
        </w:tc>
      </w:tr>
      <w:tr>
        <w:trPr>
          <w:trHeight w:val="210"/>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Intersegment Revenue</w:t>
            </w:r>
          </w:p>
        </w:tc>
        <w:tc>
          <w:tcPr>
            <w:tcW w:w="2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(10,384</w:t>
            </w:r>
          </w:p>
        </w:tc>
      </w:tr>
      <w:tr>
        <w:trPr>
          <w:trHeight w:val="237"/>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Less Joint Venture Revenue</w:t>
            </w:r>
          </w:p>
        </w:tc>
        <w:tc>
          <w:tcPr>
            <w:tcW w:w="280" w:type="dxa"/>
            <w:vAlign w:val="bottom"/>
            <w:tcBorders>
              <w:bottom w:val="single" w:sz="8" w:color="004483"/>
            </w:tcBorders>
          </w:tcPr>
          <w:p>
            <w:pPr>
              <w:spacing w:after="0"/>
              <w:rPr>
                <w:sz w:val="20"/>
                <w:szCs w:val="20"/>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(28,825</w:t>
            </w:r>
          </w:p>
        </w:tc>
      </w:tr>
      <w:tr>
        <w:trPr>
          <w:trHeight w:val="209"/>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313,571</w:t>
            </w:r>
          </w:p>
        </w:tc>
      </w:tr>
      <w:tr>
        <w:trPr>
          <w:trHeight w:val="237"/>
        </w:trPr>
        <w:tc>
          <w:tcPr>
            <w:tcW w:w="4440" w:type="dxa"/>
            <w:vAlign w:val="bottom"/>
            <w:tcBorders>
              <w:bottom w:val="single" w:sz="8" w:color="A6A6A6"/>
            </w:tcBorders>
          </w:tcPr>
          <w:p>
            <w:pPr>
              <w:spacing w:after="0"/>
              <w:rPr>
                <w:sz w:val="20"/>
                <w:szCs w:val="20"/>
                <w:color w:val="auto"/>
              </w:rPr>
            </w:pPr>
          </w:p>
        </w:tc>
        <w:tc>
          <w:tcPr>
            <w:tcW w:w="280" w:type="dxa"/>
            <w:vAlign w:val="bottom"/>
            <w:tcBorders>
              <w:bottom w:val="single" w:sz="8" w:color="A6A6A6"/>
            </w:tcBorders>
          </w:tcPr>
          <w:p>
            <w:pPr>
              <w:spacing w:after="0"/>
              <w:rPr>
                <w:sz w:val="20"/>
                <w:szCs w:val="20"/>
                <w:color w:val="auto"/>
              </w:rPr>
            </w:pPr>
          </w:p>
        </w:tc>
        <w:tc>
          <w:tcPr>
            <w:tcW w:w="760" w:type="dxa"/>
            <w:vAlign w:val="bottom"/>
            <w:tcBorders>
              <w:bottom w:val="single" w:sz="8" w:color="A6A6A6"/>
            </w:tcBorders>
          </w:tcPr>
          <w:p>
            <w:pPr>
              <w:spacing w:after="0"/>
              <w:rPr>
                <w:sz w:val="20"/>
                <w:szCs w:val="20"/>
                <w:color w:val="auto"/>
              </w:rPr>
            </w:pPr>
          </w:p>
        </w:tc>
      </w:tr>
      <w:tr>
        <w:trPr>
          <w:trHeight w:val="209"/>
        </w:trPr>
        <w:tc>
          <w:tcPr>
            <w:tcW w:w="444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r>
      <w:tr>
        <w:trPr>
          <w:trHeight w:val="209"/>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2,024</w:t>
            </w:r>
          </w:p>
        </w:tc>
      </w:tr>
      <w:tr>
        <w:trPr>
          <w:trHeight w:val="209"/>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(20,617</w:t>
            </w:r>
          </w:p>
        </w:tc>
      </w:tr>
      <w:tr>
        <w:trPr>
          <w:trHeight w:val="210"/>
        </w:trPr>
        <w:tc>
          <w:tcPr>
            <w:tcW w:w="4440" w:type="dxa"/>
            <w:vAlign w:val="bottom"/>
            <w:tcBorders>
              <w:bottom w:val="single" w:sz="8" w:color="A6A6A6"/>
            </w:tcBorders>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156.51</w:t>
            </w:r>
          </w:p>
        </w:tc>
      </w:tr>
      <w:tr>
        <w:trPr>
          <w:trHeight w:val="209"/>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57.28</w:t>
            </w:r>
          </w:p>
        </w:tc>
      </w:tr>
      <w:tr>
        <w:trPr>
          <w:trHeight w:val="210"/>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Borders>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115,933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17385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280" w:type="dxa"/>
            <w:vAlign w:val="bottom"/>
            <w:shd w:val="clear" w:color="auto" w:fill="17385E"/>
          </w:tcPr>
          <w:p>
            <w:pPr>
              <w:spacing w:after="0" w:line="20" w:lineRule="exact"/>
              <w:rPr>
                <w:sz w:val="1"/>
                <w:szCs w:val="1"/>
                <w:color w:val="auto"/>
              </w:rPr>
            </w:pPr>
          </w:p>
        </w:tc>
        <w:tc>
          <w:tcPr>
            <w:tcW w:w="760" w:type="dxa"/>
            <w:vAlign w:val="bottom"/>
            <w:shd w:val="clear" w:color="auto" w:fill="17385E"/>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240" w:type="dxa"/>
            <w:vAlign w:val="bottom"/>
            <w:shd w:val="clear" w:color="auto" w:fill="17385E"/>
          </w:tcPr>
          <w:p>
            <w:pPr>
              <w:spacing w:after="0" w:line="20" w:lineRule="exact"/>
              <w:rPr>
                <w:sz w:val="1"/>
                <w:szCs w:val="1"/>
                <w:color w:val="auto"/>
              </w:rPr>
            </w:pPr>
          </w:p>
        </w:tc>
        <w:tc>
          <w:tcPr>
            <w:tcW w:w="740" w:type="dxa"/>
            <w:vAlign w:val="bottom"/>
            <w:shd w:val="clear" w:color="auto" w:fill="1738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17385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360,751</w:t>
            </w:r>
          </w:p>
        </w:tc>
        <w:tc>
          <w:tcPr>
            <w:tcW w:w="120" w:type="dxa"/>
            <w:vAlign w:val="bottom"/>
          </w:tcPr>
          <w:p>
            <w:pPr>
              <w:spacing w:after="0"/>
              <w:rPr>
                <w:sz w:val="18"/>
                <w:szCs w:val="18"/>
                <w:color w:val="auto"/>
              </w:rPr>
            </w:pPr>
          </w:p>
        </w:tc>
        <w:tc>
          <w:tcPr>
            <w:tcW w:w="1360" w:type="dxa"/>
            <w:vAlign w:val="bottom"/>
            <w:gridSpan w:val="4"/>
          </w:tcPr>
          <w:p>
            <w:pPr>
              <w:jc w:val="right"/>
              <w:ind w:right="99"/>
              <w:spacing w:after="0"/>
              <w:rPr>
                <w:sz w:val="20"/>
                <w:szCs w:val="20"/>
                <w:color w:val="auto"/>
              </w:rPr>
            </w:pPr>
            <w:r>
              <w:rPr>
                <w:rFonts w:ascii="Arial" w:cs="Arial" w:eastAsia="Arial" w:hAnsi="Arial"/>
                <w:sz w:val="16"/>
                <w:szCs w:val="16"/>
                <w:color w:val="auto"/>
              </w:rPr>
              <w:t>(2 )% $</w:t>
            </w:r>
          </w:p>
        </w:tc>
        <w:tc>
          <w:tcPr>
            <w:tcW w:w="760" w:type="dxa"/>
            <w:vAlign w:val="bottom"/>
          </w:tcPr>
          <w:p>
            <w:pPr>
              <w:jc w:val="right"/>
              <w:spacing w:after="0"/>
              <w:rPr>
                <w:sz w:val="20"/>
                <w:szCs w:val="20"/>
                <w:color w:val="auto"/>
              </w:rPr>
            </w:pPr>
            <w:r>
              <w:rPr>
                <w:rFonts w:ascii="Arial" w:cs="Arial" w:eastAsia="Arial" w:hAnsi="Arial"/>
                <w:sz w:val="16"/>
                <w:szCs w:val="16"/>
                <w:color w:val="auto"/>
              </w:rPr>
              <w:t>691,942</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689,783</w:t>
            </w:r>
          </w:p>
        </w:tc>
        <w:tc>
          <w:tcPr>
            <w:tcW w:w="100" w:type="dxa"/>
            <w:vAlign w:val="bottom"/>
          </w:tcPr>
          <w:p>
            <w:pPr>
              <w:spacing w:after="0"/>
              <w:rPr>
                <w:sz w:val="18"/>
                <w:szCs w:val="18"/>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10"/>
        </w:trPr>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(9,251</w:t>
            </w:r>
          </w:p>
        </w:tc>
        <w:tc>
          <w:tcPr>
            <w:tcW w:w="1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(20,664</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(19,388</w:t>
            </w:r>
          </w:p>
        </w:tc>
        <w:tc>
          <w:tcPr>
            <w:tcW w:w="10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(28,907</w:t>
            </w:r>
          </w:p>
        </w:tc>
        <w:tc>
          <w:tcPr>
            <w:tcW w:w="1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(58,135</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(56,030</w:t>
            </w:r>
          </w:p>
        </w:tc>
        <w:tc>
          <w:tcPr>
            <w:tcW w:w="10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322,593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ind w:left="20"/>
              <w:spacing w:after="0"/>
              <w:rPr>
                <w:sz w:val="20"/>
                <w:szCs w:val="20"/>
                <w:color w:val="auto"/>
              </w:rPr>
            </w:pPr>
            <w:r>
              <w:rPr>
                <w:rFonts w:ascii="Arial" w:cs="Arial" w:eastAsia="Arial" w:hAnsi="Arial"/>
                <w:sz w:val="16"/>
                <w:szCs w:val="16"/>
                <w:color w:val="auto"/>
                <w:w w:val="91"/>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613,143</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614,365</w:t>
            </w:r>
          </w:p>
        </w:tc>
        <w:tc>
          <w:tcPr>
            <w:tcW w:w="100" w:type="dxa"/>
            <w:vAlign w:val="bottom"/>
          </w:tcPr>
          <w:p>
            <w:pPr>
              <w:spacing w:after="0"/>
              <w:rPr>
                <w:sz w:val="18"/>
                <w:szCs w:val="18"/>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0" w:type="dxa"/>
            <w:vAlign w:val="bottom"/>
            <w:tcBorders>
              <w:top w:val="single" w:sz="8" w:color="A6A6A6"/>
              <w:bottom w:val="single" w:sz="8" w:color="A6A6A6"/>
            </w:tcBorders>
          </w:tcPr>
          <w:p>
            <w:pPr>
              <w:spacing w:after="0"/>
              <w:rPr>
                <w:sz w:val="20"/>
                <w:szCs w:val="20"/>
                <w:color w:val="auto"/>
              </w:rPr>
            </w:pPr>
          </w:p>
        </w:tc>
        <w:tc>
          <w:tcPr>
            <w:tcW w:w="240" w:type="dxa"/>
            <w:vAlign w:val="bottom"/>
            <w:tcBorders>
              <w:top w:val="single" w:sz="8" w:color="A6A6A6"/>
              <w:bottom w:val="single" w:sz="8" w:color="A6A6A6"/>
            </w:tcBorders>
          </w:tcPr>
          <w:p>
            <w:pPr>
              <w:spacing w:after="0"/>
              <w:rPr>
                <w:sz w:val="20"/>
                <w:szCs w:val="20"/>
                <w:color w:val="auto"/>
              </w:rPr>
            </w:pPr>
          </w:p>
        </w:tc>
        <w:tc>
          <w:tcPr>
            <w:tcW w:w="76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280" w:type="dxa"/>
            <w:vAlign w:val="bottom"/>
            <w:tcBorders>
              <w:top w:val="single" w:sz="8" w:color="A6A6A6"/>
              <w:bottom w:val="single" w:sz="8" w:color="A6A6A6"/>
            </w:tcBorders>
          </w:tcPr>
          <w:p>
            <w:pPr>
              <w:spacing w:after="0"/>
              <w:rPr>
                <w:sz w:val="20"/>
                <w:szCs w:val="20"/>
                <w:color w:val="auto"/>
              </w:rPr>
            </w:pPr>
          </w:p>
        </w:tc>
        <w:tc>
          <w:tcPr>
            <w:tcW w:w="76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6A6A6"/>
              <w:bottom w:val="single" w:sz="8" w:color="A6A6A6"/>
            </w:tcBorders>
          </w:tcPr>
          <w:p>
            <w:pPr>
              <w:spacing w:after="0"/>
              <w:rPr>
                <w:sz w:val="20"/>
                <w:szCs w:val="20"/>
                <w:color w:val="auto"/>
              </w:rPr>
            </w:pPr>
          </w:p>
        </w:tc>
        <w:tc>
          <w:tcPr>
            <w:tcW w:w="240" w:type="dxa"/>
            <w:vAlign w:val="bottom"/>
            <w:tcBorders>
              <w:top w:val="single" w:sz="8" w:color="A6A6A6"/>
              <w:bottom w:val="single" w:sz="8" w:color="A6A6A6"/>
            </w:tcBorders>
          </w:tcPr>
          <w:p>
            <w:pPr>
              <w:spacing w:after="0"/>
              <w:rPr>
                <w:sz w:val="20"/>
                <w:szCs w:val="20"/>
                <w:color w:val="auto"/>
              </w:rPr>
            </w:pPr>
          </w:p>
        </w:tc>
        <w:tc>
          <w:tcPr>
            <w:tcW w:w="74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6A6A6"/>
              <w:bottom w:val="single" w:sz="8" w:color="A6A6A6"/>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7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tcPr>
          <w:p>
            <w:pPr>
              <w:ind w:left="20"/>
              <w:spacing w:after="0"/>
              <w:rPr>
                <w:sz w:val="20"/>
                <w:szCs w:val="20"/>
                <w:color w:val="auto"/>
              </w:rPr>
            </w:pPr>
            <w:r>
              <w:rPr>
                <w:rFonts w:ascii="Arial" w:cs="Arial" w:eastAsia="Arial" w:hAnsi="Arial"/>
                <w:sz w:val="16"/>
                <w:szCs w:val="16"/>
                <w:color w:val="auto"/>
                <w:w w:val="91"/>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(17,872</w:t>
            </w:r>
          </w:p>
        </w:tc>
        <w:tc>
          <w:tcPr>
            <w:tcW w:w="1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50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(40,989</w:t>
            </w:r>
          </w:p>
        </w:tc>
        <w:tc>
          <w:tcPr>
            <w:tcW w:w="100" w:type="dxa"/>
            <w:vAlign w:val="bottom"/>
            <w:vMerge w:val="continue"/>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(35,400</w:t>
            </w:r>
          </w:p>
        </w:tc>
        <w:tc>
          <w:tcPr>
            <w:tcW w:w="10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120" w:type="dxa"/>
            <w:vAlign w:val="bottom"/>
            <w:vMerge w:val="continue"/>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151.99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156.31</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tcBorders>
              <w:top w:val="single" w:sz="8" w:color="A6A6A6"/>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57.04</w:t>
            </w:r>
          </w:p>
        </w:tc>
        <w:tc>
          <w:tcPr>
            <w:tcW w:w="120" w:type="dxa"/>
            <w:vAlign w:val="bottom"/>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Borders>
              <w:top w:val="single" w:sz="8" w:color="A6A6A6"/>
              <w:bottom w:val="single" w:sz="8" w:color="A6A6A6"/>
            </w:tcBorders>
            <w:gridSpan w:val="2"/>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8"/>
                <w:szCs w:val="18"/>
                <w:color w:val="auto"/>
              </w:rPr>
            </w:pPr>
          </w:p>
        </w:tc>
        <w:tc>
          <w:tcPr>
            <w:tcW w:w="340" w:type="dxa"/>
            <w:vAlign w:val="bottom"/>
            <w:tcBorders>
              <w:top w:val="single" w:sz="8" w:color="A6A6A6"/>
              <w:bottom w:val="single" w:sz="8" w:color="A6A6A6"/>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121,429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gridSpan w:val="3"/>
          </w:tcPr>
          <w:p>
            <w:pPr>
              <w:ind w:left="2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205,058</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195,490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ectPr>
          <w:pgSz w:w="11900" w:h="16838" w:orient="portrait"/>
          <w:cols w:equalWidth="0" w:num="2">
            <w:col w:w="5480" w:space="20"/>
            <w:col w:w="5840"/>
          </w:cols>
          <w:pgMar w:left="320" w:top="1336" w:right="239" w:bottom="1440" w:gutter="0" w:footer="0" w:header="0"/>
          <w:type w:val="continuous"/>
        </w:sectPr>
      </w:pPr>
    </w:p>
    <w:p>
      <w:pPr>
        <w:ind w:left="180" w:hanging="172"/>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w:t>
      </w:r>
    </w:p>
    <w:p>
      <w:pPr>
        <w:spacing w:after="0" w:line="10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Cement Revenue was $352.8 million, a 2% decrease, for the three months ended September 30, 2024. The decrease was primarily due to lower Sales Volume, which reduced Cement Revenue by approximately $16.2 million, partially offset by higher gross sales prices of $8.2 million.</w:t>
      </w:r>
    </w:p>
    <w:p>
      <w:pPr>
        <w:spacing w:after="0" w:line="6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Cement Operating Earnings decreased by $5.5 million to $115.9 million for the three months ended September 30, 2024. The decrease was due to lower Sales Volume and higher operating costs of $5.9 million and $7.8 million, respectively, partially offset by higher average sales prices of $8.2 million. Higher operating costs were primarily due to increased maintenance and litigation loss of approximately $6.9 million and $0.7 million, respectively. The Operating Margin decreased to 33% from 34%, as a result of higher operating costs, partially offset by the higher gross sales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2024</w:t>
      </w:r>
    </w:p>
    <w:p>
      <w:pPr>
        <w:spacing w:after="0" w:line="10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Cement Revenue was $ 691.9 million, for the six months ended September 30, 2024. Cement Revenue was relatively flat, with increases of $28.4 million from gross sales prices being offset by lower Sales Volume of $26.3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Cement Operating Earnings increased by $9.6 million to $205.1 million for the six months ended September 30, 2024. The increase was due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higher gross sales prices of $28.4 million, which was partially offset by lower Sales Volume and higher operating costs of $8.3 million and</w:t>
      </w:r>
    </w:p>
    <w:p>
      <w:pPr>
        <w:spacing w:after="0" w:line="234" w:lineRule="auto"/>
        <w:rPr>
          <w:sz w:val="20"/>
          <w:szCs w:val="20"/>
          <w:color w:val="auto"/>
        </w:rPr>
      </w:pPr>
      <w:r>
        <w:rPr>
          <w:rFonts w:ascii="Arial" w:cs="Arial" w:eastAsia="Arial" w:hAnsi="Arial"/>
          <w:sz w:val="18"/>
          <w:szCs w:val="18"/>
          <w:color w:val="auto"/>
        </w:rPr>
        <w:t>$10.5 million, respectively. Higher operating costs consisted of $5.1 million of increased maintenance, $3.5 million of higher freight costs,</w:t>
      </w:r>
    </w:p>
    <w:p>
      <w:pPr>
        <w:spacing w:after="0" w:line="235" w:lineRule="auto"/>
        <w:rPr>
          <w:sz w:val="20"/>
          <w:szCs w:val="20"/>
          <w:color w:val="auto"/>
        </w:rPr>
      </w:pPr>
      <w:r>
        <w:rPr>
          <w:rFonts w:ascii="Arial" w:cs="Arial" w:eastAsia="Arial" w:hAnsi="Arial"/>
          <w:sz w:val="18"/>
          <w:szCs w:val="18"/>
          <w:color w:val="auto"/>
        </w:rPr>
        <w:t>$1.2 million increase in purchased raw materials, $2.1 million of higher labor costs, and a litigation loss of approximately $0.7 million. These</w:t>
      </w:r>
    </w:p>
    <w:p>
      <w:pPr>
        <w:spacing w:after="0" w:line="235" w:lineRule="auto"/>
        <w:rPr>
          <w:sz w:val="20"/>
          <w:szCs w:val="20"/>
          <w:color w:val="auto"/>
        </w:rPr>
      </w:pPr>
      <w:r>
        <w:rPr>
          <w:rFonts w:ascii="Arial" w:cs="Arial" w:eastAsia="Arial" w:hAnsi="Arial"/>
          <w:sz w:val="18"/>
          <w:szCs w:val="18"/>
          <w:color w:val="auto"/>
        </w:rPr>
        <w:t>higher costs were partially offset by the impact of recording in the prior year $2.8 million of acquired inventories at fair value. Cement</w:t>
      </w:r>
    </w:p>
    <w:p>
      <w:pPr>
        <w:spacing w:after="0"/>
        <w:rPr>
          <w:sz w:val="20"/>
          <w:szCs w:val="20"/>
          <w:color w:val="auto"/>
        </w:rPr>
      </w:pPr>
      <w:r>
        <w:rPr>
          <w:rFonts w:ascii="Arial" w:cs="Arial" w:eastAsia="Arial" w:hAnsi="Arial"/>
          <w:sz w:val="18"/>
          <w:szCs w:val="18"/>
          <w:color w:val="auto"/>
        </w:rPr>
        <w:t>Operating Margin increased to 30% from 28%, as a result of higher gross sales prices, partially offset by higher operating expenses.</w:t>
      </w: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6"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CONCRETE AND AGGREGATES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200" w:type="dxa"/>
            <w:vAlign w:val="bottom"/>
            <w:shd w:val="clear" w:color="auto" w:fill="004483"/>
          </w:tcPr>
          <w:p>
            <w:pPr>
              <w:spacing w:after="0"/>
              <w:rPr>
                <w:sz w:val="13"/>
                <w:szCs w:val="13"/>
                <w:color w:val="auto"/>
              </w:rPr>
            </w:pPr>
          </w:p>
        </w:tc>
        <w:tc>
          <w:tcPr>
            <w:tcW w:w="2220" w:type="dxa"/>
            <w:vAlign w:val="bottom"/>
            <w:gridSpan w:val="6"/>
            <w:shd w:val="clear" w:color="auto" w:fill="004483"/>
          </w:tcPr>
          <w:p>
            <w:pPr>
              <w:jc w:val="center"/>
              <w:ind w:right="219"/>
              <w:spacing w:after="0"/>
              <w:rPr>
                <w:sz w:val="20"/>
                <w:szCs w:val="20"/>
                <w:color w:val="auto"/>
              </w:rPr>
            </w:pPr>
            <w:r>
              <w:rPr>
                <w:rFonts w:ascii="Arial" w:cs="Arial" w:eastAsia="Arial" w:hAnsi="Arial"/>
                <w:sz w:val="13"/>
                <w:szCs w:val="13"/>
                <w:b w:val="1"/>
                <w:bCs w:val="1"/>
                <w:color w:val="FFFFFF"/>
                <w:w w:val="97"/>
              </w:rPr>
              <w:t>For the Three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shd w:val="clear" w:color="auto" w:fill="004483"/>
          </w:tcPr>
          <w:p>
            <w:pPr>
              <w:spacing w:after="0"/>
              <w:rPr>
                <w:sz w:val="13"/>
                <w:szCs w:val="13"/>
                <w:color w:val="auto"/>
              </w:rPr>
            </w:pPr>
          </w:p>
        </w:tc>
        <w:tc>
          <w:tcPr>
            <w:tcW w:w="2100" w:type="dxa"/>
            <w:vAlign w:val="bottom"/>
            <w:gridSpan w:val="6"/>
            <w:shd w:val="clear" w:color="auto" w:fill="004483"/>
          </w:tcPr>
          <w:p>
            <w:pPr>
              <w:jc w:val="center"/>
              <w:ind w:right="239"/>
              <w:spacing w:after="0"/>
              <w:rPr>
                <w:sz w:val="20"/>
                <w:szCs w:val="20"/>
                <w:color w:val="auto"/>
              </w:rPr>
            </w:pPr>
            <w:r>
              <w:rPr>
                <w:rFonts w:ascii="Arial" w:cs="Arial" w:eastAsia="Arial" w:hAnsi="Arial"/>
                <w:sz w:val="13"/>
                <w:szCs w:val="13"/>
                <w:b w:val="1"/>
                <w:bCs w:val="1"/>
                <w:color w:val="FFFFFF"/>
                <w:w w:val="96"/>
              </w:rPr>
              <w:t>For the Six Months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200" w:type="dxa"/>
            <w:vAlign w:val="bottom"/>
            <w:tcBorders>
              <w:bottom w:val="single" w:sz="8" w:color="auto"/>
            </w:tcBorders>
            <w:shd w:val="clear" w:color="auto" w:fill="004483"/>
          </w:tcPr>
          <w:p>
            <w:pPr>
              <w:spacing w:after="0"/>
              <w:rPr>
                <w:sz w:val="14"/>
                <w:szCs w:val="14"/>
                <w:color w:val="auto"/>
              </w:rPr>
            </w:pPr>
          </w:p>
        </w:tc>
        <w:tc>
          <w:tcPr>
            <w:tcW w:w="1500" w:type="dxa"/>
            <w:vAlign w:val="bottom"/>
            <w:tcBorders>
              <w:bottom w:val="single" w:sz="8" w:color="auto"/>
            </w:tcBorders>
            <w:gridSpan w:val="4"/>
            <w:shd w:val="clear" w:color="auto" w:fill="004483"/>
          </w:tcPr>
          <w:p>
            <w:pPr>
              <w:jc w:val="center"/>
              <w:ind w:left="324"/>
              <w:spacing w:after="0"/>
              <w:rPr>
                <w:sz w:val="20"/>
                <w:szCs w:val="20"/>
                <w:color w:val="auto"/>
              </w:rPr>
            </w:pPr>
            <w:r>
              <w:rPr>
                <w:rFonts w:ascii="Arial" w:cs="Arial" w:eastAsia="Arial" w:hAnsi="Arial"/>
                <w:sz w:val="13"/>
                <w:szCs w:val="13"/>
                <w:b w:val="1"/>
                <w:bCs w:val="1"/>
                <w:color w:val="FFFFFF"/>
                <w:w w:val="96"/>
              </w:rPr>
              <w:t>September 30,</w:t>
            </w:r>
          </w:p>
        </w:tc>
        <w:tc>
          <w:tcPr>
            <w:tcW w:w="60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shd w:val="clear" w:color="auto" w:fill="004483"/>
          </w:tcPr>
          <w:p>
            <w:pPr>
              <w:spacing w:after="0"/>
              <w:rPr>
                <w:sz w:val="14"/>
                <w:szCs w:val="14"/>
                <w:color w:val="auto"/>
              </w:rPr>
            </w:pPr>
          </w:p>
        </w:tc>
        <w:tc>
          <w:tcPr>
            <w:tcW w:w="1360" w:type="dxa"/>
            <w:vAlign w:val="bottom"/>
            <w:tcBorders>
              <w:bottom w:val="single" w:sz="8" w:color="auto"/>
            </w:tcBorders>
            <w:gridSpan w:val="4"/>
            <w:shd w:val="clear" w:color="auto" w:fill="004483"/>
          </w:tcPr>
          <w:p>
            <w:pPr>
              <w:jc w:val="center"/>
              <w:ind w:left="344"/>
              <w:spacing w:after="0"/>
              <w:rPr>
                <w:sz w:val="20"/>
                <w:szCs w:val="20"/>
                <w:color w:val="auto"/>
              </w:rPr>
            </w:pPr>
            <w:r>
              <w:rPr>
                <w:rFonts w:ascii="Arial" w:cs="Arial" w:eastAsia="Arial" w:hAnsi="Arial"/>
                <w:sz w:val="13"/>
                <w:szCs w:val="13"/>
                <w:b w:val="1"/>
                <w:bCs w:val="1"/>
                <w:color w:val="FFFFFF"/>
                <w:w w:val="96"/>
              </w:rPr>
              <w:t>September 30,</w:t>
            </w:r>
          </w:p>
        </w:tc>
        <w:tc>
          <w:tcPr>
            <w:tcW w:w="64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080" w:type="dxa"/>
            <w:vAlign w:val="bottom"/>
            <w:gridSpan w:val="3"/>
          </w:tcPr>
          <w:p>
            <w:pPr>
              <w:jc w:val="right"/>
              <w:ind w:right="260"/>
              <w:spacing w:after="0" w:line="124" w:lineRule="exact"/>
              <w:rPr>
                <w:sz w:val="20"/>
                <w:szCs w:val="20"/>
                <w:color w:val="auto"/>
              </w:rPr>
            </w:pPr>
            <w:r>
              <w:rPr>
                <w:rFonts w:ascii="Arial" w:cs="Arial" w:eastAsia="Arial" w:hAnsi="Arial"/>
                <w:sz w:val="13"/>
                <w:szCs w:val="13"/>
                <w:b w:val="1"/>
                <w:bCs w:val="1"/>
                <w:color w:val="auto"/>
              </w:rPr>
              <w:t>Percentage</w:t>
            </w: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1080" w:type="dxa"/>
            <w:vAlign w:val="bottom"/>
            <w:gridSpan w:val="2"/>
          </w:tcPr>
          <w:p>
            <w:pPr>
              <w:jc w:val="right"/>
              <w:ind w:right="179"/>
              <w:spacing w:after="0" w:line="124"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Change</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7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2420" w:type="dxa"/>
            <w:vAlign w:val="bottom"/>
            <w:gridSpan w:val="7"/>
          </w:tcPr>
          <w:p>
            <w:pPr>
              <w:jc w:val="center"/>
              <w:ind w:right="19"/>
              <w:spacing w:after="0"/>
              <w:rPr>
                <w:sz w:val="20"/>
                <w:szCs w:val="20"/>
                <w:color w:val="auto"/>
              </w:rPr>
            </w:pPr>
            <w:r>
              <w:rPr>
                <w:rFonts w:ascii="Arial" w:cs="Arial" w:eastAsia="Arial" w:hAnsi="Arial"/>
                <w:sz w:val="13"/>
                <w:szCs w:val="13"/>
                <w:color w:val="auto"/>
                <w:w w:val="97"/>
              </w:rPr>
              <w:t>(in thousands, except net sales prices)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7"/>
          </w:tcPr>
          <w:p>
            <w:pPr>
              <w:jc w:val="center"/>
              <w:ind w:right="19"/>
              <w:spacing w:after="0"/>
              <w:rPr>
                <w:sz w:val="20"/>
                <w:szCs w:val="20"/>
                <w:color w:val="auto"/>
              </w:rPr>
            </w:pPr>
            <w:r>
              <w:rPr>
                <w:rFonts w:ascii="Arial" w:cs="Arial" w:eastAsia="Arial" w:hAnsi="Arial"/>
                <w:sz w:val="13"/>
                <w:szCs w:val="13"/>
                <w:color w:val="auto"/>
                <w:w w:val="96"/>
              </w:rPr>
              <w:t>(in thousands, except net sales prices)</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40" w:type="dxa"/>
            <w:vAlign w:val="bottom"/>
            <w:tcBorders>
              <w:top w:val="single" w:sz="8" w:color="17385E"/>
              <w:bottom w:val="single" w:sz="8" w:color="A6A6A6"/>
            </w:tcBorders>
          </w:tcPr>
          <w:p>
            <w:pPr>
              <w:ind w:left="20"/>
              <w:spacing w:after="0"/>
              <w:rPr>
                <w:sz w:val="20"/>
                <w:szCs w:val="20"/>
                <w:color w:val="auto"/>
              </w:rPr>
            </w:pPr>
            <w:r>
              <w:rPr>
                <w:rFonts w:ascii="Arial" w:cs="Arial" w:eastAsia="Arial" w:hAnsi="Arial"/>
                <w:sz w:val="16"/>
                <w:szCs w:val="16"/>
                <w:color w:val="004483"/>
              </w:rPr>
              <w:t>Revenue, including Intersegment</w:t>
            </w:r>
          </w:p>
        </w:tc>
        <w:tc>
          <w:tcPr>
            <w:tcW w:w="200" w:type="dxa"/>
            <w:vAlign w:val="bottom"/>
            <w:tcBorders>
              <w:top w:val="single" w:sz="8" w:color="17385E"/>
              <w:bottom w:val="single" w:sz="8" w:color="A6A6A6"/>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69,980</w:t>
            </w:r>
          </w:p>
        </w:tc>
        <w:tc>
          <w:tcPr>
            <w:tcW w:w="120" w:type="dxa"/>
            <w:vAlign w:val="bottom"/>
            <w:tcBorders>
              <w:top w:val="single" w:sz="8" w:color="17385E"/>
            </w:tcBorders>
          </w:tcPr>
          <w:p>
            <w:pPr>
              <w:spacing w:after="0"/>
              <w:rPr>
                <w:sz w:val="18"/>
                <w:szCs w:val="18"/>
                <w:color w:val="auto"/>
              </w:rPr>
            </w:pPr>
          </w:p>
        </w:tc>
        <w:tc>
          <w:tcPr>
            <w:tcW w:w="520" w:type="dxa"/>
            <w:vAlign w:val="bottom"/>
            <w:tcBorders>
              <w:top w:val="single" w:sz="8" w:color="17385E"/>
              <w:bottom w:val="single" w:sz="8" w:color="A6A6A6"/>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69,887</w:t>
            </w:r>
          </w:p>
        </w:tc>
        <w:tc>
          <w:tcPr>
            <w:tcW w:w="120" w:type="dxa"/>
            <w:vAlign w:val="bottom"/>
          </w:tcPr>
          <w:p>
            <w:pPr>
              <w:spacing w:after="0"/>
              <w:rPr>
                <w:sz w:val="18"/>
                <w:szCs w:val="18"/>
                <w:color w:val="auto"/>
              </w:rPr>
            </w:pPr>
          </w:p>
        </w:tc>
        <w:tc>
          <w:tcPr>
            <w:tcW w:w="86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17385E"/>
              <w:bottom w:val="single" w:sz="8" w:color="A6A6A6"/>
            </w:tcBorders>
          </w:tcPr>
          <w:p>
            <w:pPr>
              <w:spacing w:after="0"/>
              <w:rPr>
                <w:sz w:val="18"/>
                <w:szCs w:val="18"/>
                <w:color w:val="auto"/>
              </w:rPr>
            </w:pPr>
          </w:p>
        </w:tc>
        <w:tc>
          <w:tcPr>
            <w:tcW w:w="220" w:type="dxa"/>
            <w:vAlign w:val="bottom"/>
            <w:tcBorders>
              <w:top w:val="single" w:sz="8" w:color="17385E"/>
              <w:bottom w:val="single" w:sz="8" w:color="A6A6A6"/>
            </w:tcBorders>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134,795</w:t>
            </w:r>
          </w:p>
        </w:tc>
        <w:tc>
          <w:tcPr>
            <w:tcW w:w="100" w:type="dxa"/>
            <w:vAlign w:val="bottom"/>
            <w:tcBorders>
              <w:top w:val="single" w:sz="8" w:color="17385E"/>
            </w:tcBorders>
          </w:tcPr>
          <w:p>
            <w:pPr>
              <w:spacing w:after="0"/>
              <w:rPr>
                <w:sz w:val="18"/>
                <w:szCs w:val="18"/>
                <w:color w:val="auto"/>
              </w:rPr>
            </w:pPr>
          </w:p>
        </w:tc>
        <w:tc>
          <w:tcPr>
            <w:tcW w:w="440" w:type="dxa"/>
            <w:vAlign w:val="bottom"/>
            <w:tcBorders>
              <w:top w:val="single" w:sz="8" w:color="17385E"/>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140,340</w:t>
            </w:r>
          </w:p>
        </w:tc>
        <w:tc>
          <w:tcPr>
            <w:tcW w:w="100" w:type="dxa"/>
            <w:vAlign w:val="bottom"/>
          </w:tcPr>
          <w:p>
            <w:pPr>
              <w:spacing w:after="0"/>
              <w:rPr>
                <w:sz w:val="18"/>
                <w:szCs w:val="18"/>
                <w:color w:val="auto"/>
              </w:rPr>
            </w:pPr>
          </w:p>
        </w:tc>
        <w:tc>
          <w:tcPr>
            <w:tcW w:w="880" w:type="dxa"/>
            <w:vAlign w:val="bottom"/>
            <w:tcBorders>
              <w:top w:val="single" w:sz="8" w:color="17385E"/>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00" w:type="dxa"/>
            <w:vAlign w:val="bottom"/>
            <w:tcBorders>
              <w:bottom w:val="single" w:sz="8" w:color="004483"/>
            </w:tcBorders>
          </w:tcPr>
          <w:p>
            <w:pPr>
              <w:spacing w:after="0"/>
              <w:rPr>
                <w:sz w:val="20"/>
                <w:szCs w:val="20"/>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Borders>
              <w:bottom w:val="single" w:sz="8" w:color="004483"/>
            </w:tcBorders>
          </w:tcPr>
          <w:p>
            <w:pPr>
              <w:spacing w:after="0"/>
              <w:rPr>
                <w:sz w:val="20"/>
                <w:szCs w:val="20"/>
                <w:color w:val="auto"/>
              </w:rPr>
            </w:pP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(3,783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7 %</w:t>
            </w:r>
          </w:p>
        </w:tc>
        <w:tc>
          <w:tcPr>
            <w:tcW w:w="220" w:type="dxa"/>
            <w:vAlign w:val="bottom"/>
            <w:tcBorders>
              <w:bottom w:val="single" w:sz="8" w:color="004483"/>
            </w:tcBorders>
          </w:tcPr>
          <w:p>
            <w:pPr>
              <w:spacing w:after="0"/>
              <w:rPr>
                <w:sz w:val="20"/>
                <w:szCs w:val="20"/>
                <w:color w:val="auto"/>
              </w:rPr>
            </w:pPr>
          </w:p>
        </w:tc>
        <w:tc>
          <w:tcPr>
            <w:tcW w:w="8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340" w:type="dxa"/>
            <w:vAlign w:val="bottom"/>
            <w:tcBorders>
              <w:bottom w:val="single" w:sz="8" w:color="004483"/>
            </w:tcBorders>
          </w:tcPr>
          <w:p>
            <w:pPr>
              <w:spacing w:after="0"/>
              <w:rPr>
                <w:sz w:val="20"/>
                <w:szCs w:val="20"/>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(6,821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9"/>
        </w:trPr>
        <w:tc>
          <w:tcPr>
            <w:tcW w:w="4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200" w:type="dxa"/>
            <w:vAlign w:val="bottom"/>
            <w:tcBorders>
              <w:top w:val="single" w:sz="8" w:color="004483"/>
              <w:bottom w:val="single" w:sz="8" w:color="A6A6A6"/>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65,930</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004483"/>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66,104</w:t>
            </w:r>
          </w:p>
        </w:tc>
        <w:tc>
          <w:tcPr>
            <w:tcW w:w="120" w:type="dxa"/>
            <w:vAlign w:val="bottom"/>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004483"/>
              <w:bottom w:val="single" w:sz="8" w:color="A6A6A6"/>
            </w:tcBorders>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126,968</w:t>
            </w: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004483"/>
              <w:bottom w:val="single" w:sz="8" w:color="A6A6A6"/>
            </w:tcBorders>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133,519</w:t>
            </w:r>
          </w:p>
        </w:tc>
        <w:tc>
          <w:tcPr>
            <w:tcW w:w="100" w:type="dxa"/>
            <w:vAlign w:val="bottom"/>
          </w:tcPr>
          <w:p>
            <w:pPr>
              <w:spacing w:after="0"/>
              <w:rPr>
                <w:sz w:val="18"/>
                <w:szCs w:val="18"/>
                <w:color w:val="auto"/>
              </w:rPr>
            </w:pPr>
          </w:p>
        </w:tc>
        <w:tc>
          <w:tcPr>
            <w:tcW w:w="8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20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0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20" w:type="dxa"/>
            <w:vAlign w:val="bottom"/>
            <w:tcBorders>
              <w:bottom w:val="single" w:sz="8" w:color="A6A6A6"/>
            </w:tcBorders>
          </w:tcPr>
          <w:p>
            <w:pPr>
              <w:spacing w:after="0"/>
              <w:rPr>
                <w:sz w:val="18"/>
                <w:szCs w:val="18"/>
                <w:color w:val="auto"/>
              </w:rPr>
            </w:pPr>
          </w:p>
        </w:tc>
        <w:tc>
          <w:tcPr>
            <w:tcW w:w="82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20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40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20" w:type="dxa"/>
            <w:vAlign w:val="bottom"/>
            <w:tcBorders>
              <w:top w:val="single" w:sz="8" w:color="A6A6A6"/>
              <w:bottom w:val="single" w:sz="8" w:color="A6A6A6"/>
            </w:tcBorders>
          </w:tcPr>
          <w:p>
            <w:pPr>
              <w:spacing w:after="0"/>
              <w:rPr>
                <w:sz w:val="18"/>
                <w:szCs w:val="18"/>
                <w:color w:val="auto"/>
              </w:rPr>
            </w:pPr>
          </w:p>
        </w:tc>
        <w:tc>
          <w:tcPr>
            <w:tcW w:w="8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149.16</w:t>
            </w:r>
          </w:p>
        </w:tc>
        <w:tc>
          <w:tcPr>
            <w:tcW w:w="120" w:type="dxa"/>
            <w:vAlign w:val="bottom"/>
          </w:tcPr>
          <w:p>
            <w:pPr>
              <w:spacing w:after="0"/>
              <w:rPr>
                <w:sz w:val="18"/>
                <w:szCs w:val="18"/>
                <w:color w:val="auto"/>
              </w:rPr>
            </w:pP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145.39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440" w:type="dxa"/>
            <w:vAlign w:val="bottom"/>
            <w:gridSpan w:val="3"/>
          </w:tcPr>
          <w:p>
            <w:pPr>
              <w:jc w:val="right"/>
              <w:ind w:right="45"/>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Pr>
          <w:p>
            <w:pPr>
              <w:spacing w:after="0"/>
              <w:rPr>
                <w:sz w:val="18"/>
                <w:szCs w:val="18"/>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143.55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gridSpan w:val="3"/>
          </w:tcPr>
          <w:p>
            <w:pPr>
              <w:jc w:val="right"/>
              <w:ind w:right="45"/>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top w:val="single" w:sz="8" w:color="A6A6A6"/>
              <w:bottom w:val="single" w:sz="8" w:color="A6A6A6"/>
            </w:tcBorders>
          </w:tcPr>
          <w:p>
            <w:pPr>
              <w:spacing w:after="0"/>
              <w:rPr>
                <w:sz w:val="20"/>
                <w:szCs w:val="20"/>
                <w:color w:val="auto"/>
              </w:rPr>
            </w:pPr>
          </w:p>
        </w:tc>
        <w:tc>
          <w:tcPr>
            <w:tcW w:w="200" w:type="dxa"/>
            <w:vAlign w:val="bottom"/>
            <w:tcBorders>
              <w:top w:val="single" w:sz="8" w:color="A6A6A6"/>
              <w:bottom w:val="single" w:sz="8" w:color="A6A6A6"/>
            </w:tcBorders>
          </w:tcPr>
          <w:p>
            <w:pPr>
              <w:spacing w:after="0"/>
              <w:rPr>
                <w:sz w:val="20"/>
                <w:szCs w:val="20"/>
                <w:color w:val="auto"/>
              </w:rPr>
            </w:pPr>
          </w:p>
        </w:tc>
        <w:tc>
          <w:tcPr>
            <w:tcW w:w="86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6A6A6"/>
              <w:bottom w:val="single" w:sz="8" w:color="A6A6A6"/>
            </w:tcBorders>
            <w:gridSpan w:val="2"/>
          </w:tcPr>
          <w:p>
            <w:pPr>
              <w:spacing w:after="0"/>
              <w:rPr>
                <w:sz w:val="20"/>
                <w:szCs w:val="20"/>
                <w:color w:val="auto"/>
              </w:rPr>
            </w:pPr>
          </w:p>
        </w:tc>
        <w:tc>
          <w:tcPr>
            <w:tcW w:w="60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6A6A6"/>
              <w:bottom w:val="single" w:sz="8" w:color="A6A6A6"/>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6A6A6"/>
              <w:bottom w:val="single" w:sz="8" w:color="A6A6A6"/>
            </w:tcBorders>
            <w:gridSpan w:val="2"/>
          </w:tcPr>
          <w:p>
            <w:pPr>
              <w:spacing w:after="0"/>
              <w:rPr>
                <w:sz w:val="20"/>
                <w:szCs w:val="20"/>
                <w:color w:val="auto"/>
              </w:rPr>
            </w:pPr>
          </w:p>
        </w:tc>
        <w:tc>
          <w:tcPr>
            <w:tcW w:w="82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6A6A6"/>
              <w:bottom w:val="single" w:sz="8" w:color="A6A6A6"/>
            </w:tcBorders>
            <w:gridSpan w:val="2"/>
          </w:tcPr>
          <w:p>
            <w:pPr>
              <w:spacing w:after="0"/>
              <w:rPr>
                <w:sz w:val="20"/>
                <w:szCs w:val="20"/>
                <w:color w:val="auto"/>
              </w:rPr>
            </w:pPr>
          </w:p>
        </w:tc>
        <w:tc>
          <w:tcPr>
            <w:tcW w:w="640" w:type="dxa"/>
            <w:vAlign w:val="bottom"/>
            <w:tcBorders>
              <w:top w:val="single" w:sz="8" w:color="A6A6A6"/>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6A6A6"/>
              <w:bottom w:val="single" w:sz="8" w:color="A6A6A6"/>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color w:val="004483"/>
              </w:rPr>
              <w:t>Operating Earnings (Loss)</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440" w:type="dxa"/>
            <w:vAlign w:val="bottom"/>
            <w:gridSpan w:val="3"/>
          </w:tcPr>
          <w:p>
            <w:pPr>
              <w:jc w:val="right"/>
              <w:ind w:right="45"/>
              <w:spacing w:after="0"/>
              <w:rPr>
                <w:sz w:val="20"/>
                <w:szCs w:val="20"/>
                <w:color w:val="auto"/>
              </w:rPr>
            </w:pPr>
            <w:r>
              <w:rPr>
                <w:rFonts w:ascii="Arial" w:cs="Arial" w:eastAsia="Arial" w:hAnsi="Arial"/>
                <w:sz w:val="16"/>
                <w:szCs w:val="16"/>
                <w:color w:val="auto"/>
                <w:w w:val="91"/>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8"/>
                <w:szCs w:val="18"/>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11,674</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rPr>
                <w:sz w:val="1"/>
                <w:szCs w:val="1"/>
                <w:color w:val="auto"/>
              </w:rPr>
            </w:pPr>
          </w:p>
        </w:tc>
      </w:tr>
      <w:tr>
        <w:trPr>
          <w:trHeight w:val="20"/>
        </w:trPr>
        <w:tc>
          <w:tcPr>
            <w:tcW w:w="444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6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8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-2108200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-2108200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w:t>
      </w:r>
    </w:p>
    <w:p>
      <w:pPr>
        <w:spacing w:after="0" w:line="10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Concrete and Aggregates Revenue remained relatively flat at $69.9 million for the three months ended September 30, 2024. Excluding the Acquisition, Revenue declined $1.6 million. The decline was due to lower Sales Volume, which reduced Revenue by $5.4 million, partially offset by higher gross sales prices of $3.8 million.</w:t>
      </w:r>
    </w:p>
    <w:p>
      <w:pPr>
        <w:spacing w:after="0" w:line="61"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Operating Loss was approximately $1.0 million, for the three months ended September 30, 2024. Excluding the Aggregates Acquisition, Operating Loss was $0.7 million. The Operating Loss was due to lower Sales Volume and higher operating costs of $ 1.5 million and $7.6 million, respectively, partially offset by higher gross selling prices of $3.8 million. The increase in operating costs was primarily due to higher cost of materials, maintenance, delivery, and energy costs of approximately $3.2 million, $2.7 million, $0.4 million, and $0.3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2024</w:t>
      </w:r>
    </w:p>
    <w:p>
      <w:pPr>
        <w:spacing w:after="0" w:line="102"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Concrete and Aggregates Revenue was $134.8 million for the six months ended September 30, 2024. Excluding the Acquisition, Revenue declined $7.2 million. The decrease was due to lower Sales Volume, which reduced Revenue by $14.7 million. This was partially offset by higher gross sales prices of $7.5 million.</w:t>
      </w:r>
    </w:p>
    <w:p>
      <w:pPr>
        <w:spacing w:after="0" w:line="6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Operating Earnings were approximately $2.0 million, an 83% decrease. Excluding the Aggregates Acquisition, Operating Earnings decreased to $2.3 million. The decline in Operating Earnings was due to lower Sales Volume and higher operating costs of $3.4 million and $13.5 million, respectively. This was partially offset by higher gross selling prices of $7.5 million. The increase in operating costs was primarily due to higher cost of materials, maintenance, energy, and delivery expenses of approximately $4.3 million, $5.6 million, $1.8 million, and $1.7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6"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tbl>
      <w:tblPr>
        <w:tblLayout w:type="fixed"/>
        <w:tblInd w:w="4340" w:type="dxa"/>
        <w:tblCellMar>
          <w:top w:w="0" w:type="dxa"/>
          <w:left w:w="0" w:type="dxa"/>
          <w:bottom w:w="0" w:type="dxa"/>
          <w:right w:w="0" w:type="dxa"/>
        </w:tblCellMar>
      </w:tblPr>
      <w:tr>
        <w:trPr>
          <w:trHeight w:val="145"/>
        </w:trPr>
        <w:tc>
          <w:tcPr>
            <w:tcW w:w="2360" w:type="dxa"/>
            <w:vAlign w:val="bottom"/>
            <w:gridSpan w:val="3"/>
            <w:shd w:val="clear" w:color="auto" w:fill="004483"/>
          </w:tcPr>
          <w:p>
            <w:pPr>
              <w:jc w:val="center"/>
              <w:ind w:right="140"/>
              <w:spacing w:after="0" w:line="145" w:lineRule="exact"/>
              <w:rPr>
                <w:sz w:val="20"/>
                <w:szCs w:val="20"/>
                <w:color w:val="auto"/>
              </w:rPr>
            </w:pPr>
            <w:r>
              <w:rPr>
                <w:rFonts w:ascii="Arial" w:cs="Arial" w:eastAsia="Arial" w:hAnsi="Arial"/>
                <w:sz w:val="13"/>
                <w:szCs w:val="13"/>
                <w:b w:val="1"/>
                <w:bCs w:val="1"/>
                <w:color w:val="FFFFFF"/>
                <w:w w:val="96"/>
              </w:rPr>
              <w:t>For the Three Months Ended</w:t>
            </w:r>
          </w:p>
        </w:tc>
        <w:tc>
          <w:tcPr>
            <w:tcW w:w="1200" w:type="dxa"/>
            <w:vAlign w:val="bottom"/>
          </w:tcPr>
          <w:p>
            <w:pPr>
              <w:spacing w:after="0"/>
              <w:rPr>
                <w:sz w:val="12"/>
                <w:szCs w:val="12"/>
                <w:color w:val="auto"/>
              </w:rPr>
            </w:pPr>
          </w:p>
        </w:tc>
        <w:tc>
          <w:tcPr>
            <w:tcW w:w="1840" w:type="dxa"/>
            <w:vAlign w:val="bottom"/>
            <w:shd w:val="clear" w:color="auto" w:fill="004483"/>
          </w:tcPr>
          <w:p>
            <w:pPr>
              <w:jc w:val="center"/>
              <w:ind w:left="217"/>
              <w:spacing w:after="0" w:line="145" w:lineRule="exact"/>
              <w:rPr>
                <w:sz w:val="20"/>
                <w:szCs w:val="20"/>
                <w:color w:val="auto"/>
              </w:rPr>
            </w:pPr>
            <w:r>
              <w:rPr>
                <w:rFonts w:ascii="Arial" w:cs="Arial" w:eastAsia="Arial" w:hAnsi="Arial"/>
                <w:sz w:val="13"/>
                <w:szCs w:val="13"/>
                <w:b w:val="1"/>
                <w:bCs w:val="1"/>
                <w:color w:val="FFFFFF"/>
                <w:w w:val="97"/>
              </w:rPr>
              <w:t>For the Six Months Ended</w:t>
            </w:r>
          </w:p>
        </w:tc>
        <w:tc>
          <w:tcPr>
            <w:tcW w:w="32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60" w:type="dxa"/>
            <w:vAlign w:val="bottom"/>
            <w:tcBorders>
              <w:bottom w:val="single" w:sz="8" w:color="auto"/>
            </w:tcBorders>
            <w:shd w:val="clear" w:color="auto" w:fill="004483"/>
          </w:tcPr>
          <w:p>
            <w:pPr>
              <w:jc w:val="center"/>
              <w:ind w:left="437"/>
              <w:spacing w:after="0"/>
              <w:rPr>
                <w:sz w:val="20"/>
                <w:szCs w:val="20"/>
                <w:color w:val="auto"/>
              </w:rPr>
            </w:pPr>
            <w:r>
              <w:rPr>
                <w:rFonts w:ascii="Arial" w:cs="Arial" w:eastAsia="Arial" w:hAnsi="Arial"/>
                <w:sz w:val="13"/>
                <w:szCs w:val="13"/>
                <w:b w:val="1"/>
                <w:bCs w:val="1"/>
                <w:color w:val="FFFFFF"/>
                <w:w w:val="96"/>
              </w:rPr>
              <w:t>September 30,</w:t>
            </w:r>
          </w:p>
        </w:tc>
        <w:tc>
          <w:tcPr>
            <w:tcW w:w="48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Borders>
              <w:bottom w:val="single" w:sz="8" w:color="auto"/>
            </w:tcBorders>
            <w:shd w:val="clear" w:color="auto" w:fill="004483"/>
          </w:tcPr>
          <w:p>
            <w:pPr>
              <w:jc w:val="center"/>
              <w:ind w:left="237"/>
              <w:spacing w:after="0"/>
              <w:rPr>
                <w:sz w:val="20"/>
                <w:szCs w:val="20"/>
                <w:color w:val="auto"/>
              </w:rPr>
            </w:pPr>
            <w:r>
              <w:rPr>
                <w:rFonts w:ascii="Arial" w:cs="Arial" w:eastAsia="Arial" w:hAnsi="Arial"/>
                <w:sz w:val="13"/>
                <w:szCs w:val="13"/>
                <w:b w:val="1"/>
                <w:bCs w:val="1"/>
                <w:color w:val="FFFFFF"/>
                <w:w w:val="96"/>
              </w:rPr>
              <w:t>September 30,</w:t>
            </w:r>
          </w:p>
        </w:tc>
        <w:tc>
          <w:tcPr>
            <w:tcW w:w="3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jc w:val="right"/>
              <w:ind w:right="677"/>
              <w:spacing w:after="0"/>
              <w:rPr>
                <w:sz w:val="20"/>
                <w:szCs w:val="20"/>
                <w:color w:val="auto"/>
              </w:rPr>
            </w:pPr>
            <w:r>
              <w:rPr>
                <w:rFonts w:ascii="Arial" w:cs="Arial" w:eastAsia="Arial" w:hAnsi="Arial"/>
                <w:sz w:val="13"/>
                <w:szCs w:val="13"/>
                <w:b w:val="1"/>
                <w:bCs w:val="1"/>
                <w:color w:val="auto"/>
              </w:rPr>
              <w:t>2024</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0" w:type="dxa"/>
            <w:vAlign w:val="bottom"/>
          </w:tcPr>
          <w:p>
            <w:pPr>
              <w:jc w:val="center"/>
              <w:ind w:right="97"/>
              <w:spacing w:after="0" w:line="124" w:lineRule="exact"/>
              <w:rPr>
                <w:sz w:val="20"/>
                <w:szCs w:val="20"/>
                <w:color w:val="auto"/>
              </w:rPr>
            </w:pPr>
            <w:r>
              <w:rPr>
                <w:rFonts w:ascii="Arial" w:cs="Arial" w:eastAsia="Arial" w:hAnsi="Arial"/>
                <w:sz w:val="13"/>
                <w:szCs w:val="13"/>
                <w:b w:val="1"/>
                <w:bCs w:val="1"/>
                <w:color w:val="auto"/>
                <w:w w:val="96"/>
              </w:rPr>
              <w:t>Percentage</w:t>
            </w:r>
          </w:p>
        </w:tc>
        <w:tc>
          <w:tcPr>
            <w:tcW w:w="1840" w:type="dxa"/>
            <w:vAlign w:val="bottom"/>
            <w:vMerge w:val="restart"/>
          </w:tcPr>
          <w:p>
            <w:pPr>
              <w:jc w:val="right"/>
              <w:ind w:right="797"/>
              <w:spacing w:after="0"/>
              <w:rPr>
                <w:sz w:val="20"/>
                <w:szCs w:val="20"/>
                <w:color w:val="auto"/>
              </w:rPr>
            </w:pPr>
            <w:r>
              <w:rPr>
                <w:rFonts w:ascii="Arial" w:cs="Arial" w:eastAsia="Arial" w:hAnsi="Arial"/>
                <w:sz w:val="13"/>
                <w:szCs w:val="13"/>
                <w:b w:val="1"/>
                <w:bCs w:val="1"/>
                <w:color w:val="auto"/>
              </w:rPr>
              <w:t>2024</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0"/>
                <w:szCs w:val="10"/>
                <w:color w:val="auto"/>
              </w:rPr>
            </w:pPr>
          </w:p>
        </w:tc>
        <w:tc>
          <w:tcPr>
            <w:tcW w:w="860" w:type="dxa"/>
            <w:vAlign w:val="bottom"/>
          </w:tcPr>
          <w:p>
            <w:pPr>
              <w:jc w:val="center"/>
              <w:ind w:left="117"/>
              <w:spacing w:after="0" w:line="124"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-200025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-200025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p>
      <w:pPr>
        <w:jc w:val="center"/>
        <w:ind w:left="3500"/>
        <w:spacing w:after="0"/>
        <w:rPr>
          <w:sz w:val="20"/>
          <w:szCs w:val="20"/>
          <w:color w:val="auto"/>
        </w:rPr>
      </w:pPr>
      <w:r>
        <w:rPr>
          <w:rFonts w:ascii="Arial" w:cs="Arial" w:eastAsia="Arial" w:hAnsi="Arial"/>
          <w:sz w:val="12"/>
          <w:szCs w:val="12"/>
          <w:color w:val="auto"/>
        </w:rPr>
        <w:t>(in thousands, except per MSF</w:t>
      </w:r>
    </w:p>
    <w:p>
      <w:pPr>
        <w:jc w:val="center"/>
        <w:ind w:left="354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Arial" w:cs="Arial" w:eastAsia="Arial" w:hAnsi="Arial"/>
          <w:sz w:val="12"/>
          <w:szCs w:val="12"/>
          <w:color w:val="auto"/>
        </w:rPr>
        <w:t>(in thousands, except per MSF</w:t>
      </w:r>
    </w:p>
    <w:p>
      <w:pPr>
        <w:jc w:val="center"/>
        <w:ind w:right="1480"/>
        <w:spacing w:after="0"/>
        <w:rPr>
          <w:sz w:val="20"/>
          <w:szCs w:val="20"/>
          <w:color w:val="auto"/>
        </w:rPr>
      </w:pPr>
      <w:r>
        <w:rPr>
          <w:rFonts w:ascii="Arial" w:cs="Arial" w:eastAsia="Arial" w:hAnsi="Arial"/>
          <w:sz w:val="13"/>
          <w:szCs w:val="13"/>
          <w:color w:val="auto"/>
        </w:rPr>
        <w:t>information)</w:t>
      </w:r>
    </w:p>
    <w:p>
      <w:pPr>
        <w:spacing w:after="0" w:line="24" w:lineRule="exact"/>
        <w:rPr>
          <w:sz w:val="20"/>
          <w:szCs w:val="20"/>
          <w:color w:val="auto"/>
        </w:rPr>
      </w:pPr>
    </w:p>
    <w:p>
      <w:pPr>
        <w:sectPr>
          <w:pgSz w:w="11900" w:h="16838" w:orient="portrait"/>
          <w:cols w:equalWidth="0" w:num="2">
            <w:col w:w="7380" w:space="720"/>
            <w:col w:w="3240"/>
          </w:cols>
          <w:pgMar w:left="320" w:top="1331" w:right="2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3860" w:type="dxa"/>
            <w:vAlign w:val="bottom"/>
            <w:shd w:val="clear" w:color="auto" w:fill="17385E"/>
          </w:tcPr>
          <w:p>
            <w:pPr>
              <w:spacing w:after="0" w:line="20" w:lineRule="exact"/>
              <w:rPr>
                <w:sz w:val="1"/>
                <w:szCs w:val="1"/>
                <w:color w:val="auto"/>
              </w:rPr>
            </w:pPr>
          </w:p>
        </w:tc>
        <w:tc>
          <w:tcPr>
            <w:tcW w:w="740" w:type="dxa"/>
            <w:vAlign w:val="bottom"/>
            <w:shd w:val="clear" w:color="auto" w:fill="17385E"/>
          </w:tcPr>
          <w:p>
            <w:pPr>
              <w:spacing w:after="0" w:line="20" w:lineRule="exact"/>
              <w:rPr>
                <w:sz w:val="1"/>
                <w:szCs w:val="1"/>
                <w:color w:val="auto"/>
              </w:rPr>
            </w:pPr>
          </w:p>
        </w:tc>
        <w:tc>
          <w:tcPr>
            <w:tcW w:w="760" w:type="dxa"/>
            <w:vAlign w:val="bottom"/>
            <w:shd w:val="clear" w:color="auto" w:fill="17385E"/>
          </w:tcPr>
          <w:p>
            <w:pPr>
              <w:spacing w:after="0" w:line="20" w:lineRule="exact"/>
              <w:rPr>
                <w:sz w:val="1"/>
                <w:szCs w:val="1"/>
                <w:color w:val="auto"/>
              </w:rPr>
            </w:pPr>
          </w:p>
        </w:tc>
        <w:tc>
          <w:tcPr>
            <w:tcW w:w="120" w:type="dxa"/>
            <w:vAlign w:val="bottom"/>
            <w:shd w:val="clear" w:color="auto" w:fill="17385E"/>
          </w:tcPr>
          <w:p>
            <w:pPr>
              <w:spacing w:after="0" w:line="20" w:lineRule="exact"/>
              <w:rPr>
                <w:sz w:val="1"/>
                <w:szCs w:val="1"/>
                <w:color w:val="auto"/>
              </w:rPr>
            </w:pPr>
          </w:p>
        </w:tc>
        <w:tc>
          <w:tcPr>
            <w:tcW w:w="360" w:type="dxa"/>
            <w:vAlign w:val="bottom"/>
            <w:shd w:val="clear" w:color="auto" w:fill="17385E"/>
          </w:tcPr>
          <w:p>
            <w:pPr>
              <w:spacing w:after="0" w:line="20" w:lineRule="exact"/>
              <w:rPr>
                <w:sz w:val="1"/>
                <w:szCs w:val="1"/>
                <w:color w:val="auto"/>
              </w:rPr>
            </w:pPr>
          </w:p>
        </w:tc>
        <w:tc>
          <w:tcPr>
            <w:tcW w:w="740" w:type="dxa"/>
            <w:vAlign w:val="bottom"/>
            <w:shd w:val="clear" w:color="auto" w:fill="17385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1738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17385E"/>
          </w:tcPr>
          <w:p>
            <w:pPr>
              <w:spacing w:after="0" w:line="20" w:lineRule="exact"/>
              <w:rPr>
                <w:sz w:val="1"/>
                <w:szCs w:val="1"/>
                <w:color w:val="auto"/>
              </w:rPr>
            </w:pPr>
          </w:p>
        </w:tc>
        <w:tc>
          <w:tcPr>
            <w:tcW w:w="760" w:type="dxa"/>
            <w:vAlign w:val="bottom"/>
            <w:shd w:val="clear" w:color="auto" w:fill="17385E"/>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340" w:type="dxa"/>
            <w:vAlign w:val="bottom"/>
            <w:shd w:val="clear" w:color="auto" w:fill="17385E"/>
          </w:tcPr>
          <w:p>
            <w:pPr>
              <w:spacing w:after="0" w:line="20" w:lineRule="exact"/>
              <w:rPr>
                <w:sz w:val="1"/>
                <w:szCs w:val="1"/>
                <w:color w:val="auto"/>
              </w:rPr>
            </w:pPr>
          </w:p>
        </w:tc>
        <w:tc>
          <w:tcPr>
            <w:tcW w:w="720" w:type="dxa"/>
            <w:vAlign w:val="bottom"/>
            <w:shd w:val="clear" w:color="auto" w:fill="1738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17385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004483"/>
              </w:rPr>
              <w:t>Revenue</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214,975</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209,233</w:t>
            </w:r>
          </w:p>
        </w:tc>
        <w:tc>
          <w:tcPr>
            <w:tcW w:w="12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3 % $</w:t>
            </w:r>
          </w:p>
        </w:tc>
        <w:tc>
          <w:tcPr>
            <w:tcW w:w="760" w:type="dxa"/>
            <w:vAlign w:val="bottom"/>
          </w:tcPr>
          <w:p>
            <w:pPr>
              <w:jc w:val="right"/>
              <w:spacing w:after="0"/>
              <w:rPr>
                <w:sz w:val="20"/>
                <w:szCs w:val="20"/>
                <w:color w:val="auto"/>
              </w:rPr>
            </w:pPr>
            <w:r>
              <w:rPr>
                <w:rFonts w:ascii="Arial" w:cs="Arial" w:eastAsia="Arial" w:hAnsi="Arial"/>
                <w:sz w:val="16"/>
                <w:szCs w:val="16"/>
                <w:color w:val="auto"/>
              </w:rPr>
              <w:t>432,801</w:t>
            </w:r>
          </w:p>
        </w:tc>
        <w:tc>
          <w:tcPr>
            <w:tcW w:w="1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428,330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0"/>
        </w:trPr>
        <w:tc>
          <w:tcPr>
            <w:tcW w:w="38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gridSpan w:val="2"/>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(36,862</w:t>
            </w:r>
          </w:p>
        </w:tc>
        <w:tc>
          <w:tcPr>
            <w:tcW w:w="120" w:type="dxa"/>
            <w:vAlign w:val="bottom"/>
            <w:vMerge w:val="continue"/>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(37,802</w:t>
            </w:r>
          </w:p>
        </w:tc>
        <w:tc>
          <w:tcPr>
            <w:tcW w:w="12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460" w:type="dxa"/>
            <w:vAlign w:val="bottom"/>
            <w:gridSpan w:val="2"/>
          </w:tcPr>
          <w:p>
            <w:pPr>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(73,347</w:t>
            </w:r>
          </w:p>
        </w:tc>
        <w:tc>
          <w:tcPr>
            <w:tcW w:w="100" w:type="dxa"/>
            <w:vAlign w:val="bottom"/>
            <w:vMerge w:val="continue"/>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(76,410</w:t>
            </w:r>
          </w:p>
        </w:tc>
        <w:tc>
          <w:tcPr>
            <w:tcW w:w="10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236.88</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233.69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gridSpan w:val="2"/>
          </w:tcPr>
          <w:p>
            <w:pPr>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238.16</w:t>
            </w:r>
          </w:p>
        </w:tc>
        <w:tc>
          <w:tcPr>
            <w:tcW w:w="1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235.20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49.02</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gridSpan w:val="2"/>
          </w:tcPr>
          <w:p>
            <w:pPr>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51.08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119.87</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116.92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gridSpan w:val="2"/>
          </w:tcPr>
          <w:p>
            <w:pPr>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122.01</w:t>
            </w:r>
          </w:p>
        </w:tc>
        <w:tc>
          <w:tcPr>
            <w:tcW w:w="1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118.02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90,141</w:t>
            </w:r>
          </w:p>
        </w:tc>
        <w:tc>
          <w:tcPr>
            <w:tcW w:w="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85,705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gridSpan w:val="2"/>
          </w:tcPr>
          <w:p>
            <w:pPr>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184,117</w:t>
            </w:r>
          </w:p>
        </w:tc>
        <w:tc>
          <w:tcPr>
            <w:tcW w:w="10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176,562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Gypsum Wallboard Revenue was $215.0 million, a 3% increase for the three months ended September 30, 2024. The increase was primarily due to higher gross sales prices and Sales Volume, which increased Revenue by $0.4 million and $5.4 million, respectively. Our market share remained relatively consistent during the three months ended September 30, 2024.</w:t>
      </w:r>
    </w:p>
    <w:p>
      <w:pPr>
        <w:spacing w:after="0" w:line="6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Operating Earnings increased 5% to $90.1 million, due to $0.4 million of higher gross sales prices, a $2.2 million increase in Sales Volume, and a decrease of $ 1.9 million in operating costs. Lower operating costs were primarily related to freight and energy, which increased Operating Earnings by approximately $0.9 million and $ 1.4 million, respectively. Operating Margin increased to 42% for the three months ended September 30, 2024, primarily because of lower operating costs and higher gross sales prices. Fixed costs are not a significant portion of the overall cost of wallboard; therefore, changes in utilization have a relatively minor impact on our operating cost per unit.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2024</w:t>
      </w:r>
    </w:p>
    <w:p>
      <w:pPr>
        <w:spacing w:after="0" w:line="102"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Gypsum Wallboard Revenue was $432.8 million, a 1% increase for the six months ended September 30, 2024. The increase was primarily due to increased gross sales prices and Sales Volume, which positively affected Revenue by $0.7 million and $3.8 million, respectively. Our market share remained relatively consistent during the three months ended September 30, 2024.</w:t>
      </w:r>
    </w:p>
    <w:p>
      <w:pPr>
        <w:spacing w:after="0" w:line="61"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Operating Earnings increased 4% to $184.1 million, primarily because of $0.7 million higher gross sales prices, a $1.5 million increase in Sales Volume, and a $5.3 million decrease in operating costs. Lower operating costs were primarily related to freight and energy, which increased Operating Earnings by approximately $3.0 million and $2.5 million, respectively. Operating Margin increased to 43% for the six months ended September 30, 2024, primarily because of higher gross sales prices and lower operating expenses.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RECYCLED PAPERBOARD</w:t>
      </w:r>
    </w:p>
    <w:tbl>
      <w:tblPr>
        <w:tblLayout w:type="fixed"/>
        <w:tblInd w:w="4340" w:type="dxa"/>
        <w:tblCellMar>
          <w:top w:w="0" w:type="dxa"/>
          <w:left w:w="0" w:type="dxa"/>
          <w:bottom w:w="0" w:type="dxa"/>
          <w:right w:w="0" w:type="dxa"/>
        </w:tblCellMar>
      </w:tblPr>
      <w:tr>
        <w:trPr>
          <w:trHeight w:val="145"/>
        </w:trPr>
        <w:tc>
          <w:tcPr>
            <w:tcW w:w="2360" w:type="dxa"/>
            <w:vAlign w:val="bottom"/>
            <w:gridSpan w:val="3"/>
            <w:shd w:val="clear" w:color="auto" w:fill="004483"/>
          </w:tcPr>
          <w:p>
            <w:pPr>
              <w:jc w:val="center"/>
              <w:ind w:right="140"/>
              <w:spacing w:after="0" w:line="145" w:lineRule="exact"/>
              <w:rPr>
                <w:sz w:val="20"/>
                <w:szCs w:val="20"/>
                <w:color w:val="auto"/>
              </w:rPr>
            </w:pPr>
            <w:r>
              <w:rPr>
                <w:rFonts w:ascii="Arial" w:cs="Arial" w:eastAsia="Arial" w:hAnsi="Arial"/>
                <w:sz w:val="13"/>
                <w:szCs w:val="13"/>
                <w:b w:val="1"/>
                <w:bCs w:val="1"/>
                <w:color w:val="FFFFFF"/>
                <w:w w:val="96"/>
              </w:rPr>
              <w:t>For the Three Months Ended</w:t>
            </w:r>
          </w:p>
        </w:tc>
        <w:tc>
          <w:tcPr>
            <w:tcW w:w="1200" w:type="dxa"/>
            <w:vAlign w:val="bottom"/>
          </w:tcPr>
          <w:p>
            <w:pPr>
              <w:spacing w:after="0"/>
              <w:rPr>
                <w:sz w:val="12"/>
                <w:szCs w:val="12"/>
                <w:color w:val="auto"/>
              </w:rPr>
            </w:pPr>
          </w:p>
        </w:tc>
        <w:tc>
          <w:tcPr>
            <w:tcW w:w="1840" w:type="dxa"/>
            <w:vAlign w:val="bottom"/>
            <w:shd w:val="clear" w:color="auto" w:fill="004483"/>
          </w:tcPr>
          <w:p>
            <w:pPr>
              <w:jc w:val="center"/>
              <w:ind w:left="217"/>
              <w:spacing w:after="0" w:line="145" w:lineRule="exact"/>
              <w:rPr>
                <w:sz w:val="20"/>
                <w:szCs w:val="20"/>
                <w:color w:val="auto"/>
              </w:rPr>
            </w:pPr>
            <w:r>
              <w:rPr>
                <w:rFonts w:ascii="Arial" w:cs="Arial" w:eastAsia="Arial" w:hAnsi="Arial"/>
                <w:sz w:val="13"/>
                <w:szCs w:val="13"/>
                <w:b w:val="1"/>
                <w:bCs w:val="1"/>
                <w:color w:val="FFFFFF"/>
                <w:w w:val="97"/>
              </w:rPr>
              <w:t>For the Six Months Ended</w:t>
            </w:r>
          </w:p>
        </w:tc>
        <w:tc>
          <w:tcPr>
            <w:tcW w:w="320" w:type="dxa"/>
            <w:vAlign w:val="bottom"/>
            <w:shd w:val="clear" w:color="auto" w:fill="004483"/>
          </w:tcPr>
          <w:p>
            <w:pPr>
              <w:spacing w:after="0"/>
              <w:rPr>
                <w:sz w:val="12"/>
                <w:szCs w:val="12"/>
                <w:color w:val="auto"/>
              </w:rPr>
            </w:pPr>
          </w:p>
        </w:tc>
        <w:tc>
          <w:tcPr>
            <w:tcW w:w="100" w:type="dxa"/>
            <w:vAlign w:val="bottom"/>
            <w:shd w:val="clear" w:color="auto" w:fill="004483"/>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760" w:type="dxa"/>
            <w:vAlign w:val="bottom"/>
            <w:tcBorders>
              <w:bottom w:val="single" w:sz="8" w:color="auto"/>
            </w:tcBorders>
            <w:shd w:val="clear" w:color="auto" w:fill="004483"/>
          </w:tcPr>
          <w:p>
            <w:pPr>
              <w:jc w:val="center"/>
              <w:ind w:left="437"/>
              <w:spacing w:after="0"/>
              <w:rPr>
                <w:sz w:val="20"/>
                <w:szCs w:val="20"/>
                <w:color w:val="auto"/>
              </w:rPr>
            </w:pPr>
            <w:r>
              <w:rPr>
                <w:rFonts w:ascii="Arial" w:cs="Arial" w:eastAsia="Arial" w:hAnsi="Arial"/>
                <w:sz w:val="13"/>
                <w:szCs w:val="13"/>
                <w:b w:val="1"/>
                <w:bCs w:val="1"/>
                <w:color w:val="FFFFFF"/>
                <w:w w:val="96"/>
              </w:rPr>
              <w:t>September 30,</w:t>
            </w:r>
          </w:p>
        </w:tc>
        <w:tc>
          <w:tcPr>
            <w:tcW w:w="480" w:type="dxa"/>
            <w:vAlign w:val="bottom"/>
            <w:tcBorders>
              <w:bottom w:val="single" w:sz="8" w:color="auto"/>
            </w:tcBorders>
            <w:shd w:val="clear" w:color="auto" w:fill="004483"/>
          </w:tcPr>
          <w:p>
            <w:pPr>
              <w:spacing w:after="0"/>
              <w:rPr>
                <w:sz w:val="14"/>
                <w:szCs w:val="14"/>
                <w:color w:val="auto"/>
              </w:rPr>
            </w:pPr>
          </w:p>
        </w:tc>
        <w:tc>
          <w:tcPr>
            <w:tcW w:w="120" w:type="dxa"/>
            <w:vAlign w:val="bottom"/>
            <w:tcBorders>
              <w:bottom w:val="single" w:sz="8" w:color="004483"/>
            </w:tcBorders>
            <w:shd w:val="clear" w:color="auto" w:fill="004483"/>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Borders>
              <w:bottom w:val="single" w:sz="8" w:color="auto"/>
            </w:tcBorders>
            <w:shd w:val="clear" w:color="auto" w:fill="004483"/>
          </w:tcPr>
          <w:p>
            <w:pPr>
              <w:jc w:val="center"/>
              <w:ind w:left="237"/>
              <w:spacing w:after="0"/>
              <w:rPr>
                <w:sz w:val="20"/>
                <w:szCs w:val="20"/>
                <w:color w:val="auto"/>
              </w:rPr>
            </w:pPr>
            <w:r>
              <w:rPr>
                <w:rFonts w:ascii="Arial" w:cs="Arial" w:eastAsia="Arial" w:hAnsi="Arial"/>
                <w:sz w:val="13"/>
                <w:szCs w:val="13"/>
                <w:b w:val="1"/>
                <w:bCs w:val="1"/>
                <w:color w:val="FFFFFF"/>
                <w:w w:val="96"/>
              </w:rPr>
              <w:t>September 30,</w:t>
            </w:r>
          </w:p>
        </w:tc>
        <w:tc>
          <w:tcPr>
            <w:tcW w:w="320" w:type="dxa"/>
            <w:vAlign w:val="bottom"/>
            <w:tcBorders>
              <w:bottom w:val="single" w:sz="8" w:color="auto"/>
            </w:tcBorders>
            <w:shd w:val="clear" w:color="auto" w:fill="004483"/>
          </w:tcPr>
          <w:p>
            <w:pPr>
              <w:spacing w:after="0"/>
              <w:rPr>
                <w:sz w:val="14"/>
                <w:szCs w:val="14"/>
                <w:color w:val="auto"/>
              </w:rPr>
            </w:pPr>
          </w:p>
        </w:tc>
        <w:tc>
          <w:tcPr>
            <w:tcW w:w="100" w:type="dxa"/>
            <w:vAlign w:val="bottom"/>
            <w:tcBorders>
              <w:bottom w:val="single" w:sz="8" w:color="004483"/>
            </w:tcBorders>
            <w:shd w:val="clear" w:color="auto" w:fill="004483"/>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jc w:val="right"/>
              <w:ind w:right="677"/>
              <w:spacing w:after="0"/>
              <w:rPr>
                <w:sz w:val="20"/>
                <w:szCs w:val="20"/>
                <w:color w:val="auto"/>
              </w:rPr>
            </w:pPr>
            <w:r>
              <w:rPr>
                <w:rFonts w:ascii="Arial" w:cs="Arial" w:eastAsia="Arial" w:hAnsi="Arial"/>
                <w:sz w:val="13"/>
                <w:szCs w:val="13"/>
                <w:b w:val="1"/>
                <w:bCs w:val="1"/>
                <w:color w:val="auto"/>
              </w:rPr>
              <w:t>2024</w:t>
            </w: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0"/>
                <w:szCs w:val="10"/>
                <w:color w:val="auto"/>
              </w:rPr>
            </w:pPr>
          </w:p>
        </w:tc>
        <w:tc>
          <w:tcPr>
            <w:tcW w:w="1200" w:type="dxa"/>
            <w:vAlign w:val="bottom"/>
          </w:tcPr>
          <w:p>
            <w:pPr>
              <w:jc w:val="center"/>
              <w:ind w:right="97"/>
              <w:spacing w:after="0" w:line="124" w:lineRule="exact"/>
              <w:rPr>
                <w:sz w:val="20"/>
                <w:szCs w:val="20"/>
                <w:color w:val="auto"/>
              </w:rPr>
            </w:pPr>
            <w:r>
              <w:rPr>
                <w:rFonts w:ascii="Arial" w:cs="Arial" w:eastAsia="Arial" w:hAnsi="Arial"/>
                <w:sz w:val="13"/>
                <w:szCs w:val="13"/>
                <w:b w:val="1"/>
                <w:bCs w:val="1"/>
                <w:color w:val="auto"/>
                <w:w w:val="96"/>
              </w:rPr>
              <w:t>Percentage</w:t>
            </w:r>
          </w:p>
        </w:tc>
        <w:tc>
          <w:tcPr>
            <w:tcW w:w="1840" w:type="dxa"/>
            <w:vAlign w:val="bottom"/>
            <w:vMerge w:val="restart"/>
          </w:tcPr>
          <w:p>
            <w:pPr>
              <w:jc w:val="right"/>
              <w:ind w:right="797"/>
              <w:spacing w:after="0"/>
              <w:rPr>
                <w:sz w:val="20"/>
                <w:szCs w:val="20"/>
                <w:color w:val="auto"/>
              </w:rPr>
            </w:pPr>
            <w:r>
              <w:rPr>
                <w:rFonts w:ascii="Arial" w:cs="Arial" w:eastAsia="Arial" w:hAnsi="Arial"/>
                <w:sz w:val="13"/>
                <w:szCs w:val="13"/>
                <w:b w:val="1"/>
                <w:bCs w:val="1"/>
                <w:color w:val="auto"/>
              </w:rPr>
              <w:t>2024</w:t>
            </w:r>
          </w:p>
        </w:tc>
        <w:tc>
          <w:tcPr>
            <w:tcW w:w="3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0"/>
                <w:szCs w:val="10"/>
                <w:color w:val="auto"/>
              </w:rPr>
            </w:pPr>
          </w:p>
        </w:tc>
        <w:tc>
          <w:tcPr>
            <w:tcW w:w="860" w:type="dxa"/>
            <w:vAlign w:val="bottom"/>
          </w:tcPr>
          <w:p>
            <w:pPr>
              <w:jc w:val="center"/>
              <w:ind w:left="117"/>
              <w:spacing w:after="0" w:line="124"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Change</w:t>
            </w:r>
          </w:p>
        </w:tc>
        <w:tc>
          <w:tcPr>
            <w:tcW w:w="18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-200025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-200025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80"/>
          </w:cols>
          <w:pgMar w:left="320" w:top="1336" w:right="299" w:bottom="1440" w:gutter="0" w:footer="0" w:header="0"/>
        </w:sectPr>
      </w:pPr>
    </w:p>
    <w:p>
      <w:pPr>
        <w:jc w:val="center"/>
        <w:ind w:left="3480"/>
        <w:spacing w:after="0"/>
        <w:rPr>
          <w:sz w:val="20"/>
          <w:szCs w:val="20"/>
          <w:color w:val="auto"/>
        </w:rPr>
      </w:pPr>
      <w:r>
        <w:rPr>
          <w:rFonts w:ascii="Arial" w:cs="Arial" w:eastAsia="Arial" w:hAnsi="Arial"/>
          <w:sz w:val="12"/>
          <w:szCs w:val="12"/>
          <w:color w:val="auto"/>
        </w:rPr>
        <w:t>(in thousands, except per ton</w:t>
      </w:r>
    </w:p>
    <w:p>
      <w:pPr>
        <w:jc w:val="center"/>
        <w:ind w:left="350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520"/>
        <w:spacing w:after="0"/>
        <w:rPr>
          <w:sz w:val="20"/>
          <w:szCs w:val="20"/>
          <w:color w:val="auto"/>
        </w:rPr>
      </w:pPr>
      <w:r>
        <w:rPr>
          <w:rFonts w:ascii="Arial" w:cs="Arial" w:eastAsia="Arial" w:hAnsi="Arial"/>
          <w:sz w:val="12"/>
          <w:szCs w:val="12"/>
          <w:color w:val="auto"/>
        </w:rPr>
        <w:t>(in thousands, except per ton</w:t>
      </w:r>
    </w:p>
    <w:p>
      <w:pPr>
        <w:jc w:val="center"/>
        <w:ind w:right="1480"/>
        <w:spacing w:after="0"/>
        <w:rPr>
          <w:sz w:val="20"/>
          <w:szCs w:val="20"/>
          <w:color w:val="auto"/>
        </w:rPr>
      </w:pPr>
      <w:r>
        <w:rPr>
          <w:rFonts w:ascii="Arial" w:cs="Arial" w:eastAsia="Arial" w:hAnsi="Arial"/>
          <w:sz w:val="13"/>
          <w:szCs w:val="13"/>
          <w:color w:val="auto"/>
        </w:rPr>
        <w:t>information)</w:t>
      </w:r>
    </w:p>
    <w:p>
      <w:pPr>
        <w:spacing w:after="0" w:line="24" w:lineRule="exact"/>
        <w:rPr>
          <w:sz w:val="20"/>
          <w:szCs w:val="20"/>
          <w:color w:val="auto"/>
        </w:rPr>
      </w:pPr>
    </w:p>
    <w:p>
      <w:pPr>
        <w:sectPr>
          <w:pgSz w:w="11900" w:h="16838" w:orient="portrait"/>
          <w:cols w:equalWidth="0" w:num="2">
            <w:col w:w="7420" w:space="720"/>
            <w:col w:w="3140"/>
          </w:cols>
          <w:pgMar w:left="320" w:top="1336" w:right="29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4340" w:type="dxa"/>
            <w:vAlign w:val="bottom"/>
            <w:shd w:val="clear" w:color="auto" w:fill="17385E"/>
          </w:tcPr>
          <w:p>
            <w:pPr>
              <w:spacing w:after="0" w:line="20" w:lineRule="exact"/>
              <w:rPr>
                <w:sz w:val="1"/>
                <w:szCs w:val="1"/>
                <w:color w:val="auto"/>
              </w:rPr>
            </w:pPr>
          </w:p>
        </w:tc>
        <w:tc>
          <w:tcPr>
            <w:tcW w:w="280" w:type="dxa"/>
            <w:vAlign w:val="bottom"/>
            <w:shd w:val="clear" w:color="auto" w:fill="17385E"/>
          </w:tcPr>
          <w:p>
            <w:pPr>
              <w:spacing w:after="0" w:line="20" w:lineRule="exact"/>
              <w:rPr>
                <w:sz w:val="1"/>
                <w:szCs w:val="1"/>
                <w:color w:val="auto"/>
              </w:rPr>
            </w:pPr>
          </w:p>
        </w:tc>
        <w:tc>
          <w:tcPr>
            <w:tcW w:w="740" w:type="dxa"/>
            <w:vAlign w:val="bottom"/>
            <w:shd w:val="clear" w:color="auto" w:fill="17385E"/>
          </w:tcPr>
          <w:p>
            <w:pPr>
              <w:spacing w:after="0" w:line="20" w:lineRule="exact"/>
              <w:rPr>
                <w:sz w:val="1"/>
                <w:szCs w:val="1"/>
                <w:color w:val="auto"/>
              </w:rPr>
            </w:pPr>
          </w:p>
        </w:tc>
        <w:tc>
          <w:tcPr>
            <w:tcW w:w="120" w:type="dxa"/>
            <w:vAlign w:val="bottom"/>
            <w:shd w:val="clear" w:color="auto" w:fill="17385E"/>
          </w:tcPr>
          <w:p>
            <w:pPr>
              <w:spacing w:after="0" w:line="20" w:lineRule="exact"/>
              <w:rPr>
                <w:sz w:val="1"/>
                <w:szCs w:val="1"/>
                <w:color w:val="auto"/>
              </w:rPr>
            </w:pPr>
          </w:p>
        </w:tc>
        <w:tc>
          <w:tcPr>
            <w:tcW w:w="140" w:type="dxa"/>
            <w:vAlign w:val="bottom"/>
            <w:shd w:val="clear" w:color="auto" w:fill="17385E"/>
          </w:tcPr>
          <w:p>
            <w:pPr>
              <w:spacing w:after="0" w:line="20" w:lineRule="exact"/>
              <w:rPr>
                <w:sz w:val="1"/>
                <w:szCs w:val="1"/>
                <w:color w:val="auto"/>
              </w:rPr>
            </w:pPr>
          </w:p>
        </w:tc>
        <w:tc>
          <w:tcPr>
            <w:tcW w:w="240" w:type="dxa"/>
            <w:vAlign w:val="bottom"/>
            <w:shd w:val="clear" w:color="auto" w:fill="17385E"/>
          </w:tcPr>
          <w:p>
            <w:pPr>
              <w:spacing w:after="0" w:line="20" w:lineRule="exact"/>
              <w:rPr>
                <w:sz w:val="1"/>
                <w:szCs w:val="1"/>
                <w:color w:val="auto"/>
              </w:rPr>
            </w:pPr>
          </w:p>
        </w:tc>
        <w:tc>
          <w:tcPr>
            <w:tcW w:w="720" w:type="dxa"/>
            <w:vAlign w:val="bottom"/>
            <w:shd w:val="clear" w:color="auto" w:fill="17385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1738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17385E"/>
          </w:tcPr>
          <w:p>
            <w:pPr>
              <w:spacing w:after="0" w:line="20" w:lineRule="exact"/>
              <w:rPr>
                <w:sz w:val="1"/>
                <w:szCs w:val="1"/>
                <w:color w:val="auto"/>
              </w:rPr>
            </w:pPr>
          </w:p>
        </w:tc>
        <w:tc>
          <w:tcPr>
            <w:tcW w:w="240" w:type="dxa"/>
            <w:vAlign w:val="bottom"/>
            <w:shd w:val="clear" w:color="auto" w:fill="17385E"/>
          </w:tcPr>
          <w:p>
            <w:pPr>
              <w:spacing w:after="0" w:line="20" w:lineRule="exact"/>
              <w:rPr>
                <w:sz w:val="1"/>
                <w:szCs w:val="1"/>
                <w:color w:val="auto"/>
              </w:rPr>
            </w:pPr>
          </w:p>
        </w:tc>
        <w:tc>
          <w:tcPr>
            <w:tcW w:w="760" w:type="dxa"/>
            <w:vAlign w:val="bottom"/>
            <w:shd w:val="clear" w:color="auto" w:fill="17385E"/>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100" w:type="dxa"/>
            <w:vAlign w:val="bottom"/>
            <w:shd w:val="clear" w:color="auto" w:fill="17385E"/>
          </w:tcPr>
          <w:p>
            <w:pPr>
              <w:spacing w:after="0" w:line="20" w:lineRule="exact"/>
              <w:rPr>
                <w:sz w:val="1"/>
                <w:szCs w:val="1"/>
                <w:color w:val="auto"/>
              </w:rPr>
            </w:pPr>
          </w:p>
        </w:tc>
        <w:tc>
          <w:tcPr>
            <w:tcW w:w="240" w:type="dxa"/>
            <w:vAlign w:val="bottom"/>
            <w:shd w:val="clear" w:color="auto" w:fill="17385E"/>
          </w:tcPr>
          <w:p>
            <w:pPr>
              <w:spacing w:after="0" w:line="20" w:lineRule="exact"/>
              <w:rPr>
                <w:sz w:val="1"/>
                <w:szCs w:val="1"/>
                <w:color w:val="auto"/>
              </w:rPr>
            </w:pPr>
          </w:p>
        </w:tc>
        <w:tc>
          <w:tcPr>
            <w:tcW w:w="720" w:type="dxa"/>
            <w:vAlign w:val="bottom"/>
            <w:shd w:val="clear" w:color="auto" w:fill="1738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17385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004483"/>
              </w:rPr>
              <w:t>Revenue, including Intersegment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50,777</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43,016</w:t>
            </w:r>
          </w:p>
        </w:tc>
        <w:tc>
          <w:tcPr>
            <w:tcW w:w="120" w:type="dxa"/>
            <w:vAlign w:val="bottom"/>
          </w:tcPr>
          <w:p>
            <w:pPr>
              <w:spacing w:after="0"/>
              <w:rPr>
                <w:sz w:val="18"/>
                <w:szCs w:val="18"/>
                <w:color w:val="auto"/>
              </w:rPr>
            </w:pPr>
          </w:p>
        </w:tc>
        <w:tc>
          <w:tcPr>
            <w:tcW w:w="1440" w:type="dxa"/>
            <w:vAlign w:val="bottom"/>
            <w:gridSpan w:val="4"/>
          </w:tcPr>
          <w:p>
            <w:pPr>
              <w:jc w:val="right"/>
              <w:ind w:right="59"/>
              <w:spacing w:after="0"/>
              <w:rPr>
                <w:sz w:val="20"/>
                <w:szCs w:val="20"/>
                <w:color w:val="auto"/>
              </w:rPr>
            </w:pPr>
            <w:r>
              <w:rPr>
                <w:rFonts w:ascii="Arial" w:cs="Arial" w:eastAsia="Arial" w:hAnsi="Arial"/>
                <w:sz w:val="16"/>
                <w:szCs w:val="16"/>
                <w:color w:val="auto"/>
              </w:rPr>
              <w:t>18 % $</w:t>
            </w:r>
          </w:p>
        </w:tc>
        <w:tc>
          <w:tcPr>
            <w:tcW w:w="760" w:type="dxa"/>
            <w:vAlign w:val="bottom"/>
          </w:tcPr>
          <w:p>
            <w:pPr>
              <w:jc w:val="right"/>
              <w:spacing w:after="0"/>
              <w:rPr>
                <w:sz w:val="20"/>
                <w:szCs w:val="20"/>
                <w:color w:val="auto"/>
              </w:rPr>
            </w:pPr>
            <w:r>
              <w:rPr>
                <w:rFonts w:ascii="Arial" w:cs="Arial" w:eastAsia="Arial" w:hAnsi="Arial"/>
                <w:sz w:val="16"/>
                <w:szCs w:val="16"/>
                <w:color w:val="auto"/>
              </w:rPr>
              <w:t>105,017</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88,344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43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4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80" w:type="dxa"/>
            <w:vAlign w:val="bottom"/>
            <w:tcBorders>
              <w:bottom w:val="single" w:sz="8" w:color="004483"/>
            </w:tcBorders>
          </w:tcPr>
          <w:p>
            <w:pPr>
              <w:spacing w:after="0"/>
              <w:rPr>
                <w:sz w:val="18"/>
                <w:szCs w:val="18"/>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(21,634</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(18,710</w:t>
            </w:r>
          </w:p>
        </w:tc>
        <w:tc>
          <w:tcPr>
            <w:tcW w:w="120" w:type="dxa"/>
            <w:vAlign w:val="bottom"/>
            <w:vMerge w:val="continue"/>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16 %</w:t>
            </w:r>
          </w:p>
        </w:tc>
        <w:tc>
          <w:tcPr>
            <w:tcW w:w="24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(45,621</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4483"/>
            </w:tcBorders>
          </w:tcPr>
          <w:p>
            <w:pPr>
              <w:spacing w:after="0"/>
              <w:rPr>
                <w:sz w:val="18"/>
                <w:szCs w:val="18"/>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(40,801</w:t>
            </w:r>
          </w:p>
        </w:tc>
        <w:tc>
          <w:tcPr>
            <w:tcW w:w="10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4340" w:type="dxa"/>
            <w:vAlign w:val="bottom"/>
            <w:shd w:val="clear" w:color="auto" w:fill="A6A6A6"/>
          </w:tcPr>
          <w:p>
            <w:pPr>
              <w:spacing w:after="0" w:line="20" w:lineRule="exact"/>
              <w:rPr>
                <w:sz w:val="1"/>
                <w:szCs w:val="1"/>
                <w:color w:val="auto"/>
              </w:rPr>
            </w:pPr>
          </w:p>
        </w:tc>
        <w:tc>
          <w:tcPr>
            <w:tcW w:w="280" w:type="dxa"/>
            <w:vAlign w:val="bottom"/>
            <w:shd w:val="clear" w:color="auto" w:fill="004483"/>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004483"/>
          </w:tcPr>
          <w:p>
            <w:pPr>
              <w:spacing w:after="0" w:line="20" w:lineRule="exact"/>
              <w:rPr>
                <w:sz w:val="1"/>
                <w:szCs w:val="1"/>
                <w:color w:val="auto"/>
              </w:rPr>
            </w:pPr>
          </w:p>
        </w:tc>
        <w:tc>
          <w:tcPr>
            <w:tcW w:w="7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004483"/>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24,306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59,396</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47,543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0"/>
        </w:trPr>
        <w:tc>
          <w:tcPr>
            <w:tcW w:w="434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7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6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6A6A6"/>
              <w:bottom w:val="single" w:sz="8" w:color="A6A6A6"/>
            </w:tcBorders>
          </w:tcPr>
          <w:p>
            <w:pPr>
              <w:spacing w:after="0"/>
              <w:rPr>
                <w:sz w:val="18"/>
                <w:szCs w:val="18"/>
                <w:color w:val="auto"/>
              </w:rPr>
            </w:pPr>
          </w:p>
        </w:tc>
        <w:tc>
          <w:tcPr>
            <w:tcW w:w="240" w:type="dxa"/>
            <w:vAlign w:val="bottom"/>
            <w:tcBorders>
              <w:top w:val="single" w:sz="8" w:color="A6A6A6"/>
              <w:bottom w:val="single" w:sz="8" w:color="A6A6A6"/>
            </w:tcBorders>
          </w:tcPr>
          <w:p>
            <w:pPr>
              <w:spacing w:after="0"/>
              <w:rPr>
                <w:sz w:val="18"/>
                <w:szCs w:val="18"/>
                <w:color w:val="auto"/>
              </w:rPr>
            </w:pPr>
          </w:p>
        </w:tc>
        <w:tc>
          <w:tcPr>
            <w:tcW w:w="72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98"/>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43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10"/>
        </w:trPr>
        <w:tc>
          <w:tcPr>
            <w:tcW w:w="4340" w:type="dxa"/>
            <w:vAlign w:val="bottom"/>
          </w:tcPr>
          <w:p>
            <w:pPr>
              <w:ind w:left="20"/>
              <w:spacing w:after="0" w:line="21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595.19</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542.28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460" w:type="dxa"/>
            <w:vAlign w:val="bottom"/>
            <w:gridSpan w:val="3"/>
          </w:tcPr>
          <w:p>
            <w:pPr>
              <w:jc w:val="right"/>
              <w:ind w:right="59"/>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596.33</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539.35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Operating Margin, per ton</w:t>
            </w:r>
          </w:p>
        </w:tc>
        <w:tc>
          <w:tcPr>
            <w:tcW w:w="280" w:type="dxa"/>
            <w:vAlign w:val="bottom"/>
            <w:tcBorders>
              <w:top w:val="single" w:sz="8" w:color="A6A6A6"/>
              <w:bottom w:val="single" w:sz="8" w:color="A6A6A6"/>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94.60</w:t>
            </w:r>
          </w:p>
        </w:tc>
        <w:tc>
          <w:tcPr>
            <w:tcW w:w="120" w:type="dxa"/>
            <w:vAlign w:val="bottom"/>
          </w:tcPr>
          <w:p>
            <w:pPr>
              <w:spacing w:after="0"/>
              <w:rPr>
                <w:sz w:val="18"/>
                <w:szCs w:val="18"/>
                <w:color w:val="auto"/>
              </w:rPr>
            </w:pPr>
          </w:p>
        </w:tc>
        <w:tc>
          <w:tcPr>
            <w:tcW w:w="380" w:type="dxa"/>
            <w:vAlign w:val="bottom"/>
            <w:tcBorders>
              <w:top w:val="single" w:sz="8" w:color="A6A6A6"/>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94.88</w:t>
            </w:r>
          </w:p>
        </w:tc>
        <w:tc>
          <w:tcPr>
            <w:tcW w:w="12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6A6A6"/>
              <w:bottom w:val="single" w:sz="8" w:color="A6A6A6"/>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8"/>
                <w:szCs w:val="18"/>
                <w:color w:val="auto"/>
              </w:rPr>
            </w:pPr>
          </w:p>
        </w:tc>
        <w:tc>
          <w:tcPr>
            <w:tcW w:w="340" w:type="dxa"/>
            <w:vAlign w:val="bottom"/>
            <w:tcBorders>
              <w:top w:val="single" w:sz="8" w:color="A6A6A6"/>
              <w:bottom w:val="single" w:sz="8" w:color="A6A6A6"/>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90.75</w:t>
            </w:r>
          </w:p>
        </w:tc>
        <w:tc>
          <w:tcPr>
            <w:tcW w:w="100" w:type="dxa"/>
            <w:vAlign w:val="bottom"/>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8,041</w:t>
            </w:r>
          </w:p>
        </w:tc>
        <w:tc>
          <w:tcPr>
            <w:tcW w:w="120" w:type="dxa"/>
            <w:vAlign w:val="bottom"/>
          </w:tcPr>
          <w:p>
            <w:pPr>
              <w:spacing w:after="0"/>
              <w:rPr>
                <w:sz w:val="18"/>
                <w:szCs w:val="18"/>
                <w:color w:val="auto"/>
              </w:rPr>
            </w:pP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7,590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460" w:type="dxa"/>
            <w:vAlign w:val="bottom"/>
            <w:gridSpan w:val="3"/>
          </w:tcPr>
          <w:p>
            <w:pPr>
              <w:jc w:val="right"/>
              <w:ind w:right="59"/>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16,544</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14,792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434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2024</w:t>
      </w:r>
    </w:p>
    <w:p>
      <w:pPr>
        <w:spacing w:after="0" w:line="102"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Recycled Paperboard Revenue increased 18% to $50.8 million during the three months ended September 30, 2024. The increase was due to higher gross sales prices and Sales Volume, which increased Revenue by $4.5 million and $3.3 million, respectively. Higher gross sales prices were related to the pricing provisions in our long-term sales agreements.</w:t>
      </w:r>
    </w:p>
    <w:p>
      <w:pPr>
        <w:spacing w:after="0" w:line="6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Operating Earnings increased 6% to $8.0 million, primarily because of higher gross sales prices and Sales Volume, which increased Operating Earnings by $4.5 million and $0.6 million, respectively. This was partially offset by higher operating costs, which reduced Operating Earnings by approximately $ 4.6 million. The increase in operating costs was primarily related to higher input costs, namely fiber, which reduced Operating Earnings by approximately $5.7 million. This was partially offset by lower energy costs of $1.0 million. The Operating Margin decreased to 16% because of higher operating costs, partially offset by higher gross sales prices. Although the Company has certain pricing provisions in its long-term sales agreements, prices are adjusted only at certain times throughout the year, so price adjustments are not always reflected in the same period as the change in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2024</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Recycled Paperboard Revenue increased 19% to $ 105.0 million during the six months ended September 30, 2024. The increase was due to higher gross sales prices and Sales Volume, which positively affected Revenue by $9.4 million and $7.3 million, respectively. Higher gross sales prices were related to the pricing provisions in our long-term sales agreements.</w:t>
      </w:r>
    </w:p>
    <w:p>
      <w:pPr>
        <w:spacing w:after="0" w:line="6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Operating Earnings increased 12% to $ 16.5 million, primarily because of higher gross sales prices and Sales Volume, which increased Operating Earnings by $9.4 million and $1.2 million, respectively. This was partially offset by higher operating costs, which reduced Operating Earnings by approximately $ 8.9 million. The increase in operating costs was primarily related to higher input costs, namely fiber, which lowered Operating Earnings by approximately $12.5 million. This was partially offset by lower energy, chemicals, and freight costs of $2.0 million, $0.8 million, and $0.6 million, respectively. The Operating Margin decreased to 16% because of higher operating costs, partially offset by higher gross sales prices. Although the Company has certain pricing provisions in its long-term sales agreements, prices are adjusted only at certain times throughout the year, so price adjustments are not always reflected in the same period as the change in costs.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36" w:right="2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alternative policies or estimation techniques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7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three Critical Accounting Policies that are material to our financial statements and that we believe require either the most judgment, or the selection or application of alternative accounting policies,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w:t>
      </w:r>
    </w:p>
    <w:p>
      <w:pPr>
        <w:spacing w:after="0" w:line="6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Information regarding our Critical Accounting Policies and a summary of our significant account policies can be found in our Annual Report, in Note (A) top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0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believe we currently have access to sufficient financial resources from our liquidity sources to fund our business and operations, including contractual obligations, capital expenditures, and debt service obligations for at least the next twelve months. We regularly assess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76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6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760" w:type="dxa"/>
            <w:vAlign w:val="bottom"/>
            <w:tcBorders>
              <w:bottom w:val="single" w:sz="8" w:color="004483"/>
            </w:tcBorders>
            <w:gridSpan w:val="4"/>
          </w:tcPr>
          <w:p>
            <w:pPr>
              <w:jc w:val="right"/>
              <w:ind w:right="55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365,898</w:t>
            </w:r>
          </w:p>
        </w:tc>
        <w:tc>
          <w:tcPr>
            <w:tcW w:w="100" w:type="dxa"/>
            <w:vAlign w:val="bottom"/>
          </w:tcPr>
          <w:p>
            <w:pPr>
              <w:spacing w:after="0"/>
              <w:rPr>
                <w:sz w:val="18"/>
                <w:szCs w:val="18"/>
                <w:color w:val="auto"/>
              </w:rPr>
            </w:pPr>
          </w:p>
        </w:tc>
        <w:tc>
          <w:tcPr>
            <w:tcW w:w="1280" w:type="dxa"/>
            <w:vAlign w:val="bottom"/>
            <w:tcBorders>
              <w:bottom w:val="single" w:sz="8" w:color="A6A6A6"/>
            </w:tcBorders>
            <w:gridSpan w:val="2"/>
          </w:tcPr>
          <w:p>
            <w:pPr>
              <w:jc w:val="right"/>
              <w:ind w:right="9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312,839</w:t>
            </w:r>
          </w:p>
        </w:tc>
        <w:tc>
          <w:tcPr>
            <w:tcW w:w="100" w:type="dxa"/>
            <w:vAlign w:val="bottom"/>
          </w:tcPr>
          <w:p>
            <w:pPr>
              <w:spacing w:after="0"/>
              <w:rPr>
                <w:sz w:val="18"/>
                <w:szCs w:val="18"/>
                <w:color w:val="auto"/>
              </w:rPr>
            </w:pPr>
          </w:p>
        </w:tc>
      </w:tr>
      <w:tr>
        <w:trPr>
          <w:trHeight w:val="230"/>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Borders>
              <w:bottom w:val="single" w:sz="8" w:color="A6A6A6"/>
            </w:tcBorders>
          </w:tcPr>
          <w:p>
            <w:pPr>
              <w:spacing w:after="0"/>
              <w:rPr>
                <w:sz w:val="20"/>
                <w:szCs w:val="20"/>
                <w:color w:val="auto"/>
              </w:rPr>
            </w:pPr>
          </w:p>
        </w:tc>
        <w:tc>
          <w:tcPr>
            <w:tcW w:w="13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(99,605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(65,453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Acquisition Spending</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(24,881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(55,053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(124,486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(120,506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0"/>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Borders>
              <w:bottom w:val="single" w:sz="8" w:color="A6A6A6"/>
            </w:tcBorders>
          </w:tcPr>
          <w:p>
            <w:pPr>
              <w:spacing w:after="0"/>
              <w:rPr>
                <w:sz w:val="20"/>
                <w:szCs w:val="20"/>
                <w:color w:val="auto"/>
              </w:rPr>
            </w:pPr>
          </w:p>
        </w:tc>
        <w:tc>
          <w:tcPr>
            <w:tcW w:w="13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A6A6A6"/>
            </w:tcBorders>
          </w:tcPr>
          <w:p>
            <w:pPr>
              <w:spacing w:after="0"/>
              <w:rPr>
                <w:sz w:val="20"/>
                <w:szCs w:val="20"/>
                <w:color w:val="auto"/>
              </w:rPr>
            </w:pPr>
          </w:p>
        </w:tc>
        <w:tc>
          <w:tcPr>
            <w:tcW w:w="680" w:type="dxa"/>
            <w:vAlign w:val="bottom"/>
            <w:tcBorders>
              <w:bottom w:val="single" w:sz="8" w:color="A6A6A6"/>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(17,908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(146,176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(151,321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11,469</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(2,494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(182,428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A6A6A6"/>
            </w:tcBorders>
          </w:tcPr>
          <w:p>
            <w:pPr>
              <w:spacing w:after="0"/>
              <w:rPr>
                <w:sz w:val="20"/>
                <w:szCs w:val="20"/>
                <w:color w:val="auto"/>
              </w:rPr>
            </w:pPr>
          </w:p>
        </w:tc>
        <w:tc>
          <w:tcPr>
            <w:tcW w:w="1100" w:type="dxa"/>
            <w:vAlign w:val="bottom"/>
            <w:tcBorders>
              <w:bottom w:val="single" w:sz="8" w:color="004483"/>
            </w:tcBorders>
          </w:tcPr>
          <w:p>
            <w:pPr>
              <w:spacing w:after="0"/>
              <w:rPr>
                <w:sz w:val="20"/>
                <w:szCs w:val="20"/>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(160,254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58,984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004483"/>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32,079</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2" w:name="page33"/>
    <w:bookmarkEnd w:id="32"/>
    <w:p>
      <w:pPr>
        <w:ind w:right="60"/>
        <w:spacing w:after="0" w:line="239" w:lineRule="auto"/>
        <w:rPr>
          <w:sz w:val="20"/>
          <w:szCs w:val="20"/>
          <w:color w:val="auto"/>
        </w:rPr>
      </w:pPr>
      <w:r>
        <w:rPr>
          <w:rFonts w:ascii="Arial" w:cs="Arial" w:eastAsia="Arial" w:hAnsi="Arial"/>
          <w:sz w:val="18"/>
          <w:szCs w:val="18"/>
          <w:color w:val="auto"/>
        </w:rPr>
        <w:t>Net Cash Provided by Operating Activities increased by $53.1 million to $365.9 million during the six months ended September 30, 2024. This increase was primarily attributable to higher cash flows related to $59.6 million of changes in working capital which was partially offset by lower Net Earnings, adjusted for approximately $ 1.5 million of non-cash charges and $2.5 million of lower dividends from our Unconsolidated Joint Venture. The increase in cash flows from the changes in working capital was due primarily to the $65.7 million increase in Income Taxes Payable, which resulted from our deferring tax payments for the three and six months ended September 30, 2024. The Internal Revenue Service granted this deferral to individuals and businesses in Texas that were affected by severe storms, straight-line winds, tornadoes, and flooding that began on April 26, 2024, and triggered a Federal Emergency Management Agency disaster declaration. We anticipate making all estimated tax payments, including the deferred amounts, for the nine months ending December 31, 2024, in the fourth quarter of calendar 2024.</w:t>
      </w:r>
    </w:p>
    <w:p>
      <w:pPr>
        <w:spacing w:after="0" w:line="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Working capital increased by $29.9 million to $ 418.2 million at September 30, 2024, compared with March 31, 2024. The increase was due to higher Cash, Accounts and Notes Receivable, net, and Prepaid and Other Assets of $59.0 million, $43.3 million, and $6.2 million, respectively. This was partially offset by lower Income Tax Receivable of $7.4 million and higher Income Tax Payable and Accounts Payable and Accrued Liabilities of $5.2 million and $69.5 million, respectively. The August 2024 Acquisition increased working capital by approximately $0.7 million at September 30, 2024.</w:t>
      </w:r>
    </w:p>
    <w:p>
      <w:pPr>
        <w:spacing w:after="0" w:line="6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increase in Accounts Receivable at September 30, 2024, was primarily related to higher Revenue during the three months ended September 30, 2024, compared with the three months ended March 31, 2024. As a percentage of quarterly sales generated for the respective quarter, Accounts Receivable was approximately 40% at September 30, 2024 and 33% at March 31, 2024.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2024.</w:t>
      </w:r>
    </w:p>
    <w:p>
      <w:pPr>
        <w:spacing w:after="0" w:line="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Inventory balance at September 30, 2024, increased by approximately $1.7 million from our balance at March 31, 2024. Excluding the Acquisition, our Inventory balance increased by $1.0 million. Within Inventory, Raw Materials and Materials-in-Progress, Aggregates, Gypsum Wallboard, and Fuel and Coal increased by approximately $2.7 million, $ 2.9 million, $0.8 million, and $3.5 million, respectively. This was partially offset by Finished Cement, Recycled Paperboard, and Repair Parts, which declined $5.7 million, $1.9 million, and $1.2 million, respectively. The decline in Finished Cement is consistent with our business cycle; we generally build up clinker inventory over the winter months to meet the demand for cement in the spring and summer. The decrease in Repair Parts inventory was primarily a result of completing most of our scheduled outages during the first six months of the fiscal year. The largest individual balance in our Inventory is our Repair Parts. The size and complexity of our manufacturing plants, as well as the age of certain of our plants, makes it necessary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7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Net Cash Used in Investing Activities during the six months ended September 30, 2024, was approximately $124.5 million, compared with $120.5 million during the same period in fiscal 2024. The $4.0 million increase was primarily related to the higher capital expenditures, most of which were related to the expansion of our Mountain Cement facility. This was partially offset by the lower purchase price for the fiscal 2025 Acquisition, compared with the acquisition completed in fiscal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approximately $182.4 million during the six months ended September 30, 2024, compared with</w:t>
      </w:r>
    </w:p>
    <w:p>
      <w:pPr>
        <w:spacing w:after="0" w:line="14"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$160.3 million during the six months ended September 30, 2023. The $ 22.1 million increase was primarily related to increased borrowings of $20.0 million, and lower Proceeds from Stock Option Exercises of $ 9.3 million. This was partially offset by lower Purchase and Retirement of Common Stock and Dividends Paid of $5.1 million and $0.9 million.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80"/>
        <w:spacing w:after="0" w:line="271" w:lineRule="auto"/>
        <w:rPr>
          <w:sz w:val="20"/>
          <w:szCs w:val="20"/>
          <w:color w:val="auto"/>
        </w:rPr>
      </w:pPr>
      <w:r>
        <w:rPr>
          <w:rFonts w:ascii="Arial" w:cs="Arial" w:eastAsia="Arial" w:hAnsi="Arial"/>
          <w:sz w:val="18"/>
          <w:szCs w:val="18"/>
          <w:color w:val="auto"/>
        </w:rPr>
        <w:t>Our debt-to -capitalization ratio and net-debt-to-capitalization ratio were 43.1% and 40.8%, respectively, at September 30, 2024, compared with 45.7% and 44.9%, respectively, at March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September 30,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Borders>
              <w:bottom w:val="single" w:sz="8" w:color="004483"/>
            </w:tcBorders>
          </w:tcPr>
          <w:p>
            <w:pPr>
              <w:spacing w:after="0"/>
              <w:rPr>
                <w:sz w:val="16"/>
                <w:szCs w:val="16"/>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15"/>
        </w:trPr>
        <w:tc>
          <w:tcPr>
            <w:tcW w:w="6480" w:type="dxa"/>
            <w:vAlign w:val="bottom"/>
            <w:tcBorders>
              <w:bottom w:val="single" w:sz="8" w:color="A3A3A3"/>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May 2027</w:t>
            </w:r>
          </w:p>
        </w:tc>
      </w:tr>
      <w:tr>
        <w:trPr>
          <w:trHeight w:val="209"/>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210"/>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5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revolving borrowing capacity of our Revolving Credit Facility is $750.0 million (any revolving loans borrowed under the Revolving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as applicable, the Revolving Loans). The Revolving Credit Facility also includes a swingline loan sublimit of $25.0 million, and a</w:t>
      </w:r>
    </w:p>
    <w:p>
      <w:pPr>
        <w:spacing w:after="0" w:line="234" w:lineRule="auto"/>
        <w:rPr>
          <w:sz w:val="20"/>
          <w:szCs w:val="20"/>
          <w:color w:val="auto"/>
        </w:rPr>
      </w:pPr>
      <w:r>
        <w:rPr>
          <w:rFonts w:ascii="Arial" w:cs="Arial" w:eastAsia="Arial" w:hAnsi="Arial"/>
          <w:sz w:val="18"/>
          <w:szCs w:val="18"/>
          <w:color w:val="auto"/>
        </w:rPr>
        <w:t>$40.0 million letter of credit facility. At September 30, 2024 we had $155.0 million outstanding of Revolving Loans under the Revolving Credit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Facility and $10.0 million of outstanding letters of credit, resulting in $585.0 million of available borrowings under the Revolving Credit Facility,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of the outstanding letters of credit. We are contingently liable for performance under $30.0 million in performance bonds relating primarily</w:t>
      </w:r>
    </w:p>
    <w:p>
      <w:pPr>
        <w:spacing w:after="0"/>
        <w:rPr>
          <w:sz w:val="20"/>
          <w:szCs w:val="20"/>
          <w:color w:val="auto"/>
        </w:rPr>
      </w:pPr>
      <w:r>
        <w:rPr>
          <w:rFonts w:ascii="Arial" w:cs="Arial" w:eastAsia="Arial" w:hAnsi="Arial"/>
          <w:sz w:val="18"/>
          <w:szCs w:val="18"/>
          <w:color w:val="auto"/>
        </w:rPr>
        <w:t>to our mining operations. We do not have any off-balance sheet debt, or any outstanding debt guarantees.</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2" w:lineRule="exact"/>
        <w:rPr>
          <w:sz w:val="20"/>
          <w:szCs w:val="20"/>
          <w:color w:val="auto"/>
        </w:rPr>
      </w:pPr>
    </w:p>
    <w:p>
      <w:pPr>
        <w:ind w:right="440"/>
        <w:spacing w:after="0" w:line="24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have approximately $23.7 million of lease liabilities at September 30, 2024, that have an average remaining life of approximately 10.7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Dividends paid were $17.0 million and $17.9 million for the six months ended September 30, 2024 and 2023, respectively. Each quarterly dividend payment is subject to review and approval by our Board of Directors, who will continue to evaluate our dividend payment amount on a quarterly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2024, our share repurchases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 that May</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35"/>
        </w:trPr>
        <w:tc>
          <w:tcPr>
            <w:tcW w:w="5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66"/>
        </w:trPr>
        <w:tc>
          <w:tcPr>
            <w:tcW w:w="5440" w:type="dxa"/>
            <w:vAlign w:val="bottom"/>
            <w:tcBorders>
              <w:bottom w:val="single" w:sz="8" w:color="004483"/>
            </w:tcBorders>
            <w:vMerge w:val="continue"/>
          </w:tcPr>
          <w:p>
            <w:pPr>
              <w:spacing w:after="0"/>
              <w:rPr>
                <w:sz w:val="14"/>
                <w:szCs w:val="14"/>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140" w:type="dxa"/>
            <w:vAlign w:val="bottom"/>
            <w:tcBorders>
              <w:bottom w:val="single" w:sz="8" w:color="004483"/>
            </w:tcBorders>
          </w:tcPr>
          <w:p>
            <w:pPr>
              <w:spacing w:after="0"/>
              <w:rPr>
                <w:sz w:val="14"/>
                <w:szCs w:val="14"/>
                <w:color w:val="auto"/>
              </w:rPr>
            </w:pPr>
          </w:p>
        </w:tc>
        <w:tc>
          <w:tcPr>
            <w:tcW w:w="360" w:type="dxa"/>
            <w:vAlign w:val="bottom"/>
            <w:tcBorders>
              <w:bottom w:val="single" w:sz="8" w:color="004483"/>
            </w:tcBorders>
          </w:tcPr>
          <w:p>
            <w:pPr>
              <w:spacing w:after="0"/>
              <w:rPr>
                <w:sz w:val="14"/>
                <w:szCs w:val="14"/>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00" w:type="dxa"/>
            <w:vAlign w:val="bottom"/>
            <w:tcBorders>
              <w:bottom w:val="single" w:sz="8" w:color="004483"/>
            </w:tcBorders>
          </w:tcPr>
          <w:p>
            <w:pPr>
              <w:spacing w:after="0"/>
              <w:rPr>
                <w:sz w:val="14"/>
                <w:szCs w:val="14"/>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4"/>
                <w:szCs w:val="14"/>
                <w:color w:val="auto"/>
              </w:rPr>
            </w:pPr>
          </w:p>
        </w:tc>
        <w:tc>
          <w:tcPr>
            <w:tcW w:w="120" w:type="dxa"/>
            <w:vAlign w:val="bottom"/>
            <w:tcBorders>
              <w:bottom w:val="single" w:sz="8" w:color="004483"/>
            </w:tcBorders>
          </w:tcPr>
          <w:p>
            <w:pPr>
              <w:spacing w:after="0"/>
              <w:rPr>
                <w:sz w:val="14"/>
                <w:szCs w:val="14"/>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129,067</w:t>
            </w:r>
          </w:p>
        </w:tc>
        <w:tc>
          <w:tcPr>
            <w:tcW w:w="120" w:type="dxa"/>
            <w:vAlign w:val="bottom"/>
          </w:tcPr>
          <w:p>
            <w:pPr>
              <w:spacing w:after="0"/>
              <w:rPr>
                <w:sz w:val="18"/>
                <w:szCs w:val="18"/>
                <w:color w:val="auto"/>
              </w:rPr>
            </w:pPr>
          </w:p>
        </w:tc>
        <w:tc>
          <w:tcPr>
            <w:tcW w:w="500" w:type="dxa"/>
            <w:vAlign w:val="bottom"/>
            <w:tcBorders>
              <w:bottom w:val="single" w:sz="8" w:color="A6A6A6"/>
            </w:tcBorders>
            <w:gridSpan w:val="2"/>
          </w:tcPr>
          <w:p>
            <w:pPr>
              <w:jc w:val="right"/>
              <w:ind w:right="16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256.53</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129,067</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2024</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118,618</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253.81</w:t>
            </w:r>
          </w:p>
        </w:tc>
        <w:tc>
          <w:tcPr>
            <w:tcW w:w="120" w:type="dxa"/>
            <w:vAlign w:val="bottom"/>
          </w:tcPr>
          <w:p>
            <w:pPr>
              <w:spacing w:after="0"/>
              <w:rPr>
                <w:sz w:val="18"/>
                <w:szCs w:val="18"/>
                <w:color w:val="auto"/>
              </w:rPr>
            </w:pPr>
          </w:p>
        </w:tc>
        <w:tc>
          <w:tcPr>
            <w:tcW w:w="13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118,618</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June 1 through June 30, 2024</w:t>
            </w:r>
          </w:p>
        </w:tc>
        <w:tc>
          <w:tcPr>
            <w:tcW w:w="1280" w:type="dxa"/>
            <w:vAlign w:val="bottom"/>
          </w:tcPr>
          <w:p>
            <w:pPr>
              <w:jc w:val="right"/>
              <w:spacing w:after="0"/>
              <w:rPr>
                <w:sz w:val="20"/>
                <w:szCs w:val="20"/>
                <w:color w:val="auto"/>
              </w:rPr>
            </w:pPr>
            <w:r>
              <w:rPr>
                <w:rFonts w:ascii="Arial" w:cs="Arial" w:eastAsia="Arial" w:hAnsi="Arial"/>
                <w:sz w:val="16"/>
                <w:szCs w:val="16"/>
                <w:color w:val="auto"/>
              </w:rPr>
              <w:t>100,048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222.63</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100,048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347,733</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60" w:type="dxa"/>
            <w:vAlign w:val="bottom"/>
            <w:tcBorders>
              <w:top w:val="single" w:sz="8" w:color="004483"/>
              <w:bottom w:val="single" w:sz="8" w:color="004483"/>
            </w:tcBorders>
          </w:tcPr>
          <w:p>
            <w:pPr>
              <w:jc w:val="right"/>
              <w:ind w:right="163"/>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245.85</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347,733</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July 1 through July 31, 2024</w:t>
            </w:r>
          </w:p>
        </w:tc>
        <w:tc>
          <w:tcPr>
            <w:tcW w:w="1280" w:type="dxa"/>
            <w:vAlign w:val="bottom"/>
          </w:tcPr>
          <w:p>
            <w:pPr>
              <w:jc w:val="right"/>
              <w:spacing w:after="0"/>
              <w:rPr>
                <w:sz w:val="20"/>
                <w:szCs w:val="20"/>
                <w:color w:val="auto"/>
              </w:rPr>
            </w:pPr>
            <w:r>
              <w:rPr>
                <w:rFonts w:ascii="Arial" w:cs="Arial" w:eastAsia="Arial" w:hAnsi="Arial"/>
                <w:sz w:val="16"/>
                <w:szCs w:val="16"/>
                <w:color w:val="auto"/>
              </w:rPr>
              <w:t>143,000</w:t>
            </w:r>
          </w:p>
        </w:tc>
        <w:tc>
          <w:tcPr>
            <w:tcW w:w="260" w:type="dxa"/>
            <w:vAlign w:val="bottom"/>
            <w:gridSpan w:val="2"/>
          </w:tcPr>
          <w:p>
            <w:pPr>
              <w:spacing w:after="0"/>
              <w:rPr>
                <w:sz w:val="18"/>
                <w:szCs w:val="18"/>
                <w:color w:val="auto"/>
              </w:rPr>
            </w:pPr>
          </w:p>
        </w:tc>
        <w:tc>
          <w:tcPr>
            <w:tcW w:w="36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225.75</w:t>
            </w:r>
          </w:p>
        </w:tc>
        <w:tc>
          <w:tcPr>
            <w:tcW w:w="220" w:type="dxa"/>
            <w:vAlign w:val="bottom"/>
            <w:gridSpan w:val="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August 1 through August 31, 2024</w:t>
            </w:r>
          </w:p>
        </w:tc>
        <w:tc>
          <w:tcPr>
            <w:tcW w:w="12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360" w:type="dxa"/>
            <w:vAlign w:val="bottom"/>
            <w:tcBorders>
              <w:top w:val="single" w:sz="8" w:color="A6A6A6"/>
              <w:bottom w:val="single" w:sz="8" w:color="A6A6A6"/>
            </w:tcBorders>
          </w:tcPr>
          <w:p>
            <w:pPr>
              <w:spacing w:after="0"/>
              <w:rPr>
                <w:sz w:val="18"/>
                <w:szCs w:val="18"/>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252.44</w:t>
            </w:r>
          </w:p>
        </w:tc>
        <w:tc>
          <w:tcPr>
            <w:tcW w:w="120" w:type="dxa"/>
            <w:vAlign w:val="bottom"/>
          </w:tcPr>
          <w:p>
            <w:pPr>
              <w:spacing w:after="0"/>
              <w:rPr>
                <w:sz w:val="18"/>
                <w:szCs w:val="18"/>
                <w:color w:val="auto"/>
              </w:rPr>
            </w:pPr>
          </w:p>
        </w:tc>
        <w:tc>
          <w:tcPr>
            <w:tcW w:w="134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004483"/>
              </w:rPr>
              <w:t>September 1 through September 30, 2024</w:t>
            </w:r>
          </w:p>
        </w:tc>
        <w:tc>
          <w:tcPr>
            <w:tcW w:w="128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268.40</w:t>
            </w: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2 Totals</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253,000</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60" w:type="dxa"/>
            <w:vAlign w:val="bottom"/>
            <w:tcBorders>
              <w:top w:val="single" w:sz="8" w:color="004483"/>
              <w:bottom w:val="single" w:sz="8" w:color="004483"/>
            </w:tcBorders>
          </w:tcPr>
          <w:p>
            <w:pPr>
              <w:jc w:val="right"/>
              <w:ind w:right="163"/>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239.88</w:t>
            </w:r>
          </w:p>
        </w:tc>
        <w:tc>
          <w:tcPr>
            <w:tcW w:w="120" w:type="dxa"/>
            <w:vAlign w:val="bottom"/>
          </w:tcPr>
          <w:p>
            <w:pPr>
              <w:spacing w:after="0"/>
              <w:rPr>
                <w:sz w:val="18"/>
                <w:szCs w:val="18"/>
                <w:color w:val="auto"/>
              </w:rPr>
            </w:pPr>
          </w:p>
        </w:tc>
        <w:tc>
          <w:tcPr>
            <w:tcW w:w="10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253,000</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260" w:type="dxa"/>
            <w:vAlign w:val="bottom"/>
            <w:tcBorders>
              <w:top w:val="single" w:sz="8" w:color="A6A6A6"/>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600,733</w:t>
            </w:r>
          </w:p>
        </w:tc>
        <w:tc>
          <w:tcPr>
            <w:tcW w:w="260" w:type="dxa"/>
            <w:vAlign w:val="bottom"/>
            <w:gridSpan w:val="2"/>
          </w:tcPr>
          <w:p>
            <w:pPr>
              <w:spacing w:after="0"/>
              <w:rPr>
                <w:sz w:val="18"/>
                <w:szCs w:val="18"/>
                <w:color w:val="auto"/>
              </w:rPr>
            </w:pPr>
          </w:p>
        </w:tc>
        <w:tc>
          <w:tcPr>
            <w:tcW w:w="360" w:type="dxa"/>
            <w:vAlign w:val="bottom"/>
          </w:tcPr>
          <w:p>
            <w:pPr>
              <w:jc w:val="right"/>
              <w:ind w:right="163"/>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243.34</w:t>
            </w:r>
          </w:p>
        </w:tc>
        <w:tc>
          <w:tcPr>
            <w:tcW w:w="220" w:type="dxa"/>
            <w:vAlign w:val="bottom"/>
            <w:gridSpan w:val="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600,733</w:t>
            </w: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auto"/>
              </w:rPr>
              <w:t>5,282,937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004483"/>
              <w:bottom w:val="single" w:sz="8" w:color="004483"/>
            </w:tcBorders>
          </w:tcPr>
          <w:p>
            <w:pPr>
              <w:spacing w:after="0" w:line="20" w:lineRule="exact"/>
              <w:rPr>
                <w:sz w:val="1"/>
                <w:szCs w:val="1"/>
                <w:color w:val="auto"/>
              </w:rPr>
            </w:pPr>
          </w:p>
        </w:tc>
        <w:tc>
          <w:tcPr>
            <w:tcW w:w="8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September 30, 2024, we have repurchased approximately 50.6 million shares.</w:t>
      </w:r>
    </w:p>
    <w:p>
      <w:pPr>
        <w:spacing w:after="0" w:line="6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 harbor provided by Rule 10b5-1.</w:t>
      </w:r>
    </w:p>
    <w:p>
      <w:pPr>
        <w:spacing w:after="0" w:line="66" w:lineRule="exact"/>
        <w:rPr>
          <w:sz w:val="20"/>
          <w:szCs w:val="20"/>
          <w:color w:val="auto"/>
        </w:rPr>
      </w:pPr>
    </w:p>
    <w:p>
      <w:pPr>
        <w:ind w:right="720"/>
        <w:spacing w:after="0" w:line="253" w:lineRule="auto"/>
        <w:rPr>
          <w:sz w:val="20"/>
          <w:szCs w:val="20"/>
          <w:color w:val="auto"/>
        </w:rPr>
      </w:pPr>
      <w:r>
        <w:rPr>
          <w:rFonts w:ascii="Arial" w:cs="Arial" w:eastAsia="Arial" w:hAnsi="Arial"/>
          <w:sz w:val="18"/>
          <w:szCs w:val="18"/>
          <w:color w:val="auto"/>
        </w:rPr>
        <w:t>During the six months ended September 30, 2024, the Company withheld from employees 5,636 shares of stock upon the vesting of Restricted Shares that were granted under the Plan. We withheld these shares to satisfy the employees’ statutory tax withholding requirements, which is necessary once the Restricted Shares or Restricted Share Units are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2840" w:type="dxa"/>
            <w:vAlign w:val="bottom"/>
            <w:gridSpan w:val="4"/>
            <w:shd w:val="clear" w:color="auto" w:fill="004483"/>
          </w:tcPr>
          <w:p>
            <w:pPr>
              <w:jc w:val="right"/>
              <w:ind w:right="19"/>
              <w:spacing w:after="0"/>
              <w:rPr>
                <w:sz w:val="20"/>
                <w:szCs w:val="20"/>
                <w:color w:val="auto"/>
              </w:rPr>
            </w:pPr>
            <w:r>
              <w:rPr>
                <w:rFonts w:ascii="Arial" w:cs="Arial" w:eastAsia="Arial" w:hAnsi="Arial"/>
                <w:sz w:val="13"/>
                <w:szCs w:val="13"/>
                <w:b w:val="1"/>
                <w:bCs w:val="1"/>
                <w:color w:val="FFFFFF"/>
              </w:rPr>
              <w:t>For the Six Months Ended September 30,</w:t>
            </w:r>
          </w:p>
        </w:tc>
        <w:tc>
          <w:tcPr>
            <w:tcW w:w="6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r>
      <w:tr>
        <w:trPr>
          <w:trHeight w:val="158"/>
        </w:trPr>
        <w:tc>
          <w:tcPr>
            <w:tcW w:w="7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r>
      <w:tr>
        <w:trPr>
          <w:trHeight w:val="187"/>
        </w:trPr>
        <w:tc>
          <w:tcPr>
            <w:tcW w:w="730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840" w:type="dxa"/>
            <w:vAlign w:val="bottom"/>
            <w:tcBorders>
              <w:bottom w:val="single" w:sz="8" w:color="004483"/>
            </w:tcBorders>
            <w:gridSpan w:val="4"/>
          </w:tcPr>
          <w:p>
            <w:pPr>
              <w:jc w:val="right"/>
              <w:ind w:right="639"/>
              <w:spacing w:after="0"/>
              <w:rPr>
                <w:sz w:val="20"/>
                <w:szCs w:val="20"/>
                <w:color w:val="auto"/>
              </w:rPr>
            </w:pPr>
            <w:r>
              <w:rPr>
                <w:rFonts w:ascii="Arial" w:cs="Arial" w:eastAsia="Arial" w:hAnsi="Arial"/>
                <w:sz w:val="13"/>
                <w:szCs w:val="13"/>
                <w:color w:val="auto"/>
              </w:rPr>
              <w:t>(dollars in thousands)</w:t>
            </w:r>
          </w:p>
        </w:tc>
        <w:tc>
          <w:tcPr>
            <w:tcW w:w="6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4,293</w:t>
            </w:r>
          </w:p>
        </w:tc>
        <w:tc>
          <w:tcPr>
            <w:tcW w:w="1460" w:type="dxa"/>
            <w:vAlign w:val="bottom"/>
            <w:gridSpan w:val="3"/>
          </w:tcPr>
          <w:p>
            <w:pPr>
              <w:jc w:val="right"/>
              <w:ind w:right="9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5,504</w:t>
            </w:r>
          </w:p>
        </w:tc>
        <w:tc>
          <w:tcPr>
            <w:tcW w:w="100" w:type="dxa"/>
            <w:vAlign w:val="bottom"/>
          </w:tcPr>
          <w:p>
            <w:pPr>
              <w:spacing w:after="0"/>
              <w:rPr>
                <w:sz w:val="18"/>
                <w:szCs w:val="18"/>
                <w:color w:val="auto"/>
              </w:rPr>
            </w:pPr>
          </w:p>
        </w:tc>
      </w:tr>
      <w:tr>
        <w:trPr>
          <w:trHeight w:val="210"/>
        </w:trPr>
        <w:tc>
          <w:tcPr>
            <w:tcW w:w="73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400" w:type="dxa"/>
            <w:vAlign w:val="bottom"/>
            <w:tcBorders>
              <w:top w:val="single" w:sz="8" w:color="A6A6A6"/>
              <w:bottom w:val="single" w:sz="8" w:color="A6A6A6"/>
            </w:tcBorders>
          </w:tcPr>
          <w:p>
            <w:pPr>
              <w:spacing w:after="0"/>
              <w:rPr>
                <w:sz w:val="18"/>
                <w:szCs w:val="18"/>
                <w:color w:val="auto"/>
              </w:rPr>
            </w:pPr>
          </w:p>
        </w:tc>
        <w:tc>
          <w:tcPr>
            <w:tcW w:w="1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62,203</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18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29,628</w:t>
            </w:r>
          </w:p>
        </w:tc>
        <w:tc>
          <w:tcPr>
            <w:tcW w:w="100" w:type="dxa"/>
            <w:vAlign w:val="bottom"/>
          </w:tcPr>
          <w:p>
            <w:pPr>
              <w:spacing w:after="0"/>
              <w:rPr>
                <w:sz w:val="18"/>
                <w:szCs w:val="18"/>
                <w:color w:val="auto"/>
              </w:rPr>
            </w:pPr>
          </w:p>
        </w:tc>
      </w:tr>
      <w:tr>
        <w:trPr>
          <w:trHeight w:val="237"/>
        </w:trPr>
        <w:tc>
          <w:tcPr>
            <w:tcW w:w="73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400" w:type="dxa"/>
            <w:vAlign w:val="bottom"/>
            <w:tcBorders>
              <w:bottom w:val="single" w:sz="8" w:color="004483"/>
            </w:tcBorders>
          </w:tcPr>
          <w:p>
            <w:pPr>
              <w:spacing w:after="0"/>
              <w:rPr>
                <w:sz w:val="20"/>
                <w:szCs w:val="20"/>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33,109</w:t>
            </w:r>
          </w:p>
        </w:tc>
        <w:tc>
          <w:tcPr>
            <w:tcW w:w="100" w:type="dxa"/>
            <w:vAlign w:val="bottom"/>
          </w:tcPr>
          <w:p>
            <w:pPr>
              <w:spacing w:after="0"/>
              <w:rPr>
                <w:sz w:val="20"/>
                <w:szCs w:val="20"/>
                <w:color w:val="auto"/>
              </w:rPr>
            </w:pPr>
          </w:p>
        </w:tc>
        <w:tc>
          <w:tcPr>
            <w:tcW w:w="180" w:type="dxa"/>
            <w:vAlign w:val="bottom"/>
            <w:tcBorders>
              <w:bottom w:val="single" w:sz="8" w:color="A6A6A6"/>
            </w:tcBorders>
          </w:tcPr>
          <w:p>
            <w:pPr>
              <w:spacing w:after="0"/>
              <w:rPr>
                <w:sz w:val="20"/>
                <w:szCs w:val="20"/>
                <w:color w:val="auto"/>
              </w:rPr>
            </w:pPr>
          </w:p>
        </w:tc>
        <w:tc>
          <w:tcPr>
            <w:tcW w:w="1180" w:type="dxa"/>
            <w:vAlign w:val="bottom"/>
            <w:tcBorders>
              <w:bottom w:val="single" w:sz="8" w:color="004483"/>
            </w:tcBorders>
          </w:tcPr>
          <w:p>
            <w:pPr>
              <w:spacing w:after="0"/>
              <w:rPr>
                <w:sz w:val="20"/>
                <w:szCs w:val="20"/>
                <w:color w:val="auto"/>
              </w:rPr>
            </w:pP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30,321</w:t>
            </w:r>
          </w:p>
        </w:tc>
        <w:tc>
          <w:tcPr>
            <w:tcW w:w="100" w:type="dxa"/>
            <w:vAlign w:val="bottom"/>
          </w:tcPr>
          <w:p>
            <w:pPr>
              <w:spacing w:after="0"/>
              <w:rPr>
                <w:sz w:val="20"/>
                <w:szCs w:val="20"/>
                <w:color w:val="auto"/>
              </w:rPr>
            </w:pPr>
          </w:p>
        </w:tc>
      </w:tr>
      <w:tr>
        <w:trPr>
          <w:trHeight w:val="210"/>
        </w:trPr>
        <w:tc>
          <w:tcPr>
            <w:tcW w:w="730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99,605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004483"/>
            </w:tcBorders>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65,453</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Capital expenditures for fiscal 2025 are expected to range from $280.0 million to $ 310.0 million and will be allocated across both Heavy Materials and Light Materials sectors. The increase from the prior year reflects our beginning construction of the previously announced modernization and expansion of our Mountain Cement facility. The Mountain Cement construction project will continue through fiscal 2027, with expected completion in late fiscal 2027. These estimated capital expenditures will include maintenance capital expenditures and improvements, as well as other safety and regulatory projects.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statements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 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2024, and subsequent quarterly and annual reports upon filing. These reports are filed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36" w:name="page37"/>
    <w:bookmarkEnd w:id="36"/>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2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September 30, 2024, under which borrowings bear interest at a variable rate. A hypothetical 100 basis point increase in interest rates on the $ 155.0 million of borrowings under the Revolving Credit Facility and the $177.5 million of borrowings under the Term Loan at September 30, 2024, would increase interest expense by approximately $3.3 million on an annual basis. At present, we do not utilize derivative financial instruments.</w:t>
      </w:r>
    </w:p>
    <w:p>
      <w:pPr>
        <w:spacing w:after="0" w:line="7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2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t>PART II.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2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February 2023, the EPA published a final rule disapproving the State Implementation Plans (SIPs) for 21 states, which addressed each state’s obligations under the 2015 ozone NAAQS to eliminate significant contributions to nonattainment, or interference with maintenance, in downwind states (interstate transport requirements). States subject to a SIP Disapproval under this final action relevant to our cement operations include Illinois, Kentucky, Missouri, Nevada, Ohio, Oklahoma, and Texas.</w:t>
      </w:r>
    </w:p>
    <w:p>
      <w:pPr>
        <w:spacing w:after="0" w:line="6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March 2023, the EPA finalized a Federal Implementation Plan (FIP), also known as the “Good Neighbor Plan,” which addresses interstate transport obligations for the 21 states with disapproved SIPs, as well as two additional states that had not submitted any revisions for their SIPs. The FIP went into effect on August 4, 2023, and requires kilns used in cement and cement product manufacturing in 20 states, including Illinois, Kentucky, Missouri, Nevada, Ohio, Oklahoma and Texas, to comply with nitrogen oxide (NOx) emissions limitations during the ozone season (May 1 to September 30) beginning in 2026. The FIP has not been implemented in 12 of the states with disapproved SIPs due to legal challenges. In January 2024, the EPA proposed to extend the FIP to five additional states.</w:t>
      </w:r>
    </w:p>
    <w:p>
      <w:pPr>
        <w:spacing w:after="0" w:line="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cement plants located in Nevada, Oklahoma, and Texas are most directly affected by EPA’s SIP Disapprovals and Good Neighbor Plan. Multiple parties have filed lawsuits challenging the EPA’s SIP Disapprovals for 12 states—including Nevada, Oklahoma, and Texas. Legal challenges to EPA’s SIP Disapprovals for Nevada, Oklahoma, and Texas are all ongoing, and have resulted in stays for each of these disapprovals and prevented implementation of the Good Neighbor Plan in these states. In each of these actions, the petitioners have challenged the failure on the part of the EPA to appropriately defer to the applicable state’s analysis and determinations regarding interstate transport obligations. Multiple parties have also filed lawsuits challenging EPA’s Good Neighbor Plan, resulting in a stay order by the Supreme Court preventing enforcement nationwide, pending resolution of these challenges.</w:t>
      </w:r>
    </w:p>
    <w:p>
      <w:pPr>
        <w:spacing w:after="0" w:line="77"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An adverse outcome in these actions resulting in implementation of the Good Neighbor Plan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Challenges to both the SIP Disapprovals and the Good Neighbor Plan are ongoing in multiple courts, and no court has issued a final ruling on the validity of the disapprovals or the FIP.</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this time, we are unable to predict the likely outcome of the multiple legal challenges to both the state disapprovals and the Good Neighbor Plan. Nevertheless, on July 12, 2024, we entered into a settlement agreement with the EPA related to our cement operations in Nevada, which agreement provides (i) for the potential installation of additional emissions controls referred to as “low NOx burners” and (ii) if the controls are installed, that we perform a test-and-set process to determine an appropriate NOx emission limit by February 1, 2027. Assuming such emission limit is finalized and approved by EPA, our Nevada cement operations would no longer be subject to the emissions limit in the Good Neighbor Plan. We estimate the cost of installing the low NOx burners to be approximately $2.5 million.</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 addition to the legal matters described in Part 1, Item 3 "Legal Proceedings" of our Form 10-K for the fiscal year ended March 31, 2024, 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8" w:name="page39"/>
    <w:bookmarkEnd w:id="38"/>
    <w:p>
      <w:pPr>
        <w:ind w:right="340"/>
        <w:spacing w:after="0" w:line="271"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information regarding factors that could affect our results of operations, financial condition, and liquidity, see Part 1. Item 1A. Risk Factors in our Form 10-K for the fiscal year ended March 31, 2024, filed with the Securities and Exchange Commission on May 22, 2024.</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28"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2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12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second quarter ended September 30, 2024, except as follows: On August 22, 2024, Michael R. Haack, President and Chief Executive Officer, adopted a Rule 10b5-1 trading arrangement intended to satisfy the affirmative defense of Rule 10b5-1(c) for the sale of up to 10,000 shares of the Company’s common stock and the exercise of up to 32,867 stock options and the sale of the underlying shares, subject to certain conditions. Trades may occur under Mr. Haack’s plan during the period from</w:t>
      </w:r>
    </w:p>
    <w:p>
      <w:pPr>
        <w:spacing w:after="0" w:line="4" w:lineRule="exact"/>
        <w:rPr>
          <w:sz w:val="20"/>
          <w:szCs w:val="20"/>
          <w:color w:val="auto"/>
        </w:rPr>
      </w:pPr>
    </w:p>
    <w:p>
      <w:pPr>
        <w:ind w:right="500" w:firstLine="8"/>
        <w:spacing w:after="0" w:line="25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later of 91 days following adoption of the plan or the third trading day after the filing of the Company’s Form 10-Q for the quarter ended September 30, 2024, through (b) November 17, 2025.</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Item 6. Exhibits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960" w:type="dxa"/>
            <w:vAlign w:val="bottom"/>
            <w:gridSpan w:val="15"/>
          </w:tcPr>
          <w:p>
            <w:pPr>
              <w:spacing w:after="0"/>
              <w:rPr>
                <w:rFonts w:ascii="Arial" w:cs="Arial" w:eastAsia="Arial" w:hAnsi="Arial"/>
                <w:sz w:val="18"/>
                <w:szCs w:val="18"/>
                <w:color w:val="auto"/>
              </w:rPr>
            </w:pPr>
            <w:hyperlink r:id="rId126">
              <w:r>
                <w:rPr>
                  <w:rFonts w:ascii="Arial" w:cs="Arial" w:eastAsia="Arial" w:hAnsi="Arial"/>
                  <w:sz w:val="18"/>
                  <w:szCs w:val="18"/>
                  <w:color w:val="auto"/>
                </w:rPr>
                <w:t>Certificate of Amendment of Restated Certificate of Incorporation of Eagle Materials Inc. (filed as Exhibit 3.1 to the Current</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126">
              <w:r>
                <w:rPr>
                  <w:rFonts w:ascii="Arial" w:cs="Arial" w:eastAsia="Arial" w:hAnsi="Arial"/>
                  <w:sz w:val="18"/>
                  <w:szCs w:val="18"/>
                  <w:color w:val="auto"/>
                </w:rPr>
                <w:t>Report on Form 8-K filed with the Commission August 7, 2024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5700" w:type="dxa"/>
            <w:vAlign w:val="bottom"/>
            <w:tcBorders>
              <w:top w:val="single" w:sz="8" w:color="0000EE"/>
              <w:bottom w:val="single" w:sz="8" w:color="0000EE"/>
            </w:tcBorders>
            <w:gridSpan w:val="8"/>
            <w:vMerge w:val="restart"/>
          </w:tcPr>
          <w:p>
            <w:pPr>
              <w:spacing w:after="0"/>
              <w:rPr>
                <w:sz w:val="20"/>
                <w:szCs w:val="20"/>
                <w:color w:val="auto"/>
              </w:rPr>
            </w:pPr>
            <w:r>
              <w:rPr>
                <w:rFonts w:ascii="Arial" w:cs="Arial" w:eastAsia="Arial" w:hAnsi="Arial"/>
                <w:sz w:val="18"/>
                <w:szCs w:val="18"/>
                <w:color w:val="auto"/>
              </w:rPr>
              <w:t>Eagle Materials Inc. Non-Employee Directors Compensation Summary.</w:t>
            </w:r>
          </w:p>
        </w:tc>
        <w:tc>
          <w:tcPr>
            <w:tcW w:w="16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2"/>
                <w:szCs w:val="12"/>
                <w:color w:val="auto"/>
                <w:w w:val="95"/>
              </w:rPr>
              <w:t>(1)</w:t>
            </w:r>
          </w:p>
        </w:tc>
        <w:tc>
          <w:tcPr>
            <w:tcW w:w="2180" w:type="dxa"/>
            <w:vAlign w:val="bottom"/>
            <w:tcBorders>
              <w:top w:val="single" w:sz="8" w:color="0000EE"/>
              <w:bottom w:val="single" w:sz="8" w:color="0000EE"/>
            </w:tcBorders>
            <w:vMerge w:val="restart"/>
          </w:tcPr>
          <w:p>
            <w:pPr>
              <w:spacing w:after="0"/>
              <w:rPr>
                <w:sz w:val="20"/>
                <w:szCs w:val="20"/>
                <w:color w:val="auto"/>
              </w:rPr>
            </w:pPr>
          </w:p>
        </w:tc>
        <w:tc>
          <w:tcPr>
            <w:tcW w:w="192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220" w:type="dxa"/>
            <w:vAlign w:val="bottom"/>
            <w:vMerge w:val="continue"/>
          </w:tcPr>
          <w:p>
            <w:pPr>
              <w:spacing w:after="0"/>
              <w:rPr>
                <w:sz w:val="5"/>
                <w:szCs w:val="5"/>
                <w:color w:val="auto"/>
              </w:rPr>
            </w:pPr>
          </w:p>
        </w:tc>
        <w:tc>
          <w:tcPr>
            <w:tcW w:w="5700" w:type="dxa"/>
            <w:vAlign w:val="bottom"/>
            <w:tcBorders>
              <w:bottom w:val="single" w:sz="8" w:color="0000EE"/>
            </w:tcBorders>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9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gridSpan w:val="15"/>
          </w:tcPr>
          <w:p>
            <w:pPr>
              <w:spacing w:after="0"/>
              <w:rPr>
                <w:sz w:val="20"/>
                <w:szCs w:val="20"/>
                <w:color w:val="auto"/>
              </w:rPr>
            </w:pPr>
            <w:r>
              <w:rPr>
                <w:rFonts w:ascii="Arial" w:cs="Arial" w:eastAsia="Arial" w:hAnsi="Arial"/>
                <w:sz w:val="18"/>
                <w:szCs w:val="18"/>
                <w:color w:val="auto"/>
              </w:rPr>
              <w:t xml:space="preserve">Form of Director Restricted Stock Agreement. </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gridSpan w:val="15"/>
          </w:tcPr>
          <w:p>
            <w:pPr>
              <w:spacing w:after="0"/>
              <w:rPr>
                <w:sz w:val="20"/>
                <w:szCs w:val="20"/>
                <w:color w:val="auto"/>
              </w:rPr>
            </w:pPr>
            <w:r>
              <w:rPr>
                <w:rFonts w:ascii="Arial" w:cs="Arial" w:eastAsia="Arial" w:hAnsi="Arial"/>
                <w:sz w:val="18"/>
                <w:szCs w:val="18"/>
                <w:color w:val="auto"/>
              </w:rPr>
              <w:t xml:space="preserve">Form of Director Stock Option Agreement. </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gridSpan w:val="15"/>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6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gridSpan w:val="15"/>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auto"/>
                <w:w w:val="98"/>
              </w:rPr>
              <w:t>the Securities Exchange Act of 1934, as amended.</w:t>
            </w:r>
          </w:p>
        </w:tc>
        <w:tc>
          <w:tcPr>
            <w:tcW w:w="5700" w:type="dxa"/>
            <w:vAlign w:val="bottom"/>
            <w:tcBorders>
              <w:top w:val="single" w:sz="8" w:color="0000EE"/>
            </w:tcBorders>
            <w:gridSpan w:val="4"/>
          </w:tcPr>
          <w:p>
            <w:pPr>
              <w:spacing w:after="0"/>
              <w:rPr>
                <w:sz w:val="15"/>
                <w:szCs w:val="15"/>
                <w:color w:val="auto"/>
              </w:rPr>
            </w:pPr>
          </w:p>
        </w:tc>
        <w:tc>
          <w:tcPr>
            <w:tcW w:w="8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15"/>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9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8"/>
              </w:rPr>
              <w:t>to Section 906 of the Sarbanes-Oxley Act of 2002.</w:t>
            </w:r>
          </w:p>
        </w:tc>
        <w:tc>
          <w:tcPr>
            <w:tcW w:w="5820" w:type="dxa"/>
            <w:vAlign w:val="bottom"/>
            <w:tcBorders>
              <w:top w:val="single" w:sz="8" w:color="0000EE"/>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gridSpan w:val="15"/>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7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w w:val="98"/>
              </w:rPr>
              <w:t>Section 906 of the Sarbanes-Oxley Act of 2002.</w:t>
            </w:r>
          </w:p>
        </w:tc>
        <w:tc>
          <w:tcPr>
            <w:tcW w:w="6160" w:type="dxa"/>
            <w:vAlign w:val="bottom"/>
            <w:tcBorders>
              <w:top w:val="single" w:sz="8" w:color="0000EE"/>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15"/>
          </w:tcPr>
          <w:p>
            <w:pPr>
              <w:spacing w:after="0"/>
              <w:rPr>
                <w:sz w:val="20"/>
                <w:szCs w:val="20"/>
                <w:color w:val="auto"/>
              </w:rPr>
            </w:pPr>
            <w:r>
              <w:rPr>
                <w:rFonts w:ascii="Arial" w:cs="Arial" w:eastAsia="Arial" w:hAnsi="Arial"/>
                <w:sz w:val="18"/>
                <w:szCs w:val="18"/>
                <w:color w:val="auto"/>
              </w:rPr>
              <w:t>Mine Safety Disclosure.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37"/>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 with Embedded Linkbase Document.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2640" w:firstLine="21"/>
        <w:spacing w:after="0" w:line="362" w:lineRule="auto"/>
        <w:tabs>
          <w:tab w:leader="none" w:pos="1229"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3742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400" w:hanging="392"/>
        <w:spacing w:after="0" w:line="204" w:lineRule="auto"/>
        <w:tabs>
          <w:tab w:leader="none" w:pos="40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5" w:right="37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October 29, 2024</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48"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October 29, 2024</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rPr>
          <w:sz w:val="20"/>
          <w:szCs w:val="20"/>
          <w:color w:val="auto"/>
        </w:rPr>
      </w:pPr>
      <w:r>
        <w:rPr>
          <w:rFonts w:ascii="Arial" w:cs="Arial" w:eastAsia="Arial" w:hAnsi="Arial"/>
          <w:sz w:val="18"/>
          <w:szCs w:val="18"/>
          <w:color w:val="auto"/>
        </w:rPr>
        <w:t>Executive Vice President – Finance and</w:t>
      </w:r>
    </w:p>
    <w:p>
      <w:pPr>
        <w:jc w:val="center"/>
        <w:ind w:left="6740"/>
        <w:spacing w:after="0" w:line="234" w:lineRule="auto"/>
        <w:rPr>
          <w:sz w:val="20"/>
          <w:szCs w:val="20"/>
          <w:color w:val="auto"/>
        </w:rPr>
      </w:pPr>
      <w:r>
        <w:rPr>
          <w:rFonts w:ascii="Arial" w:cs="Arial" w:eastAsia="Arial" w:hAnsi="Arial"/>
          <w:sz w:val="18"/>
          <w:szCs w:val="18"/>
          <w:color w:val="auto"/>
        </w:rPr>
        <w:t>Administration and Chief Financial Officer</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48"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October 29, 2024</w:t>
      </w:r>
      <w:r>
        <w:rPr>
          <w:sz w:val="20"/>
          <w:szCs w:val="20"/>
          <w:color w:val="auto"/>
        </w:rPr>
        <w:tab/>
      </w:r>
      <w:r>
        <w:rPr>
          <w:rFonts w:ascii="Arial" w:cs="Arial" w:eastAsia="Arial" w:hAnsi="Arial"/>
          <w:sz w:val="17"/>
          <w:szCs w:val="17"/>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17780</wp:posOffset>
            </wp:positionV>
            <wp:extent cx="2837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William R. Devlin</w:t>
      </w:r>
    </w:p>
    <w:p>
      <w:pPr>
        <w:jc w:val="center"/>
        <w:ind w:left="6760"/>
        <w:spacing w:after="0" w:line="234"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2"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Directors -- Compensation Summary</w:t>
      </w: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August 2024 to July 2025</w:t>
      </w:r>
    </w:p>
    <w:p>
      <w:pPr>
        <w:spacing w:after="0" w:line="209"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On an annual basis, each non-employee director of Eagle Materials Inc. (the “Company”) may select one of the following compensation packages for his or her performance of director services during the next 12 months:</w:t>
      </w:r>
    </w:p>
    <w:p>
      <w:pPr>
        <w:spacing w:after="0" w:line="185" w:lineRule="exact"/>
        <w:rPr>
          <w:sz w:val="20"/>
          <w:szCs w:val="20"/>
          <w:color w:val="auto"/>
        </w:rPr>
      </w:pPr>
    </w:p>
    <w:p>
      <w:pPr>
        <w:ind w:left="1500" w:right="160" w:hanging="690"/>
        <w:spacing w:after="0" w:line="258" w:lineRule="auto"/>
        <w:tabs>
          <w:tab w:leader="none" w:pos="123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annual compensation valued at $230,000, of which $105,000 is paid in cash and the remainder is provided in the form of an equity grant valued at $125,000; or</w:t>
      </w:r>
    </w:p>
    <w:p>
      <w:pPr>
        <w:spacing w:after="0" w:line="185"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equity grant valued at $261,500.</w:t>
      </w:r>
    </w:p>
    <w:p>
      <w:pPr>
        <w:spacing w:after="0" w:line="233" w:lineRule="exact"/>
        <w:rPr>
          <w:sz w:val="20"/>
          <w:szCs w:val="20"/>
          <w:color w:val="auto"/>
        </w:rPr>
      </w:pPr>
    </w:p>
    <w:p>
      <w:pPr>
        <w:jc w:val="both"/>
        <w:ind w:right="480"/>
        <w:spacing w:after="0" w:line="244" w:lineRule="auto"/>
        <w:rPr>
          <w:sz w:val="20"/>
          <w:szCs w:val="20"/>
          <w:color w:val="auto"/>
        </w:rPr>
      </w:pPr>
      <w:r>
        <w:rPr>
          <w:rFonts w:ascii="Times New Roman" w:cs="Times New Roman" w:eastAsia="Times New Roman" w:hAnsi="Times New Roman"/>
          <w:sz w:val="22"/>
          <w:szCs w:val="22"/>
          <w:color w:val="auto"/>
        </w:rPr>
        <w:t>The grant date value of the equity grant under either alternative is allocated between restricted stock and options to purchase common stock of the Company, par value $0.01 (“Common Stock”) (based upon the recommendation of the Compensation Committee) with respect to each non-employee director.</w:t>
      </w:r>
    </w:p>
    <w:p>
      <w:pPr>
        <w:spacing w:after="0" w:line="200"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In accordance with the terms of the Eagle Materials Inc. 2023 Equity Incentive Plan, the exercise price of the stock options is set at the closing price of the Common Stock on the New York Stock Exchange (“NYSE”) on the date of grant. The number of option shares granted is determined as of the date of the grant by using the Black-Scholes method. All options granted to directors in August 2024 have a ten-year term but are subject to vesting requirements, with the options becoming fully vested (exercisable)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210" w:lineRule="exact"/>
        <w:rPr>
          <w:sz w:val="20"/>
          <w:szCs w:val="20"/>
          <w:color w:val="auto"/>
        </w:rPr>
      </w:pPr>
    </w:p>
    <w:p>
      <w:pPr>
        <w:ind w:right="200" w:firstLine="749"/>
        <w:spacing w:after="0" w:line="234" w:lineRule="auto"/>
        <w:rPr>
          <w:sz w:val="20"/>
          <w:szCs w:val="20"/>
          <w:color w:val="auto"/>
        </w:rPr>
      </w:pPr>
      <w:r>
        <w:rPr>
          <w:rFonts w:ascii="Times New Roman" w:cs="Times New Roman" w:eastAsia="Times New Roman" w:hAnsi="Times New Roman"/>
          <w:sz w:val="22"/>
          <w:szCs w:val="22"/>
          <w:color w:val="auto"/>
        </w:rPr>
        <w:t>The number of shares of restricted stock is determined as of the date of grant using the closing price of the Common Stock on the NYSE on the date of grant. The restricted stock granted to directors in August 2024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respect to such shares that were paid to holders of Common Stock during the restriction period.</w:t>
      </w:r>
    </w:p>
    <w:p>
      <w:pPr>
        <w:spacing w:after="0" w:line="233" w:lineRule="exact"/>
        <w:rPr>
          <w:sz w:val="20"/>
          <w:szCs w:val="20"/>
          <w:color w:val="auto"/>
        </w:rPr>
      </w:pPr>
    </w:p>
    <w:p>
      <w:pPr>
        <w:ind w:right="140" w:firstLine="432"/>
        <w:spacing w:after="0" w:line="236" w:lineRule="auto"/>
        <w:rPr>
          <w:sz w:val="20"/>
          <w:szCs w:val="20"/>
          <w:color w:val="auto"/>
        </w:rPr>
      </w:pPr>
      <w:r>
        <w:rPr>
          <w:rFonts w:ascii="Times New Roman" w:cs="Times New Roman" w:eastAsia="Times New Roman" w:hAnsi="Times New Roman"/>
          <w:sz w:val="22"/>
          <w:szCs w:val="22"/>
          <w:color w:val="auto"/>
        </w:rPr>
        <w:t>Non-employee directors who chair committees of the Board of Directors receive additional annual compensation. The chairs of the Audit Committee, Compensation Committee and Governance Committee each receive a fee of $20,000 per year. The Chairman of the Board of Directors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208"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22"/>
          <w:szCs w:val="22"/>
          <w:color w:val="auto"/>
        </w:rPr>
        <w:t>In certain prior years, equity grants were in some cases made in the form of restricted stock units (“RSUs”). In the case of non-employee directors who hold unvested RSUs (which currently only includes Mr. Nicolais), these directors will receive dividend equivalent units as and when the Company issues a cash dividend on the Common Stock, in accordance with the terms of the RSUs.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directors are reimbursed for reasonable expenses of attending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8" w:right="4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EAGLE MATERIALS INC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AGREEMENT</w:t>
      </w:r>
    </w:p>
    <w:p>
      <w:pPr>
        <w:spacing w:after="0" w:line="3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Eagle Materials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hereby enter into this</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in order to set forth the terms and conditions of the Company’s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to the Grantee of certain shares of Common Stock of the Company granted to the Grantee on August 1, 2024 (the “</w:t>
      </w:r>
      <w:r>
        <w:rPr>
          <w:rFonts w:ascii="Times New Roman" w:cs="Times New Roman" w:eastAsia="Times New Roman" w:hAnsi="Times New Roman"/>
          <w:sz w:val="22"/>
          <w:szCs w:val="22"/>
          <w:u w:val="single" w:color="auto"/>
          <w:color w:val="auto"/>
        </w:rPr>
        <w:t>Award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Company hereby awards to the Grantee ________ shares of Common Stock of the Company (the</w:t>
      </w:r>
    </w:p>
    <w:p>
      <w:pPr>
        <w:spacing w:after="0" w:line="14"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Relationship to the Plan</w:t>
      </w:r>
      <w:r>
        <w:rPr>
          <w:rFonts w:ascii="Times New Roman" w:cs="Times New Roman" w:eastAsia="Times New Roman" w:hAnsi="Times New Roman"/>
          <w:sz w:val="22"/>
          <w:szCs w:val="22"/>
          <w:color w:val="auto"/>
        </w:rPr>
        <w:t>. The Award shall be subject to the terms and conditions of the Eagle Materials Inc. 2023 Equity Incentive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Agreement and such administrative interpretations of the Plan, if any, as such interpretations may be in effect on the date of this Agreement or thereafter. Except as defined herein, capitalized terms shall have the meanings ascribed to them under the Plan. For purposes of this Agreement:</w:t>
      </w:r>
    </w:p>
    <w:p>
      <w:pPr>
        <w:spacing w:after="0" w:line="180" w:lineRule="exact"/>
        <w:rPr>
          <w:rFonts w:ascii="Times New Roman" w:cs="Times New Roman" w:eastAsia="Times New Roman" w:hAnsi="Times New Roman"/>
          <w:sz w:val="22"/>
          <w:szCs w:val="22"/>
          <w:u w:val="single" w:color="auto"/>
          <w:color w:val="auto"/>
        </w:rPr>
      </w:pPr>
    </w:p>
    <w:p>
      <w:pPr>
        <w:ind w:left="2260" w:hanging="755"/>
        <w:spacing w:after="0"/>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a disability of the Grantee as determined by the Committee.</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shall mean the period beginning on the Award Date and ending on the date immediately preceding the Vesting Date (as defined below) for a Share.</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left="2260" w:hanging="755"/>
        <w:spacing w:after="0" w:line="238" w:lineRule="auto"/>
        <w:tabs>
          <w:tab w:leader="none" w:pos="2260" w:val="left"/>
        </w:tabs>
        <w:numPr>
          <w:ilvl w:val="1"/>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Criteria</w:t>
      </w:r>
      <w:r>
        <w:rPr>
          <w:rFonts w:ascii="Times New Roman" w:cs="Times New Roman" w:eastAsia="Times New Roman" w:hAnsi="Times New Roman"/>
          <w:sz w:val="22"/>
          <w:szCs w:val="22"/>
          <w:color w:val="auto"/>
        </w:rPr>
        <w:t>. The Grantee’s interest in the Shares shall vest in full as of the earliest of (i) the one-year anniversary of the Award Date; (ii) the next annual meeting of the Company’s stockholders, which is at least 50 weeks after the immediately preceding year’s annual meeting; (iii) the Grantee’s Retirement; (iv) the Grantee’s Disability; or (v) the Grantee’s death (as applicable,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Prior to the Vesting Date, all Shares shall be unvested Shares.</w:t>
      </w:r>
    </w:p>
    <w:p>
      <w:pPr>
        <w:spacing w:after="0" w:line="176" w:lineRule="exact"/>
        <w:rPr>
          <w:rFonts w:ascii="Times New Roman" w:cs="Times New Roman" w:eastAsia="Times New Roman" w:hAnsi="Times New Roman"/>
          <w:sz w:val="22"/>
          <w:szCs w:val="22"/>
          <w:u w:val="single" w:color="auto"/>
          <w:color w:val="auto"/>
        </w:rPr>
      </w:pPr>
    </w:p>
    <w:p>
      <w:pPr>
        <w:jc w:val="both"/>
        <w:ind w:left="2260" w:hanging="755"/>
        <w:spacing w:after="0" w:line="239" w:lineRule="auto"/>
        <w:tabs>
          <w:tab w:leader="none" w:pos="2260" w:val="left"/>
        </w:tabs>
        <w:numPr>
          <w:ilvl w:val="1"/>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During the Restriction Period, the Grantee may not sell, transfer, pledge, assign, hypothecate, encumber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80" w:lineRule="exact"/>
        <w:rPr>
          <w:rFonts w:ascii="Times New Roman" w:cs="Times New Roman" w:eastAsia="Times New Roman" w:hAnsi="Times New Roman"/>
          <w:sz w:val="22"/>
          <w:szCs w:val="22"/>
          <w:u w:val="single" w:color="auto"/>
          <w:color w:val="auto"/>
        </w:rPr>
      </w:pPr>
    </w:p>
    <w:p>
      <w:pPr>
        <w:jc w:val="both"/>
        <w:ind w:left="2260" w:hanging="755"/>
        <w:spacing w:after="0" w:line="239" w:lineRule="auto"/>
        <w:tabs>
          <w:tab w:leader="none" w:pos="2260" w:val="left"/>
        </w:tabs>
        <w:numPr>
          <w:ilvl w:val="1"/>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Subject to Section 4, the Grantee must be in continuous service as a Non-Employee Director for purposes of Section 1.4 of the Plan (“</w:t>
      </w:r>
      <w:r>
        <w:rPr>
          <w:rFonts w:ascii="Times New Roman" w:cs="Times New Roman" w:eastAsia="Times New Roman" w:hAnsi="Times New Roman"/>
          <w:sz w:val="22"/>
          <w:szCs w:val="22"/>
          <w:u w:val="single" w:color="auto"/>
          <w:color w:val="auto"/>
        </w:rPr>
        <w:t>Continuous Service</w:t>
      </w:r>
      <w:r>
        <w:rPr>
          <w:rFonts w:ascii="Times New Roman" w:cs="Times New Roman" w:eastAsia="Times New Roman" w:hAnsi="Times New Roman"/>
          <w:sz w:val="22"/>
          <w:szCs w:val="22"/>
          <w:color w:val="auto"/>
        </w:rPr>
        <w:t>”) from the Award Date through the Vesting Date for an unvested Share to become vested. Subject to Section 4, the termination of such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4" w:name="page45"/>
    <w:bookmarkEnd w:id="44"/>
    <w:p>
      <w:pPr>
        <w:ind w:left="2260"/>
        <w:spacing w:after="0" w:line="258" w:lineRule="auto"/>
        <w:rPr>
          <w:sz w:val="20"/>
          <w:szCs w:val="20"/>
          <w:color w:val="auto"/>
        </w:rPr>
      </w:pPr>
      <w:r>
        <w:rPr>
          <w:rFonts w:ascii="Times New Roman" w:cs="Times New Roman" w:eastAsia="Times New Roman" w:hAnsi="Times New Roman"/>
          <w:sz w:val="22"/>
          <w:szCs w:val="22"/>
          <w:color w:val="auto"/>
        </w:rPr>
        <w:t>prior to the Vesting Date shall cause all unvested Shares to be automatically forfeited as of the date of such termination of Continuous Service.</w:t>
      </w:r>
    </w:p>
    <w:p>
      <w:pPr>
        <w:spacing w:after="0" w:line="158" w:lineRule="exact"/>
        <w:rPr>
          <w:sz w:val="20"/>
          <w:szCs w:val="20"/>
          <w:color w:val="auto"/>
        </w:rPr>
      </w:pPr>
    </w:p>
    <w:p>
      <w:pPr>
        <w:jc w:val="both"/>
        <w:ind w:firstLine="757"/>
        <w:spacing w:after="0" w:line="239" w:lineRule="auto"/>
        <w:tabs>
          <w:tab w:leader="none" w:pos="1018"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Section 3 above, if the Grantee has been in Continuous Service from the Award Date through the occurrence of a Change in Control, then, in the event of the occurrence of such a Change in Control, any vesting of the Shares will remain subject to the applicable provisions of the Plan, including, but not limited to, Sections 1.3 and 5.8 thereof.</w:t>
      </w:r>
    </w:p>
    <w:p>
      <w:pPr>
        <w:spacing w:after="0" w:line="180"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xml:space="preserve">. The Grantee shall have the right to vote the Shares. On the Vesting Date, the Grantee shall be paid a cash dividend payment equal to: (i) the sum of per share dividends paid with respect to Common Stock during the period from the Award Date to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record date for such dividend payment is on or after the Award Date; times (ii) the number of Shares determined to be vested with respect to the Vesting Date, it being understood that the Grantee’s entitlement to receive such dividend payment shall be subject to the same vesting conditions as the Shares hereunder.</w:t>
      </w:r>
    </w:p>
    <w:p>
      <w:pPr>
        <w:spacing w:after="0" w:line="176"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 If, from time to time during the term of the Restriction Period, there is any equity restructuring affecting the outstanding Common Stock that causes the per share value of Common Stock to change, the Shares and other applicable terms of this Award shall be adjusted in accordance with the provisions of Section 5.7 of the Plan. Any and all new, substituted or additional securities to which the Grantee may be entitled by reason of the Grantee’s ownership of the Shares hereunder because of an equity restructuring shall be immediately subject to the restrictions set forth herein (as may be modified pursuant to this Agreement) and included thereafter as Shares for purposes of this Agreement.</w:t>
      </w:r>
    </w:p>
    <w:p>
      <w:pPr>
        <w:spacing w:after="0" w:line="181"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Refusal to Transfer</w:t>
      </w:r>
      <w:r>
        <w:rPr>
          <w:rFonts w:ascii="Times New Roman" w:cs="Times New Roman" w:eastAsia="Times New Roman" w:hAnsi="Times New Roman"/>
          <w:sz w:val="22"/>
          <w:szCs w:val="22"/>
          <w:color w:val="auto"/>
        </w:rPr>
        <w:t>. The Company shall not be required:</w:t>
      </w:r>
    </w:p>
    <w:p>
      <w:pPr>
        <w:spacing w:after="0" w:line="206" w:lineRule="exact"/>
        <w:rPr>
          <w:rFonts w:ascii="Times New Roman" w:cs="Times New Roman" w:eastAsia="Times New Roman" w:hAnsi="Times New Roman"/>
          <w:sz w:val="22"/>
          <w:szCs w:val="22"/>
          <w:u w:val="single" w:color="auto"/>
          <w:color w:val="auto"/>
        </w:rPr>
      </w:pPr>
    </w:p>
    <w:p>
      <w:pPr>
        <w:ind w:left="2260" w:hanging="755"/>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transfer on its books any Shares that have been sold or otherwise transferred in violation of any of the provisions of this Agreement or the Plan;</w:t>
      </w:r>
    </w:p>
    <w:p>
      <w:pPr>
        <w:spacing w:after="0" w:line="158"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treat such purchaser or other transferee as owner of such Shares, accord such purchaser or other transferee the right to vote; or</w:t>
      </w:r>
    </w:p>
    <w:p>
      <w:pPr>
        <w:spacing w:after="0" w:line="158"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pay or deliver dividends or other distributions to such purchaser or other transferee with respect to such Shares.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If the Shares are certificated, the certificate or certificates evidencing the Shares, if any, issued hereunder shall be endorsed with the following legend:</w:t>
      </w:r>
    </w:p>
    <w:p>
      <w:pPr>
        <w:spacing w:after="0" w:line="158"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THE SHARES REPRESENTED BY THIS CERTIFICATE ARE SUBJECT TO CERTAIN RESTRICTIONS AND, ACCORDINGLY, MAY NOT BE SOLD, TRANSFERRED, PLEDGED, ASSIGNED, HYPOTHECATED,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81" w:lineRule="exact"/>
        <w:rPr>
          <w:sz w:val="20"/>
          <w:szCs w:val="20"/>
          <w:color w:val="auto"/>
        </w:rPr>
      </w:pPr>
    </w:p>
    <w:p>
      <w:pPr>
        <w:jc w:val="both"/>
        <w:ind w:firstLine="757"/>
        <w:spacing w:after="0" w:line="244" w:lineRule="auto"/>
        <w:tabs>
          <w:tab w:leader="none" w:pos="1018"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The Grantee acknowledges that the Grantee has reviewed, or has had the opportunity to review, with the Grantee’s own tax advisors the federal, state, and local tax consequences of this investment and the transactions contemplated by this Agreement. The Grantee is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5" w:name="page46"/>
    <w:bookmarkEnd w:id="45"/>
    <w:p>
      <w:pPr>
        <w:jc w:val="both"/>
        <w:spacing w:after="0" w:line="233" w:lineRule="auto"/>
        <w:rPr>
          <w:sz w:val="20"/>
          <w:szCs w:val="20"/>
          <w:color w:val="auto"/>
        </w:rPr>
      </w:pPr>
      <w:r>
        <w:rPr>
          <w:rFonts w:ascii="Times New Roman" w:cs="Times New Roman" w:eastAsia="Times New Roman" w:hAnsi="Times New Roman"/>
          <w:sz w:val="22"/>
          <w:szCs w:val="22"/>
          <w:color w:val="auto"/>
        </w:rPr>
        <w:t>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the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(and by submitting a copy of such election with the Company).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10.Entire Agreement; Governing Law</w:t>
      </w:r>
      <w:r>
        <w:rPr>
          <w:rFonts w:ascii="Times New Roman" w:cs="Times New Roman" w:eastAsia="Times New Roman" w:hAnsi="Times New Roman"/>
          <w:sz w:val="22"/>
          <w:szCs w:val="22"/>
          <w:color w:val="auto"/>
        </w:rPr>
        <w:t>. The Plan and this Agreement constitute the entire agreement of the Company and the Grantee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or as otherwise permitted under the Plan or this Agreement.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11.Interpretive Matters</w:t>
      </w:r>
      <w:r>
        <w:rPr>
          <w:rFonts w:ascii="Times New Roman" w:cs="Times New Roman" w:eastAsia="Times New Roman" w:hAnsi="Times New Roman"/>
          <w:sz w:val="22"/>
          <w:szCs w:val="22"/>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12.Notice</w:t>
      </w:r>
      <w:r>
        <w:rPr>
          <w:rFonts w:ascii="Times New Roman" w:cs="Times New Roman" w:eastAsia="Times New Roman" w:hAnsi="Times New Roman"/>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13.Successors and Assigns</w:t>
      </w:r>
      <w:r>
        <w:rPr>
          <w:rFonts w:ascii="Times New Roman" w:cs="Times New Roman" w:eastAsia="Times New Roman" w:hAnsi="Times New Roman"/>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6" w:name="page47"/>
    <w:bookmarkEnd w:id="46"/>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EAGLE MATERIALS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4900" w:type="dxa"/>
        <w:tblCellMar>
          <w:top w:w="0" w:type="dxa"/>
          <w:left w:w="0" w:type="dxa"/>
          <w:bottom w:w="0" w:type="dxa"/>
          <w:right w:w="0" w:type="dxa"/>
        </w:tblCellMar>
      </w:tblP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Michael R. Haack</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501"/>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5960 Berkshire Ln., Suite 900</w:t>
            </w:r>
          </w:p>
        </w:tc>
      </w:tr>
      <w:tr>
        <w:trPr>
          <w:trHeight w:val="282"/>
        </w:trPr>
        <w:tc>
          <w:tcPr>
            <w:tcW w:w="1080" w:type="dxa"/>
            <w:vAlign w:val="bottom"/>
          </w:tcPr>
          <w:p>
            <w:pPr>
              <w:spacing w:after="0"/>
              <w:rPr>
                <w:sz w:val="24"/>
                <w:szCs w:val="24"/>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Dallas, Texas 75225</w:t>
            </w:r>
          </w:p>
        </w:tc>
      </w:tr>
    </w:tbl>
    <w:p>
      <w:pPr>
        <w:spacing w:after="0" w:line="190"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22"/>
          <w:szCs w:val="22"/>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51" w:lineRule="exact"/>
        <w:rPr>
          <w:sz w:val="20"/>
          <w:szCs w:val="20"/>
          <w:color w:val="auto"/>
        </w:rPr>
      </w:pPr>
    </w:p>
    <w:p>
      <w:pPr>
        <w:ind w:left="4900"/>
        <w:spacing w:after="0"/>
        <w:tabs>
          <w:tab w:leader="none" w:pos="6060" w:val="left"/>
        </w:tabs>
        <w:rPr>
          <w:sz w:val="20"/>
          <w:szCs w:val="20"/>
          <w:color w:val="auto"/>
        </w:rPr>
      </w:pPr>
      <w:r>
        <w:rPr>
          <w:rFonts w:ascii="Times New Roman" w:cs="Times New Roman" w:eastAsia="Times New Roman" w:hAnsi="Times New Roman"/>
          <w:sz w:val="22"/>
          <w:szCs w:val="22"/>
          <w:color w:val="auto"/>
        </w:rPr>
        <w:t>Signed:</w:t>
      </w:r>
      <w:r>
        <w:rPr>
          <w:sz w:val="20"/>
          <w:szCs w:val="20"/>
          <w:color w:val="auto"/>
        </w:rPr>
        <w:tab/>
      </w:r>
      <w:r>
        <w:rPr>
          <w:rFonts w:ascii="Times New Roman" w:cs="Times New Roman" w:eastAsia="Times New Roman" w:hAnsi="Times New Roman"/>
          <w:sz w:val="22"/>
          <w:szCs w:val="22"/>
          <w:color w:val="auto"/>
        </w:rPr>
        <w:t>_____________________________________</w:t>
      </w:r>
    </w:p>
    <w:p>
      <w:pPr>
        <w:spacing w:after="0" w:line="28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DIRECTOR STOCK OPTION AGREEMENT</w:t>
      </w:r>
    </w:p>
    <w:p>
      <w:pPr>
        <w:spacing w:after="0" w:line="200" w:lineRule="exact"/>
        <w:rPr>
          <w:sz w:val="20"/>
          <w:szCs w:val="20"/>
          <w:color w:val="auto"/>
        </w:rPr>
      </w:pPr>
    </w:p>
    <w:p>
      <w:pPr>
        <w:spacing w:after="0" w:line="280"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21"/>
          <w:szCs w:val="21"/>
          <w:color w:val="auto"/>
        </w:rPr>
        <w:t>This option agreement (the “Option Agreement” or “Agreement”) entered into between EAGLE MATERIALS INC., a Delaware corporation (the “Company”), and ____________ (the “Optionee”), a director of the Company, with respect to</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a right (the “Option”) awarded to the Optionee under the Eagle Materials Inc. 2023 Equity Incentive Plan (the “Plan”), on August 1, 2024 (the “Award Date”) to purchase from the Company up to but not exceeding in the aggregate _________ shares of</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Common Stock (as defined in the Plan) at a price of $261.76 per share (the “Exercise Price”), such number of shares and such price per share being subject to adjustment as provided in the Plan, and further subject to the following terms and conditions:</w:t>
      </w:r>
    </w:p>
    <w:p>
      <w:pPr>
        <w:spacing w:after="0" w:line="174" w:lineRule="exact"/>
        <w:rPr>
          <w:sz w:val="20"/>
          <w:szCs w:val="20"/>
          <w:color w:val="auto"/>
        </w:rPr>
      </w:pPr>
    </w:p>
    <w:p>
      <w:pPr>
        <w:ind w:left="2260" w:hanging="755"/>
        <w:spacing w:after="0"/>
        <w:tabs>
          <w:tab w:leader="none" w:pos="22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Relationship to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623"/>
        <w:spacing w:after="0" w:line="239" w:lineRule="auto"/>
        <w:rPr>
          <w:sz w:val="20"/>
          <w:szCs w:val="20"/>
          <w:color w:val="auto"/>
        </w:rPr>
      </w:pPr>
      <w:r>
        <w:rPr>
          <w:rFonts w:ascii="Times New Roman" w:cs="Times New Roman" w:eastAsia="Times New Roman" w:hAnsi="Times New Roman"/>
          <w:sz w:val="22"/>
          <w:szCs w:val="22"/>
          <w:color w:val="auto"/>
        </w:rPr>
        <w:t>This Option is subject to all of the terms, conditions and provisions of the Plan and administrative interpretations thereunder, if any, which have been adopted by the Company’s Compensation Committee (“Committee”) and are in effect on the date hereof. Except as defined herein, capitalized terms shall have the same meanings ascribed to them under the Plan. For purposes of this Option Agreement:</w:t>
      </w:r>
    </w:p>
    <w:p>
      <w:pPr>
        <w:spacing w:after="0" w:line="194" w:lineRule="exact"/>
        <w:rPr>
          <w:sz w:val="20"/>
          <w:szCs w:val="20"/>
          <w:color w:val="auto"/>
        </w:rPr>
      </w:pPr>
    </w:p>
    <w:p>
      <w:pPr>
        <w:ind w:left="1940" w:hanging="435"/>
        <w:spacing w:after="0"/>
        <w:tabs>
          <w:tab w:leader="none" w:pos="1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Disability</w:t>
      </w:r>
      <w:r>
        <w:rPr>
          <w:rFonts w:ascii="Times New Roman" w:cs="Times New Roman" w:eastAsia="Times New Roman" w:hAnsi="Times New Roman"/>
          <w:sz w:val="20"/>
          <w:szCs w:val="20"/>
          <w:color w:val="auto"/>
        </w:rPr>
        <w:t>” shall mean a disability of the Optionee as determined by the Committee.</w:t>
      </w:r>
    </w:p>
    <w:p>
      <w:pPr>
        <w:spacing w:after="0" w:line="187" w:lineRule="exact"/>
        <w:rPr>
          <w:rFonts w:ascii="Times New Roman" w:cs="Times New Roman" w:eastAsia="Times New Roman" w:hAnsi="Times New Roman"/>
          <w:sz w:val="22"/>
          <w:szCs w:val="22"/>
          <w:color w:val="auto"/>
        </w:rPr>
      </w:pPr>
    </w:p>
    <w:p>
      <w:pPr>
        <w:jc w:val="both"/>
        <w:ind w:firstLine="1505"/>
        <w:spacing w:after="0" w:line="286" w:lineRule="auto"/>
        <w:tabs>
          <w:tab w:leader="none" w:pos="192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24" w:lineRule="exact"/>
        <w:rPr>
          <w:sz w:val="20"/>
          <w:szCs w:val="20"/>
          <w:color w:val="auto"/>
        </w:rPr>
      </w:pPr>
    </w:p>
    <w:p>
      <w:pPr>
        <w:ind w:left="2260" w:hanging="755"/>
        <w:spacing w:after="0"/>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Schedule</w:t>
      </w:r>
      <w:r>
        <w:rPr>
          <w:rFonts w:ascii="Times New Roman" w:cs="Times New Roman" w:eastAsia="Times New Roman" w:hAnsi="Times New Roman"/>
          <w:sz w:val="22"/>
          <w:szCs w:val="22"/>
          <w:b w:val="1"/>
          <w:bCs w:val="1"/>
          <w:i w:val="1"/>
          <w:iCs w:val="1"/>
          <w:color w:val="auto"/>
        </w:rPr>
        <w:t>.</w:t>
      </w:r>
    </w:p>
    <w:p>
      <w:pPr>
        <w:spacing w:after="0" w:line="208" w:lineRule="exact"/>
        <w:rPr>
          <w:sz w:val="20"/>
          <w:szCs w:val="20"/>
          <w:color w:val="auto"/>
        </w:rPr>
      </w:pPr>
    </w:p>
    <w:p>
      <w:pPr>
        <w:jc w:val="both"/>
        <w:ind w:firstLine="1505"/>
        <w:spacing w:after="0" w:line="237" w:lineRule="auto"/>
        <w:tabs>
          <w:tab w:leader="none" w:pos="195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Exercisability</w:t>
      </w:r>
      <w:r>
        <w:rPr>
          <w:rFonts w:ascii="Times New Roman" w:cs="Times New Roman" w:eastAsia="Times New Roman" w:hAnsi="Times New Roman"/>
          <w:sz w:val="22"/>
          <w:szCs w:val="22"/>
          <w:color w:val="auto"/>
        </w:rPr>
        <w:t>. The shares of Common Stock covered by this Option (“Option Shares”) shall vest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exercisable upon the earliest of (i) the one-year anniversary of the Award Date; (ii) the next annual meeting of the Company’s stockholders, which is at least 50 weeks after the immediately preceding year’s annual meeting; (iii) the Optionee’s Retirement; (iv) the Optionee’s Disability; or (v) the Optionee’s death (as applicable, the “Vesting Date”). Vested Options may be exercised in whole or in part (at any time or from time to time, except as otherwise provided herein) until expiration of the Option pursuant to the terms of this Agreement or the Plan.</w:t>
      </w:r>
    </w:p>
    <w:p>
      <w:pPr>
        <w:spacing w:after="0" w:line="175"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Section 3(c) above, if the Optionee has been in continuous service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Non-Employee Director from the Award Date through the occurrence of a Change in Control, then, in the event of the occurrence of such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22"/>
          <w:szCs w:val="22"/>
          <w:color w:val="auto"/>
        </w:rPr>
        <w:t>any vesting of the Option Shares will remain subject to the applicable provisions of the Plan, including, but not limited to, Sections 1.3 and 5.8 thereof.</w:t>
      </w:r>
    </w:p>
    <w:p>
      <w:pPr>
        <w:spacing w:after="0" w:line="154" w:lineRule="exact"/>
        <w:rPr>
          <w:sz w:val="20"/>
          <w:szCs w:val="20"/>
          <w:color w:val="auto"/>
        </w:rPr>
      </w:pPr>
    </w:p>
    <w:p>
      <w:pPr>
        <w:jc w:val="both"/>
        <w:ind w:firstLine="1505"/>
        <w:spacing w:after="0" w:line="250" w:lineRule="auto"/>
        <w:tabs>
          <w:tab w:leader="none" w:pos="192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Capital Adjustments and Corporate Events. </w:t>
      </w:r>
      <w:r>
        <w:rPr>
          <w:rFonts w:ascii="Times New Roman" w:cs="Times New Roman" w:eastAsia="Times New Roman" w:hAnsi="Times New Roman"/>
          <w:sz w:val="21"/>
          <w:szCs w:val="21"/>
          <w:color w:val="auto"/>
        </w:rPr>
        <w:t>If, from time to time during the term of the Option prior to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exercise, there is any capital adjustment affecting the outstanding Common Stock as a class without the Company’s receipt of consideration, the Option Shares and other applicable terms of this Option shall be adjusted in accordance with the provisions of Section 5.7 of the Plan.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65" w:lineRule="exact"/>
        <w:rPr>
          <w:sz w:val="20"/>
          <w:szCs w:val="20"/>
          <w:color w:val="auto"/>
        </w:rPr>
      </w:pPr>
    </w:p>
    <w:p>
      <w:pPr>
        <w:ind w:left="2260" w:hanging="755"/>
        <w:spacing w:after="0"/>
        <w:tabs>
          <w:tab w:leader="none" w:pos="2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Option.</w:t>
      </w:r>
    </w:p>
    <w:p>
      <w:pPr>
        <w:spacing w:after="0" w:line="21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The Option hereby granted shall terminate and be of no force and effect with respect to any Option Shares not previously purchased by the Optionee at the earliest time specified below:</w:t>
      </w:r>
    </w:p>
    <w:p>
      <w:pPr>
        <w:spacing w:after="0" w:line="158" w:lineRule="exact"/>
        <w:rPr>
          <w:sz w:val="20"/>
          <w:szCs w:val="20"/>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tenth anniversary of the Award Date;</w:t>
      </w:r>
    </w:p>
    <w:p>
      <w:pPr>
        <w:spacing w:after="0" w:line="20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service as a Director is terminated by the Company for “cause” (as determined by the Committee) at any time after the Award Date, then the Option shall terminate immediately upon such termination of Optionee’s service;</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service as a Director is terminated due to death, Disability or Retirement, then this Option shall terminate on the tenth anniversary of the Award Date; or</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Optionee’s service as a Director is terminated for any reason other than death, Retirement or termination for “cause,” then the Option shall terminate on the first business day following the expiration of the 90-day period beginning on the date of termination of Optionee’s service.</w:t>
      </w:r>
    </w:p>
    <w:p>
      <w:pPr>
        <w:spacing w:after="0" w:line="169" w:lineRule="exact"/>
        <w:rPr>
          <w:sz w:val="20"/>
          <w:szCs w:val="20"/>
          <w:color w:val="auto"/>
        </w:rPr>
      </w:pPr>
    </w:p>
    <w:p>
      <w:pPr>
        <w:ind w:left="2260" w:hanging="755"/>
        <w:spacing w:after="0"/>
        <w:tabs>
          <w:tab w:leader="none" w:pos="22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Option.</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Subject to the limitations set forth herein and in the Plan, this Option may be exercised by notice provided to the Company as set forth in Section 5. The payment of the Exercise Price for the Option Shares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39" w:lineRule="auto"/>
        <w:rPr>
          <w:sz w:val="20"/>
          <w:szCs w:val="20"/>
          <w:color w:val="auto"/>
        </w:rPr>
      </w:pPr>
      <w:r>
        <w:rPr>
          <w:rFonts w:ascii="Times New Roman" w:cs="Times New Roman" w:eastAsia="Times New Roman" w:hAnsi="Times New Roman"/>
          <w:sz w:val="22"/>
          <w:szCs w:val="22"/>
          <w:color w:val="auto"/>
        </w:rPr>
        <w:t>to time to the extent permitted by applicable law, or (f) by any combination thereof.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7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“Act”),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7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69" w:lineRule="exact"/>
        <w:rPr>
          <w:sz w:val="20"/>
          <w:szCs w:val="20"/>
          <w:color w:val="auto"/>
        </w:rPr>
      </w:pPr>
    </w:p>
    <w:p>
      <w:pPr>
        <w:ind w:left="2260" w:hanging="755"/>
        <w:spacing w:after="0"/>
        <w:tabs>
          <w:tab w:leader="none" w:pos="22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p>
    <w:p>
      <w:pPr>
        <w:spacing w:after="0" w:line="21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Notice of exercise of the Option must be made in the following manner, using such forms as the Company may from time to time provide:</w:t>
      </w:r>
    </w:p>
    <w:p>
      <w:pPr>
        <w:spacing w:after="0" w:line="158" w:lineRule="exact"/>
        <w:rPr>
          <w:sz w:val="20"/>
          <w:szCs w:val="20"/>
          <w:color w:val="auto"/>
        </w:rPr>
      </w:pPr>
    </w:p>
    <w:p>
      <w:pPr>
        <w:ind w:firstLine="1505"/>
        <w:spacing w:after="0" w:line="258" w:lineRule="auto"/>
        <w:tabs>
          <w:tab w:leader="none" w:pos="20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electronic means as designated by the Committee, in which case the date of exercise shall be the date when receipt is acknowledged by the Company;</w:t>
      </w:r>
    </w:p>
    <w:p>
      <w:pPr>
        <w:spacing w:after="0" w:line="158" w:lineRule="exact"/>
        <w:rPr>
          <w:rFonts w:ascii="Times New Roman" w:cs="Times New Roman" w:eastAsia="Times New Roman" w:hAnsi="Times New Roman"/>
          <w:sz w:val="22"/>
          <w:szCs w:val="22"/>
          <w:color w:val="auto"/>
        </w:rPr>
      </w:pPr>
    </w:p>
    <w:p>
      <w:pPr>
        <w:ind w:right="20" w:firstLine="1505"/>
        <w:spacing w:after="0" w:line="282" w:lineRule="auto"/>
        <w:tabs>
          <w:tab w:leader="none" w:pos="203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ind w:firstLine="1505"/>
        <w:spacing w:after="0" w:line="258"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73" w:lineRule="exact"/>
        <w:rPr>
          <w:sz w:val="20"/>
          <w:szCs w:val="20"/>
          <w:color w:val="auto"/>
        </w:rPr>
      </w:pPr>
    </w:p>
    <w:p>
      <w:pPr>
        <w:ind w:left="2260" w:hanging="755"/>
        <w:spacing w:after="0"/>
        <w:tabs>
          <w:tab w:leader="none" w:pos="22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of Option.</w:t>
      </w:r>
    </w:p>
    <w:p>
      <w:pPr>
        <w:spacing w:after="0" w:line="21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provided in this Agreement.</w:t>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and only to the extent that the Option was exercisable on the date of the Optionee’s death.</w:t>
      </w:r>
    </w:p>
    <w:p>
      <w:pPr>
        <w:spacing w:after="0" w:line="176" w:lineRule="exact"/>
        <w:rPr>
          <w:sz w:val="20"/>
          <w:szCs w:val="20"/>
          <w:color w:val="auto"/>
        </w:rPr>
      </w:pPr>
    </w:p>
    <w:p>
      <w:pPr>
        <w:ind w:left="2260" w:hanging="755"/>
        <w:spacing w:after="0"/>
        <w:tabs>
          <w:tab w:leader="none" w:pos="2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Certificates.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Certificates representing the Common Stock issued pursuant to the exercise of the Option will bear all legends required by law and necessary or advisable to effectuate the provisions of the Plan and this Option. The Company may place a “stop transfer” order against shares of the Common Stock issued pursuant to the exercise of this Option until all restrictions and conditions set forth in the Plan or this Agreement and in the legends referred to in this Section 7 have been complied with.</w:t>
      </w:r>
    </w:p>
    <w:p>
      <w:pPr>
        <w:spacing w:after="0" w:line="176" w:lineRule="exact"/>
        <w:rPr>
          <w:sz w:val="20"/>
          <w:szCs w:val="20"/>
          <w:color w:val="auto"/>
        </w:rPr>
      </w:pPr>
    </w:p>
    <w:p>
      <w:pPr>
        <w:ind w:left="2260" w:hanging="755"/>
        <w:spacing w:after="0"/>
        <w:tabs>
          <w:tab w:leader="none" w:pos="2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Shareholder Rights.</w:t>
      </w:r>
    </w:p>
    <w:p>
      <w:pPr>
        <w:spacing w:after="0" w:line="21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69" w:lineRule="exact"/>
        <w:rPr>
          <w:sz w:val="20"/>
          <w:szCs w:val="20"/>
          <w:color w:val="auto"/>
        </w:rPr>
      </w:pPr>
    </w:p>
    <w:p>
      <w:pPr>
        <w:ind w:left="2260" w:hanging="755"/>
        <w:spacing w:after="0"/>
        <w:tabs>
          <w:tab w:leader="none" w:pos="22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53" w:lineRule="exact"/>
        <w:rPr>
          <w:sz w:val="20"/>
          <w:szCs w:val="20"/>
          <w:color w:val="auto"/>
        </w:rPr>
      </w:pPr>
    </w:p>
    <w:p>
      <w:pPr>
        <w:ind w:left="2260" w:hanging="755"/>
        <w:spacing w:after="0"/>
        <w:tabs>
          <w:tab w:leader="none" w:pos="2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Service Guaranteed.</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 provision of this Option Agreement shall confer any right upon the Optionee to continued service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78" w:lineRule="exact"/>
        <w:rPr>
          <w:sz w:val="20"/>
          <w:szCs w:val="20"/>
          <w:color w:val="auto"/>
        </w:rPr>
      </w:pPr>
    </w:p>
    <w:p>
      <w:pPr>
        <w:ind w:left="2260" w:hanging="755"/>
        <w:spacing w:after="0"/>
        <w:tabs>
          <w:tab w:leader="none" w:pos="22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Option Agreement shall be governed by, construed and enforced in accordance with the laws of the State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178" w:lineRule="exact"/>
        <w:rPr>
          <w:sz w:val="20"/>
          <w:szCs w:val="20"/>
          <w:color w:val="auto"/>
        </w:rPr>
      </w:pPr>
    </w:p>
    <w:p>
      <w:pPr>
        <w:ind w:left="2260" w:hanging="755"/>
        <w:spacing w:after="0"/>
        <w:tabs>
          <w:tab w:leader="none" w:pos="22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w:t>
      </w:r>
    </w:p>
    <w:p>
      <w:pPr>
        <w:spacing w:after="0" w:line="21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This Agreement cannot be modified, altered or amended except by an agreement, in writing, signed by both the Company and the Optionee.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EAGLE MATERIALS INC.</w:t>
      </w:r>
    </w:p>
    <w:p>
      <w:pPr>
        <w:spacing w:after="0" w:line="200" w:lineRule="exact"/>
        <w:rPr>
          <w:sz w:val="20"/>
          <w:szCs w:val="20"/>
          <w:color w:val="auto"/>
        </w:rPr>
      </w:pPr>
    </w:p>
    <w:p>
      <w:pPr>
        <w:spacing w:after="0" w:line="375" w:lineRule="exact"/>
        <w:rPr>
          <w:sz w:val="20"/>
          <w:szCs w:val="20"/>
          <w:color w:val="auto"/>
        </w:rPr>
      </w:pPr>
    </w:p>
    <w:tbl>
      <w:tblPr>
        <w:tblLayout w:type="fixed"/>
        <w:tblInd w:w="4900" w:type="dxa"/>
        <w:tblCellMar>
          <w:top w:w="0" w:type="dxa"/>
          <w:left w:w="0" w:type="dxa"/>
          <w:bottom w:w="0" w:type="dxa"/>
          <w:right w:w="0" w:type="dxa"/>
        </w:tblCellMar>
      </w:tblP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33"/>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Michael R. Haack</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501"/>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Address:</w:t>
            </w: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5960 Berkshire Ln., Suite 900</w:t>
            </w:r>
          </w:p>
        </w:tc>
      </w:tr>
      <w:tr>
        <w:trPr>
          <w:trHeight w:val="282"/>
        </w:trPr>
        <w:tc>
          <w:tcPr>
            <w:tcW w:w="1080" w:type="dxa"/>
            <w:vAlign w:val="bottom"/>
          </w:tcPr>
          <w:p>
            <w:pPr>
              <w:spacing w:after="0"/>
              <w:rPr>
                <w:sz w:val="24"/>
                <w:szCs w:val="24"/>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Dallas, Texas 75225</w:t>
            </w:r>
          </w:p>
        </w:tc>
      </w:tr>
    </w:tbl>
    <w:p>
      <w:pPr>
        <w:spacing w:after="0" w:line="19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Optionee hereby accepts the foregoing Option Agreement, subject to the terms and provisions of the Plan and administrative interpretations thereof referred to above.</w:t>
      </w:r>
    </w:p>
    <w:p>
      <w:pPr>
        <w:spacing w:after="0" w:line="1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ind w:left="4600"/>
        <w:spacing w:after="0"/>
        <w:tabs>
          <w:tab w:leader="none" w:pos="5760" w:val="left"/>
        </w:tabs>
        <w:rPr>
          <w:sz w:val="20"/>
          <w:szCs w:val="20"/>
          <w:color w:val="auto"/>
        </w:rPr>
      </w:pPr>
      <w:r>
        <w:rPr>
          <w:rFonts w:ascii="Times New Roman" w:cs="Times New Roman" w:eastAsia="Times New Roman" w:hAnsi="Times New Roman"/>
          <w:sz w:val="21"/>
          <w:szCs w:val="21"/>
          <w:color w:val="auto"/>
        </w:rPr>
        <w:t>Signed:</w:t>
      </w:r>
      <w:r>
        <w:rPr>
          <w:sz w:val="20"/>
          <w:szCs w:val="20"/>
          <w:color w:val="auto"/>
        </w:rPr>
        <w:tab/>
      </w:r>
      <w:r>
        <w:rPr>
          <w:rFonts w:ascii="Times New Roman" w:cs="Times New Roman" w:eastAsia="Times New Roman" w:hAnsi="Times New Roman"/>
          <w:sz w:val="21"/>
          <w:szCs w:val="21"/>
          <w:color w:val="auto"/>
        </w:rPr>
        <w:t>_____________________________________</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272415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39"/>
          </w:cols>
          <w:pgMar w:left="620" w:top="1422" w:right="1440" w:bottom="1440" w:gutter="0" w:footer="0" w:header="0"/>
        </w:sectPr>
      </w:pPr>
    </w:p>
    <w:bookmarkStart w:id="53" w:name="page54"/>
    <w:bookmarkEnd w:id="5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17"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52"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8"/>
          <w:szCs w:val="18"/>
          <w:color w:val="auto"/>
        </w:rPr>
        <w:t>By</w:t>
        <w:tab/>
        <w:t>/s/ Michael R. Haack</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-127635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17"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Eagle Materials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8"/>
        <w:spacing w:after="0" w:line="266"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firstLine="8"/>
        <w:spacing w:after="0" w:line="282" w:lineRule="auto"/>
        <w:tabs>
          <w:tab w:leader="none" w:pos="1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sz w:val="20"/>
          <w:szCs w:val="20"/>
          <w:color w:val="auto"/>
        </w:rPr>
      </w:pPr>
    </w:p>
    <w:p>
      <w:pPr>
        <w:ind w:firstLine="8"/>
        <w:spacing w:after="0" w:line="282" w:lineRule="auto"/>
        <w:tabs>
          <w:tab w:leader="none" w:pos="1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3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26060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September 30, 2024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2" w:lineRule="exact"/>
        <w:rPr>
          <w:sz w:val="20"/>
          <w:szCs w:val="20"/>
          <w:color w:val="auto"/>
        </w:rPr>
      </w:pPr>
    </w:p>
    <w:p>
      <w:pPr>
        <w:ind w:left="640" w:hanging="37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3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26060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Michael R. Haack</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Eagle Materials Inc. and subsidiaries (the “Company”) on Form 10-Q for the period ended September 30, 2024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640" w:hanging="37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2024</w:t>
      </w:r>
    </w:p>
    <w:p>
      <w:pPr>
        <w:spacing w:after="0" w:line="239"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26035</wp:posOffset>
            </wp:positionV>
            <wp:extent cx="26060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 Craig Kesler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613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EX-95</w:t>
      </w:r>
      <w:r>
        <w:rPr>
          <w:rFonts w:ascii="Times New Roman" w:cs="Times New Roman" w:eastAsia="Times New Roman" w:hAnsi="Times New Roman"/>
          <w:sz w:val="18"/>
          <w:szCs w:val="18"/>
          <w:b w:val="1"/>
          <w:bCs w:val="1"/>
          <w:i w:val="1"/>
          <w:iCs w:val="1"/>
          <w:color w:val="000000"/>
        </w:rPr>
        <w:t>Exhibit 95</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w:t>
      </w:r>
    </w:p>
    <w:p>
      <w:pPr>
        <w:spacing w:after="0" w:line="238" w:lineRule="exact"/>
        <w:rPr>
          <w:sz w:val="20"/>
          <w:szCs w:val="20"/>
          <w:color w:val="auto"/>
        </w:rPr>
      </w:pPr>
    </w:p>
    <w:p>
      <w:pPr>
        <w:ind w:left="640" w:right="340"/>
        <w:spacing w:after="0" w:line="269" w:lineRule="auto"/>
        <w:rPr>
          <w:sz w:val="20"/>
          <w:szCs w:val="20"/>
          <w:color w:val="auto"/>
        </w:rPr>
      </w:pPr>
      <w:r>
        <w:rPr>
          <w:rFonts w:ascii="Times New Roman" w:cs="Times New Roman" w:eastAsia="Times New Roman" w:hAnsi="Times New Roman"/>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September 30, 2024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940" w:type="dxa"/>
            <w:vAlign w:val="bottom"/>
            <w:tcBorders>
              <w:top w:val="single" w:sz="8" w:color="auto"/>
              <w:left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rPr>
              <w:t>Received</w:t>
            </w:r>
          </w:p>
        </w:tc>
        <w:tc>
          <w:tcPr>
            <w:tcW w:w="720" w:type="dxa"/>
            <w:vAlign w:val="bottom"/>
            <w:tcBorders>
              <w:top w:val="single" w:sz="8" w:color="auto"/>
              <w:right w:val="single" w:sz="8" w:color="auto"/>
            </w:tcBorders>
          </w:tcPr>
          <w:p>
            <w:pPr>
              <w:ind w:left="120"/>
              <w:spacing w:after="0" w:line="156" w:lineRule="exact"/>
              <w:rPr>
                <w:sz w:val="20"/>
                <w:szCs w:val="20"/>
                <w:color w:val="auto"/>
              </w:rPr>
            </w:pPr>
            <w:r>
              <w:rPr>
                <w:rFonts w:ascii="Times New Roman" w:cs="Times New Roman" w:eastAsia="Times New Roman" w:hAnsi="Times New Roman"/>
                <w:sz w:val="14"/>
                <w:szCs w:val="14"/>
                <w:color w:val="auto"/>
              </w:rPr>
              <w:t>Receive</w:t>
            </w:r>
          </w:p>
        </w:tc>
        <w:tc>
          <w:tcPr>
            <w:tcW w:w="8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 Notice</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4"/>
              </w:rPr>
              <w:t>Total</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Mine or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Section</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Dollar</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7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Have</w:t>
            </w: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Pattern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Name/MSH</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 Under</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8"/>
        </w:trPr>
        <w:tc>
          <w:tcPr>
            <w:tcW w:w="9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7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8"/>
              </w:rPr>
              <w:t>S&amp;S</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Assessm</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Section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Section</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of Last</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9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Identificati</w:t>
            </w:r>
          </w:p>
        </w:tc>
        <w:tc>
          <w:tcPr>
            <w:tcW w:w="7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Citation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and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220" w:type="dxa"/>
            <w:vAlign w:val="bottom"/>
          </w:tcPr>
          <w:p>
            <w:pPr>
              <w:spacing w:after="0"/>
              <w:rPr>
                <w:sz w:val="12"/>
                <w:szCs w:val="12"/>
                <w:color w:val="auto"/>
              </w:rPr>
            </w:pPr>
          </w:p>
        </w:tc>
        <w:tc>
          <w:tcPr>
            <w:tcW w:w="540" w:type="dxa"/>
            <w:vAlign w:val="bottom"/>
            <w:tcBorders>
              <w:right w:val="single" w:sz="8" w:color="auto"/>
            </w:tcBorders>
          </w:tcPr>
          <w:p>
            <w:pPr>
              <w:jc w:val="center"/>
              <w:ind w:right="188"/>
              <w:spacing w:after="0" w:line="149" w:lineRule="exact"/>
              <w:rPr>
                <w:sz w:val="20"/>
                <w:szCs w:val="20"/>
                <w:color w:val="auto"/>
              </w:rPr>
            </w:pPr>
            <w:r>
              <w:rPr>
                <w:rFonts w:ascii="Times New Roman" w:cs="Times New Roman" w:eastAsia="Times New Roman" w:hAnsi="Times New Roman"/>
                <w:sz w:val="14"/>
                <w:szCs w:val="14"/>
                <w:color w:val="auto"/>
              </w:rPr>
              <w:t>ents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Fatalitie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Day of</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81"/>
        </w:trPr>
        <w:tc>
          <w:tcPr>
            <w:tcW w:w="9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on 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ns</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Orders</w:t>
            </w:r>
          </w:p>
        </w:tc>
        <w:tc>
          <w:tcPr>
            <w:tcW w:w="7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Proposed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36"/>
        </w:trPr>
        <w:tc>
          <w:tcPr>
            <w:tcW w:w="940" w:type="dxa"/>
            <w:vAlign w:val="bottom"/>
            <w:tcBorders>
              <w:left w:val="single" w:sz="8" w:color="D9E2F3"/>
              <w:right w:val="single" w:sz="8" w:color="auto"/>
            </w:tcBorders>
            <w:shd w:val="clear" w:color="auto" w:fill="D9E2F3"/>
          </w:tcPr>
          <w:p>
            <w:pPr>
              <w:ind w:left="120"/>
              <w:spacing w:after="0" w:line="136" w:lineRule="exact"/>
              <w:rPr>
                <w:sz w:val="20"/>
                <w:szCs w:val="20"/>
                <w:color w:val="auto"/>
              </w:rPr>
            </w:pPr>
            <w:r>
              <w:rPr>
                <w:rFonts w:ascii="Times New Roman" w:cs="Times New Roman" w:eastAsia="Times New Roman" w:hAnsi="Times New Roman"/>
                <w:sz w:val="14"/>
                <w:szCs w:val="14"/>
                <w:color w:val="auto"/>
              </w:rPr>
              <w:t>3D</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Concrete</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Lander, NV</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(2602434)</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3D</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Concrete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Lyon,</w:t>
            </w:r>
          </w:p>
        </w:tc>
        <w:tc>
          <w:tcPr>
            <w:tcW w:w="7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Nevada</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(2602412)</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Albuquerqu</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e, NM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(2900181)</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right w:val="single" w:sz="8" w:color="auto"/>
            </w:tcBorders>
            <w:vMerge w:val="continue"/>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Duke, OK</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(3400256)</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American</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Gypsum</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20" w:type="dxa"/>
            <w:vAlign w:val="bottom"/>
            <w:vMerge w:val="continue"/>
            <w:shd w:val="clear" w:color="auto" w:fill="D9E2F3"/>
          </w:tcPr>
          <w:p>
            <w:pPr>
              <w:spacing w:after="0"/>
              <w:rPr>
                <w:sz w:val="9"/>
                <w:szCs w:val="9"/>
                <w:color w:val="auto"/>
              </w:rPr>
            </w:pP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20" w:type="dxa"/>
            <w:vAlign w:val="bottom"/>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Eagle, CO</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(0503997)</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Battletown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Quarry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Battletown,</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(1500040)</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Centex</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(4102241)</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w w:val="97"/>
                <w:vertAlign w:val="subscript"/>
              </w:rPr>
              <w:t>1</w:t>
            </w:r>
            <w:r>
              <w:rPr>
                <w:rFonts w:ascii="Times New Roman" w:cs="Times New Roman" w:eastAsia="Times New Roman" w:hAnsi="Times New Roman"/>
                <w:sz w:val="9"/>
                <w:szCs w:val="9"/>
                <w:color w:val="auto"/>
                <w:w w:val="97"/>
              </w:rPr>
              <w:t>(1)</w:t>
            </w:r>
          </w:p>
        </w:tc>
        <w:tc>
          <w:tcPr>
            <w:tcW w:w="0" w:type="dxa"/>
            <w:vAlign w:val="bottom"/>
          </w:tcPr>
          <w:p>
            <w:pPr>
              <w:spacing w:after="0"/>
              <w:rPr>
                <w:sz w:val="1"/>
                <w:szCs w:val="1"/>
                <w:color w:val="auto"/>
              </w:rPr>
            </w:pPr>
          </w:p>
        </w:tc>
      </w:tr>
      <w:tr>
        <w:trPr>
          <w:trHeight w:val="85"/>
        </w:trPr>
        <w:tc>
          <w:tcPr>
            <w:tcW w:w="940" w:type="dxa"/>
            <w:vAlign w:val="bottom"/>
            <w:tcBorders>
              <w:right w:val="single" w:sz="8" w:color="auto"/>
            </w:tcBorders>
          </w:tcPr>
          <w:p>
            <w:pPr>
              <w:ind w:left="120"/>
              <w:spacing w:after="0" w:line="85" w:lineRule="exact"/>
              <w:rPr>
                <w:sz w:val="20"/>
                <w:szCs w:val="20"/>
                <w:color w:val="auto"/>
              </w:rPr>
            </w:pPr>
            <w:r>
              <w:rPr>
                <w:rFonts w:ascii="Times New Roman" w:cs="Times New Roman" w:eastAsia="Times New Roman" w:hAnsi="Times New Roman"/>
                <w:sz w:val="9"/>
                <w:szCs w:val="9"/>
                <w:color w:val="auto"/>
              </w:rPr>
              <w:t>LLC</w:t>
            </w:r>
          </w:p>
        </w:tc>
        <w:tc>
          <w:tcPr>
            <w:tcW w:w="70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Sugar</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Creek, MO</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(2302171)</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Central</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Plains</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right"/>
              <w:ind w:right="232"/>
              <w:spacing w:after="0" w:line="297" w:lineRule="exact"/>
              <w:rPr>
                <w:sz w:val="20"/>
                <w:szCs w:val="20"/>
                <w:color w:val="auto"/>
              </w:rPr>
            </w:pP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220" w:type="dxa"/>
            <w:vAlign w:val="bottom"/>
            <w:vMerge w:val="continue"/>
            <w:shd w:val="clear" w:color="auto" w:fill="D9E2F3"/>
          </w:tcPr>
          <w:p>
            <w:pPr>
              <w:spacing w:after="0"/>
              <w:rPr>
                <w:sz w:val="12"/>
                <w:szCs w:val="12"/>
                <w:color w:val="auto"/>
              </w:rPr>
            </w:pPr>
          </w:p>
        </w:tc>
        <w:tc>
          <w:tcPr>
            <w:tcW w:w="54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Tulsa,</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OK</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(3400026)</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Fairborn</w:t>
            </w: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Greene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County, OH</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(3300161)</w:t>
            </w:r>
          </w:p>
        </w:tc>
        <w:tc>
          <w:tcPr>
            <w:tcW w:w="7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left w:val="single" w:sz="8" w:color="D9E2F3"/>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Illinois</w:t>
            </w:r>
          </w:p>
        </w:tc>
        <w:tc>
          <w:tcPr>
            <w:tcW w:w="70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220" w:type="dxa"/>
            <w:vAlign w:val="bottom"/>
            <w:shd w:val="clear" w:color="auto" w:fill="D9E2F3"/>
          </w:tcPr>
          <w:p>
            <w:pPr>
              <w:spacing w:after="0"/>
              <w:rPr>
                <w:sz w:val="11"/>
                <w:szCs w:val="11"/>
                <w:color w:val="auto"/>
              </w:rPr>
            </w:pPr>
          </w:p>
        </w:tc>
        <w:tc>
          <w:tcPr>
            <w:tcW w:w="54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vMerge w:val="restart"/>
            <w:shd w:val="clear" w:color="auto" w:fill="D9E2F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940" w:type="dxa"/>
            <w:vAlign w:val="bottom"/>
            <w:tcBorders>
              <w:left w:val="single" w:sz="8" w:color="D9E2F3"/>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8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680" w:type="dxa"/>
            <w:vAlign w:val="bottom"/>
            <w:tcBorders>
              <w:right w:val="single" w:sz="8" w:color="auto"/>
            </w:tcBorders>
            <w:vMerge w:val="continue"/>
            <w:shd w:val="clear" w:color="auto" w:fill="D9E2F3"/>
          </w:tcPr>
          <w:p>
            <w:pPr>
              <w:spacing w:after="0"/>
              <w:rPr>
                <w:sz w:val="9"/>
                <w:szCs w:val="9"/>
                <w:color w:val="auto"/>
              </w:rPr>
            </w:pPr>
          </w:p>
        </w:tc>
        <w:tc>
          <w:tcPr>
            <w:tcW w:w="220" w:type="dxa"/>
            <w:vAlign w:val="bottom"/>
            <w:vMerge w:val="continue"/>
            <w:shd w:val="clear" w:color="auto" w:fill="D9E2F3"/>
          </w:tcPr>
          <w:p>
            <w:pPr>
              <w:spacing w:after="0"/>
              <w:rPr>
                <w:sz w:val="9"/>
                <w:szCs w:val="9"/>
                <w:color w:val="auto"/>
              </w:rPr>
            </w:pPr>
          </w:p>
        </w:tc>
        <w:tc>
          <w:tcPr>
            <w:tcW w:w="54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continue"/>
            <w:shd w:val="clear" w:color="auto" w:fill="D9E2F3"/>
          </w:tcPr>
          <w:p>
            <w:pPr>
              <w:spacing w:after="0"/>
              <w:rPr>
                <w:sz w:val="9"/>
                <w:szCs w:val="9"/>
                <w:color w:val="auto"/>
              </w:rPr>
            </w:pPr>
          </w:p>
        </w:tc>
        <w:tc>
          <w:tcPr>
            <w:tcW w:w="760" w:type="dxa"/>
            <w:vAlign w:val="bottom"/>
            <w:tcBorders>
              <w:right w:val="single" w:sz="8" w:color="auto"/>
            </w:tcBorders>
            <w:vMerge w:val="continue"/>
            <w:shd w:val="clear" w:color="auto" w:fill="D9E2F3"/>
          </w:tcPr>
          <w:p>
            <w:pPr>
              <w:spacing w:after="0"/>
              <w:rPr>
                <w:sz w:val="9"/>
                <w:szCs w:val="9"/>
                <w:color w:val="auto"/>
              </w:rPr>
            </w:pPr>
          </w:p>
        </w:tc>
        <w:tc>
          <w:tcPr>
            <w:tcW w:w="720" w:type="dxa"/>
            <w:vAlign w:val="bottom"/>
            <w:tcBorders>
              <w:right w:val="single" w:sz="8" w:color="auto"/>
            </w:tcBorders>
            <w:vMerge w:val="continue"/>
            <w:shd w:val="clear" w:color="auto" w:fill="D9E2F3"/>
          </w:tcPr>
          <w:p>
            <w:pPr>
              <w:spacing w:after="0"/>
              <w:rPr>
                <w:sz w:val="9"/>
                <w:szCs w:val="9"/>
                <w:color w:val="auto"/>
              </w:rPr>
            </w:pPr>
          </w:p>
        </w:tc>
        <w:tc>
          <w:tcPr>
            <w:tcW w:w="800" w:type="dxa"/>
            <w:vAlign w:val="bottom"/>
            <w:tcBorders>
              <w:right w:val="single" w:sz="8" w:color="auto"/>
            </w:tcBorders>
            <w:vMerge w:val="continue"/>
            <w:shd w:val="clear" w:color="auto" w:fill="D9E2F3"/>
          </w:tcPr>
          <w:p>
            <w:pPr>
              <w:spacing w:after="0"/>
              <w:rPr>
                <w:sz w:val="9"/>
                <w:szCs w:val="9"/>
                <w:color w:val="auto"/>
              </w:rPr>
            </w:pPr>
          </w:p>
        </w:tc>
        <w:tc>
          <w:tcPr>
            <w:tcW w:w="820" w:type="dxa"/>
            <w:vAlign w:val="bottom"/>
            <w:tcBorders>
              <w:right w:val="single" w:sz="8" w:color="auto"/>
            </w:tcBorders>
            <w:vMerge w:val="continue"/>
            <w:shd w:val="clear" w:color="auto" w:fill="D9E2F3"/>
          </w:tcPr>
          <w:p>
            <w:pPr>
              <w:spacing w:after="0"/>
              <w:rPr>
                <w:sz w:val="9"/>
                <w:szCs w:val="9"/>
                <w:color w:val="auto"/>
              </w:rPr>
            </w:pPr>
          </w:p>
        </w:tc>
        <w:tc>
          <w:tcPr>
            <w:tcW w:w="840" w:type="dxa"/>
            <w:vAlign w:val="bottom"/>
            <w:tcBorders>
              <w:right w:val="single" w:sz="8" w:color="auto"/>
            </w:tcBorders>
            <w:vMerge w:val="continue"/>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40" w:type="dxa"/>
            <w:vAlign w:val="bottom"/>
            <w:tcBorders>
              <w:left w:val="single" w:sz="8" w:color="D9E2F3"/>
              <w:right w:val="single" w:sz="8" w:color="auto"/>
            </w:tcBorders>
            <w:vMerge w:val="continue"/>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220" w:type="dxa"/>
            <w:vAlign w:val="bottom"/>
            <w:shd w:val="clear" w:color="auto" w:fill="D9E2F3"/>
          </w:tcPr>
          <w:p>
            <w:pPr>
              <w:spacing w:after="0"/>
              <w:rPr>
                <w:sz w:val="3"/>
                <w:szCs w:val="3"/>
                <w:color w:val="auto"/>
              </w:rPr>
            </w:pPr>
          </w:p>
        </w:tc>
        <w:tc>
          <w:tcPr>
            <w:tcW w:w="54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940" w:type="dxa"/>
            <w:vAlign w:val="bottom"/>
            <w:tcBorders>
              <w:left w:val="single" w:sz="8" w:color="D9E2F3"/>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LaSalle, IL</w:t>
            </w:r>
          </w:p>
        </w:tc>
        <w:tc>
          <w:tcPr>
            <w:tcW w:w="70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220" w:type="dxa"/>
            <w:vAlign w:val="bottom"/>
            <w:shd w:val="clear" w:color="auto" w:fill="D9E2F3"/>
          </w:tcPr>
          <w:p>
            <w:pPr>
              <w:spacing w:after="0"/>
              <w:rPr>
                <w:sz w:val="12"/>
                <w:szCs w:val="12"/>
                <w:color w:val="auto"/>
              </w:rPr>
            </w:pPr>
          </w:p>
        </w:tc>
        <w:tc>
          <w:tcPr>
            <w:tcW w:w="54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40" w:type="dxa"/>
            <w:vAlign w:val="bottom"/>
            <w:tcBorders>
              <w:left w:val="single" w:sz="8" w:color="D9E2F3"/>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(1100003)</w:t>
            </w: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220" w:type="dxa"/>
            <w:vAlign w:val="bottom"/>
            <w:tcBorders>
              <w:bottom w:val="single" w:sz="8" w:color="auto"/>
            </w:tcBorders>
            <w:shd w:val="clear" w:color="auto" w:fill="D9E2F3"/>
          </w:tcPr>
          <w:p>
            <w:pPr>
              <w:spacing w:after="0"/>
              <w:rPr>
                <w:sz w:val="16"/>
                <w:szCs w:val="16"/>
                <w:color w:val="auto"/>
              </w:rPr>
            </w:pPr>
          </w:p>
        </w:tc>
        <w:tc>
          <w:tcPr>
            <w:tcW w:w="54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40" w:type="dxa"/>
            <w:vAlign w:val="bottom"/>
            <w:tcBorders>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Kosmos</w:t>
            </w:r>
          </w:p>
        </w:tc>
        <w:tc>
          <w:tcPr>
            <w:tcW w:w="7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7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22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tcPr>
          <w:p>
            <w:pPr>
              <w:jc w:val="right"/>
              <w:ind w:right="88"/>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no</w:t>
            </w:r>
          </w:p>
        </w:tc>
        <w:tc>
          <w:tcPr>
            <w:tcW w:w="7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no</w:t>
            </w:r>
          </w:p>
        </w:tc>
        <w:tc>
          <w:tcPr>
            <w:tcW w:w="8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LLC</w:t>
            </w:r>
          </w:p>
        </w:tc>
        <w:tc>
          <w:tcPr>
            <w:tcW w:w="7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9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0140"/>
          </w:cols>
          <w:pgMar w:left="760" w:top="1427" w:right="999" w:bottom="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85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6130" cy="38595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Jefferson,</w:t>
            </w:r>
          </w:p>
        </w:tc>
        <w:tc>
          <w:tcPr>
            <w:tcW w:w="7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KY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(1504469)</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Mountain</w:t>
            </w:r>
          </w:p>
        </w:tc>
        <w:tc>
          <w:tcPr>
            <w:tcW w:w="72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340" w:type="dxa"/>
            <w:vAlign w:val="bottom"/>
            <w:shd w:val="clear" w:color="auto" w:fill="D9E2F3"/>
          </w:tcPr>
          <w:p>
            <w:pPr>
              <w:spacing w:after="0"/>
              <w:rPr>
                <w:sz w:val="11"/>
                <w:szCs w:val="11"/>
                <w:color w:val="auto"/>
              </w:rPr>
            </w:pPr>
          </w:p>
        </w:tc>
        <w:tc>
          <w:tcPr>
            <w:tcW w:w="42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vMerge w:val="restart"/>
            <w:shd w:val="clear" w:color="auto" w:fill="D9E2F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vMerge w:val="restart"/>
            <w:shd w:val="clear" w:color="auto" w:fill="D9E2F3"/>
          </w:tcPr>
          <w:p>
            <w:pPr>
              <w:jc w:val="right"/>
              <w:ind w:right="12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shd w:val="clear" w:color="auto" w:fill="D9E2F3"/>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ind w:left="14"/>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1</w:t>
            </w:r>
            <w:r>
              <w:rPr>
                <w:rFonts w:ascii="Times New Roman" w:cs="Times New Roman" w:eastAsia="Times New Roman" w:hAnsi="Times New Roman"/>
                <w:sz w:val="10"/>
                <w:szCs w:val="10"/>
                <w:color w:val="auto"/>
                <w:w w:val="85"/>
              </w:rPr>
              <w:t>(1)</w:t>
            </w:r>
          </w:p>
        </w:tc>
        <w:tc>
          <w:tcPr>
            <w:tcW w:w="840" w:type="dxa"/>
            <w:vAlign w:val="bottom"/>
            <w:tcBorders>
              <w:right w:val="single" w:sz="8" w:color="auto"/>
            </w:tcBorders>
            <w:vMerge w:val="restart"/>
            <w:shd w:val="clear" w:color="auto" w:fill="D9E2F3"/>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2</w:t>
            </w: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8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680" w:type="dxa"/>
            <w:vAlign w:val="bottom"/>
            <w:tcBorders>
              <w:right w:val="single" w:sz="8" w:color="auto"/>
            </w:tcBorders>
            <w:vMerge w:val="continue"/>
            <w:shd w:val="clear" w:color="auto" w:fill="D9E2F3"/>
          </w:tcPr>
          <w:p>
            <w:pPr>
              <w:spacing w:after="0"/>
              <w:rPr>
                <w:sz w:val="12"/>
                <w:szCs w:val="12"/>
                <w:color w:val="auto"/>
              </w:rPr>
            </w:pPr>
          </w:p>
        </w:tc>
        <w:tc>
          <w:tcPr>
            <w:tcW w:w="340" w:type="dxa"/>
            <w:vAlign w:val="bottom"/>
            <w:vMerge w:val="continue"/>
            <w:shd w:val="clear" w:color="auto" w:fill="D9E2F3"/>
          </w:tcPr>
          <w:p>
            <w:pPr>
              <w:spacing w:after="0"/>
              <w:rPr>
                <w:sz w:val="12"/>
                <w:szCs w:val="12"/>
                <w:color w:val="auto"/>
              </w:rPr>
            </w:pPr>
          </w:p>
        </w:tc>
        <w:tc>
          <w:tcPr>
            <w:tcW w:w="420" w:type="dxa"/>
            <w:vAlign w:val="bottom"/>
            <w:tcBorders>
              <w:right w:val="single" w:sz="8" w:color="auto"/>
            </w:tcBorders>
            <w:vMerge w:val="continue"/>
            <w:shd w:val="clear" w:color="auto" w:fill="D9E2F3"/>
          </w:tcPr>
          <w:p>
            <w:pPr>
              <w:spacing w:after="0"/>
              <w:rPr>
                <w:sz w:val="12"/>
                <w:szCs w:val="12"/>
                <w:color w:val="auto"/>
              </w:rPr>
            </w:pPr>
          </w:p>
        </w:tc>
        <w:tc>
          <w:tcPr>
            <w:tcW w:w="700" w:type="dxa"/>
            <w:vAlign w:val="bottom"/>
            <w:tcBorders>
              <w:right w:val="single" w:sz="8" w:color="auto"/>
            </w:tcBorders>
            <w:vMerge w:val="continue"/>
            <w:shd w:val="clear" w:color="auto" w:fill="D9E2F3"/>
          </w:tcPr>
          <w:p>
            <w:pPr>
              <w:spacing w:after="0"/>
              <w:rPr>
                <w:sz w:val="12"/>
                <w:szCs w:val="12"/>
                <w:color w:val="auto"/>
              </w:rPr>
            </w:pPr>
          </w:p>
        </w:tc>
        <w:tc>
          <w:tcPr>
            <w:tcW w:w="760" w:type="dxa"/>
            <w:vAlign w:val="bottom"/>
            <w:tcBorders>
              <w:right w:val="single" w:sz="8" w:color="auto"/>
            </w:tcBorders>
            <w:vMerge w:val="continue"/>
            <w:shd w:val="clear" w:color="auto" w:fill="D9E2F3"/>
          </w:tcPr>
          <w:p>
            <w:pPr>
              <w:spacing w:after="0"/>
              <w:rPr>
                <w:sz w:val="12"/>
                <w:szCs w:val="12"/>
                <w:color w:val="auto"/>
              </w:rPr>
            </w:pPr>
          </w:p>
        </w:tc>
        <w:tc>
          <w:tcPr>
            <w:tcW w:w="720" w:type="dxa"/>
            <w:vAlign w:val="bottom"/>
            <w:tcBorders>
              <w:right w:val="single" w:sz="8" w:color="auto"/>
            </w:tcBorders>
            <w:vMerge w:val="continue"/>
            <w:shd w:val="clear" w:color="auto" w:fill="D9E2F3"/>
          </w:tcPr>
          <w:p>
            <w:pPr>
              <w:spacing w:after="0"/>
              <w:rPr>
                <w:sz w:val="12"/>
                <w:szCs w:val="12"/>
                <w:color w:val="auto"/>
              </w:rPr>
            </w:pPr>
          </w:p>
        </w:tc>
        <w:tc>
          <w:tcPr>
            <w:tcW w:w="800" w:type="dxa"/>
            <w:vAlign w:val="bottom"/>
            <w:tcBorders>
              <w:right w:val="single" w:sz="8" w:color="auto"/>
            </w:tcBorders>
            <w:vMerge w:val="continue"/>
            <w:shd w:val="clear" w:color="auto" w:fill="D9E2F3"/>
          </w:tcPr>
          <w:p>
            <w:pPr>
              <w:spacing w:after="0"/>
              <w:rPr>
                <w:sz w:val="12"/>
                <w:szCs w:val="12"/>
                <w:color w:val="auto"/>
              </w:rPr>
            </w:pPr>
          </w:p>
        </w:tc>
        <w:tc>
          <w:tcPr>
            <w:tcW w:w="820" w:type="dxa"/>
            <w:vAlign w:val="bottom"/>
            <w:tcBorders>
              <w:right w:val="single" w:sz="8" w:color="auto"/>
            </w:tcBorders>
            <w:vMerge w:val="continue"/>
            <w:shd w:val="clear" w:color="auto" w:fill="D9E2F3"/>
          </w:tcPr>
          <w:p>
            <w:pPr>
              <w:spacing w:after="0"/>
              <w:rPr>
                <w:sz w:val="12"/>
                <w:szCs w:val="12"/>
                <w:color w:val="auto"/>
              </w:rPr>
            </w:pPr>
          </w:p>
        </w:tc>
        <w:tc>
          <w:tcPr>
            <w:tcW w:w="840" w:type="dxa"/>
            <w:vAlign w:val="bottom"/>
            <w:tcBorders>
              <w:right w:val="single" w:sz="8" w:color="auto"/>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Laramie,</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WY</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shd w:val="clear" w:color="auto" w:fill="D9E2F3"/>
          </w:tcPr>
          <w:p>
            <w:pPr>
              <w:spacing w:after="0"/>
              <w:rPr>
                <w:sz w:val="12"/>
                <w:szCs w:val="12"/>
                <w:color w:val="auto"/>
              </w:rPr>
            </w:pP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(4800007)</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340" w:type="dxa"/>
            <w:vAlign w:val="bottom"/>
            <w:tcBorders>
              <w:bottom w:val="single" w:sz="8" w:color="auto"/>
            </w:tcBorders>
            <w:shd w:val="clear" w:color="auto" w:fill="D9E2F3"/>
          </w:tcPr>
          <w:p>
            <w:pPr>
              <w:spacing w:after="0"/>
              <w:rPr>
                <w:sz w:val="16"/>
                <w:szCs w:val="16"/>
                <w:color w:val="auto"/>
              </w:rPr>
            </w:pPr>
          </w:p>
        </w:tc>
        <w:tc>
          <w:tcPr>
            <w:tcW w:w="42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Nevada</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line="297" w:lineRule="exact"/>
              <w:rPr>
                <w:sz w:val="20"/>
                <w:szCs w:val="20"/>
                <w:color w:val="auto"/>
              </w:rPr>
            </w:pPr>
            <w:r>
              <w:rPr>
                <w:rFonts w:ascii="Times New Roman" w:cs="Times New Roman" w:eastAsia="Times New Roman" w:hAnsi="Times New Roman"/>
                <w:sz w:val="28"/>
                <w:szCs w:val="28"/>
                <w:color w:val="auto"/>
                <w:w w:val="85"/>
                <w:vertAlign w:val="subscript"/>
              </w:rPr>
              <w:t>3</w:t>
            </w:r>
            <w:r>
              <w:rPr>
                <w:rFonts w:ascii="Times New Roman" w:cs="Times New Roman" w:eastAsia="Times New Roman" w:hAnsi="Times New Roman"/>
                <w:sz w:val="10"/>
                <w:szCs w:val="10"/>
                <w:color w:val="auto"/>
                <w:w w:val="85"/>
              </w:rPr>
              <w:t>(1)</w:t>
            </w:r>
          </w:p>
        </w:tc>
        <w:tc>
          <w:tcPr>
            <w:tcW w:w="82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LLC</w:t>
            </w:r>
          </w:p>
        </w:tc>
        <w:tc>
          <w:tcPr>
            <w:tcW w:w="7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Fernley,</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NV</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(2600015)</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shd w:val="clear" w:color="auto" w:fill="D9E2F3"/>
          </w:tcPr>
          <w:p>
            <w:pPr>
              <w:ind w:left="120"/>
              <w:spacing w:after="0" w:line="133" w:lineRule="exact"/>
              <w:rPr>
                <w:sz w:val="20"/>
                <w:szCs w:val="20"/>
                <w:color w:val="auto"/>
              </w:rPr>
            </w:pPr>
            <w:r>
              <w:rPr>
                <w:rFonts w:ascii="Times New Roman" w:cs="Times New Roman" w:eastAsia="Times New Roman" w:hAnsi="Times New Roman"/>
                <w:sz w:val="14"/>
                <w:szCs w:val="14"/>
                <w:color w:val="auto"/>
              </w:rPr>
              <w:t>Seguin</w:t>
            </w:r>
          </w:p>
        </w:tc>
        <w:tc>
          <w:tcPr>
            <w:tcW w:w="72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8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680" w:type="dxa"/>
            <w:vAlign w:val="bottom"/>
            <w:tcBorders>
              <w:right w:val="single" w:sz="8" w:color="auto"/>
            </w:tcBorders>
            <w:shd w:val="clear" w:color="auto" w:fill="D9E2F3"/>
          </w:tcPr>
          <w:p>
            <w:pPr>
              <w:spacing w:after="0"/>
              <w:rPr>
                <w:sz w:val="11"/>
                <w:szCs w:val="11"/>
                <w:color w:val="auto"/>
              </w:rPr>
            </w:pPr>
          </w:p>
        </w:tc>
        <w:tc>
          <w:tcPr>
            <w:tcW w:w="340" w:type="dxa"/>
            <w:vAlign w:val="bottom"/>
            <w:shd w:val="clear" w:color="auto" w:fill="D9E2F3"/>
          </w:tcPr>
          <w:p>
            <w:pPr>
              <w:spacing w:after="0"/>
              <w:rPr>
                <w:sz w:val="11"/>
                <w:szCs w:val="11"/>
                <w:color w:val="auto"/>
              </w:rPr>
            </w:pPr>
          </w:p>
        </w:tc>
        <w:tc>
          <w:tcPr>
            <w:tcW w:w="420" w:type="dxa"/>
            <w:vAlign w:val="bottom"/>
            <w:tcBorders>
              <w:right w:val="single" w:sz="8" w:color="auto"/>
            </w:tcBorders>
            <w:shd w:val="clear" w:color="auto" w:fill="D9E2F3"/>
          </w:tcPr>
          <w:p>
            <w:pPr>
              <w:spacing w:after="0"/>
              <w:rPr>
                <w:sz w:val="11"/>
                <w:szCs w:val="11"/>
                <w:color w:val="auto"/>
              </w:rPr>
            </w:pPr>
          </w:p>
        </w:tc>
        <w:tc>
          <w:tcPr>
            <w:tcW w:w="700" w:type="dxa"/>
            <w:vAlign w:val="bottom"/>
            <w:tcBorders>
              <w:right w:val="single" w:sz="8" w:color="auto"/>
            </w:tcBorders>
            <w:shd w:val="clear" w:color="auto" w:fill="D9E2F3"/>
          </w:tcPr>
          <w:p>
            <w:pPr>
              <w:spacing w:after="0"/>
              <w:rPr>
                <w:sz w:val="11"/>
                <w:szCs w:val="11"/>
                <w:color w:val="auto"/>
              </w:rPr>
            </w:pPr>
          </w:p>
        </w:tc>
        <w:tc>
          <w:tcPr>
            <w:tcW w:w="760" w:type="dxa"/>
            <w:vAlign w:val="bottom"/>
            <w:tcBorders>
              <w:right w:val="single" w:sz="8" w:color="auto"/>
            </w:tcBorders>
            <w:shd w:val="clear" w:color="auto" w:fill="D9E2F3"/>
          </w:tcPr>
          <w:p>
            <w:pPr>
              <w:spacing w:after="0"/>
              <w:rPr>
                <w:sz w:val="11"/>
                <w:szCs w:val="11"/>
                <w:color w:val="auto"/>
              </w:rPr>
            </w:pPr>
          </w:p>
        </w:tc>
        <w:tc>
          <w:tcPr>
            <w:tcW w:w="720" w:type="dxa"/>
            <w:vAlign w:val="bottom"/>
            <w:tcBorders>
              <w:right w:val="single" w:sz="8" w:color="auto"/>
            </w:tcBorders>
            <w:shd w:val="clear" w:color="auto" w:fill="D9E2F3"/>
          </w:tcPr>
          <w:p>
            <w:pPr>
              <w:spacing w:after="0"/>
              <w:rPr>
                <w:sz w:val="11"/>
                <w:szCs w:val="11"/>
                <w:color w:val="auto"/>
              </w:rPr>
            </w:pPr>
          </w:p>
        </w:tc>
        <w:tc>
          <w:tcPr>
            <w:tcW w:w="800" w:type="dxa"/>
            <w:vAlign w:val="bottom"/>
            <w:tcBorders>
              <w:right w:val="single" w:sz="8" w:color="auto"/>
            </w:tcBorders>
            <w:shd w:val="clear" w:color="auto" w:fill="D9E2F3"/>
          </w:tcPr>
          <w:p>
            <w:pPr>
              <w:spacing w:after="0"/>
              <w:rPr>
                <w:sz w:val="11"/>
                <w:szCs w:val="11"/>
                <w:color w:val="auto"/>
              </w:rPr>
            </w:pPr>
          </w:p>
        </w:tc>
        <w:tc>
          <w:tcPr>
            <w:tcW w:w="820" w:type="dxa"/>
            <w:vAlign w:val="bottom"/>
            <w:tcBorders>
              <w:right w:val="single" w:sz="8" w:color="auto"/>
            </w:tcBorders>
            <w:shd w:val="clear" w:color="auto" w:fill="D9E2F3"/>
          </w:tcPr>
          <w:p>
            <w:pPr>
              <w:spacing w:after="0"/>
              <w:rPr>
                <w:sz w:val="11"/>
                <w:szCs w:val="11"/>
                <w:color w:val="auto"/>
              </w:rPr>
            </w:pPr>
          </w:p>
        </w:tc>
        <w:tc>
          <w:tcPr>
            <w:tcW w:w="840" w:type="dxa"/>
            <w:vAlign w:val="bottom"/>
            <w:tcBorders>
              <w:right w:val="single" w:sz="8" w:color="auto"/>
            </w:tcBorders>
            <w:shd w:val="clear" w:color="auto" w:fill="D9E2F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Sand</w:t>
            </w:r>
          </w:p>
        </w:tc>
        <w:tc>
          <w:tcPr>
            <w:tcW w:w="72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8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680" w:type="dxa"/>
            <w:vAlign w:val="bottom"/>
            <w:tcBorders>
              <w:right w:val="single" w:sz="8" w:color="auto"/>
            </w:tcBorders>
            <w:shd w:val="clear" w:color="auto" w:fill="D9E2F3"/>
          </w:tcPr>
          <w:p>
            <w:pPr>
              <w:spacing w:after="0"/>
              <w:rPr>
                <w:sz w:val="12"/>
                <w:szCs w:val="12"/>
                <w:color w:val="auto"/>
              </w:rPr>
            </w:pPr>
          </w:p>
        </w:tc>
        <w:tc>
          <w:tcPr>
            <w:tcW w:w="340" w:type="dxa"/>
            <w:vAlign w:val="bottom"/>
            <w:shd w:val="clear" w:color="auto" w:fill="D9E2F3"/>
          </w:tcPr>
          <w:p>
            <w:pPr>
              <w:spacing w:after="0"/>
              <w:rPr>
                <w:sz w:val="12"/>
                <w:szCs w:val="12"/>
                <w:color w:val="auto"/>
              </w:rPr>
            </w:pPr>
          </w:p>
        </w:tc>
        <w:tc>
          <w:tcPr>
            <w:tcW w:w="420" w:type="dxa"/>
            <w:vAlign w:val="bottom"/>
            <w:tcBorders>
              <w:right w:val="single" w:sz="8" w:color="auto"/>
            </w:tcBorders>
            <w:vMerge w:val="restart"/>
            <w:shd w:val="clear" w:color="auto" w:fill="D9E2F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D9E2F3"/>
          </w:tcPr>
          <w:p>
            <w:pPr>
              <w:spacing w:after="0"/>
              <w:rPr>
                <w:sz w:val="12"/>
                <w:szCs w:val="12"/>
                <w:color w:val="auto"/>
              </w:rPr>
            </w:pPr>
          </w:p>
        </w:tc>
        <w:tc>
          <w:tcPr>
            <w:tcW w:w="760" w:type="dxa"/>
            <w:vAlign w:val="bottom"/>
            <w:tcBorders>
              <w:right w:val="single" w:sz="8" w:color="auto"/>
            </w:tcBorders>
            <w:shd w:val="clear" w:color="auto" w:fill="D9E2F3"/>
          </w:tcPr>
          <w:p>
            <w:pPr>
              <w:spacing w:after="0"/>
              <w:rPr>
                <w:sz w:val="12"/>
                <w:szCs w:val="12"/>
                <w:color w:val="auto"/>
              </w:rPr>
            </w:pPr>
          </w:p>
        </w:tc>
        <w:tc>
          <w:tcPr>
            <w:tcW w:w="720" w:type="dxa"/>
            <w:vAlign w:val="bottom"/>
            <w:tcBorders>
              <w:right w:val="single" w:sz="8" w:color="auto"/>
            </w:tcBorders>
            <w:shd w:val="clear" w:color="auto" w:fill="D9E2F3"/>
          </w:tcPr>
          <w:p>
            <w:pPr>
              <w:spacing w:after="0"/>
              <w:rPr>
                <w:sz w:val="12"/>
                <w:szCs w:val="12"/>
                <w:color w:val="auto"/>
              </w:rPr>
            </w:pPr>
          </w:p>
        </w:tc>
        <w:tc>
          <w:tcPr>
            <w:tcW w:w="800" w:type="dxa"/>
            <w:vAlign w:val="bottom"/>
            <w:tcBorders>
              <w:right w:val="single" w:sz="8" w:color="auto"/>
            </w:tcBorders>
            <w:shd w:val="clear" w:color="auto" w:fill="D9E2F3"/>
          </w:tcPr>
          <w:p>
            <w:pPr>
              <w:spacing w:after="0"/>
              <w:rPr>
                <w:sz w:val="12"/>
                <w:szCs w:val="12"/>
                <w:color w:val="auto"/>
              </w:rPr>
            </w:pPr>
          </w:p>
        </w:tc>
        <w:tc>
          <w:tcPr>
            <w:tcW w:w="820" w:type="dxa"/>
            <w:vAlign w:val="bottom"/>
            <w:tcBorders>
              <w:right w:val="single" w:sz="8" w:color="auto"/>
            </w:tcBorders>
            <w:shd w:val="clear" w:color="auto" w:fill="D9E2F3"/>
          </w:tcPr>
          <w:p>
            <w:pPr>
              <w:spacing w:after="0"/>
              <w:rPr>
                <w:sz w:val="12"/>
                <w:szCs w:val="12"/>
                <w:color w:val="auto"/>
              </w:rPr>
            </w:pPr>
          </w:p>
        </w:tc>
        <w:tc>
          <w:tcPr>
            <w:tcW w:w="840" w:type="dxa"/>
            <w:vAlign w:val="bottom"/>
            <w:tcBorders>
              <w:right w:val="single" w:sz="8" w:color="auto"/>
            </w:tcBorders>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Guadalupe,</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shd w:val="clear" w:color="auto" w:fill="D9E2F3"/>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shd w:val="clear" w:color="auto" w:fill="D9E2F3"/>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340" w:type="dxa"/>
            <w:vAlign w:val="bottom"/>
            <w:vMerge w:val="restart"/>
            <w:shd w:val="clear" w:color="auto" w:fill="D9E2F3"/>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420" w:type="dxa"/>
            <w:vAlign w:val="bottom"/>
            <w:tcBorders>
              <w:right w:val="single" w:sz="8" w:color="auto"/>
            </w:tcBorders>
            <w:vMerge w:val="continue"/>
            <w:shd w:val="clear" w:color="auto" w:fill="D9E2F3"/>
          </w:tcPr>
          <w:p>
            <w:pPr>
              <w:spacing w:after="0"/>
              <w:rPr>
                <w:sz w:val="9"/>
                <w:szCs w:val="9"/>
                <w:color w:val="auto"/>
              </w:rPr>
            </w:pPr>
          </w:p>
        </w:tc>
        <w:tc>
          <w:tcPr>
            <w:tcW w:w="700" w:type="dxa"/>
            <w:vAlign w:val="bottom"/>
            <w:tcBorders>
              <w:right w:val="single" w:sz="8" w:color="auto"/>
            </w:tcBorders>
            <w:vMerge w:val="restart"/>
            <w:shd w:val="clear" w:color="auto" w:fill="D9E2F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shd w:val="clear" w:color="auto" w:fill="D9E2F3"/>
          </w:tcPr>
          <w:p>
            <w:pPr>
              <w:ind w:left="30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shd w:val="clear" w:color="auto" w:fill="D9E2F3"/>
          </w:tcPr>
          <w:p>
            <w:pPr>
              <w:ind w:left="280"/>
              <w:spacing w:after="0" w:line="149" w:lineRule="exact"/>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shd w:val="clear" w:color="auto" w:fill="D9E2F3"/>
          </w:tcPr>
          <w:p>
            <w:pPr>
              <w:jc w:val="center"/>
              <w:ind w:left="34"/>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shd w:val="clear" w:color="auto" w:fill="D9E2F3"/>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780" w:type="dxa"/>
            <w:vAlign w:val="bottom"/>
            <w:tcBorders>
              <w:right w:val="single" w:sz="8" w:color="auto"/>
            </w:tcBorders>
            <w:vMerge w:val="continue"/>
            <w:shd w:val="clear" w:color="auto" w:fill="D9E2F3"/>
          </w:tcPr>
          <w:p>
            <w:pPr>
              <w:spacing w:after="0"/>
              <w:rPr>
                <w:sz w:val="3"/>
                <w:szCs w:val="3"/>
                <w:color w:val="auto"/>
              </w:rPr>
            </w:pPr>
          </w:p>
        </w:tc>
        <w:tc>
          <w:tcPr>
            <w:tcW w:w="780" w:type="dxa"/>
            <w:vAlign w:val="bottom"/>
            <w:tcBorders>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680" w:type="dxa"/>
            <w:vAlign w:val="bottom"/>
            <w:tcBorders>
              <w:right w:val="single" w:sz="8" w:color="auto"/>
            </w:tcBorders>
            <w:vMerge w:val="continue"/>
            <w:shd w:val="clear" w:color="auto" w:fill="D9E2F3"/>
          </w:tcPr>
          <w:p>
            <w:pPr>
              <w:spacing w:after="0"/>
              <w:rPr>
                <w:sz w:val="3"/>
                <w:szCs w:val="3"/>
                <w:color w:val="auto"/>
              </w:rPr>
            </w:pPr>
          </w:p>
        </w:tc>
        <w:tc>
          <w:tcPr>
            <w:tcW w:w="340" w:type="dxa"/>
            <w:vAlign w:val="bottom"/>
            <w:vMerge w:val="continue"/>
            <w:shd w:val="clear" w:color="auto" w:fill="D9E2F3"/>
          </w:tcPr>
          <w:p>
            <w:pPr>
              <w:spacing w:after="0"/>
              <w:rPr>
                <w:sz w:val="3"/>
                <w:szCs w:val="3"/>
                <w:color w:val="auto"/>
              </w:rPr>
            </w:pPr>
          </w:p>
        </w:tc>
        <w:tc>
          <w:tcPr>
            <w:tcW w:w="42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vMerge w:val="continue"/>
            <w:shd w:val="clear" w:color="auto" w:fill="D9E2F3"/>
          </w:tcPr>
          <w:p>
            <w:pPr>
              <w:spacing w:after="0"/>
              <w:rPr>
                <w:sz w:val="3"/>
                <w:szCs w:val="3"/>
                <w:color w:val="auto"/>
              </w:rPr>
            </w:pPr>
          </w:p>
        </w:tc>
        <w:tc>
          <w:tcPr>
            <w:tcW w:w="760" w:type="dxa"/>
            <w:vAlign w:val="bottom"/>
            <w:tcBorders>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vMerge w:val="continue"/>
            <w:shd w:val="clear" w:color="auto" w:fill="D9E2F3"/>
          </w:tcPr>
          <w:p>
            <w:pPr>
              <w:spacing w:after="0"/>
              <w:rPr>
                <w:sz w:val="3"/>
                <w:szCs w:val="3"/>
                <w:color w:val="auto"/>
              </w:rPr>
            </w:pPr>
          </w:p>
        </w:tc>
        <w:tc>
          <w:tcPr>
            <w:tcW w:w="800" w:type="dxa"/>
            <w:vAlign w:val="bottom"/>
            <w:tcBorders>
              <w:right w:val="single" w:sz="8" w:color="auto"/>
            </w:tcBorders>
            <w:vMerge w:val="continue"/>
            <w:shd w:val="clear" w:color="auto" w:fill="D9E2F3"/>
          </w:tcPr>
          <w:p>
            <w:pPr>
              <w:spacing w:after="0"/>
              <w:rPr>
                <w:sz w:val="3"/>
                <w:szCs w:val="3"/>
                <w:color w:val="auto"/>
              </w:rPr>
            </w:pPr>
          </w:p>
        </w:tc>
        <w:tc>
          <w:tcPr>
            <w:tcW w:w="820" w:type="dxa"/>
            <w:vAlign w:val="bottom"/>
            <w:tcBorders>
              <w:right w:val="single" w:sz="8" w:color="auto"/>
            </w:tcBorders>
            <w:vMerge w:val="continue"/>
            <w:shd w:val="clear" w:color="auto" w:fill="D9E2F3"/>
          </w:tcPr>
          <w:p>
            <w:pPr>
              <w:spacing w:after="0"/>
              <w:rPr>
                <w:sz w:val="3"/>
                <w:szCs w:val="3"/>
                <w:color w:val="auto"/>
              </w:rPr>
            </w:pPr>
          </w:p>
        </w:tc>
        <w:tc>
          <w:tcPr>
            <w:tcW w:w="840" w:type="dxa"/>
            <w:vAlign w:val="bottom"/>
            <w:tcBorders>
              <w:right w:val="single" w:sz="8" w:color="auto"/>
            </w:tcBorders>
            <w:vMerge w:val="continue"/>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920" w:type="dxa"/>
            <w:vAlign w:val="bottom"/>
            <w:tcBorders>
              <w:left w:val="single" w:sz="8" w:color="auto"/>
              <w:right w:val="single" w:sz="8" w:color="auto"/>
            </w:tcBorders>
            <w:vMerge w:val="restart"/>
            <w:shd w:val="clear" w:color="auto" w:fill="D9E2F3"/>
          </w:tcPr>
          <w:p>
            <w:pPr>
              <w:ind w:left="120"/>
              <w:spacing w:after="0" w:line="149" w:lineRule="exact"/>
              <w:rPr>
                <w:sz w:val="20"/>
                <w:szCs w:val="20"/>
                <w:color w:val="auto"/>
              </w:rPr>
            </w:pPr>
            <w:r>
              <w:rPr>
                <w:rFonts w:ascii="Times New Roman" w:cs="Times New Roman" w:eastAsia="Times New Roman" w:hAnsi="Times New Roman"/>
                <w:sz w:val="14"/>
                <w:szCs w:val="14"/>
                <w:color w:val="auto"/>
              </w:rPr>
              <w:t>TX</w:t>
            </w:r>
          </w:p>
        </w:tc>
        <w:tc>
          <w:tcPr>
            <w:tcW w:w="72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80" w:type="dxa"/>
            <w:vAlign w:val="bottom"/>
            <w:tcBorders>
              <w:right w:val="single" w:sz="8" w:color="auto"/>
            </w:tcBorders>
            <w:shd w:val="clear" w:color="auto" w:fill="D9E2F3"/>
          </w:tcPr>
          <w:p>
            <w:pPr>
              <w:spacing w:after="0"/>
              <w:rPr>
                <w:sz w:val="9"/>
                <w:szCs w:val="9"/>
                <w:color w:val="auto"/>
              </w:rPr>
            </w:pPr>
          </w:p>
        </w:tc>
        <w:tc>
          <w:tcPr>
            <w:tcW w:w="720" w:type="dxa"/>
            <w:vAlign w:val="bottom"/>
            <w:tcBorders>
              <w:right w:val="single" w:sz="8" w:color="auto"/>
            </w:tcBorders>
            <w:shd w:val="clear" w:color="auto" w:fill="D9E2F3"/>
          </w:tcPr>
          <w:p>
            <w:pPr>
              <w:spacing w:after="0"/>
              <w:rPr>
                <w:sz w:val="9"/>
                <w:szCs w:val="9"/>
                <w:color w:val="auto"/>
              </w:rPr>
            </w:pPr>
          </w:p>
        </w:tc>
        <w:tc>
          <w:tcPr>
            <w:tcW w:w="680" w:type="dxa"/>
            <w:vAlign w:val="bottom"/>
            <w:tcBorders>
              <w:right w:val="single" w:sz="8" w:color="auto"/>
            </w:tcBorders>
            <w:shd w:val="clear" w:color="auto" w:fill="D9E2F3"/>
          </w:tcPr>
          <w:p>
            <w:pPr>
              <w:spacing w:after="0"/>
              <w:rPr>
                <w:sz w:val="9"/>
                <w:szCs w:val="9"/>
                <w:color w:val="auto"/>
              </w:rPr>
            </w:pPr>
          </w:p>
        </w:tc>
        <w:tc>
          <w:tcPr>
            <w:tcW w:w="340" w:type="dxa"/>
            <w:vAlign w:val="bottom"/>
            <w:vMerge w:val="continue"/>
            <w:shd w:val="clear" w:color="auto" w:fill="D9E2F3"/>
          </w:tcPr>
          <w:p>
            <w:pPr>
              <w:spacing w:after="0"/>
              <w:rPr>
                <w:sz w:val="9"/>
                <w:szCs w:val="9"/>
                <w:color w:val="auto"/>
              </w:rPr>
            </w:pPr>
          </w:p>
        </w:tc>
        <w:tc>
          <w:tcPr>
            <w:tcW w:w="420" w:type="dxa"/>
            <w:vAlign w:val="bottom"/>
            <w:tcBorders>
              <w:right w:val="single" w:sz="8" w:color="auto"/>
            </w:tcBorders>
            <w:shd w:val="clear" w:color="auto" w:fill="D9E2F3"/>
          </w:tcPr>
          <w:p>
            <w:pPr>
              <w:spacing w:after="0"/>
              <w:rPr>
                <w:sz w:val="9"/>
                <w:szCs w:val="9"/>
                <w:color w:val="auto"/>
              </w:rPr>
            </w:pPr>
          </w:p>
        </w:tc>
        <w:tc>
          <w:tcPr>
            <w:tcW w:w="700" w:type="dxa"/>
            <w:vAlign w:val="bottom"/>
            <w:tcBorders>
              <w:right w:val="single" w:sz="8" w:color="auto"/>
            </w:tcBorders>
            <w:shd w:val="clear" w:color="auto" w:fill="D9E2F3"/>
          </w:tcPr>
          <w:p>
            <w:pPr>
              <w:spacing w:after="0"/>
              <w:rPr>
                <w:sz w:val="9"/>
                <w:szCs w:val="9"/>
                <w:color w:val="auto"/>
              </w:rPr>
            </w:pPr>
          </w:p>
        </w:tc>
        <w:tc>
          <w:tcPr>
            <w:tcW w:w="760" w:type="dxa"/>
            <w:vAlign w:val="bottom"/>
            <w:tcBorders>
              <w:right w:val="single" w:sz="8" w:color="auto"/>
            </w:tcBorders>
            <w:shd w:val="clear" w:color="auto" w:fill="D9E2F3"/>
          </w:tcPr>
          <w:p>
            <w:pPr>
              <w:spacing w:after="0"/>
              <w:rPr>
                <w:sz w:val="9"/>
                <w:szCs w:val="9"/>
                <w:color w:val="auto"/>
              </w:rPr>
            </w:pPr>
          </w:p>
        </w:tc>
        <w:tc>
          <w:tcPr>
            <w:tcW w:w="720" w:type="dxa"/>
            <w:vAlign w:val="bottom"/>
            <w:tcBorders>
              <w:right w:val="single" w:sz="8" w:color="auto"/>
            </w:tcBorders>
            <w:shd w:val="clear" w:color="auto" w:fill="D9E2F3"/>
          </w:tcPr>
          <w:p>
            <w:pPr>
              <w:spacing w:after="0"/>
              <w:rPr>
                <w:sz w:val="9"/>
                <w:szCs w:val="9"/>
                <w:color w:val="auto"/>
              </w:rPr>
            </w:pPr>
          </w:p>
        </w:tc>
        <w:tc>
          <w:tcPr>
            <w:tcW w:w="800" w:type="dxa"/>
            <w:vAlign w:val="bottom"/>
            <w:tcBorders>
              <w:right w:val="single" w:sz="8" w:color="auto"/>
            </w:tcBorders>
            <w:shd w:val="clear" w:color="auto" w:fill="D9E2F3"/>
          </w:tcPr>
          <w:p>
            <w:pPr>
              <w:spacing w:after="0"/>
              <w:rPr>
                <w:sz w:val="9"/>
                <w:szCs w:val="9"/>
                <w:color w:val="auto"/>
              </w:rPr>
            </w:pPr>
          </w:p>
        </w:tc>
        <w:tc>
          <w:tcPr>
            <w:tcW w:w="820" w:type="dxa"/>
            <w:vAlign w:val="bottom"/>
            <w:tcBorders>
              <w:right w:val="single" w:sz="8" w:color="auto"/>
            </w:tcBorders>
            <w:shd w:val="clear" w:color="auto" w:fill="D9E2F3"/>
          </w:tcPr>
          <w:p>
            <w:pPr>
              <w:spacing w:after="0"/>
              <w:rPr>
                <w:sz w:val="9"/>
                <w:szCs w:val="9"/>
                <w:color w:val="auto"/>
              </w:rPr>
            </w:pPr>
          </w:p>
        </w:tc>
        <w:tc>
          <w:tcPr>
            <w:tcW w:w="840" w:type="dxa"/>
            <w:vAlign w:val="bottom"/>
            <w:tcBorders>
              <w:right w:val="single" w:sz="8" w:color="auto"/>
            </w:tcBorders>
            <w:shd w:val="clear" w:color="auto" w:fill="D9E2F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right w:val="single" w:sz="8" w:color="auto"/>
            </w:tcBorders>
            <w:vMerge w:val="continue"/>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8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680" w:type="dxa"/>
            <w:vAlign w:val="bottom"/>
            <w:tcBorders>
              <w:right w:val="single" w:sz="8" w:color="auto"/>
            </w:tcBorders>
            <w:shd w:val="clear" w:color="auto" w:fill="D9E2F3"/>
          </w:tcPr>
          <w:p>
            <w:pPr>
              <w:spacing w:after="0"/>
              <w:rPr>
                <w:sz w:val="3"/>
                <w:szCs w:val="3"/>
                <w:color w:val="auto"/>
              </w:rPr>
            </w:pPr>
          </w:p>
        </w:tc>
        <w:tc>
          <w:tcPr>
            <w:tcW w:w="340" w:type="dxa"/>
            <w:vAlign w:val="bottom"/>
            <w:shd w:val="clear" w:color="auto" w:fill="D9E2F3"/>
          </w:tcPr>
          <w:p>
            <w:pPr>
              <w:spacing w:after="0"/>
              <w:rPr>
                <w:sz w:val="3"/>
                <w:szCs w:val="3"/>
                <w:color w:val="auto"/>
              </w:rPr>
            </w:pPr>
          </w:p>
        </w:tc>
        <w:tc>
          <w:tcPr>
            <w:tcW w:w="420" w:type="dxa"/>
            <w:vAlign w:val="bottom"/>
            <w:tcBorders>
              <w:right w:val="single" w:sz="8" w:color="auto"/>
            </w:tcBorders>
            <w:shd w:val="clear" w:color="auto" w:fill="D9E2F3"/>
          </w:tcPr>
          <w:p>
            <w:pPr>
              <w:spacing w:after="0"/>
              <w:rPr>
                <w:sz w:val="3"/>
                <w:szCs w:val="3"/>
                <w:color w:val="auto"/>
              </w:rPr>
            </w:pPr>
          </w:p>
        </w:tc>
        <w:tc>
          <w:tcPr>
            <w:tcW w:w="700" w:type="dxa"/>
            <w:vAlign w:val="bottom"/>
            <w:tcBorders>
              <w:right w:val="single" w:sz="8" w:color="auto"/>
            </w:tcBorders>
            <w:shd w:val="clear" w:color="auto" w:fill="D9E2F3"/>
          </w:tcPr>
          <w:p>
            <w:pPr>
              <w:spacing w:after="0"/>
              <w:rPr>
                <w:sz w:val="3"/>
                <w:szCs w:val="3"/>
                <w:color w:val="auto"/>
              </w:rPr>
            </w:pPr>
          </w:p>
        </w:tc>
        <w:tc>
          <w:tcPr>
            <w:tcW w:w="760" w:type="dxa"/>
            <w:vAlign w:val="bottom"/>
            <w:tcBorders>
              <w:right w:val="single" w:sz="8" w:color="auto"/>
            </w:tcBorders>
            <w:shd w:val="clear" w:color="auto" w:fill="D9E2F3"/>
          </w:tcPr>
          <w:p>
            <w:pPr>
              <w:spacing w:after="0"/>
              <w:rPr>
                <w:sz w:val="3"/>
                <w:szCs w:val="3"/>
                <w:color w:val="auto"/>
              </w:rPr>
            </w:pPr>
          </w:p>
        </w:tc>
        <w:tc>
          <w:tcPr>
            <w:tcW w:w="720" w:type="dxa"/>
            <w:vAlign w:val="bottom"/>
            <w:tcBorders>
              <w:right w:val="single" w:sz="8" w:color="auto"/>
            </w:tcBorders>
            <w:shd w:val="clear" w:color="auto" w:fill="D9E2F3"/>
          </w:tcPr>
          <w:p>
            <w:pPr>
              <w:spacing w:after="0"/>
              <w:rPr>
                <w:sz w:val="3"/>
                <w:szCs w:val="3"/>
                <w:color w:val="auto"/>
              </w:rPr>
            </w:pPr>
          </w:p>
        </w:tc>
        <w:tc>
          <w:tcPr>
            <w:tcW w:w="800" w:type="dxa"/>
            <w:vAlign w:val="bottom"/>
            <w:tcBorders>
              <w:right w:val="single" w:sz="8" w:color="auto"/>
            </w:tcBorders>
            <w:shd w:val="clear" w:color="auto" w:fill="D9E2F3"/>
          </w:tcPr>
          <w:p>
            <w:pPr>
              <w:spacing w:after="0"/>
              <w:rPr>
                <w:sz w:val="3"/>
                <w:szCs w:val="3"/>
                <w:color w:val="auto"/>
              </w:rPr>
            </w:pPr>
          </w:p>
        </w:tc>
        <w:tc>
          <w:tcPr>
            <w:tcW w:w="820" w:type="dxa"/>
            <w:vAlign w:val="bottom"/>
            <w:tcBorders>
              <w:right w:val="single" w:sz="8" w:color="auto"/>
            </w:tcBorders>
            <w:shd w:val="clear" w:color="auto" w:fill="D9E2F3"/>
          </w:tcPr>
          <w:p>
            <w:pPr>
              <w:spacing w:after="0"/>
              <w:rPr>
                <w:sz w:val="3"/>
                <w:szCs w:val="3"/>
                <w:color w:val="auto"/>
              </w:rPr>
            </w:pPr>
          </w:p>
        </w:tc>
        <w:tc>
          <w:tcPr>
            <w:tcW w:w="840" w:type="dxa"/>
            <w:vAlign w:val="bottom"/>
            <w:tcBorders>
              <w:right w:val="single" w:sz="8" w:color="auto"/>
            </w:tcBorders>
            <w:shd w:val="clear" w:color="auto" w:fill="D9E2F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shd w:val="clear" w:color="auto" w:fill="D9E2F3"/>
          </w:tcPr>
          <w:p>
            <w:pPr>
              <w:ind w:left="120"/>
              <w:spacing w:after="0"/>
              <w:rPr>
                <w:sz w:val="20"/>
                <w:szCs w:val="20"/>
                <w:color w:val="auto"/>
              </w:rPr>
            </w:pPr>
            <w:r>
              <w:rPr>
                <w:rFonts w:ascii="Times New Roman" w:cs="Times New Roman" w:eastAsia="Times New Roman" w:hAnsi="Times New Roman"/>
                <w:sz w:val="14"/>
                <w:szCs w:val="14"/>
                <w:color w:val="auto"/>
              </w:rPr>
              <w:t>(4105665)</w:t>
            </w: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8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680" w:type="dxa"/>
            <w:vAlign w:val="bottom"/>
            <w:tcBorders>
              <w:bottom w:val="single" w:sz="8" w:color="auto"/>
              <w:right w:val="single" w:sz="8" w:color="auto"/>
            </w:tcBorders>
            <w:shd w:val="clear" w:color="auto" w:fill="D9E2F3"/>
          </w:tcPr>
          <w:p>
            <w:pPr>
              <w:spacing w:after="0"/>
              <w:rPr>
                <w:sz w:val="16"/>
                <w:szCs w:val="16"/>
                <w:color w:val="auto"/>
              </w:rPr>
            </w:pPr>
          </w:p>
        </w:tc>
        <w:tc>
          <w:tcPr>
            <w:tcW w:w="340" w:type="dxa"/>
            <w:vAlign w:val="bottom"/>
            <w:tcBorders>
              <w:bottom w:val="single" w:sz="8" w:color="auto"/>
            </w:tcBorders>
            <w:shd w:val="clear" w:color="auto" w:fill="D9E2F3"/>
          </w:tcPr>
          <w:p>
            <w:pPr>
              <w:spacing w:after="0"/>
              <w:rPr>
                <w:sz w:val="16"/>
                <w:szCs w:val="16"/>
                <w:color w:val="auto"/>
              </w:rPr>
            </w:pPr>
          </w:p>
        </w:tc>
        <w:tc>
          <w:tcPr>
            <w:tcW w:w="420" w:type="dxa"/>
            <w:vAlign w:val="bottom"/>
            <w:tcBorders>
              <w:bottom w:val="single" w:sz="8" w:color="auto"/>
              <w:right w:val="single" w:sz="8" w:color="auto"/>
            </w:tcBorders>
            <w:shd w:val="clear" w:color="auto" w:fill="D9E2F3"/>
          </w:tcPr>
          <w:p>
            <w:pPr>
              <w:spacing w:after="0"/>
              <w:rPr>
                <w:sz w:val="16"/>
                <w:szCs w:val="16"/>
                <w:color w:val="auto"/>
              </w:rPr>
            </w:pPr>
          </w:p>
        </w:tc>
        <w:tc>
          <w:tcPr>
            <w:tcW w:w="700" w:type="dxa"/>
            <w:vAlign w:val="bottom"/>
            <w:tcBorders>
              <w:bottom w:val="single" w:sz="8" w:color="auto"/>
              <w:right w:val="single" w:sz="8" w:color="auto"/>
            </w:tcBorders>
            <w:shd w:val="clear" w:color="auto" w:fill="D9E2F3"/>
          </w:tcPr>
          <w:p>
            <w:pPr>
              <w:spacing w:after="0"/>
              <w:rPr>
                <w:sz w:val="16"/>
                <w:szCs w:val="16"/>
                <w:color w:val="auto"/>
              </w:rPr>
            </w:pPr>
          </w:p>
        </w:tc>
        <w:tc>
          <w:tcPr>
            <w:tcW w:w="760" w:type="dxa"/>
            <w:vAlign w:val="bottom"/>
            <w:tcBorders>
              <w:bottom w:val="single" w:sz="8" w:color="auto"/>
              <w:right w:val="single" w:sz="8" w:color="auto"/>
            </w:tcBorders>
            <w:shd w:val="clear" w:color="auto" w:fill="D9E2F3"/>
          </w:tcPr>
          <w:p>
            <w:pPr>
              <w:spacing w:after="0"/>
              <w:rPr>
                <w:sz w:val="16"/>
                <w:szCs w:val="16"/>
                <w:color w:val="auto"/>
              </w:rPr>
            </w:pPr>
          </w:p>
        </w:tc>
        <w:tc>
          <w:tcPr>
            <w:tcW w:w="720" w:type="dxa"/>
            <w:vAlign w:val="bottom"/>
            <w:tcBorders>
              <w:bottom w:val="single" w:sz="8" w:color="auto"/>
              <w:right w:val="single" w:sz="8" w:color="auto"/>
            </w:tcBorders>
            <w:shd w:val="clear" w:color="auto" w:fill="D9E2F3"/>
          </w:tcPr>
          <w:p>
            <w:pPr>
              <w:spacing w:after="0"/>
              <w:rPr>
                <w:sz w:val="16"/>
                <w:szCs w:val="16"/>
                <w:color w:val="auto"/>
              </w:rPr>
            </w:pPr>
          </w:p>
        </w:tc>
        <w:tc>
          <w:tcPr>
            <w:tcW w:w="800" w:type="dxa"/>
            <w:vAlign w:val="bottom"/>
            <w:tcBorders>
              <w:bottom w:val="single" w:sz="8" w:color="auto"/>
              <w:right w:val="single" w:sz="8" w:color="auto"/>
            </w:tcBorders>
            <w:shd w:val="clear" w:color="auto" w:fill="D9E2F3"/>
          </w:tcPr>
          <w:p>
            <w:pPr>
              <w:spacing w:after="0"/>
              <w:rPr>
                <w:sz w:val="16"/>
                <w:szCs w:val="16"/>
                <w:color w:val="auto"/>
              </w:rPr>
            </w:pPr>
          </w:p>
        </w:tc>
        <w:tc>
          <w:tcPr>
            <w:tcW w:w="820" w:type="dxa"/>
            <w:vAlign w:val="bottom"/>
            <w:tcBorders>
              <w:bottom w:val="single" w:sz="8" w:color="auto"/>
              <w:right w:val="single" w:sz="8" w:color="auto"/>
            </w:tcBorders>
            <w:shd w:val="clear" w:color="auto" w:fill="D9E2F3"/>
          </w:tcPr>
          <w:p>
            <w:pPr>
              <w:spacing w:after="0"/>
              <w:rPr>
                <w:sz w:val="16"/>
                <w:szCs w:val="16"/>
                <w:color w:val="auto"/>
              </w:rPr>
            </w:pPr>
          </w:p>
        </w:tc>
        <w:tc>
          <w:tcPr>
            <w:tcW w:w="840" w:type="dxa"/>
            <w:vAlign w:val="bottom"/>
            <w:tcBorders>
              <w:bottom w:val="single" w:sz="8" w:color="auto"/>
              <w:right w:val="single" w:sz="8" w:color="auto"/>
            </w:tcBorders>
            <w:shd w:val="clear" w:color="auto" w:fill="D9E2F3"/>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4"/>
                <w:szCs w:val="14"/>
                <w:color w:val="auto"/>
              </w:rPr>
              <w:t>Texas</w:t>
            </w:r>
          </w:p>
        </w:tc>
        <w:tc>
          <w:tcPr>
            <w:tcW w:w="7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Lehigh</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Cement</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8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3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right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7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tcBorders>
              <w:right w:val="single" w:sz="8" w:color="auto"/>
            </w:tcBorders>
            <w:vMerge w:val="restart"/>
          </w:tcPr>
          <w:p>
            <w:pPr>
              <w:jc w:val="center"/>
              <w:ind w:left="34"/>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7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LP</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Buda, TX</w:t>
            </w:r>
          </w:p>
        </w:tc>
        <w:tc>
          <w:tcPr>
            <w:tcW w:w="7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(4102781)</w:t>
            </w:r>
          </w:p>
        </w:tc>
        <w:tc>
          <w:tcPr>
            <w:tcW w:w="7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20" w:hanging="700"/>
        <w:spacing w:after="0"/>
        <w:tabs>
          <w:tab w:leader="none" w:pos="1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850900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760" w:top="77" w:right="11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214"/>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
      <w:numFmt w:val="bullet"/>
      <w:start w:val="1"/>
    </w:lvl>
    <w:lvl w:ilvl="1">
      <w:lvlJc w:val="left"/>
      <w:lvlText w:val="%2"/>
      <w:numFmt w:val="decimal"/>
      <w:start w:val="104"/>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lvl w:ilvl="1">
      <w:lvlJc w:val="left"/>
      <w:lvlText w:val="(%2)"/>
      <w:numFmt w:val="lowerLetter"/>
      <w:start w:val="1"/>
    </w:lvl>
  </w:abstractNum>
  <w:abstractNum w:abstractNumId="13">
    <w:nsid w:val="2901D82"/>
    <w:multiLevelType w:val="hybridMultilevel"/>
    <w:lvl w:ilvl="0">
      <w:lvlJc w:val="left"/>
      <w:lvlText w:val="%1."/>
      <w:numFmt w:val="decimal"/>
      <w:start w:val="4"/>
    </w:lvl>
    <w:lvl w:ilvl="1">
      <w:lvlJc w:val="left"/>
      <w:lvlText w:val="(%2)"/>
      <w:numFmt w:val="lowerLetter"/>
      <w:start w:val="1"/>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3"/>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lowerLetter"/>
      <w:start w:val="2"/>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lowerLetter"/>
      <w:start w:val="4"/>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decimal"/>
      <w:start w:val="7"/>
    </w:lvl>
  </w:abstractNum>
  <w:abstractNum w:abstractNumId="28">
    <w:nsid w:val="3804823E"/>
    <w:multiLevelType w:val="hybridMultilevel"/>
    <w:lvl w:ilvl="0">
      <w:lvlJc w:val="left"/>
      <w:lvlText w:val="%1."/>
      <w:numFmt w:val="decimal"/>
      <w:start w:val="8"/>
    </w:lvl>
  </w:abstractNum>
  <w:abstractNum w:abstractNumId="29">
    <w:nsid w:val="77465F01"/>
    <w:multiLevelType w:val="hybridMultilevel"/>
    <w:lvl w:ilvl="0">
      <w:lvlJc w:val="left"/>
      <w:lvlText w:val="%1."/>
      <w:numFmt w:val="decimal"/>
      <w:start w:val="9"/>
    </w:lvl>
  </w:abstractNum>
  <w:abstractNum w:abstractNumId="30">
    <w:nsid w:val="7724C67E"/>
    <w:multiLevelType w:val="hybridMultilevel"/>
    <w:lvl w:ilvl="0">
      <w:lvlJc w:val="left"/>
      <w:lvlText w:val="%1."/>
      <w:numFmt w:val="decimal"/>
      <w:start w:val="10"/>
    </w:lvl>
  </w:abstractNum>
  <w:abstractNum w:abstractNumId="31">
    <w:nsid w:val="5C482A97"/>
    <w:multiLevelType w:val="hybridMultilevel"/>
    <w:lvl w:ilvl="0">
      <w:lvlJc w:val="left"/>
      <w:lvlText w:val="%1."/>
      <w:numFmt w:val="decimal"/>
      <w:start w:val="11"/>
    </w:lvl>
  </w:abstractNum>
  <w:abstractNum w:abstractNumId="32">
    <w:nsid w:val="2463B9EA"/>
    <w:multiLevelType w:val="hybridMultilevel"/>
    <w:lvl w:ilvl="0">
      <w:lvlJc w:val="left"/>
      <w:lvlText w:val="%1."/>
      <w:numFmt w:val="decimal"/>
      <w:start w:val="12"/>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decimal"/>
      <w:start w:val="5"/>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5"/>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26" Type="http://schemas.openxmlformats.org/officeDocument/2006/relationships/hyperlink" Target="https://www.sec.gov/Archives/edgar/data/918646/000119312524195946/d87704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2024-10-29T16:11:46Z</dcterms:created>
  <dcterms:modified xsi:type="dcterms:W3CDTF">2024-10-29T16:11:46Z</dcterms:modified>
</cp:coreProperties>
</file>