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Proxy Statement Pursuant to Section 14(a) of the Securities Exchange Act of 1934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No. )</w:t>
      </w:r>
    </w:p>
    <w:p>
      <w:pPr>
        <w:spacing w:after="0" w:line="6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0"/>
          <w:szCs w:val="20"/>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EAGLE MATERIALS INC.</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-127635</wp:posOffset>
            </wp:positionV>
            <wp:extent cx="3524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3811 Turtle Creek Blvd, Suite 1100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Dallas, Texas 75219-4487</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July 27,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NOTICE IS HEREBY GIVEN that the annual meeting of stockholders of Eagle Materials Inc. (the “Company”) will be held in the Ballroom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Melrose Hotel, located at 3015 Oak Lawn Avenue, Dallas, Texas 75219 at 8:00 a.m., local time, on Thursday, July 27, 2006, for the following purposes:</w:t>
      </w:r>
    </w:p>
    <w:p>
      <w:pPr>
        <w:spacing w:after="0" w:line="114" w:lineRule="exact"/>
        <w:rPr>
          <w:sz w:val="20"/>
          <w:szCs w:val="20"/>
          <w:color w:val="auto"/>
        </w:rPr>
      </w:pPr>
    </w:p>
    <w:p>
      <w:pPr>
        <w:ind w:left="660" w:right="120" w:hanging="43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Holders of common stock, par value $0.01 per share (“Common Stock”), will be asked to elect three Class III directors, each</w:t>
      </w:r>
      <w:r>
        <w:rPr>
          <w:rFonts w:ascii="Arial" w:cs="Arial" w:eastAsia="Arial" w:hAnsi="Arial"/>
          <w:sz w:val="18"/>
          <w:szCs w:val="18"/>
          <w:i w:val="1"/>
          <w:iCs w:val="1"/>
          <w:color w:val="auto"/>
        </w:rPr>
        <w:t xml:space="preserve"> </w:t>
      </w:r>
      <w:r>
        <w:rPr>
          <w:rFonts w:ascii="Arial" w:cs="Arial" w:eastAsia="Arial" w:hAnsi="Arial"/>
          <w:sz w:val="18"/>
          <w:szCs w:val="18"/>
          <w:color w:val="auto"/>
        </w:rPr>
        <w:t>to hold office for three years.</w:t>
      </w:r>
    </w:p>
    <w:p>
      <w:pPr>
        <w:spacing w:after="0" w:line="75"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the Appointment of Ernst &amp; Young LLP. </w:t>
      </w:r>
      <w:r>
        <w:rPr>
          <w:rFonts w:ascii="Arial" w:cs="Arial" w:eastAsia="Arial" w:hAnsi="Arial"/>
          <w:sz w:val="18"/>
          <w:szCs w:val="18"/>
          <w:color w:val="auto"/>
        </w:rPr>
        <w:t>You will also be asked to ratify the appointment of Ernst &amp; Young LLP as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auditors for the fiscal year ending March 31, 2007.</w:t>
      </w:r>
    </w:p>
    <w:p>
      <w:pPr>
        <w:spacing w:after="0" w:line="75" w:lineRule="exact"/>
        <w:rPr>
          <w:rFonts w:ascii="Arial" w:cs="Arial" w:eastAsia="Arial" w:hAnsi="Arial"/>
          <w:sz w:val="18"/>
          <w:szCs w:val="18"/>
          <w:color w:val="auto"/>
        </w:rPr>
      </w:pPr>
    </w:p>
    <w:p>
      <w:pPr>
        <w:ind w:left="660" w:right="340" w:hanging="43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as properly come before the annual meeting, or any adjournment</w:t>
      </w:r>
      <w:r>
        <w:rPr>
          <w:rFonts w:ascii="Arial" w:cs="Arial" w:eastAsia="Arial" w:hAnsi="Arial"/>
          <w:sz w:val="18"/>
          <w:szCs w:val="18"/>
          <w:i w:val="1"/>
          <w:iCs w:val="1"/>
          <w:color w:val="auto"/>
        </w:rPr>
        <w:t xml:space="preserve"> </w:t>
      </w:r>
      <w:r>
        <w:rPr>
          <w:rFonts w:ascii="Arial" w:cs="Arial" w:eastAsia="Arial" w:hAnsi="Arial"/>
          <w:sz w:val="18"/>
          <w:szCs w:val="18"/>
          <w:color w:val="auto"/>
        </w:rPr>
        <w:t>thereof.</w:t>
      </w:r>
    </w:p>
    <w:p>
      <w:pPr>
        <w:spacing w:after="0" w:line="62"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board of directors of the Company has fixed the close of business on June 2, 2006 as the record date for the determination of stockholders entitled to notice of and to vote at the meeting or any adjournment thereof. Only record holders of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76" w:lineRule="exact"/>
        <w:rPr>
          <w:sz w:val="20"/>
          <w:szCs w:val="20"/>
          <w:color w:val="auto"/>
        </w:rPr>
      </w:pPr>
    </w:p>
    <w:p>
      <w:pPr>
        <w:jc w:val="both"/>
        <w:ind w:right="340" w:firstLine="225"/>
        <w:spacing w:after="0" w:line="314"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more questions about these proposals or would like additional copies of the proxy statement, please contact: Eagle Materials Inc.,</w:t>
      </w:r>
      <w:r>
        <w:rPr>
          <w:rFonts w:ascii="Arial" w:cs="Arial" w:eastAsia="Arial" w:hAnsi="Arial"/>
          <w:sz w:val="16"/>
          <w:szCs w:val="16"/>
          <w:b w:val="1"/>
          <w:bCs w:val="1"/>
          <w:color w:val="auto"/>
        </w:rPr>
        <w:t xml:space="preserve"> </w:t>
      </w:r>
      <w:r>
        <w:rPr>
          <w:rFonts w:ascii="Arial" w:cs="Arial" w:eastAsia="Arial" w:hAnsi="Arial"/>
          <w:sz w:val="16"/>
          <w:szCs w:val="16"/>
          <w:color w:val="auto"/>
        </w:rPr>
        <w:t>Attention: James H. Graass, Secretary, 3811 Turtle Creek Blvd., Suite 1100, Dallas, Texas 75219-4487 (telephone: (214) 432-2000).</w:t>
      </w:r>
    </w:p>
    <w:p>
      <w:pPr>
        <w:spacing w:after="0" w:line="38" w:lineRule="exact"/>
        <w:rPr>
          <w:sz w:val="20"/>
          <w:szCs w:val="20"/>
          <w:color w:val="auto"/>
        </w:rPr>
      </w:pPr>
    </w:p>
    <w:p>
      <w:pPr>
        <w:ind w:firstLine="218"/>
        <w:spacing w:after="0" w:line="272" w:lineRule="auto"/>
        <w:rPr>
          <w:sz w:val="20"/>
          <w:szCs w:val="20"/>
          <w:color w:val="auto"/>
        </w:rPr>
      </w:pPr>
      <w:r>
        <w:rPr>
          <w:rFonts w:ascii="Arial" w:cs="Arial" w:eastAsia="Arial" w:hAnsi="Arial"/>
          <w:sz w:val="17"/>
          <w:szCs w:val="17"/>
          <w:color w:val="auto"/>
        </w:rPr>
        <w:t>You are cordially invited to attend the annual meeting. Your vote is important. Whether or not you expect to attend the annual meeting in person, please vote through the Internet or by telephone or fill in, sign, date and promptly return the accompanying form of proxy in the enclosed postage-paid envelope so that your shares may be represented and voted at the annual meeting. This will not limit your right to attend or vote at the annual meeting. Your proxy will be returned to you if you choose to attend the annual meeting and request that it be returned. Shares will be voted in accordance with the instructions contained in the enclosed proxy, but if the proxies that are signed and returned to us do not specify a vote on any proposal, the proxies will be voted “for” the election of the nominees for director named in this proxy statement and “for” the ratification of the appointment of Ernst &amp; Young LLP as the Company’s independent auditors for the fiscal year ending March 31, 2007.</w:t>
      </w:r>
    </w:p>
    <w:p>
      <w:pPr>
        <w:spacing w:after="0" w:line="178"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jc w:val="center"/>
        <w:ind w:left="582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INTRODUCTION</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ABOUT THE MEETING</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OUR CAPITAL STOCK</w:t>
        </w:r>
      </w:hyperlink>
    </w:p>
    <w:p>
      <w:pPr>
        <w:spacing w:after="0" w:line="1" w:lineRule="exact"/>
        <w:rPr>
          <w:sz w:val="20"/>
          <w:szCs w:val="20"/>
          <w:color w:val="auto"/>
        </w:rPr>
      </w:pPr>
    </w:p>
    <w:p>
      <w:pPr>
        <w:ind w:right="4419"/>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ELECTION OF DIRECTORS AND RELATED MATTERS</w:t>
        </w:r>
      </w:hyperlink>
      <w:r>
        <w:rPr>
          <w:rFonts w:ascii="Arial" w:cs="Arial" w:eastAsia="Arial" w:hAnsi="Arial"/>
          <w:sz w:val="22"/>
          <w:szCs w:val="22"/>
          <w:u w:val="single" w:color="auto"/>
          <w:color w:val="0000EE"/>
        </w:rPr>
        <w:t xml:space="preserve"> </w:t>
      </w:r>
      <w:hyperlink w:anchor="page15">
        <w:r>
          <w:rPr>
            <w:rFonts w:ascii="Arial" w:cs="Arial" w:eastAsia="Arial" w:hAnsi="Arial"/>
            <w:sz w:val="22"/>
            <w:szCs w:val="22"/>
            <w:u w:val="single" w:color="auto"/>
            <w:color w:val="0000EE"/>
          </w:rPr>
          <w:t>EXECUTIVE OFFICERS WHO ARE NOT DIRECTORS</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EXECUTIVE COMPENSATION</w:t>
        </w:r>
      </w:hyperlink>
      <w:r>
        <w:rPr>
          <w:rFonts w:ascii="Arial" w:cs="Arial" w:eastAsia="Arial" w:hAnsi="Arial"/>
          <w:sz w:val="22"/>
          <w:szCs w:val="22"/>
          <w:u w:val="single" w:color="auto"/>
          <w:color w:val="0000EE"/>
        </w:rPr>
        <w:t xml:space="preserve"> </w:t>
      </w:r>
      <w:hyperlink w:anchor="page23">
        <w:r>
          <w:rPr>
            <w:rFonts w:ascii="Arial" w:cs="Arial" w:eastAsia="Arial" w:hAnsi="Arial"/>
            <w:sz w:val="22"/>
            <w:szCs w:val="22"/>
            <w:u w:val="single" w:color="auto"/>
            <w:color w:val="0000EE"/>
          </w:rPr>
          <w:t>STOCK OWNERSHIP</w:t>
        </w:r>
      </w:hyperlink>
    </w:p>
    <w:p>
      <w:pPr>
        <w:spacing w:after="0" w:line="233"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CERTAIN TRANSACTIONS</w:t>
        </w:r>
      </w:hyperlink>
    </w:p>
    <w:p>
      <w:pPr>
        <w:ind w:right="3479"/>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RELATIONSHIP WITH INDEPENDENT PUBLIC ACCOUNTANTS</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AUDIT COMMITTEE REPORT</w:t>
        </w:r>
      </w:hyperlink>
    </w:p>
    <w:p>
      <w:pPr>
        <w:spacing w:after="0" w:line="231"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RATIFICATION OF APPOINTMENT OF INDEPENDENT AUDITORS</w:t>
        </w:r>
      </w:hyperlink>
    </w:p>
    <w:p>
      <w:pPr>
        <w:spacing w:after="0" w:line="1" w:lineRule="exact"/>
        <w:rPr>
          <w:sz w:val="20"/>
          <w:szCs w:val="20"/>
          <w:color w:val="auto"/>
        </w:rPr>
      </w:pPr>
    </w:p>
    <w:p>
      <w:pPr>
        <w:ind w:right="1779"/>
        <w:spacing w:after="0" w:line="234"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OTHER MATTERS WHICH MAY BE PRESENTED FOR ACTION AT THE MEETING</w:t>
        </w:r>
      </w:hyperlink>
      <w:r>
        <w:rPr>
          <w:rFonts w:ascii="Arial" w:cs="Arial" w:eastAsia="Arial" w:hAnsi="Arial"/>
          <w:sz w:val="22"/>
          <w:szCs w:val="22"/>
          <w:u w:val="single" w:color="auto"/>
          <w:color w:val="0000EE"/>
        </w:rPr>
        <w:t xml:space="preserve"> </w:t>
      </w:r>
      <w:hyperlink w:anchor="page29">
        <w:r>
          <w:rPr>
            <w:rFonts w:ascii="Arial" w:cs="Arial" w:eastAsia="Arial" w:hAnsi="Arial"/>
            <w:sz w:val="22"/>
            <w:szCs w:val="22"/>
            <w:u w:val="single" w:color="auto"/>
            <w:color w:val="0000EE"/>
          </w:rPr>
          <w:t>DEADLINE FOR RECEIPT OF STOCKHOLDER PROPOSALS</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FORM 10-K</w:t>
        </w:r>
      </w:hyperlink>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3811 Turtle Creek Blvd., Suite 1100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Dallas, Texas 75219-4487</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The accompanying proxy, mailed together with this proxy statement, is solicited by and on behalf of the board of directors of Eagle Materials Inc., which we refer to in this proxy statement as the “Company,” for use at the annual meeting of stockholders of the Company and at any adjournment or postponement thereof. References in this proxy statement to “we,” “us,” “our” or like terms also refer to the Company. This proxy statement and accompanying proxy were first mailed to our stockholders on or about June 21,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121" w:lineRule="exact"/>
        <w:rPr>
          <w:sz w:val="20"/>
          <w:szCs w:val="20"/>
          <w:color w:val="auto"/>
        </w:rPr>
      </w:pPr>
    </w:p>
    <w:p>
      <w:pPr>
        <w:ind w:right="360" w:firstLine="447"/>
        <w:spacing w:after="0" w:line="277" w:lineRule="auto"/>
        <w:rPr>
          <w:sz w:val="20"/>
          <w:szCs w:val="20"/>
          <w:color w:val="auto"/>
        </w:rPr>
      </w:pPr>
      <w:r>
        <w:rPr>
          <w:rFonts w:ascii="Arial" w:cs="Arial" w:eastAsia="Arial" w:hAnsi="Arial"/>
          <w:sz w:val="18"/>
          <w:szCs w:val="18"/>
          <w:color w:val="auto"/>
        </w:rPr>
        <w:t>The 2006 annual meeting of our stockholders will be held in the Ballroom of the Melrose Hotel, located at 3015 Oak Lawn Avenue, Dallas, Texas 75219 at 8:00 a.m., local time, on Thursday, July 27,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117" w:lineRule="exact"/>
        <w:rPr>
          <w:sz w:val="20"/>
          <w:szCs w:val="20"/>
          <w:color w:val="auto"/>
        </w:rPr>
      </w:pPr>
    </w:p>
    <w:p>
      <w:pPr>
        <w:ind w:left="660" w:right="22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Holders of common stock, par value $.01 per share, will be asked to elect three Class III directors, each to hold office for a</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three years.</w:t>
      </w:r>
    </w:p>
    <w:p>
      <w:pPr>
        <w:spacing w:after="0" w:line="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b w:val="1"/>
          <w:bCs w:val="1"/>
          <w:color w:val="auto"/>
        </w:rPr>
        <w:t>Our board of directors recommends that you vote “for” the election of the three nominees for director named in this proxy statement.</w:t>
      </w:r>
    </w:p>
    <w:p>
      <w:pPr>
        <w:spacing w:after="0" w:line="157"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the Appointment of Ernst &amp; Young LLP. </w:t>
      </w:r>
      <w:r>
        <w:rPr>
          <w:rFonts w:ascii="Arial" w:cs="Arial" w:eastAsia="Arial" w:hAnsi="Arial"/>
          <w:sz w:val="18"/>
          <w:szCs w:val="18"/>
          <w:color w:val="auto"/>
        </w:rPr>
        <w:t>We are asking you to ratify the appointment by our board of directors of Ernst &amp; Young LLP</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Company’s independent auditors for the fiscal year ending March 31, 2007.</w:t>
      </w:r>
    </w:p>
    <w:p>
      <w:pPr>
        <w:spacing w:after="0" w:line="71" w:lineRule="exact"/>
        <w:rPr>
          <w:rFonts w:ascii="Arial" w:cs="Arial" w:eastAsia="Arial" w:hAnsi="Arial"/>
          <w:sz w:val="18"/>
          <w:szCs w:val="18"/>
          <w:color w:val="auto"/>
        </w:rPr>
      </w:pPr>
    </w:p>
    <w:p>
      <w:pPr>
        <w:ind w:left="660" w:right="4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ratification of Ernst &amp; Young LLP as the Company’s independent auditors for the fiscal year ended March 31, 2007.</w:t>
      </w:r>
    </w:p>
    <w:p>
      <w:pPr>
        <w:spacing w:after="0" w:line="71" w:lineRule="exact"/>
        <w:rPr>
          <w:rFonts w:ascii="Arial" w:cs="Arial" w:eastAsia="Arial" w:hAnsi="Arial"/>
          <w:sz w:val="18"/>
          <w:szCs w:val="18"/>
          <w:color w:val="auto"/>
        </w:rPr>
      </w:pPr>
    </w:p>
    <w:p>
      <w:pPr>
        <w:ind w:left="660" w:right="720" w:hanging="43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 matters, if any, as properly come before the annual meeting,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adjournment thereof.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board of directors does not know of any matters to be acted upon at the meeting other than the matters set forth in items (1) and (2) above.</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The record date for the determination of holders of the Company’s Common Stock, par value $.01 per share (our “Common Stock”), entitled to notice of and to vote at the meeting, or any adjournment or postponement of the meeting, is the close of business on June 2, 2006. In this proxy statement, we refer to this date as the “record date.” As of the record date, there were 50,406,400 shares of our Common Stock issued and outstanding and entitled to vote at the meeting.</w:t>
      </w:r>
    </w:p>
    <w:p>
      <w:pPr>
        <w:spacing w:after="0" w:line="79"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holders of Common Stock will be entitled to one vote per share upon the election of directors and each other matter that may properly be brought before the meeting or any adjournment thereof. There is no cumulative voting. Our stock transfer books will not be closed in connection with the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12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Shares represented by valid proxies will be voted at the meeting in accordance with the directions given. If the enclosed proxy card is signed and returned without any direction given, the shares will be voted “</w:t>
      </w:r>
      <w:r>
        <w:rPr>
          <w:rFonts w:ascii="Arial" w:cs="Arial" w:eastAsia="Arial" w:hAnsi="Arial"/>
          <w:sz w:val="17"/>
          <w:szCs w:val="17"/>
          <w:b w:val="1"/>
          <w:bCs w:val="1"/>
          <w:color w:val="auto"/>
        </w:rPr>
        <w:t>for</w:t>
      </w:r>
      <w:r>
        <w:rPr>
          <w:rFonts w:ascii="Arial" w:cs="Arial" w:eastAsia="Arial" w:hAnsi="Arial"/>
          <w:sz w:val="17"/>
          <w:szCs w:val="17"/>
          <w:color w:val="auto"/>
        </w:rPr>
        <w:t>” election of the nominees for director named in the proxy and the ratification of the appointment of Ernst &amp; Young LLP as the Company’s independent auditors. The board of directors does not intend to present, and has no information indicating that others will present, any business at the annual meeting other than as set forth in the attached Notice of Annual Meeting of Stockholders. However, if other matters requiring the vote of the Company’s stockholders come before the meeting, it is the intention of the persons named in the accompanying form of proxy to vote the proxies held by them in accordance with their best judgment in such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121" w:lineRule="exact"/>
        <w:rPr>
          <w:sz w:val="20"/>
          <w:szCs w:val="20"/>
          <w:color w:val="auto"/>
        </w:rPr>
      </w:pPr>
    </w:p>
    <w:p>
      <w:pPr>
        <w:ind w:right="220" w:firstLine="218"/>
        <w:spacing w:after="0" w:line="291"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w:t>
      </w:r>
    </w:p>
    <w:p>
      <w:pPr>
        <w:spacing w:after="0"/>
        <w:rPr>
          <w:sz w:val="20"/>
          <w:szCs w:val="20"/>
          <w:color w:val="auto"/>
        </w:rPr>
      </w:pPr>
      <w:r>
        <w:rPr>
          <w:rFonts w:ascii="Arial" w:cs="Arial" w:eastAsia="Arial" w:hAnsi="Arial"/>
          <w:sz w:val="16"/>
          <w:szCs w:val="16"/>
          <w:color w:val="auto"/>
        </w:rPr>
        <w:t>Suite 1100, Dallas, Texas 75219-4487. No such revocation shall be effective, however, unless and until received by the Company at or prior to the meeting.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capital stock of the Company entitled to vote on any matter shall constitute a quorum for purposes of such matter. Abstentions and broker non-votes will be counted as present for the purpose of establishing a quorum. Each Class III director will be elected by a plurality of votes cast at the meeting by holders of Common Stock. Abstentions and broker non-votes will not affect the outcome of the election of directors. The affirmative vote of the holders of a majority of the shares of Common Stock present in person or represented by proxy at the meeting is required to ratify the appointment by our board of directors of Ernst &amp; Young LLP as our independent auditors for the fiscal year ending March 31, 2007. Abstentions and broker non-votes will have the same effect as votes against the ratification of our accountants.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40" w:firstLine="222"/>
        <w:spacing w:after="0" w:line="254" w:lineRule="auto"/>
        <w:rPr>
          <w:sz w:val="20"/>
          <w:szCs w:val="20"/>
          <w:color w:val="auto"/>
        </w:rPr>
      </w:pPr>
      <w:r>
        <w:rPr>
          <w:rFonts w:ascii="Arial" w:cs="Arial" w:eastAsia="Arial" w:hAnsi="Arial"/>
          <w:sz w:val="18"/>
          <w:szCs w:val="18"/>
          <w:color w:val="auto"/>
        </w:rPr>
        <w:t>The cost of soliciting proxies for the meeting will be borne by the Company. Solicitations may be made on behalf of our board of directors by mail, personal interview, telephone or other electronic means by officers and other employees of the Company, who will receive no additional compensation therefor. To aid in the solicitation of proxies, we have retained the firm of Georgeson Shareholder Communications, Inc., which will receive a fee of approximately $8,500.00, in addition to the reimbursement of out-of-pocket expenses. 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(“SEC”), and the New York Stock Exchange (“NYSE”), we will reimburse such persons for reasonable expenses incurred by them in forwarding proxy materials to the beneficial owners of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right="380" w:firstLine="218"/>
        <w:spacing w:after="0" w:line="277" w:lineRule="auto"/>
        <w:rPr>
          <w:sz w:val="20"/>
          <w:szCs w:val="20"/>
          <w:color w:val="auto"/>
        </w:rPr>
      </w:pPr>
      <w:r>
        <w:rPr>
          <w:rFonts w:ascii="Arial" w:cs="Arial" w:eastAsia="Arial" w:hAnsi="Arial"/>
          <w:sz w:val="18"/>
          <w:szCs w:val="18"/>
          <w:color w:val="auto"/>
        </w:rPr>
        <w:t>You can vote your shares at the meeting or by telephone, over the Internet or by completing, signing, dating and returning your proxy in the enclosed envelope.</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OUR CAPITAL STOCK</w:t>
      </w:r>
    </w:p>
    <w:p>
      <w:pPr>
        <w:spacing w:after="0" w:line="121"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Our outstanding capital stock consists solely of Common Stock. From January 30, 2004 until April 11, 2006, we had two classes of common stock — common stock, par value $.01 per share, which we refer to as our “Original Common Stock,” and Class B common stock, par value $.01 per share, which we refer to as our “Class B Common Stock.” Our Original Common Stock and our Class B Common Stock were identical except for the right of holders of Class B Common Stock to elect at least 85% of the members of our board of directors. The two classes of common stock were created in connection with the spin-off (the “Spin-Off”) of the Company from its former parent, Centex Corporation (“Centex”), which was completed on January 30, 2004. For additional information regarding the Spin-off and related transactions, we refer you to the proxy statement that we filed with the SEC on December 1, 2003 in connection with the special meeting of our stockholders held to approve the reclassification of our capital stock in connection with the Spin-Off and certain other matters.</w:t>
      </w:r>
    </w:p>
    <w:p>
      <w:pPr>
        <w:spacing w:after="0" w:line="8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On February 24, 2006, the Company completed a three-for-one stock split in the form of a 200% stock dividend on all outstanding shares of our Original Common Stock and Class B Common Stock (the “Stock Split”). All figures in this proxy statement involving number of shares, restricted stock units and stock options granted before the Stock Split have been adjusted to reflect the Stock Split.</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April 11, 2006, we completed a transaction to eliminate our dual class common stock structure. On that day, at a special stockholders meeting, our stockholders approved an amendment to our restated certificate of incorporation to exchange our Original Common Stock and our Class B Common Stock into our new Common Stock. As a result of this transaction, all holders of our single class of Common Stock now have identical rights in all matters properly brought before the stockholders for a vote, including the election of directors.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Common Stock is listed on the NYSE under the symbol “EXP.”</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OF DIRECTORS AND RELATED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oversight of our strategic planning;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approval of all our material transactions and financings;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providing assurance that processes are in place to promote compliance with law and high standards of business ethics;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advising management on major issues that may arise;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evaluating the performance of the board and its committees, and making appropriate changes where necessary.</w:t>
      </w:r>
    </w:p>
    <w:p>
      <w:pPr>
        <w:spacing w:after="0" w:line="117"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color w:val="auto"/>
        </w:rPr>
        <w:t>Members of our board of directors are divided into three classes based on their term of office (Class I, II and III). The directors in each such class hold office for staggered terms of three years each. At present, we have three Class I directors, two Class II directors and three Class III directors.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shows the composition of our Board after the annual meeting, assuming the election of the proposed slate of director nominees: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CLASS</w:t>
            </w:r>
          </w:p>
        </w:tc>
        <w:tc>
          <w:tcPr>
            <w:tcW w:w="240" w:type="dxa"/>
            <w:vAlign w:val="bottom"/>
          </w:tcPr>
          <w:p>
            <w:pPr>
              <w:spacing w:after="0"/>
              <w:rPr>
                <w:sz w:val="14"/>
                <w:szCs w:val="14"/>
                <w:color w:val="auto"/>
              </w:rPr>
            </w:pPr>
          </w:p>
        </w:tc>
        <w:tc>
          <w:tcPr>
            <w:tcW w:w="6600" w:type="dxa"/>
            <w:vAlign w:val="bottom"/>
            <w:tcBorders>
              <w:bottom w:val="single" w:sz="8" w:color="auto"/>
            </w:tcBorders>
          </w:tcPr>
          <w:p>
            <w:pPr>
              <w:jc w:val="center"/>
              <w:ind w:right="3092"/>
              <w:spacing w:after="0"/>
              <w:rPr>
                <w:sz w:val="20"/>
                <w:szCs w:val="20"/>
                <w:color w:val="auto"/>
              </w:rPr>
            </w:pPr>
            <w:r>
              <w:rPr>
                <w:rFonts w:ascii="Arial" w:cs="Arial" w:eastAsia="Arial" w:hAnsi="Arial"/>
                <w:sz w:val="14"/>
                <w:szCs w:val="14"/>
                <w:b w:val="1"/>
                <w:bCs w:val="1"/>
                <w:color w:val="auto"/>
              </w:rPr>
              <w:t>DIRECTORS</w:t>
            </w:r>
          </w:p>
        </w:tc>
      </w:tr>
      <w:tr>
        <w:trPr>
          <w:trHeight w:val="195"/>
        </w:trPr>
        <w:tc>
          <w:tcPr>
            <w:tcW w:w="2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b w:val="1"/>
                <w:bCs w:val="1"/>
                <w:color w:val="auto"/>
              </w:rPr>
              <w:t>Class I</w:t>
            </w:r>
            <w:r>
              <w:rPr>
                <w:rFonts w:ascii="Arial" w:cs="Arial" w:eastAsia="Arial" w:hAnsi="Arial"/>
                <w:sz w:val="18"/>
                <w:szCs w:val="18"/>
                <w:color w:val="auto"/>
              </w:rPr>
              <w:t>: Term expires at the 2007</w:t>
            </w:r>
          </w:p>
        </w:tc>
        <w:tc>
          <w:tcPr>
            <w:tcW w:w="240" w:type="dxa"/>
            <w:vAlign w:val="bottom"/>
          </w:tcPr>
          <w:p>
            <w:pPr>
              <w:spacing w:after="0"/>
              <w:rPr>
                <w:sz w:val="16"/>
                <w:szCs w:val="16"/>
                <w:color w:val="auto"/>
              </w:rPr>
            </w:pPr>
          </w:p>
        </w:tc>
        <w:tc>
          <w:tcPr>
            <w:tcW w:w="6600" w:type="dxa"/>
            <w:vAlign w:val="bottom"/>
          </w:tcPr>
          <w:p>
            <w:pPr>
              <w:jc w:val="center"/>
              <w:ind w:right="3092"/>
              <w:spacing w:after="0" w:line="195" w:lineRule="exact"/>
              <w:rPr>
                <w:sz w:val="20"/>
                <w:szCs w:val="20"/>
                <w:color w:val="auto"/>
              </w:rPr>
            </w:pPr>
            <w:r>
              <w:rPr>
                <w:rFonts w:ascii="Arial" w:cs="Arial" w:eastAsia="Arial" w:hAnsi="Arial"/>
                <w:sz w:val="18"/>
                <w:szCs w:val="18"/>
                <w:color w:val="auto"/>
                <w:w w:val="93"/>
              </w:rPr>
              <w:t>Robert L. Clarke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annual meeting and every three years</w:t>
            </w:r>
          </w:p>
        </w:tc>
        <w:tc>
          <w:tcPr>
            <w:tcW w:w="240" w:type="dxa"/>
            <w:vAlign w:val="bottom"/>
          </w:tcPr>
          <w:p>
            <w:pPr>
              <w:spacing w:after="0"/>
              <w:rPr>
                <w:sz w:val="18"/>
                <w:szCs w:val="18"/>
                <w:color w:val="auto"/>
              </w:rPr>
            </w:pPr>
          </w:p>
        </w:tc>
        <w:tc>
          <w:tcPr>
            <w:tcW w:w="6600" w:type="dxa"/>
            <w:vAlign w:val="bottom"/>
          </w:tcPr>
          <w:p>
            <w:pPr>
              <w:jc w:val="center"/>
              <w:ind w:right="3092"/>
              <w:spacing w:after="0"/>
              <w:rPr>
                <w:sz w:val="20"/>
                <w:szCs w:val="20"/>
                <w:color w:val="auto"/>
              </w:rPr>
            </w:pPr>
            <w:r>
              <w:rPr>
                <w:rFonts w:ascii="Arial" w:cs="Arial" w:eastAsia="Arial" w:hAnsi="Arial"/>
                <w:sz w:val="18"/>
                <w:szCs w:val="18"/>
                <w:color w:val="auto"/>
                <w:w w:val="91"/>
              </w:rPr>
              <w:t>Frank W. Maresh</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6600" w:type="dxa"/>
            <w:vAlign w:val="bottom"/>
          </w:tcPr>
          <w:p>
            <w:pPr>
              <w:jc w:val="center"/>
              <w:ind w:right="3092"/>
              <w:spacing w:after="0"/>
              <w:rPr>
                <w:sz w:val="20"/>
                <w:szCs w:val="20"/>
                <w:color w:val="auto"/>
              </w:rPr>
            </w:pPr>
            <w:r>
              <w:rPr>
                <w:rFonts w:ascii="Arial" w:cs="Arial" w:eastAsia="Arial" w:hAnsi="Arial"/>
                <w:sz w:val="18"/>
                <w:szCs w:val="18"/>
                <w:color w:val="auto"/>
                <w:w w:val="90"/>
              </w:rPr>
              <w:t>Steven R. Rowley</w:t>
            </w: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Class II</w:t>
            </w:r>
            <w:r>
              <w:rPr>
                <w:rFonts w:ascii="Arial" w:cs="Arial" w:eastAsia="Arial" w:hAnsi="Arial"/>
                <w:sz w:val="18"/>
                <w:szCs w:val="18"/>
                <w:color w:val="auto"/>
              </w:rPr>
              <w:t>: Term expires at the 2008</w:t>
            </w:r>
          </w:p>
        </w:tc>
        <w:tc>
          <w:tcPr>
            <w:tcW w:w="24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annual meeting and every three years</w:t>
            </w:r>
          </w:p>
        </w:tc>
        <w:tc>
          <w:tcPr>
            <w:tcW w:w="240" w:type="dxa"/>
            <w:vAlign w:val="bottom"/>
          </w:tcPr>
          <w:p>
            <w:pPr>
              <w:spacing w:after="0"/>
              <w:rPr>
                <w:sz w:val="18"/>
                <w:szCs w:val="18"/>
                <w:color w:val="auto"/>
              </w:rPr>
            </w:pPr>
          </w:p>
        </w:tc>
        <w:tc>
          <w:tcPr>
            <w:tcW w:w="6600" w:type="dxa"/>
            <w:vAlign w:val="bottom"/>
          </w:tcPr>
          <w:p>
            <w:pPr>
              <w:jc w:val="center"/>
              <w:ind w:right="3092"/>
              <w:spacing w:after="0"/>
              <w:rPr>
                <w:sz w:val="20"/>
                <w:szCs w:val="20"/>
                <w:color w:val="auto"/>
              </w:rPr>
            </w:pPr>
            <w:r>
              <w:rPr>
                <w:rFonts w:ascii="Arial" w:cs="Arial" w:eastAsia="Arial" w:hAnsi="Arial"/>
                <w:sz w:val="18"/>
                <w:szCs w:val="18"/>
                <w:color w:val="auto"/>
                <w:w w:val="90"/>
              </w:rPr>
              <w:t>Laurence E. Hirsch</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6600" w:type="dxa"/>
            <w:vAlign w:val="bottom"/>
          </w:tcPr>
          <w:p>
            <w:pPr>
              <w:jc w:val="center"/>
              <w:ind w:right="3092"/>
              <w:spacing w:after="0"/>
              <w:rPr>
                <w:sz w:val="20"/>
                <w:szCs w:val="20"/>
                <w:color w:val="auto"/>
              </w:rPr>
            </w:pPr>
            <w:r>
              <w:rPr>
                <w:rFonts w:ascii="Arial" w:cs="Arial" w:eastAsia="Arial" w:hAnsi="Arial"/>
                <w:sz w:val="18"/>
                <w:szCs w:val="18"/>
                <w:color w:val="auto"/>
                <w:w w:val="95"/>
              </w:rPr>
              <w:t>Michael R. Nicolais</w:t>
            </w: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Class III</w:t>
            </w:r>
            <w:r>
              <w:rPr>
                <w:rFonts w:ascii="Arial" w:cs="Arial" w:eastAsia="Arial" w:hAnsi="Arial"/>
                <w:sz w:val="18"/>
                <w:szCs w:val="18"/>
                <w:color w:val="auto"/>
              </w:rPr>
              <w:t>: Term expires at the 2009</w:t>
            </w:r>
          </w:p>
        </w:tc>
        <w:tc>
          <w:tcPr>
            <w:tcW w:w="240" w:type="dxa"/>
            <w:vAlign w:val="bottom"/>
          </w:tcPr>
          <w:p>
            <w:pPr>
              <w:spacing w:after="0"/>
              <w:rPr>
                <w:sz w:val="24"/>
                <w:szCs w:val="24"/>
                <w:color w:val="auto"/>
              </w:rPr>
            </w:pPr>
          </w:p>
        </w:tc>
        <w:tc>
          <w:tcPr>
            <w:tcW w:w="6600" w:type="dxa"/>
            <w:vAlign w:val="bottom"/>
          </w:tcPr>
          <w:p>
            <w:pPr>
              <w:jc w:val="center"/>
              <w:ind w:right="3092"/>
              <w:spacing w:after="0"/>
              <w:rPr>
                <w:sz w:val="20"/>
                <w:szCs w:val="20"/>
                <w:color w:val="auto"/>
              </w:rPr>
            </w:pPr>
            <w:r>
              <w:rPr>
                <w:rFonts w:ascii="Arial" w:cs="Arial" w:eastAsia="Arial" w:hAnsi="Arial"/>
                <w:sz w:val="18"/>
                <w:szCs w:val="18"/>
                <w:color w:val="auto"/>
                <w:w w:val="94"/>
              </w:rPr>
              <w:t>F. William Barnett</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annual meeting and every three years</w:t>
            </w:r>
          </w:p>
        </w:tc>
        <w:tc>
          <w:tcPr>
            <w:tcW w:w="240" w:type="dxa"/>
            <w:vAlign w:val="bottom"/>
          </w:tcPr>
          <w:p>
            <w:pPr>
              <w:spacing w:after="0"/>
              <w:rPr>
                <w:sz w:val="18"/>
                <w:szCs w:val="18"/>
                <w:color w:val="auto"/>
              </w:rPr>
            </w:pPr>
          </w:p>
        </w:tc>
        <w:tc>
          <w:tcPr>
            <w:tcW w:w="6600" w:type="dxa"/>
            <w:vAlign w:val="bottom"/>
          </w:tcPr>
          <w:p>
            <w:pPr>
              <w:jc w:val="center"/>
              <w:ind w:right="3092"/>
              <w:spacing w:after="0"/>
              <w:rPr>
                <w:sz w:val="20"/>
                <w:szCs w:val="20"/>
                <w:color w:val="auto"/>
              </w:rPr>
            </w:pPr>
            <w:r>
              <w:rPr>
                <w:rFonts w:ascii="Arial" w:cs="Arial" w:eastAsia="Arial" w:hAnsi="Arial"/>
                <w:sz w:val="18"/>
                <w:szCs w:val="18"/>
                <w:color w:val="auto"/>
                <w:w w:val="88"/>
              </w:rPr>
              <w:t>O.G. Dagnan</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6600" w:type="dxa"/>
            <w:vAlign w:val="bottom"/>
          </w:tcPr>
          <w:p>
            <w:pPr>
              <w:jc w:val="center"/>
              <w:ind w:right="3092"/>
              <w:spacing w:after="0"/>
              <w:rPr>
                <w:sz w:val="20"/>
                <w:szCs w:val="20"/>
                <w:color w:val="auto"/>
              </w:rPr>
            </w:pPr>
            <w:r>
              <w:rPr>
                <w:rFonts w:ascii="Arial" w:cs="Arial" w:eastAsia="Arial" w:hAnsi="Arial"/>
                <w:sz w:val="18"/>
                <w:szCs w:val="18"/>
                <w:color w:val="auto"/>
                <w:w w:val="93"/>
              </w:rPr>
              <w:t>David W. Quinn</w:t>
            </w:r>
          </w:p>
        </w:tc>
      </w:tr>
    </w:tbl>
    <w:p>
      <w:pPr>
        <w:spacing w:after="0" w:line="94"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the corporate governance and nominating committee, which we sometimes refer to as the “nominating committee,” that all members of our board of directors, other than Messrs. Hirsch, Rowley and Quinn, are “independent” within the meaning of the independence requirements of the Securities Exchange Act of 1934 (as amended, the “Exchange Act”) and the corporate governance rules of the NYSE.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determining that five of our directors are “independent,” our board of directors considered the following facts:</w:t>
      </w:r>
    </w:p>
    <w:p>
      <w:pPr>
        <w:spacing w:after="0" w:line="117" w:lineRule="exact"/>
        <w:rPr>
          <w:sz w:val="20"/>
          <w:szCs w:val="20"/>
          <w:color w:val="auto"/>
        </w:rPr>
      </w:pPr>
    </w:p>
    <w:p>
      <w:pPr>
        <w:ind w:left="6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Messrs. F. William Barnett, Robert L. Clarke and Frank W. Maresh have no relationship with the Company or its management that potentially affects their independence.</w:t>
      </w:r>
    </w:p>
    <w:p>
      <w:pPr>
        <w:spacing w:after="0" w:line="75" w:lineRule="exact"/>
        <w:rPr>
          <w:rFonts w:ascii="Arial" w:cs="Arial" w:eastAsia="Arial" w:hAnsi="Arial"/>
          <w:sz w:val="18"/>
          <w:szCs w:val="18"/>
          <w:b w:val="1"/>
          <w:bCs w:val="1"/>
          <w:color w:val="auto"/>
        </w:rPr>
      </w:pPr>
    </w:p>
    <w:p>
      <w:pPr>
        <w:ind w:left="660" w:right="60" w:hanging="436"/>
        <w:spacing w:after="0" w:line="273" w:lineRule="auto"/>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Mr. O.G. Dagnan is a former Chief Executive Officer of the Company who retired as an officer and employee of the Company in July 1999, and has had no relationship with the Company since that time (other than his relationship as a director). Mr. Dagnan was granted certain stock options by the Company during the time he served as an executive officer, the last of which were exercised in 2002. Because of the length of time since his retirement from the Company, and in light of the absence of any compensatory or other arrangements between the Company and Mr. Dagnan since the date of his retirement (other than compensation for his services as a director and for exercised stock options, as described above), our board of directors has determined that Mr. Dagnan has no material relationship with the Company.</w:t>
      </w:r>
    </w:p>
    <w:p>
      <w:pPr>
        <w:spacing w:after="0" w:line="83" w:lineRule="exact"/>
        <w:rPr>
          <w:rFonts w:ascii="Arial" w:cs="Arial" w:eastAsia="Arial" w:hAnsi="Arial"/>
          <w:sz w:val="17"/>
          <w:szCs w:val="17"/>
          <w:b w:val="1"/>
          <w:bCs w:val="1"/>
          <w:color w:val="auto"/>
        </w:rPr>
      </w:pPr>
    </w:p>
    <w:p>
      <w:pPr>
        <w:ind w:left="660" w:right="20" w:hanging="436"/>
        <w:spacing w:after="0" w:line="285" w:lineRule="auto"/>
        <w:tabs>
          <w:tab w:leader="none" w:pos="6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Mr. Michael R. Nicolais entered into an employment relationship with a company owned by another member of our board of directors, Laurence E. Hirsch, in 2004. In particular, in April 2004, Mr. Nicolais accepted employment as president of Highlander Partners L.P. (“Highlander”), a newly formed private investment partnership of which Mr. Laurence E. Hirsch, a director of the Company, is the sole equity owner. In view of, among other things: (i) the fact that Mr. Nicolais has never served as an officer or employee of the Company or any of its parents or subsidiaries; (ii) the fact that the employment relationship between Mr. Nicolais and Highlander commenced after the completion of the Spin-Off and after the date</w:t>
      </w:r>
    </w:p>
    <w:p>
      <w:pPr>
        <w:spacing w:after="0" w:line="2" w:lineRule="exact"/>
        <w:rPr>
          <w:rFonts w:ascii="Arial" w:cs="Arial" w:eastAsia="Arial" w:hAnsi="Arial"/>
          <w:sz w:val="16"/>
          <w:szCs w:val="16"/>
          <w:b w:val="1"/>
          <w:bCs w:val="1"/>
          <w:color w:val="auto"/>
        </w:rPr>
      </w:pPr>
    </w:p>
    <w:p>
      <w:pPr>
        <w:ind w:left="660" w:right="6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Mr. Hirsch retired as an executive officer and director of Centex, which is the former parent of the Company; (iii) the fact that the investment services to be provided by Mr. Nicolais to Highlander are largely unrelated to the Company (except to the extent that such services may in the future involve investment services relating to shares of our Common Stock held by Mr. Hirsch); and (iv) the board’s belief that Mr. Nicolais is able to act independently from the Company and its management in connection with matters submitted to and considered by our board of directors, our board determined in its business judgment that Mr. Nicolais has no material relationship with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nominated by our corporate governance and nominating committee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 A plurality of votes cast by the holders of our Common Stock will be required to elect the nominees for director.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520" w:firstLine="225"/>
        <w:spacing w:after="0" w:line="282"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nominees listed below to serve as Class III directors for a three-year term ending at our 2009 annual meeting of stockholders: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 William Barnett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O.G. Dagnan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David W. Quinn</w:t>
      </w:r>
    </w:p>
    <w:p>
      <w:pPr>
        <w:spacing w:after="0" w:line="10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Set forth below is information about the nominees standing for election at our 2006 annual meeting, as well as our continuing directors whose terms of office do not expire at the 2006 annual meeting. The biographical information appearing below regarding the nominees for director and continuing directors has been furnished to us by the respective nominees and directors: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Directors Whose Terms Expire at our 2006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III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Pr>
          <w:p>
            <w:pPr>
              <w:spacing w:after="0"/>
              <w:rPr>
                <w:sz w:val="14"/>
                <w:szCs w:val="14"/>
                <w:color w:val="auto"/>
              </w:rPr>
            </w:pPr>
          </w:p>
        </w:tc>
        <w:tc>
          <w:tcPr>
            <w:tcW w:w="7840" w:type="dxa"/>
            <w:vAlign w:val="bottom"/>
            <w:vMerge w:val="restart"/>
          </w:tcPr>
          <w:p>
            <w:pPr>
              <w:ind w:left="2460"/>
              <w:spacing w:after="0"/>
              <w:rPr>
                <w:sz w:val="20"/>
                <w:szCs w:val="20"/>
                <w:color w:val="auto"/>
              </w:rPr>
            </w:pPr>
            <w:r>
              <w:rPr>
                <w:rFonts w:ascii="Arial" w:cs="Arial" w:eastAsia="Arial" w:hAnsi="Arial"/>
                <w:sz w:val="14"/>
                <w:szCs w:val="14"/>
                <w:b w:val="1"/>
                <w:bCs w:val="1"/>
                <w:color w:val="auto"/>
              </w:rPr>
              <w:t>Business Experience and Principal Occupation;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5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First</w:t>
            </w:r>
          </w:p>
        </w:tc>
        <w:tc>
          <w:tcPr>
            <w:tcW w:w="200" w:type="dxa"/>
            <w:vAlign w:val="bottom"/>
          </w:tcPr>
          <w:p>
            <w:pPr>
              <w:spacing w:after="0"/>
              <w:rPr>
                <w:sz w:val="12"/>
                <w:szCs w:val="12"/>
                <w:color w:val="auto"/>
              </w:rPr>
            </w:pPr>
          </w:p>
        </w:tc>
        <w:tc>
          <w:tcPr>
            <w:tcW w:w="7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200" w:type="dxa"/>
            <w:vAlign w:val="bottom"/>
          </w:tcPr>
          <w:p>
            <w:pPr>
              <w:spacing w:after="0"/>
              <w:rPr>
                <w:sz w:val="14"/>
                <w:szCs w:val="14"/>
                <w:color w:val="auto"/>
              </w:rPr>
            </w:pPr>
          </w:p>
        </w:tc>
        <w:tc>
          <w:tcPr>
            <w:tcW w:w="784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Directorships in Public Corporations and Investment Companies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 William Barnett</w:t>
            </w:r>
          </w:p>
        </w:tc>
        <w:tc>
          <w:tcPr>
            <w:tcW w:w="74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rPr>
              <w:t>59</w:t>
            </w:r>
          </w:p>
        </w:tc>
        <w:tc>
          <w:tcPr>
            <w:tcW w:w="1020" w:type="dxa"/>
            <w:vAlign w:val="bottom"/>
            <w:gridSpan w:val="2"/>
            <w:shd w:val="clear" w:color="auto" w:fill="CCEEFF"/>
          </w:tcPr>
          <w:p>
            <w:pPr>
              <w:jc w:val="center"/>
              <w:ind w:left="130"/>
              <w:spacing w:after="0" w:line="195" w:lineRule="exact"/>
              <w:rPr>
                <w:sz w:val="20"/>
                <w:szCs w:val="20"/>
                <w:color w:val="auto"/>
              </w:rPr>
            </w:pPr>
            <w:r>
              <w:rPr>
                <w:rFonts w:ascii="Arial" w:cs="Arial" w:eastAsia="Arial" w:hAnsi="Arial"/>
                <w:sz w:val="18"/>
                <w:szCs w:val="18"/>
                <w:color w:val="auto"/>
                <w:w w:val="89"/>
              </w:rPr>
              <w:t>2003</w:t>
            </w:r>
          </w:p>
        </w:tc>
        <w:tc>
          <w:tcPr>
            <w:tcW w:w="200" w:type="dxa"/>
            <w:vAlign w:val="bottom"/>
            <w:shd w:val="clear" w:color="auto" w:fill="CCEEFF"/>
          </w:tcPr>
          <w:p>
            <w:pPr>
              <w:spacing w:after="0"/>
              <w:rPr>
                <w:sz w:val="16"/>
                <w:szCs w:val="16"/>
                <w:color w:val="auto"/>
              </w:rPr>
            </w:pPr>
          </w:p>
        </w:tc>
        <w:tc>
          <w:tcPr>
            <w:tcW w:w="78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Mr. Barnett currently chairs our compensation committee. Mr. Barnett also serves on our corporate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5"/>
              </w:rPr>
              <w:t>governance and nominating committee. Mr. Barnett retired in 2003 from his position as a director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2"/>
              </w:rPr>
              <w:t>Dallas office of McKinsey &amp; Company, Inc., an international consulting firm, after 23 years of employment.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Mr. Barnett is also a director of Papa Johns International, Inc.</w:t>
            </w:r>
          </w:p>
        </w:tc>
        <w:tc>
          <w:tcPr>
            <w:tcW w:w="0" w:type="dxa"/>
            <w:vAlign w:val="bottom"/>
          </w:tcPr>
          <w:p>
            <w:pPr>
              <w:spacing w:after="0"/>
              <w:rPr>
                <w:sz w:val="1"/>
                <w:szCs w:val="1"/>
                <w:color w:val="auto"/>
              </w:rPr>
            </w:pP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O.G. Dagnan</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66</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1990</w:t>
            </w:r>
          </w:p>
        </w:tc>
        <w:tc>
          <w:tcPr>
            <w:tcW w:w="20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Mr. Dagnan served as our Chief Executive Officer from January 1990 through his retirement in July 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1"/>
              </w:rPr>
              <w:t>and chairman of our board of directors from January 1990 to January 1994 and December 1997 through his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retirement in July 1999. Mr. Dagnan served as our President from January 1990 through December 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2"/>
              </w:rPr>
              <w:t>and as our Senior Vice President — Operations from August 1989 to January 1990. From 1980 until 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1"/>
              </w:rPr>
              <w:t>he was employed by Southwestern Portland Cement, where he served as Vice President from 1982 to 1987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and as Executive Vice President from 1987 to 1989.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David W. Quinn</w:t>
            </w:r>
          </w:p>
        </w:tc>
        <w:tc>
          <w:tcPr>
            <w:tcW w:w="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64</w:t>
            </w:r>
          </w:p>
        </w:tc>
        <w:tc>
          <w:tcPr>
            <w:tcW w:w="102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89"/>
              </w:rPr>
              <w:t>1994</w:t>
            </w:r>
          </w:p>
        </w:tc>
        <w:tc>
          <w:tcPr>
            <w:tcW w:w="200" w:type="dxa"/>
            <w:vAlign w:val="bottom"/>
            <w:shd w:val="clear" w:color="auto" w:fill="CCEEFF"/>
          </w:tcPr>
          <w:p>
            <w:pPr>
              <w:spacing w:after="0"/>
              <w:rPr>
                <w:sz w:val="17"/>
                <w:szCs w:val="17"/>
                <w:color w:val="auto"/>
              </w:rPr>
            </w:pPr>
          </w:p>
        </w:tc>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Mr. Quinn has been a member of our board of directors since 1994. He has served as a director of Centex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5"/>
              </w:rPr>
              <w:t>beginning in 1989, and served as Vice Chairman of the Board of Directors of Centex from May 1996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3"/>
              </w:rPr>
              <w:t>March 2002, as Executive Vice President of Centex from February 1987 to May 1996 and Chief Financial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8"/>
              </w:rPr>
              <w:t>Officer of Centex from February 1987 until June 1997 and again from October 1997 until May 2000.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40" w:type="dxa"/>
            <w:vAlign w:val="bottom"/>
            <w:gridSpan w:val="2"/>
          </w:tcPr>
          <w:p>
            <w:pPr>
              <w:jc w:val="right"/>
              <w:ind w:right="557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Directors Whose Terms Expire at our 2007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 Directors)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Pr>
          <w:p>
            <w:pPr>
              <w:spacing w:after="0"/>
              <w:rPr>
                <w:sz w:val="14"/>
                <w:szCs w:val="14"/>
                <w:color w:val="auto"/>
              </w:rPr>
            </w:pPr>
          </w:p>
        </w:tc>
        <w:tc>
          <w:tcPr>
            <w:tcW w:w="7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5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First</w:t>
            </w:r>
          </w:p>
        </w:tc>
        <w:tc>
          <w:tcPr>
            <w:tcW w:w="200" w:type="dxa"/>
            <w:vAlign w:val="bottom"/>
          </w:tcPr>
          <w:p>
            <w:pPr>
              <w:spacing w:after="0"/>
              <w:rPr>
                <w:sz w:val="12"/>
                <w:szCs w:val="12"/>
                <w:color w:val="auto"/>
              </w:rPr>
            </w:pPr>
          </w:p>
        </w:tc>
        <w:tc>
          <w:tcPr>
            <w:tcW w:w="7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200" w:type="dxa"/>
            <w:vAlign w:val="bottom"/>
          </w:tcPr>
          <w:p>
            <w:pPr>
              <w:spacing w:after="0"/>
              <w:rPr>
                <w:sz w:val="14"/>
                <w:szCs w:val="14"/>
                <w:color w:val="auto"/>
              </w:rPr>
            </w:pPr>
          </w:p>
        </w:tc>
        <w:tc>
          <w:tcPr>
            <w:tcW w:w="7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Robert L. Clarke</w:t>
            </w:r>
          </w:p>
        </w:tc>
        <w:tc>
          <w:tcPr>
            <w:tcW w:w="740" w:type="dxa"/>
            <w:vAlign w:val="bottom"/>
            <w:gridSpan w:val="2"/>
            <w:shd w:val="clear" w:color="auto" w:fill="CCEEFF"/>
          </w:tcPr>
          <w:p>
            <w:pPr>
              <w:ind w:left="340"/>
              <w:spacing w:after="0" w:line="195" w:lineRule="exact"/>
              <w:rPr>
                <w:sz w:val="20"/>
                <w:szCs w:val="20"/>
                <w:color w:val="auto"/>
              </w:rPr>
            </w:pPr>
            <w:r>
              <w:rPr>
                <w:rFonts w:ascii="Arial" w:cs="Arial" w:eastAsia="Arial" w:hAnsi="Arial"/>
                <w:sz w:val="18"/>
                <w:szCs w:val="18"/>
                <w:color w:val="auto"/>
              </w:rPr>
              <w:t>63</w:t>
            </w:r>
          </w:p>
        </w:tc>
        <w:tc>
          <w:tcPr>
            <w:tcW w:w="1020" w:type="dxa"/>
            <w:vAlign w:val="bottom"/>
            <w:gridSpan w:val="2"/>
            <w:shd w:val="clear" w:color="auto" w:fill="CCEEFF"/>
          </w:tcPr>
          <w:p>
            <w:pPr>
              <w:jc w:val="center"/>
              <w:ind w:left="130"/>
              <w:spacing w:after="0" w:line="195" w:lineRule="exact"/>
              <w:rPr>
                <w:sz w:val="20"/>
                <w:szCs w:val="20"/>
                <w:color w:val="auto"/>
              </w:rPr>
            </w:pPr>
            <w:r>
              <w:rPr>
                <w:rFonts w:ascii="Arial" w:cs="Arial" w:eastAsia="Arial" w:hAnsi="Arial"/>
                <w:sz w:val="18"/>
                <w:szCs w:val="18"/>
                <w:color w:val="auto"/>
                <w:w w:val="89"/>
              </w:rPr>
              <w:t>1994</w:t>
            </w:r>
          </w:p>
        </w:tc>
        <w:tc>
          <w:tcPr>
            <w:tcW w:w="200" w:type="dxa"/>
            <w:vAlign w:val="bottom"/>
            <w:shd w:val="clear" w:color="auto" w:fill="CCEEFF"/>
          </w:tcPr>
          <w:p>
            <w:pPr>
              <w:spacing w:after="0"/>
              <w:rPr>
                <w:sz w:val="16"/>
                <w:szCs w:val="16"/>
                <w:color w:val="auto"/>
              </w:rPr>
            </w:pPr>
          </w:p>
        </w:tc>
        <w:tc>
          <w:tcPr>
            <w:tcW w:w="78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Mr. Clarke serves as chairman of the audit committee of our board of directors. Mr. Clarke also serves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5"/>
              </w:rPr>
              <w:t>the compensation committee of our board. He was a partner in the law firm of Bracewell &amp; Giuliani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2"/>
              </w:rPr>
              <w:t>(formerly known as Bracewell &amp; Patterson) from 1971 to December 1985, returned to the firm as a partner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5"/>
              </w:rPr>
              <w:t>in March 1992 and continues to serve in that capacity. From December 1985 to February 1992, he was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4"/>
              </w:rPr>
              <w:t>Comptroller of the Currency of the United States. Mr. Clarke is also a director of First Investors 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2"/>
              </w:rPr>
              <w:t>Services, Inc., a consumer finance company, and a director of Stewart Information Services Corporation,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land title and property information services company.</w:t>
            </w:r>
          </w:p>
        </w:tc>
        <w:tc>
          <w:tcPr>
            <w:tcW w:w="0" w:type="dxa"/>
            <w:vAlign w:val="bottom"/>
          </w:tcPr>
          <w:p>
            <w:pPr>
              <w:spacing w:after="0"/>
              <w:rPr>
                <w:sz w:val="1"/>
                <w:szCs w:val="1"/>
                <w:color w:val="auto"/>
              </w:rPr>
            </w:pP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Frank W. Maresh</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67</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2004</w:t>
            </w:r>
          </w:p>
        </w:tc>
        <w:tc>
          <w:tcPr>
            <w:tcW w:w="20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0"/>
              </w:rPr>
              <w:t>Mr. Maresh has been a member of our board of directors since 2004 and serves on our audit committee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our compensation committee. Mr. Maresh is a certified public accountant and currently works as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89"/>
              </w:rPr>
              <w:t>consultant and serves as a board member for several private enterprises. He is also a member of the board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1"/>
              </w:rPr>
              <w:t>directors of Argonaut Group, Inc., where he serves as chairman of the audit committee. From 1993 to 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Mr. Maresh served on the Texas State Board of Public Accountancy, first as Chairman of the Major Case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Committee and then as Chairman of the Board. Prior to joining the Texas State Board of Public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Accountancy, Mr. Maresh worked for KPMG from 1962 until 1993 in a variety of capacities, including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8"/>
              </w:rPr>
              <w:t>Chairman of the Board of Directors of that firm’s U.S. operations, as a member of KPMG’s firm-wide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2"/>
              </w:rPr>
              <w:t>management committee, as Managing Partner of the Southwestern United States region and as Managing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4"/>
              </w:rPr>
              <w:t>Partner of KPMG’s Houston office. Mr. Maresh graduated from the University of Texas with a masters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professional accounting.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Steven R. Rowley</w:t>
            </w:r>
          </w:p>
        </w:tc>
        <w:tc>
          <w:tcPr>
            <w:tcW w:w="7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53</w:t>
            </w:r>
          </w:p>
        </w:tc>
        <w:tc>
          <w:tcPr>
            <w:tcW w:w="102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89"/>
              </w:rPr>
              <w:t>2003</w:t>
            </w:r>
          </w:p>
        </w:tc>
        <w:tc>
          <w:tcPr>
            <w:tcW w:w="200" w:type="dxa"/>
            <w:vAlign w:val="bottom"/>
            <w:shd w:val="clear" w:color="auto" w:fill="CCEEFF"/>
          </w:tcPr>
          <w:p>
            <w:pPr>
              <w:spacing w:after="0"/>
              <w:rPr>
                <w:sz w:val="17"/>
                <w:szCs w:val="17"/>
                <w:color w:val="auto"/>
              </w:rPr>
            </w:pPr>
          </w:p>
        </w:tc>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Mr. Rowley has been the Company’s Chief Executive Officer and a member of our board of directors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8"/>
              </w:rPr>
              <w:t>September 2003. Mr. Rowley is also a member of the executive committee of our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Mr. Rowley joined the Company in 1991 as a plant manager in its Nevada cement operations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3"/>
              </w:rPr>
              <w:t>subsequently became Executive Vice President of the Company’s Illinois Cement Company subsidiary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1"/>
              </w:rPr>
              <w:t>June of 1995. Mr. Rowley was named the Company’s Executive Vice President – Cement in 1998. In 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w w:val="93"/>
              </w:rPr>
              <w:t>Mr. Rowley’s operational responsibilities were expanded to include concrete and aggregates. Mr. Rowley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was named the Company’s Chief Operating Officer in October 2002.</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40" w:type="dxa"/>
            <w:vAlign w:val="bottom"/>
            <w:gridSpan w:val="3"/>
          </w:tcPr>
          <w:p>
            <w:pPr>
              <w:ind w:left="380"/>
              <w:spacing w:after="0"/>
              <w:rPr>
                <w:sz w:val="20"/>
                <w:szCs w:val="20"/>
                <w:color w:val="auto"/>
              </w:rPr>
            </w:pPr>
            <w:r>
              <w:rPr>
                <w:rFonts w:ascii="Arial" w:cs="Arial" w:eastAsia="Arial" w:hAnsi="Arial"/>
                <w:sz w:val="18"/>
                <w:szCs w:val="18"/>
                <w:b w:val="1"/>
                <w:bCs w:val="1"/>
                <w:color w:val="auto"/>
              </w:rPr>
              <w:t>Continuing Directors Whose Terms Expire at our 2008 Annual Meeting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40" w:type="dxa"/>
            <w:vAlign w:val="bottom"/>
          </w:tcPr>
          <w:p>
            <w:pPr>
              <w:ind w:left="1400"/>
              <w:spacing w:after="0"/>
              <w:rPr>
                <w:sz w:val="20"/>
                <w:szCs w:val="20"/>
                <w:color w:val="auto"/>
              </w:rPr>
            </w:pPr>
            <w:r>
              <w:rPr>
                <w:rFonts w:ascii="Arial" w:cs="Arial" w:eastAsia="Arial" w:hAnsi="Arial"/>
                <w:sz w:val="18"/>
                <w:szCs w:val="18"/>
                <w:b w:val="1"/>
                <w:bCs w:val="1"/>
                <w:color w:val="auto"/>
              </w:rPr>
              <w:t>(Class II Directors)</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Pr>
          <w:p>
            <w:pPr>
              <w:spacing w:after="0"/>
              <w:rPr>
                <w:sz w:val="24"/>
                <w:szCs w:val="24"/>
                <w:color w:val="auto"/>
              </w:rPr>
            </w:pPr>
          </w:p>
        </w:tc>
        <w:tc>
          <w:tcPr>
            <w:tcW w:w="7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Business Experience and Principal Occupation;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5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First</w:t>
            </w:r>
          </w:p>
        </w:tc>
        <w:tc>
          <w:tcPr>
            <w:tcW w:w="200" w:type="dxa"/>
            <w:vAlign w:val="bottom"/>
          </w:tcPr>
          <w:p>
            <w:pPr>
              <w:spacing w:after="0"/>
              <w:rPr>
                <w:sz w:val="12"/>
                <w:szCs w:val="12"/>
                <w:color w:val="auto"/>
              </w:rPr>
            </w:pPr>
          </w:p>
        </w:tc>
        <w:tc>
          <w:tcPr>
            <w:tcW w:w="7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200" w:type="dxa"/>
            <w:vAlign w:val="bottom"/>
          </w:tcPr>
          <w:p>
            <w:pPr>
              <w:spacing w:after="0"/>
              <w:rPr>
                <w:sz w:val="14"/>
                <w:szCs w:val="14"/>
                <w:color w:val="auto"/>
              </w:rPr>
            </w:pPr>
          </w:p>
        </w:tc>
        <w:tc>
          <w:tcPr>
            <w:tcW w:w="7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Directorships in Public Corporations and Investment Companies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b w:val="1"/>
                <w:bCs w:val="1"/>
                <w:color w:val="auto"/>
                <w:w w:val="96"/>
              </w:rPr>
              <w:t>Laurence E. Hirsch</w:t>
            </w:r>
          </w:p>
        </w:tc>
        <w:tc>
          <w:tcPr>
            <w:tcW w:w="220" w:type="dxa"/>
            <w:vAlign w:val="bottom"/>
          </w:tcPr>
          <w:p>
            <w:pPr>
              <w:spacing w:after="0"/>
              <w:rPr>
                <w:sz w:val="16"/>
                <w:szCs w:val="16"/>
                <w:color w:val="auto"/>
              </w:rPr>
            </w:pPr>
          </w:p>
        </w:tc>
        <w:tc>
          <w:tcPr>
            <w:tcW w:w="520" w:type="dxa"/>
            <w:vAlign w:val="bottom"/>
          </w:tcPr>
          <w:p>
            <w:pPr>
              <w:ind w:left="120"/>
              <w:spacing w:after="0" w:line="195"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6"/>
                <w:szCs w:val="16"/>
                <w:color w:val="auto"/>
              </w:rPr>
            </w:pPr>
          </w:p>
        </w:tc>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89"/>
              </w:rPr>
              <w:t>1985</w:t>
            </w:r>
          </w:p>
        </w:tc>
        <w:tc>
          <w:tcPr>
            <w:tcW w:w="200" w:type="dxa"/>
            <w:vAlign w:val="bottom"/>
          </w:tcPr>
          <w:p>
            <w:pPr>
              <w:spacing w:after="0"/>
              <w:rPr>
                <w:sz w:val="16"/>
                <w:szCs w:val="16"/>
                <w:color w:val="auto"/>
              </w:rPr>
            </w:pPr>
          </w:p>
        </w:tc>
        <w:tc>
          <w:tcPr>
            <w:tcW w:w="7840" w:type="dxa"/>
            <w:vAlign w:val="bottom"/>
          </w:tcPr>
          <w:p>
            <w:pPr>
              <w:spacing w:after="0" w:line="195" w:lineRule="exact"/>
              <w:rPr>
                <w:sz w:val="20"/>
                <w:szCs w:val="20"/>
                <w:color w:val="auto"/>
              </w:rPr>
            </w:pPr>
            <w:r>
              <w:rPr>
                <w:rFonts w:ascii="Arial" w:cs="Arial" w:eastAsia="Arial" w:hAnsi="Arial"/>
                <w:sz w:val="18"/>
                <w:szCs w:val="18"/>
                <w:color w:val="auto"/>
                <w:w w:val="90"/>
              </w:rPr>
              <w:t>Mr. Hirsch has served as chairman of our board of directors from July 1999 to the present and also served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9"/>
              </w:rPr>
              <w:t>that capacity from January 1994 through December 1997. He was our Chief Executive Officer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5"/>
              </w:rPr>
              <w:t>April 2003 through September 2003. Mr. Hirsch is a member of the executive committee of our board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2"/>
              </w:rPr>
              <w:t>directors. Until his retirement on March 31, 2004, Mr. Hirsch served Centex in various capacities, including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4"/>
              </w:rPr>
              <w:t>as a director beginning in 1985, as Chief Executive Officer beginning in July 1988 and as chairman of 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board of directors beginning in July 1991. Mr. Hirsch also serves as a director of Belo Corp., a diversified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media company. Mr. Hirsch is also Chairman of the Center for European Policy Analysis.</w:t>
            </w:r>
          </w:p>
        </w:tc>
        <w:tc>
          <w:tcPr>
            <w:tcW w:w="0" w:type="dxa"/>
            <w:vAlign w:val="bottom"/>
          </w:tcPr>
          <w:p>
            <w:pPr>
              <w:spacing w:after="0"/>
              <w:rPr>
                <w:sz w:val="1"/>
                <w:szCs w:val="1"/>
                <w:color w:val="auto"/>
              </w:rPr>
            </w:pP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w w:val="98"/>
              </w:rPr>
              <w:t>Michael R. Nicolais</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48</w:t>
            </w:r>
          </w:p>
        </w:tc>
        <w:tc>
          <w:tcPr>
            <w:tcW w:w="1020" w:type="dxa"/>
            <w:vAlign w:val="bottom"/>
            <w:gridSpan w:val="2"/>
          </w:tcPr>
          <w:p>
            <w:pPr>
              <w:jc w:val="center"/>
              <w:ind w:left="130"/>
              <w:spacing w:after="0"/>
              <w:rPr>
                <w:sz w:val="20"/>
                <w:szCs w:val="20"/>
                <w:color w:val="auto"/>
              </w:rPr>
            </w:pPr>
            <w:r>
              <w:rPr>
                <w:rFonts w:ascii="Arial" w:cs="Arial" w:eastAsia="Arial" w:hAnsi="Arial"/>
                <w:sz w:val="18"/>
                <w:szCs w:val="18"/>
                <w:color w:val="auto"/>
                <w:w w:val="89"/>
              </w:rPr>
              <w:t>2001</w:t>
            </w:r>
          </w:p>
        </w:tc>
        <w:tc>
          <w:tcPr>
            <w:tcW w:w="200" w:type="dxa"/>
            <w:vAlign w:val="bottom"/>
          </w:tcPr>
          <w:p>
            <w:pPr>
              <w:spacing w:after="0"/>
              <w:rPr>
                <w:sz w:val="24"/>
                <w:szCs w:val="24"/>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4"/>
              </w:rPr>
              <w:t>Mr. Nicolais been a member of our board of directors since 2001 and serves on our audit committee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chairs our corporate governance and nominating committee. In April 2004, Mr. Nicolais became president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40" w:type="dxa"/>
            <w:vAlign w:val="bottom"/>
          </w:tcPr>
          <w:p>
            <w:pPr>
              <w:spacing w:after="0"/>
              <w:rPr>
                <w:sz w:val="20"/>
                <w:szCs w:val="20"/>
                <w:color w:val="auto"/>
              </w:rPr>
            </w:pPr>
            <w:r>
              <w:rPr>
                <w:rFonts w:ascii="Arial" w:cs="Arial" w:eastAsia="Arial" w:hAnsi="Arial"/>
                <w:sz w:val="18"/>
                <w:szCs w:val="18"/>
                <w:color w:val="auto"/>
                <w:w w:val="93"/>
              </w:rPr>
              <w:t>of Highlander Partners L.P., an investment partnership. From August 2002 until March 2004, Mr. Nicolais</w:t>
            </w:r>
          </w:p>
        </w:tc>
        <w:tc>
          <w:tcPr>
            <w:tcW w:w="0" w:type="dxa"/>
            <w:vAlign w:val="bottom"/>
          </w:tcPr>
          <w:p>
            <w:pPr>
              <w:spacing w:after="0"/>
              <w:rPr>
                <w:sz w:val="1"/>
                <w:szCs w:val="1"/>
                <w:color w:val="auto"/>
              </w:rPr>
            </w:pPr>
          </w:p>
        </w:tc>
      </w:tr>
    </w:tbl>
    <w:p>
      <w:pPr>
        <w:ind w:left="3580" w:right="160"/>
        <w:spacing w:after="0" w:line="253" w:lineRule="auto"/>
        <w:rPr>
          <w:sz w:val="20"/>
          <w:szCs w:val="20"/>
          <w:color w:val="auto"/>
        </w:rPr>
      </w:pPr>
      <w:r>
        <w:rPr>
          <w:rFonts w:ascii="Arial" w:cs="Arial" w:eastAsia="Arial" w:hAnsi="Arial"/>
          <w:sz w:val="18"/>
          <w:szCs w:val="18"/>
          <w:color w:val="auto"/>
        </w:rPr>
        <w:t>served as managing director of Stephens, Inc., an investment banking firm. Prior to joining Stephens, Inc., he was a partner in the private investment firm of Olivhan Investments, L.P. from March 2001 until August 2002. From August 1986 to December 2000, he was employed by Donaldson, Lufkin &amp; Jenrette Securities Corporation’s Investment Banking Division, most recently in the position of Managing Director and co-head of that firm’s Dallas office.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121"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During the Company’s fiscal year ended March 31, 2006, our board of directors held four regularly scheduled meetings and six special meetings. During such fiscal year one director missed two special meetings. In accordance with our policy, we anticipate that all continuing directors and nominees will attend our 2006 annual meeting. All such persons attended our 2005 annual meeting. We strongly encourage all board members to attend our stockholder meetings. Our non-employee directors (which currently constitute all our directors, except for Mr. Rowley) meet immediately after all board meetings without management present. Mr. Hirsch presides at all executive sessions of the non-employee directors.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121" w:lineRule="exact"/>
        <w:rPr>
          <w:sz w:val="20"/>
          <w:szCs w:val="20"/>
          <w:color w:val="auto"/>
        </w:rPr>
      </w:pPr>
    </w:p>
    <w:p>
      <w:pPr>
        <w:ind w:right="180" w:firstLine="225"/>
        <w:spacing w:after="0" w:line="271" w:lineRule="auto"/>
        <w:rPr>
          <w:sz w:val="20"/>
          <w:szCs w:val="20"/>
          <w:color w:val="auto"/>
        </w:rPr>
      </w:pPr>
      <w:r>
        <w:rPr>
          <w:rFonts w:ascii="Arial" w:cs="Arial" w:eastAsia="Arial" w:hAnsi="Arial"/>
          <w:sz w:val="17"/>
          <w:szCs w:val="17"/>
          <w:color w:val="auto"/>
        </w:rPr>
        <w:t>Board members who are not employees of the Company or any of its subsidiaries receive compensation for their services valued at $135,000 per year, of which 50% must be received in the form of an equity grant (stock options and restricted stock units (“RSUs”)). The equity grant is comprised of 50% stock options to purchase Common Stock and 50% RSUs. Each non-employee director may elect to receive the remaining compensation ($62,500) in cash or in additional equity (stock options and RSUs), provided that each non-employee director who elects to receive the remaining portion in additional equity will receive an additional $15,000 of equity awards. The exercise price of the options is equal to the average of the high and low price of the Common Stock on the New York Stock Exchange on the date of grant. The number of shares covered by the options is determined by valuing the options on the date of grant using the Black-Scholes method. The options are fully exercisable beginning on the date of grant and have a seven-year term. The number of RSUs is determined by reference to the closing price for the Common Stock on the date of award.</w:t>
      </w:r>
    </w:p>
    <w:p>
      <w:pPr>
        <w:spacing w:after="0" w:line="71"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RSUs vest in full on the date of grant, but are not payable until the non-employee director’s service on the board terminates because of the director’s death or the director’s retirement at age 70 (or older) or earlier with the consent of the Compensation Committee. In addition, the shares of stock represented by the RSUs become payable upon a change in control. If the director’s service on the board terminates by reason other than retirement or death, the shares will be forfeited.</w:t>
      </w:r>
    </w:p>
    <w:p>
      <w:pPr>
        <w:spacing w:after="0" w:line="79"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The corporate governance and nominating committee chair receives $10,000 per year for chairing the corporate governance and nominating committee. The audit committee and compensation committee chairmen each receive $15,000 per year for chairing a board committee. In addition, the Chairman of the Board receives $50,000 per year for his service as Chairman of the Board. Each chairman may elect to receive such fees in the form of equity. All board members are reimbursed for reasonable expenses of attending meetings. Directors who are employees of the Company or its subsidiaries receive no compensation for board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board’s standing committees include the audit committee, the compensation committee, and the corporate governance and nominating committee.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these committees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i w:val="1"/>
                <w:iCs w:val="1"/>
                <w:color w:val="auto"/>
                <w:w w:val="93"/>
              </w:rPr>
              <w:t>Corporate Governance and</w:t>
            </w:r>
          </w:p>
        </w:tc>
      </w:tr>
      <w:tr>
        <w:trPr>
          <w:trHeight w:val="167"/>
        </w:trPr>
        <w:tc>
          <w:tcPr>
            <w:tcW w:w="3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w w:val="92"/>
              </w:rPr>
              <w:t>Audit Committee</w:t>
            </w:r>
          </w:p>
        </w:tc>
        <w:tc>
          <w:tcPr>
            <w:tcW w:w="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2"/>
              </w:rPr>
              <w:t>Compensation Committee</w:t>
            </w:r>
          </w:p>
        </w:tc>
        <w:tc>
          <w:tcPr>
            <w:tcW w:w="56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w w:val="94"/>
              </w:rPr>
              <w:t>Nominating Committee</w:t>
            </w:r>
          </w:p>
        </w:tc>
      </w:tr>
      <w:tr>
        <w:trPr>
          <w:trHeight w:val="195"/>
        </w:trPr>
        <w:tc>
          <w:tcPr>
            <w:tcW w:w="344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Robert L. Clarke</w:t>
            </w:r>
            <w:r>
              <w:rPr>
                <w:rFonts w:ascii="Arial" w:cs="Arial" w:eastAsia="Arial" w:hAnsi="Arial"/>
                <w:sz w:val="15"/>
                <w:szCs w:val="15"/>
                <w:color w:val="auto"/>
                <w:w w:val="93"/>
              </w:rPr>
              <w:t>(1)</w:t>
            </w:r>
          </w:p>
        </w:tc>
        <w:tc>
          <w:tcPr>
            <w:tcW w:w="58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93"/>
              </w:rPr>
              <w:t>F. William Barnett</w:t>
            </w:r>
            <w:r>
              <w:rPr>
                <w:rFonts w:ascii="Arial" w:cs="Arial" w:eastAsia="Arial" w:hAnsi="Arial"/>
                <w:sz w:val="15"/>
                <w:szCs w:val="15"/>
                <w:color w:val="auto"/>
                <w:w w:val="93"/>
              </w:rPr>
              <w:t>(1)</w:t>
            </w:r>
          </w:p>
        </w:tc>
        <w:tc>
          <w:tcPr>
            <w:tcW w:w="560" w:type="dxa"/>
            <w:vAlign w:val="bottom"/>
          </w:tcPr>
          <w:p>
            <w:pPr>
              <w:spacing w:after="0"/>
              <w:rPr>
                <w:sz w:val="16"/>
                <w:szCs w:val="16"/>
                <w:color w:val="auto"/>
              </w:rPr>
            </w:pPr>
          </w:p>
        </w:tc>
        <w:tc>
          <w:tcPr>
            <w:tcW w:w="3420" w:type="dxa"/>
            <w:vAlign w:val="bottom"/>
          </w:tcPr>
          <w:p>
            <w:pPr>
              <w:jc w:val="center"/>
              <w:spacing w:after="0" w:line="195" w:lineRule="exact"/>
              <w:rPr>
                <w:sz w:val="20"/>
                <w:szCs w:val="20"/>
                <w:color w:val="auto"/>
              </w:rPr>
            </w:pPr>
            <w:r>
              <w:rPr>
                <w:rFonts w:ascii="Arial" w:cs="Arial" w:eastAsia="Arial" w:hAnsi="Arial"/>
                <w:sz w:val="18"/>
                <w:szCs w:val="18"/>
                <w:color w:val="auto"/>
                <w:w w:val="94"/>
              </w:rPr>
              <w:t>F. William Barnett</w:t>
            </w:r>
          </w:p>
        </w:tc>
      </w:tr>
      <w:tr>
        <w:trPr>
          <w:trHeight w:val="216"/>
        </w:trPr>
        <w:tc>
          <w:tcPr>
            <w:tcW w:w="3440" w:type="dxa"/>
            <w:vAlign w:val="bottom"/>
            <w:gridSpan w:val="2"/>
          </w:tcPr>
          <w:p>
            <w:pPr>
              <w:jc w:val="center"/>
              <w:spacing w:after="0"/>
              <w:rPr>
                <w:sz w:val="20"/>
                <w:szCs w:val="20"/>
                <w:color w:val="auto"/>
              </w:rPr>
            </w:pPr>
            <w:r>
              <w:rPr>
                <w:rFonts w:ascii="Arial" w:cs="Arial" w:eastAsia="Arial" w:hAnsi="Arial"/>
                <w:sz w:val="18"/>
                <w:szCs w:val="18"/>
                <w:color w:val="auto"/>
                <w:w w:val="89"/>
              </w:rPr>
              <w:t>Frank W. Maresh</w:t>
            </w: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Robert L. Clarke</w:t>
            </w:r>
          </w:p>
        </w:tc>
        <w:tc>
          <w:tcPr>
            <w:tcW w:w="5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O.G. Dagnan</w:t>
            </w:r>
          </w:p>
        </w:tc>
      </w:tr>
      <w:tr>
        <w:trPr>
          <w:trHeight w:val="230"/>
        </w:trPr>
        <w:tc>
          <w:tcPr>
            <w:tcW w:w="3440" w:type="dxa"/>
            <w:vAlign w:val="bottom"/>
            <w:gridSpan w:val="2"/>
          </w:tcPr>
          <w:p>
            <w:pPr>
              <w:jc w:val="center"/>
              <w:spacing w:after="0"/>
              <w:rPr>
                <w:sz w:val="20"/>
                <w:szCs w:val="20"/>
                <w:color w:val="auto"/>
              </w:rPr>
            </w:pPr>
            <w:r>
              <w:rPr>
                <w:rFonts w:ascii="Arial" w:cs="Arial" w:eastAsia="Arial" w:hAnsi="Arial"/>
                <w:sz w:val="18"/>
                <w:szCs w:val="18"/>
                <w:color w:val="auto"/>
                <w:w w:val="94"/>
              </w:rPr>
              <w:t>Michael R. Nicolais</w:t>
            </w:r>
          </w:p>
        </w:tc>
        <w:tc>
          <w:tcPr>
            <w:tcW w:w="5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Frank W. Maresh</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Michael R. Nicolais</w:t>
            </w:r>
            <w:r>
              <w:rPr>
                <w:rFonts w:ascii="Arial" w:cs="Arial" w:eastAsia="Arial" w:hAnsi="Arial"/>
                <w:sz w:val="15"/>
                <w:szCs w:val="15"/>
                <w:color w:val="auto"/>
                <w:w w:val="94"/>
              </w:rPr>
              <w:t>(1)</w:t>
            </w:r>
          </w:p>
        </w:tc>
      </w:tr>
      <w:tr>
        <w:trPr>
          <w:trHeight w:val="297"/>
        </w:trPr>
        <w:tc>
          <w:tcPr>
            <w:tcW w:w="206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77"/>
        </w:trPr>
        <w:tc>
          <w:tcPr>
            <w:tcW w:w="3440" w:type="dxa"/>
            <w:vAlign w:val="bottom"/>
            <w:gridSpan w:val="2"/>
          </w:tcPr>
          <w:p>
            <w:pPr>
              <w:spacing w:after="0"/>
              <w:rPr>
                <w:sz w:val="20"/>
                <w:szCs w:val="20"/>
                <w:color w:val="auto"/>
              </w:rPr>
            </w:pPr>
            <w:r>
              <w:rPr>
                <w:rFonts w:ascii="Arial" w:cs="Arial" w:eastAsia="Arial" w:hAnsi="Arial"/>
                <w:sz w:val="18"/>
                <w:szCs w:val="18"/>
                <w:color w:val="auto"/>
              </w:rPr>
              <w:t>(1) Chairman of the committee.</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24"/>
        </w:trPr>
        <w:tc>
          <w:tcPr>
            <w:tcW w:w="3440" w:type="dxa"/>
            <w:vAlign w:val="bottom"/>
            <w:gridSpan w:val="2"/>
          </w:tcPr>
          <w:p>
            <w:pPr>
              <w:ind w:left="240"/>
              <w:spacing w:after="0"/>
              <w:rPr>
                <w:sz w:val="20"/>
                <w:szCs w:val="20"/>
                <w:color w:val="auto"/>
              </w:rPr>
            </w:pPr>
            <w:r>
              <w:rPr>
                <w:rFonts w:ascii="Arial" w:cs="Arial" w:eastAsia="Arial" w:hAnsi="Arial"/>
                <w:sz w:val="18"/>
                <w:szCs w:val="18"/>
                <w:i w:val="1"/>
                <w:iCs w:val="1"/>
                <w:color w:val="auto"/>
              </w:rPr>
              <w:t>Audit Committee</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pacing w:after="0" w:line="94" w:lineRule="exact"/>
        <w:rPr>
          <w:sz w:val="20"/>
          <w:szCs w:val="20"/>
          <w:color w:val="auto"/>
        </w:rPr>
      </w:pPr>
    </w:p>
    <w:p>
      <w:pPr>
        <w:ind w:right="200" w:firstLine="225"/>
        <w:spacing w:after="0" w:line="276" w:lineRule="auto"/>
        <w:rPr>
          <w:sz w:val="20"/>
          <w:szCs w:val="20"/>
          <w:color w:val="auto"/>
        </w:rPr>
      </w:pPr>
      <w:r>
        <w:rPr>
          <w:rFonts w:ascii="Arial" w:cs="Arial" w:eastAsia="Arial" w:hAnsi="Arial"/>
          <w:sz w:val="17"/>
          <w:szCs w:val="17"/>
          <w:color w:val="auto"/>
        </w:rPr>
        <w:t>Our board has a separately-designated standing audit committee, composed of three independent directors. The audit committee assists the board in fulfilling its responsibility to oversee the integrity of our financial statements, our compliance with legal and regulatory requirements, the qualifications and independence of our independent auditors and the performance of our internal audit function and independent auditors. The audit committee is governed by an amended and restated audit committee charter, a copy of which may be viewed on our website at www.eaglematerials.com and will be provided free of charge upon written request to our Secretary at our principal executive office.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Our board has determined that each member of the committee is independent within the meaning of applicable (i) corporate governance rules of the NYSE and (ii) the requirements set forth in the Exchange Act and the applicable SEC rules. In addition, our board has determined that each member of the committee satisfies applicable NYSE standards for financial literacy and that, based on his auditing and financial experience, including over thirty (30) years with KPMG, Mr. Maresh is an “audit committee financial expert” within the meaning of the rules of the SEC.</w:t>
      </w:r>
    </w:p>
    <w:p>
      <w:pPr>
        <w:spacing w:after="0" w:line="63"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During the last fiscal year, the audit committee held seven meetings, which were attended by all committee members. Unless otherwise determined by the board, no member of the committee may serve as a member of the audit committee of more than two other public companies.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key functions and responsibilities of our audit committee:</w:t>
      </w:r>
    </w:p>
    <w:p>
      <w:pPr>
        <w:spacing w:after="0" w:line="117" w:lineRule="exact"/>
        <w:rPr>
          <w:sz w:val="20"/>
          <w:szCs w:val="20"/>
          <w:color w:val="auto"/>
        </w:rPr>
      </w:pPr>
    </w:p>
    <w:p>
      <w:pPr>
        <w:ind w:left="660" w:right="10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to select, appoint, compensate, evaluate, retain and oversee the independent auditors engaged for purposes of preparing or issuing an audit report or related work or performing other audit, review, or attest services for us;</w:t>
      </w:r>
    </w:p>
    <w:p>
      <w:pPr>
        <w:spacing w:after="0" w:line="75" w:lineRule="exact"/>
        <w:rPr>
          <w:rFonts w:ascii="Arial" w:cs="Arial" w:eastAsia="Arial" w:hAnsi="Arial"/>
          <w:sz w:val="18"/>
          <w:szCs w:val="18"/>
          <w:b w:val="1"/>
          <w:bCs w:val="1"/>
          <w:color w:val="auto"/>
        </w:rPr>
      </w:pPr>
    </w:p>
    <w:p>
      <w:pPr>
        <w:ind w:left="660" w:right="80" w:hanging="436"/>
        <w:spacing w:after="0" w:line="286" w:lineRule="auto"/>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to obtain and review, on a periodic basis,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70" w:lineRule="exact"/>
        <w:rPr>
          <w:rFonts w:ascii="Arial" w:cs="Arial" w:eastAsia="Arial" w:hAnsi="Arial"/>
          <w:sz w:val="17"/>
          <w:szCs w:val="17"/>
          <w:b w:val="1"/>
          <w:bCs w:val="1"/>
          <w:color w:val="auto"/>
        </w:rPr>
      </w:pPr>
    </w:p>
    <w:p>
      <w:pPr>
        <w:ind w:left="660" w:right="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to pre-approve all audit engagement fees and terms and all permissible non-audit services provided to us by our independent auditors, in accordance with the committee’s policies and procedures for pre-approving audit and non-audit services;</w:t>
      </w:r>
    </w:p>
    <w:p>
      <w:pPr>
        <w:spacing w:after="0" w:line="75" w:lineRule="exact"/>
        <w:rPr>
          <w:rFonts w:ascii="Arial" w:cs="Arial" w:eastAsia="Arial" w:hAnsi="Arial"/>
          <w:sz w:val="18"/>
          <w:szCs w:val="18"/>
          <w:b w:val="1"/>
          <w:bCs w:val="1"/>
          <w:color w:val="auto"/>
        </w:rPr>
      </w:pPr>
    </w:p>
    <w:p>
      <w:pPr>
        <w:ind w:left="660" w:right="80" w:hanging="436"/>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to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86" w:lineRule="exact"/>
        <w:rPr>
          <w:rFonts w:ascii="Arial" w:cs="Arial" w:eastAsia="Arial" w:hAnsi="Arial"/>
          <w:sz w:val="18"/>
          <w:szCs w:val="18"/>
          <w:b w:val="1"/>
          <w:bCs w:val="1"/>
          <w:color w:val="auto"/>
        </w:rPr>
      </w:pPr>
    </w:p>
    <w:p>
      <w:pPr>
        <w:ind w:left="660" w:right="2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to discuss our annual audited financial statements, quarterly financial statements and other significant financial disclosures with management and our independent auditors;</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to discuss with management the types of information to be disclosed and the types of presentations to be made in our earnings press releases, as well as the financial information and earnings guidance we provide to analysts and rating agencies;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to annually review and assess its performance and the adequacy of its charter;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to discuss policies with respect to risk assessment and risk management;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to prepare the report that is required to be included in our annual proxy statement regarding review of financial statements and auditor independence.</w:t>
      </w:r>
    </w:p>
    <w:p>
      <w:pPr>
        <w:spacing w:after="0" w:line="140"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audit committee’s report on our financial statements for the fiscal year ended March 31, 2006 is presented below under the heading “Audit Committee Report.”</w:t>
      </w:r>
    </w:p>
    <w:p>
      <w:pPr>
        <w:spacing w:after="0" w:line="62"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Our board’s compensation committee is composed of independent directors who meet the corporate governance standards of the NYSE, qualify as “non-employee directors” within the meaning of Rule 16b-3(b)(3) of the Exchange Act and as “outside directors” within the meaning of the Internal Revenue Code of 1986, as amended. Pursuant to its charter, which you may review on our web site at www.eaglematerials.com (and a copy of which will be provided to you free of charge upon written request to our Secretary at our principal executive office), the primary purposes of the committee are to assist the board in discharging its responsibilities relating to compensation of the Company’s Chief Executive Officer and other senior executives and to direct the preparation of the reports regarding executive compensation that the rules of the SEC require to be included in our annual proxy statement.</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key functions and responsibilities of the compensation committee:</w:t>
      </w:r>
    </w:p>
    <w:p>
      <w:pPr>
        <w:spacing w:after="0" w:line="117" w:lineRule="exact"/>
        <w:rPr>
          <w:sz w:val="20"/>
          <w:szCs w:val="20"/>
          <w:color w:val="auto"/>
        </w:rPr>
      </w:pPr>
    </w:p>
    <w:p>
      <w:pPr>
        <w:ind w:left="660" w:right="2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to periodically review and make recommendations to our board as to our general compensation philosophy and structure, including reviewing the compensation programs for senior executives and all benefit plans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sponsored by the Company to determine whether they are properly coordinated and achieving their intended purposes;</w:t>
      </w:r>
    </w:p>
    <w:p>
      <w:pPr>
        <w:spacing w:after="0" w:line="131" w:lineRule="exact"/>
        <w:rPr>
          <w:sz w:val="20"/>
          <w:szCs w:val="20"/>
          <w:color w:val="auto"/>
        </w:rPr>
      </w:pPr>
    </w:p>
    <w:p>
      <w:pPr>
        <w:ind w:left="660" w:right="20" w:hanging="436"/>
        <w:spacing w:after="0" w:line="264"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to annually review and approve corporate goals and objectives relevant to the compensation of our Chief Executive Officer, evaluate his or her performance as measured against such goals and objectives and to set the salary and other cash and equity compensation for our the Chief Executive Officer based on such evaluation;</w:t>
      </w:r>
    </w:p>
    <w:p>
      <w:pPr>
        <w:spacing w:after="0" w:line="86" w:lineRule="exact"/>
        <w:rPr>
          <w:rFonts w:ascii="Arial" w:cs="Arial" w:eastAsia="Arial" w:hAnsi="Arial"/>
          <w:sz w:val="18"/>
          <w:szCs w:val="18"/>
          <w:b w:val="1"/>
          <w:bCs w:val="1"/>
          <w:color w:val="auto"/>
        </w:rPr>
      </w:pPr>
    </w:p>
    <w:p>
      <w:pPr>
        <w:ind w:left="660" w:right="72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to review and, after the end of the fiscal year and in consultation with our Chief Executive Officer, approve the compensation of our senior executives;</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to administer the Company’s compensation plans for which it is named as plan administrator, including the Company’s Incentive Plan, as amended (the “Incentive Plan”);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to report on compensation policies and practices with respect to the Company’s executive officers as required by SEC rules;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to review and assess the performance of the committee and the adequacy of its charter annually and recommend any proposed changes to the board.</w:t>
      </w:r>
    </w:p>
    <w:p>
      <w:pPr>
        <w:spacing w:after="0" w:line="140"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compensation committee’s report for the fiscal year ended March 31, 2006 is presented below under the heading “Report of Compensation Committee on Executive Compensation.”</w:t>
      </w:r>
    </w:p>
    <w:p>
      <w:pPr>
        <w:spacing w:after="0" w:line="62"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compensation committee meets as often as it deems appropriate, but no less than twice per year. During the fiscal year ended March 31, 2006, the compensation committee held seven meetings, which were attended by all committee members.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117"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Our board’s corporate governance and nominating committee is composed of independent directors who meet the corporate governance standards of the NYSE. The primary purposes of this committee are: (i) to advise and counsel our board and management regarding our governance including our board’s selection of directors; (ii) to develop and recommend to the board a set of corporate governance principles for the Company; and (iii) to oversee the evaluation of our board and management. Our corporate governance and nominating committee has adopted a written charter, which you may review on our web site at www.eaglematerials.com and will be provided free of charge upon written request to our Secretary at our principal executive office. Our board of directors has also adopted corporate governance guidelines, a copy of which may be viewed on our website at www.eaglematerials.com and which will be provided free of charge upon written request to our Secretary at our principal executive office.</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certain key functions and responsibilities of our corporate governance and nominating committee:</w:t>
      </w:r>
    </w:p>
    <w:p>
      <w:pPr>
        <w:spacing w:after="0" w:line="117"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develop, periodically review and recommend a set of corporate governance principles for the Company to the board;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periodically review corporate governance matters generally and recommend action to the board where appropriate;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review and assess the adequacy of its charter annually and recommend any proposed changes to our board for approval;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monitor the quality and sufficiency of information furnished by management to our board;</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actively seek, recruit, screen, and interview individuals qualified to become members of the board, and consider management’s recommendations for director candidates;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to evaluate the qualifications and performance of incumbent directors and determine whether to recommend them for re-election to the board;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establish and periodically re-evaluate criteria for board membership;</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recommend to the board the director nominees for each annual stockholders’ meeting;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to recommend to the board nominees for each committee of the board.</w:t>
      </w:r>
    </w:p>
    <w:p>
      <w:pPr>
        <w:spacing w:after="0" w:line="117" w:lineRule="exact"/>
        <w:rPr>
          <w:sz w:val="20"/>
          <w:szCs w:val="20"/>
          <w:color w:val="auto"/>
        </w:rPr>
      </w:pPr>
    </w:p>
    <w:p>
      <w:pPr>
        <w:ind w:right="140" w:firstLine="222"/>
        <w:spacing w:after="0" w:line="302" w:lineRule="auto"/>
        <w:rPr>
          <w:sz w:val="20"/>
          <w:szCs w:val="20"/>
          <w:color w:val="auto"/>
        </w:rPr>
      </w:pPr>
      <w:r>
        <w:rPr>
          <w:rFonts w:ascii="Arial" w:cs="Arial" w:eastAsia="Arial" w:hAnsi="Arial"/>
          <w:sz w:val="16"/>
          <w:szCs w:val="16"/>
          <w:color w:val="auto"/>
        </w:rPr>
        <w:t>The committee initiates and oversees an annual evaluation of the effectiveness of the board and each committee, as well as the composition, organization (including committee structure, membership and leadership) and practices of the board. Among the criteria the corporate governance and nominating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inquiries, willingness to devote adequate time to board duties and the likelihood that he or she will be able to serve on the board for a sustained period. In connection with the selection of nominees for director, due consideration will be given to our board’s overall balance of perspectives, backgrounds and experiences. During the fiscal year ended March 31, 2006, the committee engaged a director search firm to assist in identifying and evaluating potential nominees.</w:t>
      </w:r>
    </w:p>
    <w:p>
      <w:pPr>
        <w:spacing w:after="0" w:line="79"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Members of the corporate governance and nominating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the committee’s charter, the committee may retain a search firm to assist in identifying potential candidates for nomination to the board of directors.</w:t>
      </w:r>
    </w:p>
    <w:p>
      <w:pPr>
        <w:spacing w:after="0" w:line="46"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committee will consider candidates recommended by stockholders for election to our board. A stockholder who wishes to recommend a candidate for evaluation by the committee should forward the candidate’s name, business or residence address, principal occupation or employment and a description of the candidate’s qualifications to the Chairman of the corporate governance and nominating committee at the following address: Eagle Materials Inc., Attention: Secretary, 3811 Turtle Creek Boulevard, Suite 1100, Dallas, Texas 75219-4487.</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Bylaws provide that, to be considered at the 2007 annual meeting, stockholder nominations for the board of directors must be submitted in writing and received by our Secretary at the executive offices of the Company during the period beginning on January 26, 2007 and ending April 27, 2007,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79"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No nominees for election to the board of directors at our 2006 annual meeting of stockholders were submitted by stockholders or groups of stockholders owning more than 5% of our Common Stock.</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During the fiscal year ended March 31, 2006, the corporate governance and nominating committee held five meetings; one committee member missed one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Our Board</w:t>
      </w:r>
    </w:p>
    <w:p>
      <w:pPr>
        <w:spacing w:after="0" w:line="121" w:lineRule="exact"/>
        <w:rPr>
          <w:sz w:val="20"/>
          <w:szCs w:val="20"/>
          <w:color w:val="auto"/>
        </w:rPr>
      </w:pPr>
    </w:p>
    <w:p>
      <w:pPr>
        <w:ind w:firstLine="218"/>
        <w:spacing w:after="0" w:line="257" w:lineRule="auto"/>
        <w:rPr>
          <w:sz w:val="20"/>
          <w:szCs w:val="20"/>
          <w:color w:val="auto"/>
        </w:rPr>
      </w:pPr>
      <w:r>
        <w:rPr>
          <w:rFonts w:ascii="Arial" w:cs="Arial" w:eastAsia="Arial" w:hAnsi="Arial"/>
          <w:sz w:val="18"/>
          <w:szCs w:val="18"/>
          <w:color w:val="auto"/>
        </w:rPr>
        <w:t>You can communicate directly with our board of directors, a committee of the board, our independent directors as a group, our Chairman of the Board or any other individual member of our board of directors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The following list sets forth the names, ages as of the date of this proxy statement and principal occupations of each person who was an executive officer of the Company during the fiscal year ended March 31, 2006 who is not also a member of our board. All of these persons have been elected to serve until the next annual meeting of our board or until their earlier resignation or removal.</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4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742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David B. Powers</w:t>
            </w:r>
          </w:p>
        </w:tc>
        <w:tc>
          <w:tcPr>
            <w:tcW w:w="820" w:type="dxa"/>
            <w:vAlign w:val="bottom"/>
            <w:gridSpan w:val="2"/>
            <w:shd w:val="clear" w:color="auto" w:fill="CCEEFF"/>
          </w:tcPr>
          <w:p>
            <w:pPr>
              <w:jc w:val="center"/>
              <w:ind w:left="150"/>
              <w:spacing w:after="0" w:line="195" w:lineRule="exact"/>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6"/>
                <w:szCs w:val="16"/>
                <w:color w:val="auto"/>
              </w:rPr>
            </w:pPr>
          </w:p>
        </w:tc>
        <w:tc>
          <w:tcPr>
            <w:tcW w:w="7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Executive Vice President — Gypsum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3"/>
              </w:rPr>
              <w:t>(Executive Vice President — Gypsum and President of American Gypsum Company since January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2"/>
              </w:rPr>
              <w:t>2005; Executive Vice President — Marketing, Sales and Distribution of American Gypsum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1"/>
              </w:rPr>
              <w:t>from June 2002 through December 2004; Vice President, Customer Service of USG Corporation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8"/>
              </w:rPr>
              <w:t>2000 — 2002; Vice President, Specialty Products and Architectural Systems Business of USG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Corporation from 1998 — 2000).</w:t>
            </w:r>
          </w:p>
        </w:tc>
        <w:tc>
          <w:tcPr>
            <w:tcW w:w="0" w:type="dxa"/>
            <w:vAlign w:val="bottom"/>
          </w:tcPr>
          <w:p>
            <w:pPr>
              <w:spacing w:after="0"/>
              <w:rPr>
                <w:sz w:val="1"/>
                <w:szCs w:val="1"/>
                <w:color w:val="auto"/>
              </w:rPr>
            </w:pPr>
          </w:p>
        </w:tc>
      </w:tr>
      <w:tr>
        <w:trPr>
          <w:trHeight w:val="418"/>
        </w:trPr>
        <w:tc>
          <w:tcPr>
            <w:tcW w:w="2960" w:type="dxa"/>
            <w:vAlign w:val="bottom"/>
            <w:gridSpan w:val="2"/>
          </w:tcPr>
          <w:p>
            <w:pPr>
              <w:spacing w:after="0"/>
              <w:rPr>
                <w:sz w:val="20"/>
                <w:szCs w:val="20"/>
                <w:color w:val="auto"/>
              </w:rPr>
            </w:pPr>
            <w:r>
              <w:rPr>
                <w:rFonts w:ascii="Arial" w:cs="Arial" w:eastAsia="Arial" w:hAnsi="Arial"/>
                <w:sz w:val="18"/>
                <w:szCs w:val="18"/>
                <w:color w:val="auto"/>
              </w:rPr>
              <w:t>Arthur R. Zunker, Jr.</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Senior Vice President — Finance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97"/>
              </w:rPr>
              <w:t>(Senior Vice President — Finance and Treasurer since January 1994; Senior Vice President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Administration from August 1984 to January 1994).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H. Graass</w:t>
            </w:r>
          </w:p>
        </w:tc>
        <w:tc>
          <w:tcPr>
            <w:tcW w:w="82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9"/>
              </w:rPr>
              <w:t>48</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Executive 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7"/>
              </w:rPr>
              <w:t>(Executive Vice President and General Counsel since November 2000; Mr. Graass was named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Secretary of the Company in July 2001).</w:t>
            </w:r>
          </w:p>
        </w:tc>
        <w:tc>
          <w:tcPr>
            <w:tcW w:w="0" w:type="dxa"/>
            <w:vAlign w:val="bottom"/>
          </w:tcPr>
          <w:p>
            <w:pPr>
              <w:spacing w:after="0"/>
              <w:rPr>
                <w:sz w:val="1"/>
                <w:szCs w:val="1"/>
                <w:color w:val="auto"/>
              </w:rPr>
            </w:pPr>
          </w:p>
        </w:tc>
      </w:tr>
      <w:tr>
        <w:trPr>
          <w:trHeight w:val="418"/>
        </w:trPr>
        <w:tc>
          <w:tcPr>
            <w:tcW w:w="2960" w:type="dxa"/>
            <w:vAlign w:val="bottom"/>
            <w:gridSpan w:val="2"/>
          </w:tcPr>
          <w:p>
            <w:pPr>
              <w:spacing w:after="0"/>
              <w:rPr>
                <w:sz w:val="20"/>
                <w:szCs w:val="20"/>
                <w:color w:val="auto"/>
              </w:rPr>
            </w:pPr>
            <w:r>
              <w:rPr>
                <w:rFonts w:ascii="Arial" w:cs="Arial" w:eastAsia="Arial" w:hAnsi="Arial"/>
                <w:sz w:val="18"/>
                <w:szCs w:val="18"/>
                <w:color w:val="auto"/>
              </w:rPr>
              <w:t>Gerald J. Essl</w:t>
            </w:r>
          </w:p>
        </w:tc>
        <w:tc>
          <w:tcPr>
            <w:tcW w:w="8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Executive Vice President — Cement/Concrete and Aggregates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w w:val="89"/>
              </w:rPr>
              <w:t>(Executive Vice President — Cement/Concrete and Aggregates since January 2003; President of Texas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Lehigh Cement Company from 1985 through December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William R. Devlin</w:t>
            </w:r>
          </w:p>
        </w:tc>
        <w:tc>
          <w:tcPr>
            <w:tcW w:w="82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9"/>
              </w:rPr>
              <w:t>40</w:t>
            </w:r>
          </w:p>
        </w:tc>
        <w:tc>
          <w:tcPr>
            <w:tcW w:w="22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4"/>
              </w:rPr>
              <w:t>(Vice President and Controller since October 2005; Director of Internal Audit from September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3"/>
              </w:rPr>
              <w:t>through September 2005; Senior Manager of PricewaterhouseCoopers LLP from July 1999 through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August, 2004).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40" w:type="dxa"/>
            <w:vAlign w:val="bottom"/>
            <w:gridSpan w:val="2"/>
          </w:tcPr>
          <w:p>
            <w:pPr>
              <w:jc w:val="right"/>
              <w:ind w:right="55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Tables</w:t>
      </w:r>
    </w:p>
    <w:p>
      <w:pPr>
        <w:spacing w:after="0" w:line="121"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table sets forth the cash and non-cash compensation for each of the last three fiscal years (or such shorter period during which the person was an executive officer) awarded to or earned by any person who served as Chief Executive Officer of the Company during the preceding fiscal year and the four other most highly compensated executive officers of the Company as of the end of fiscal year 2006:</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Annual Compensation ($)</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ind w:left="200"/>
              <w:spacing w:after="0"/>
              <w:rPr>
                <w:sz w:val="20"/>
                <w:szCs w:val="20"/>
                <w:color w:val="auto"/>
              </w:rPr>
            </w:pPr>
            <w:r>
              <w:rPr>
                <w:rFonts w:ascii="Arial" w:cs="Arial" w:eastAsia="Arial" w:hAnsi="Arial"/>
                <w:sz w:val="14"/>
                <w:szCs w:val="14"/>
                <w:b w:val="1"/>
                <w:bCs w:val="1"/>
                <w:color w:val="auto"/>
              </w:rPr>
              <w:t>Long-Term Compensation</w:t>
            </w:r>
          </w:p>
        </w:tc>
        <w:tc>
          <w:tcPr>
            <w:tcW w:w="27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All Other Compensation ($)</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w w:val="90"/>
              </w:rPr>
              <w:t>Awards</w:t>
            </w:r>
          </w:p>
        </w:tc>
        <w:tc>
          <w:tcPr>
            <w:tcW w:w="340" w:type="dxa"/>
            <w:vAlign w:val="bottom"/>
            <w:gridSpan w:val="2"/>
          </w:tcPr>
          <w:p>
            <w:pPr>
              <w:spacing w:after="0"/>
              <w:rPr>
                <w:sz w:val="14"/>
                <w:szCs w:val="14"/>
                <w:color w:val="auto"/>
              </w:rPr>
            </w:pPr>
          </w:p>
        </w:tc>
        <w:tc>
          <w:tcPr>
            <w:tcW w:w="2720" w:type="dxa"/>
            <w:vAlign w:val="bottom"/>
            <w:tcBorders>
              <w:bottom w:val="single" w:sz="8" w:color="auto"/>
            </w:tcBorders>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8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Restricted</w:t>
            </w:r>
          </w:p>
        </w:tc>
        <w:tc>
          <w:tcPr>
            <w:tcW w:w="1260" w:type="dxa"/>
            <w:vAlign w:val="bottom"/>
          </w:tcPr>
          <w:p>
            <w:pPr>
              <w:jc w:val="center"/>
              <w:ind w:left="215"/>
              <w:spacing w:after="0" w:line="119" w:lineRule="exact"/>
              <w:rPr>
                <w:sz w:val="20"/>
                <w:szCs w:val="20"/>
                <w:color w:val="auto"/>
              </w:rPr>
            </w:pPr>
            <w:r>
              <w:rPr>
                <w:rFonts w:ascii="Arial" w:cs="Arial" w:eastAsia="Arial" w:hAnsi="Arial"/>
                <w:sz w:val="13"/>
                <w:szCs w:val="13"/>
                <w:b w:val="1"/>
                <w:bCs w:val="1"/>
                <w:color w:val="auto"/>
                <w:w w:val="96"/>
              </w:rPr>
              <w:t>Securities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Profit</w:t>
            </w:r>
          </w:p>
        </w:tc>
        <w:tc>
          <w:tcPr>
            <w:tcW w:w="1000" w:type="dxa"/>
            <w:vAlign w:val="bottom"/>
          </w:tcPr>
          <w:p>
            <w:pPr>
              <w:spacing w:after="0"/>
              <w:rPr>
                <w:sz w:val="10"/>
                <w:szCs w:val="10"/>
                <w:color w:val="auto"/>
              </w:rPr>
            </w:pPr>
          </w:p>
        </w:tc>
        <w:tc>
          <w:tcPr>
            <w:tcW w:w="10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rPr>
                <w:sz w:val="12"/>
                <w:szCs w:val="12"/>
                <w:color w:val="auto"/>
              </w:rPr>
            </w:pPr>
          </w:p>
        </w:tc>
        <w:tc>
          <w:tcPr>
            <w:tcW w:w="8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Fiscal</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Annual</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Salary</w:t>
            </w:r>
          </w:p>
        </w:tc>
        <w:tc>
          <w:tcPr>
            <w:tcW w:w="136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2"/>
                <w:szCs w:val="12"/>
                <w:b w:val="1"/>
                <w:bCs w:val="1"/>
                <w:color w:val="auto"/>
              </w:rPr>
              <w:t>(1)</w:t>
            </w:r>
          </w:p>
        </w:tc>
        <w:tc>
          <w:tcPr>
            <w:tcW w:w="10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Compen-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 xml:space="preserve">Units </w:t>
            </w:r>
            <w:r>
              <w:rPr>
                <w:rFonts w:ascii="Arial" w:cs="Arial" w:eastAsia="Arial" w:hAnsi="Arial"/>
                <w:sz w:val="12"/>
                <w:szCs w:val="12"/>
                <w:b w:val="1"/>
                <w:bCs w:val="1"/>
                <w:color w:val="auto"/>
                <w:w w:val="93"/>
              </w:rPr>
              <w:t>(3)</w:t>
            </w:r>
          </w:p>
        </w:tc>
        <w:tc>
          <w:tcPr>
            <w:tcW w:w="1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 xml:space="preserve">Options </w:t>
            </w:r>
            <w:r>
              <w:rPr>
                <w:rFonts w:ascii="Arial" w:cs="Arial" w:eastAsia="Arial" w:hAnsi="Arial"/>
                <w:sz w:val="12"/>
                <w:szCs w:val="12"/>
                <w:b w:val="1"/>
                <w:bCs w:val="1"/>
                <w:color w:val="auto"/>
                <w:w w:val="92"/>
              </w:rPr>
              <w:t>(4)</w:t>
            </w:r>
          </w:p>
        </w:tc>
        <w:tc>
          <w:tcPr>
            <w:tcW w:w="8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Sharing</w:t>
            </w:r>
          </w:p>
        </w:tc>
        <w:tc>
          <w:tcPr>
            <w:tcW w:w="10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 xml:space="preserve">SERP </w:t>
            </w:r>
            <w:r>
              <w:rPr>
                <w:rFonts w:ascii="Arial" w:cs="Arial" w:eastAsia="Arial" w:hAnsi="Arial"/>
                <w:sz w:val="12"/>
                <w:szCs w:val="12"/>
                <w:b w:val="1"/>
                <w:bCs w:val="1"/>
                <w:color w:val="auto"/>
              </w:rPr>
              <w:t>(6)</w:t>
            </w:r>
          </w:p>
        </w:tc>
        <w:tc>
          <w:tcPr>
            <w:tcW w:w="10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Compen-</w:t>
            </w:r>
          </w:p>
        </w:tc>
        <w:tc>
          <w:tcPr>
            <w:tcW w:w="0" w:type="dxa"/>
            <w:vAlign w:val="bottom"/>
          </w:tcPr>
          <w:p>
            <w:pPr>
              <w:spacing w:after="0"/>
              <w:rPr>
                <w:sz w:val="1"/>
                <w:szCs w:val="1"/>
                <w:color w:val="auto"/>
              </w:rPr>
            </w:pPr>
          </w:p>
        </w:tc>
      </w:tr>
      <w:tr>
        <w:trPr>
          <w:trHeight w:val="171"/>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w w:val="99"/>
              </w:rPr>
              <w:t>Position in Fiscal Year 2006</w:t>
            </w:r>
          </w:p>
        </w:tc>
        <w:tc>
          <w:tcPr>
            <w:tcW w:w="16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9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0"/>
              </w:rPr>
              <w:t xml:space="preserve">sation </w:t>
            </w:r>
            <w:r>
              <w:rPr>
                <w:rFonts w:ascii="Arial" w:cs="Arial" w:eastAsia="Arial" w:hAnsi="Arial"/>
                <w:sz w:val="12"/>
                <w:szCs w:val="12"/>
                <w:b w:val="1"/>
                <w:bCs w:val="1"/>
                <w:color w:val="auto"/>
                <w:w w:val="90"/>
              </w:rPr>
              <w:t>(2)</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Pr>
          <w:p>
            <w:pPr>
              <w:jc w:val="center"/>
              <w:ind w:left="215"/>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 xml:space="preserve">Plan </w:t>
            </w:r>
            <w:r>
              <w:rPr>
                <w:rFonts w:ascii="Arial" w:cs="Arial" w:eastAsia="Arial" w:hAnsi="Arial"/>
                <w:sz w:val="12"/>
                <w:szCs w:val="12"/>
                <w:b w:val="1"/>
                <w:bCs w:val="1"/>
                <w:color w:val="auto"/>
              </w:rPr>
              <w:t>(5)</w:t>
            </w:r>
          </w:p>
        </w:tc>
        <w:tc>
          <w:tcPr>
            <w:tcW w:w="1000" w:type="dxa"/>
            <w:vAlign w:val="bottom"/>
            <w:vMerge w:val="continue"/>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 xml:space="preserve">sation </w:t>
            </w:r>
            <w:r>
              <w:rPr>
                <w:rFonts w:ascii="Arial" w:cs="Arial" w:eastAsia="Arial" w:hAnsi="Arial"/>
                <w:sz w:val="12"/>
                <w:szCs w:val="12"/>
                <w:b w:val="1"/>
                <w:bCs w:val="1"/>
                <w:color w:val="auto"/>
                <w:w w:val="93"/>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2006</w:t>
            </w:r>
          </w:p>
        </w:tc>
        <w:tc>
          <w:tcPr>
            <w:tcW w:w="1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600,000</w:t>
            </w:r>
          </w:p>
        </w:tc>
        <w:tc>
          <w:tcPr>
            <w:tcW w:w="1360" w:type="dxa"/>
            <w:vAlign w:val="bottom"/>
            <w:tcBorders>
              <w:top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1,187,548</w:t>
            </w:r>
          </w:p>
        </w:tc>
        <w:tc>
          <w:tcPr>
            <w:tcW w:w="8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w:t>
            </w:r>
          </w:p>
        </w:tc>
        <w:tc>
          <w:tcPr>
            <w:tcW w:w="1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549,937</w:t>
            </w:r>
          </w:p>
        </w:tc>
        <w:tc>
          <w:tcPr>
            <w:tcW w:w="14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66,000</w:t>
            </w: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20,828</w:t>
            </w: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34,557</w:t>
            </w:r>
          </w:p>
        </w:tc>
        <w:tc>
          <w:tcPr>
            <w:tcW w:w="10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40" w:type="dxa"/>
            <w:vAlign w:val="bottom"/>
            <w:shd w:val="clear" w:color="auto" w:fill="CCEEFF"/>
          </w:tcPr>
          <w:p>
            <w:pPr>
              <w:ind w:left="200"/>
              <w:spacing w:after="0" w:line="199" w:lineRule="exact"/>
              <w:rPr>
                <w:sz w:val="20"/>
                <w:szCs w:val="20"/>
                <w:color w:val="auto"/>
              </w:rPr>
            </w:pPr>
            <w:r>
              <w:rPr>
                <w:rFonts w:ascii="Arial" w:cs="Arial" w:eastAsia="Arial" w:hAnsi="Arial"/>
                <w:sz w:val="18"/>
                <w:szCs w:val="18"/>
                <w:color w:val="auto"/>
              </w:rPr>
              <w:t>President and Chief</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4"/>
              <w:spacing w:after="0" w:line="199" w:lineRule="exact"/>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52"/>
              <w:spacing w:after="0" w:line="199" w:lineRule="exact"/>
              <w:rPr>
                <w:sz w:val="20"/>
                <w:szCs w:val="20"/>
                <w:color w:val="auto"/>
              </w:rPr>
            </w:pPr>
            <w:r>
              <w:rPr>
                <w:rFonts w:ascii="Arial" w:cs="Arial" w:eastAsia="Arial" w:hAnsi="Arial"/>
                <w:sz w:val="18"/>
                <w:szCs w:val="18"/>
                <w:color w:val="auto"/>
              </w:rPr>
              <w:t>425,000</w:t>
            </w:r>
          </w:p>
        </w:tc>
        <w:tc>
          <w:tcPr>
            <w:tcW w:w="1360" w:type="dxa"/>
            <w:vAlign w:val="bottom"/>
            <w:shd w:val="clear" w:color="auto" w:fill="CCEEFF"/>
          </w:tcPr>
          <w:p>
            <w:pPr>
              <w:jc w:val="right"/>
              <w:ind w:right="331"/>
              <w:spacing w:after="0" w:line="199" w:lineRule="exact"/>
              <w:rPr>
                <w:sz w:val="20"/>
                <w:szCs w:val="20"/>
                <w:color w:val="auto"/>
              </w:rPr>
            </w:pPr>
            <w:r>
              <w:rPr>
                <w:rFonts w:ascii="Arial" w:cs="Arial" w:eastAsia="Arial" w:hAnsi="Arial"/>
                <w:sz w:val="18"/>
                <w:szCs w:val="18"/>
                <w:color w:val="auto"/>
              </w:rPr>
              <w:t>625,505</w:t>
            </w:r>
          </w:p>
        </w:tc>
        <w:tc>
          <w:tcPr>
            <w:tcW w:w="8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8,220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533,337</w:t>
            </w:r>
          </w:p>
        </w:tc>
        <w:tc>
          <w:tcPr>
            <w:tcW w:w="144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71,316</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ind w:left="140"/>
              <w:spacing w:after="0" w:line="199" w:lineRule="exact"/>
              <w:rPr>
                <w:sz w:val="20"/>
                <w:szCs w:val="20"/>
                <w:color w:val="auto"/>
              </w:rPr>
            </w:pPr>
            <w:r>
              <w:rPr>
                <w:rFonts w:ascii="Arial" w:cs="Arial" w:eastAsia="Arial" w:hAnsi="Arial"/>
                <w:sz w:val="18"/>
                <w:szCs w:val="18"/>
                <w:color w:val="auto"/>
              </w:rPr>
              <w:t>20,312</w:t>
            </w:r>
          </w:p>
        </w:tc>
        <w:tc>
          <w:tcPr>
            <w:tcW w:w="1000" w:type="dxa"/>
            <w:vAlign w:val="bottom"/>
            <w:shd w:val="clear" w:color="auto" w:fill="CCEEFF"/>
          </w:tcPr>
          <w:p>
            <w:pPr>
              <w:jc w:val="right"/>
              <w:ind w:right="131"/>
              <w:spacing w:after="0" w:line="199" w:lineRule="exact"/>
              <w:rPr>
                <w:sz w:val="20"/>
                <w:szCs w:val="20"/>
                <w:color w:val="auto"/>
              </w:rPr>
            </w:pPr>
            <w:r>
              <w:rPr>
                <w:rFonts w:ascii="Arial" w:cs="Arial" w:eastAsia="Arial" w:hAnsi="Arial"/>
                <w:sz w:val="18"/>
                <w:szCs w:val="18"/>
                <w:color w:val="auto"/>
              </w:rPr>
              <w:t>17,264</w:t>
            </w:r>
          </w:p>
        </w:tc>
        <w:tc>
          <w:tcPr>
            <w:tcW w:w="108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Executive Officer </w:t>
            </w:r>
            <w:r>
              <w:rPr>
                <w:rFonts w:ascii="Arial" w:cs="Arial" w:eastAsia="Arial" w:hAnsi="Arial"/>
                <w:sz w:val="15"/>
                <w:szCs w:val="15"/>
                <w:b w:val="1"/>
                <w:bCs w:val="1"/>
                <w:color w:val="auto"/>
              </w:rPr>
              <w:t>(8)</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298,700</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427,535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8,220</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82,776</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19,784</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9,653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418"/>
        </w:trPr>
        <w:tc>
          <w:tcPr>
            <w:tcW w:w="186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800" w:type="dxa"/>
            <w:vAlign w:val="bottom"/>
            <w:gridSpan w:val="2"/>
          </w:tcPr>
          <w:p>
            <w:pPr>
              <w:jc w:val="right"/>
              <w:ind w:right="74"/>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265,000</w:t>
            </w:r>
          </w:p>
        </w:tc>
        <w:tc>
          <w:tcPr>
            <w:tcW w:w="1360" w:type="dxa"/>
            <w:vAlign w:val="bottom"/>
          </w:tcPr>
          <w:p>
            <w:pPr>
              <w:jc w:val="right"/>
              <w:ind w:right="331"/>
              <w:spacing w:after="0"/>
              <w:rPr>
                <w:sz w:val="20"/>
                <w:szCs w:val="20"/>
                <w:color w:val="auto"/>
              </w:rPr>
            </w:pPr>
            <w:r>
              <w:rPr>
                <w:rFonts w:ascii="Arial" w:cs="Arial" w:eastAsia="Arial" w:hAnsi="Arial"/>
                <w:sz w:val="18"/>
                <w:szCs w:val="18"/>
                <w:color w:val="auto"/>
              </w:rPr>
              <w:t>819,080</w:t>
            </w: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175,048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20,720</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4,529</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200"/>
              <w:spacing w:after="0"/>
              <w:rPr>
                <w:sz w:val="20"/>
                <w:szCs w:val="20"/>
                <w:color w:val="auto"/>
              </w:rPr>
            </w:pPr>
            <w:r>
              <w:rPr>
                <w:rFonts w:ascii="Arial" w:cs="Arial" w:eastAsia="Arial" w:hAnsi="Arial"/>
                <w:sz w:val="18"/>
                <w:szCs w:val="18"/>
                <w:color w:val="auto"/>
              </w:rPr>
              <w:t>Executive Vice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40" w:type="dxa"/>
            <w:vAlign w:val="bottom"/>
          </w:tcPr>
          <w:p>
            <w:pPr>
              <w:ind w:left="400"/>
              <w:spacing w:after="0"/>
              <w:rPr>
                <w:sz w:val="20"/>
                <w:szCs w:val="20"/>
                <w:color w:val="auto"/>
              </w:rPr>
            </w:pPr>
            <w:r>
              <w:rPr>
                <w:rFonts w:ascii="Arial" w:cs="Arial" w:eastAsia="Arial" w:hAnsi="Arial"/>
                <w:sz w:val="18"/>
                <w:szCs w:val="18"/>
                <w:color w:val="auto"/>
              </w:rPr>
              <w:t>President —</w:t>
            </w:r>
          </w:p>
        </w:tc>
        <w:tc>
          <w:tcPr>
            <w:tcW w:w="800" w:type="dxa"/>
            <w:vAlign w:val="bottom"/>
            <w:gridSpan w:val="2"/>
          </w:tcPr>
          <w:p>
            <w:pPr>
              <w:jc w:val="right"/>
              <w:ind w:right="74"/>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184,625</w:t>
            </w:r>
          </w:p>
        </w:tc>
        <w:tc>
          <w:tcPr>
            <w:tcW w:w="1360" w:type="dxa"/>
            <w:vAlign w:val="bottom"/>
          </w:tcPr>
          <w:p>
            <w:pPr>
              <w:jc w:val="right"/>
              <w:ind w:right="331"/>
              <w:spacing w:after="0"/>
              <w:rPr>
                <w:sz w:val="20"/>
                <w:szCs w:val="20"/>
                <w:color w:val="auto"/>
              </w:rPr>
            </w:pPr>
            <w:r>
              <w:rPr>
                <w:rFonts w:ascii="Arial" w:cs="Arial" w:eastAsia="Arial" w:hAnsi="Arial"/>
                <w:sz w:val="18"/>
                <w:szCs w:val="18"/>
                <w:color w:val="auto"/>
              </w:rPr>
              <w:t>131,266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5,200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ind w:left="140"/>
              <w:spacing w:after="0"/>
              <w:rPr>
                <w:sz w:val="20"/>
                <w:szCs w:val="20"/>
                <w:color w:val="auto"/>
              </w:rPr>
            </w:pPr>
            <w:r>
              <w:rPr>
                <w:rFonts w:ascii="Arial" w:cs="Arial" w:eastAsia="Arial" w:hAnsi="Arial"/>
                <w:sz w:val="18"/>
                <w:szCs w:val="18"/>
                <w:color w:val="auto"/>
              </w:rPr>
              <w:t>16,592</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2,253</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40" w:type="dxa"/>
            <w:vAlign w:val="bottom"/>
          </w:tcPr>
          <w:p>
            <w:pPr>
              <w:ind w:left="400"/>
              <w:spacing w:after="0"/>
              <w:rPr>
                <w:sz w:val="20"/>
                <w:szCs w:val="20"/>
                <w:color w:val="auto"/>
              </w:rPr>
            </w:pPr>
            <w:r>
              <w:rPr>
                <w:rFonts w:ascii="Arial" w:cs="Arial" w:eastAsia="Arial" w:hAnsi="Arial"/>
                <w:sz w:val="18"/>
                <w:szCs w:val="18"/>
                <w:color w:val="auto"/>
              </w:rPr>
              <w:t xml:space="preserve">Gypsum </w:t>
            </w:r>
            <w:r>
              <w:rPr>
                <w:rFonts w:ascii="Arial" w:cs="Arial" w:eastAsia="Arial" w:hAnsi="Arial"/>
                <w:sz w:val="15"/>
                <w:szCs w:val="15"/>
                <w:b w:val="1"/>
                <w:bCs w:val="1"/>
                <w:color w:val="auto"/>
              </w:rPr>
              <w:t>(9)</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Arthur R. Zunker, Jr.,</w:t>
            </w: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2006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227,535</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564,085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125,110</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21,025</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1,298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Senior Vice President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210,000</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429,914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8,220</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177,756</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23,772</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20,509</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Finance and Treasurer</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201,600</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301,790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49,665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19,980</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418"/>
        </w:trPr>
        <w:tc>
          <w:tcPr>
            <w:tcW w:w="186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800" w:type="dxa"/>
            <w:vAlign w:val="bottom"/>
            <w:gridSpan w:val="2"/>
          </w:tcPr>
          <w:p>
            <w:pPr>
              <w:jc w:val="right"/>
              <w:ind w:right="74"/>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24"/>
                <w:szCs w:val="24"/>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266,600</w:t>
            </w:r>
          </w:p>
        </w:tc>
        <w:tc>
          <w:tcPr>
            <w:tcW w:w="1360" w:type="dxa"/>
            <w:vAlign w:val="bottom"/>
          </w:tcPr>
          <w:p>
            <w:pPr>
              <w:jc w:val="right"/>
              <w:ind w:right="331"/>
              <w:spacing w:after="0"/>
              <w:rPr>
                <w:sz w:val="20"/>
                <w:szCs w:val="20"/>
                <w:color w:val="auto"/>
              </w:rPr>
            </w:pPr>
            <w:r>
              <w:rPr>
                <w:rFonts w:ascii="Arial" w:cs="Arial" w:eastAsia="Arial" w:hAnsi="Arial"/>
                <w:sz w:val="18"/>
                <w:szCs w:val="18"/>
                <w:color w:val="auto"/>
              </w:rPr>
              <w:t>415,642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125,110</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20,819</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5,230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200"/>
              <w:spacing w:after="0"/>
              <w:rPr>
                <w:sz w:val="20"/>
                <w:szCs w:val="20"/>
                <w:color w:val="auto"/>
              </w:rPr>
            </w:pPr>
            <w:r>
              <w:rPr>
                <w:rFonts w:ascii="Arial" w:cs="Arial" w:eastAsia="Arial" w:hAnsi="Arial"/>
                <w:sz w:val="18"/>
                <w:szCs w:val="18"/>
                <w:color w:val="auto"/>
              </w:rPr>
              <w:t>Executive Vice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400"/>
              <w:spacing w:after="0"/>
              <w:rPr>
                <w:sz w:val="20"/>
                <w:szCs w:val="20"/>
                <w:color w:val="auto"/>
              </w:rPr>
            </w:pPr>
            <w:r>
              <w:rPr>
                <w:rFonts w:ascii="Arial" w:cs="Arial" w:eastAsia="Arial" w:hAnsi="Arial"/>
                <w:sz w:val="18"/>
                <w:szCs w:val="18"/>
                <w:color w:val="auto"/>
              </w:rPr>
              <w:t>President,</w:t>
            </w:r>
          </w:p>
        </w:tc>
        <w:tc>
          <w:tcPr>
            <w:tcW w:w="800" w:type="dxa"/>
            <w:vAlign w:val="bottom"/>
            <w:gridSpan w:val="2"/>
          </w:tcPr>
          <w:p>
            <w:pPr>
              <w:jc w:val="right"/>
              <w:ind w:right="74"/>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18"/>
                <w:szCs w:val="18"/>
                <w:color w:val="auto"/>
              </w:rPr>
            </w:pP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250,000</w:t>
            </w:r>
          </w:p>
        </w:tc>
        <w:tc>
          <w:tcPr>
            <w:tcW w:w="1360" w:type="dxa"/>
            <w:vAlign w:val="bottom"/>
          </w:tcPr>
          <w:p>
            <w:pPr>
              <w:jc w:val="right"/>
              <w:ind w:right="331"/>
              <w:spacing w:after="0"/>
              <w:rPr>
                <w:sz w:val="20"/>
                <w:szCs w:val="20"/>
                <w:color w:val="auto"/>
              </w:rPr>
            </w:pPr>
            <w:r>
              <w:rPr>
                <w:rFonts w:ascii="Arial" w:cs="Arial" w:eastAsia="Arial" w:hAnsi="Arial"/>
                <w:sz w:val="18"/>
                <w:szCs w:val="18"/>
                <w:color w:val="auto"/>
              </w:rPr>
              <w:t>257,561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3,300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145,462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19,452</w:t>
            </w:r>
          </w:p>
        </w:tc>
        <w:tc>
          <w:tcPr>
            <w:tcW w:w="16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20,302</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3,113</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40" w:type="dxa"/>
            <w:vAlign w:val="bottom"/>
          </w:tcPr>
          <w:p>
            <w:pPr>
              <w:ind w:left="200"/>
              <w:spacing w:after="0"/>
              <w:rPr>
                <w:sz w:val="20"/>
                <w:szCs w:val="20"/>
                <w:color w:val="auto"/>
              </w:rPr>
            </w:pPr>
            <w:r>
              <w:rPr>
                <w:rFonts w:ascii="Arial" w:cs="Arial" w:eastAsia="Arial" w:hAnsi="Arial"/>
                <w:sz w:val="18"/>
                <w:szCs w:val="18"/>
                <w:color w:val="auto"/>
                <w:w w:val="95"/>
              </w:rPr>
              <w:t>General Counsel and</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840" w:type="dxa"/>
            <w:vAlign w:val="bottom"/>
          </w:tcPr>
          <w:p>
            <w:pPr>
              <w:ind w:left="400"/>
              <w:spacing w:after="0"/>
              <w:rPr>
                <w:sz w:val="20"/>
                <w:szCs w:val="20"/>
                <w:color w:val="auto"/>
              </w:rPr>
            </w:pPr>
            <w:r>
              <w:rPr>
                <w:rFonts w:ascii="Arial" w:cs="Arial" w:eastAsia="Arial" w:hAnsi="Arial"/>
                <w:sz w:val="18"/>
                <w:szCs w:val="18"/>
                <w:color w:val="auto"/>
              </w:rPr>
              <w:t xml:space="preserve">Secretary </w:t>
            </w:r>
            <w:r>
              <w:rPr>
                <w:rFonts w:ascii="Arial" w:cs="Arial" w:eastAsia="Arial" w:hAnsi="Arial"/>
                <w:sz w:val="15"/>
                <w:szCs w:val="15"/>
                <w:b w:val="1"/>
                <w:bCs w:val="1"/>
                <w:color w:val="auto"/>
              </w:rPr>
              <w:t>(9)</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p>
        </w:tc>
        <w:tc>
          <w:tcPr>
            <w:tcW w:w="800" w:type="dxa"/>
            <w:vAlign w:val="bottom"/>
            <w:gridSpan w:val="2"/>
            <w:shd w:val="clear" w:color="auto" w:fill="CCEEFF"/>
          </w:tcPr>
          <w:p>
            <w:pPr>
              <w:jc w:val="right"/>
              <w:ind w:right="74"/>
              <w:spacing w:after="0"/>
              <w:rPr>
                <w:sz w:val="20"/>
                <w:szCs w:val="20"/>
                <w:color w:val="auto"/>
              </w:rPr>
            </w:pPr>
            <w:r>
              <w:rPr>
                <w:rFonts w:ascii="Arial" w:cs="Arial" w:eastAsia="Arial" w:hAnsi="Arial"/>
                <w:sz w:val="18"/>
                <w:szCs w:val="18"/>
                <w:color w:val="auto"/>
              </w:rPr>
              <w:t>2006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266,600</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341,092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175,048</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20,976</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5,230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Executive Vice</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President —</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250,000</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359,920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7,200</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177,756</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23,772</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20,459</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2,888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Cement/Concrete and</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207,000</w:t>
            </w:r>
          </w:p>
        </w:tc>
        <w:tc>
          <w:tcPr>
            <w:tcW w:w="13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305,594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49,665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19,931</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Aggregates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Cash bonuses for services rendered in fiscal years 2006, 2005 and 2004 have been listed in the year earned but were paid in the following fiscal year.</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amounts represent automobile allowance payments.</w:t>
      </w:r>
    </w:p>
    <w:p>
      <w:pPr>
        <w:spacing w:after="0" w:line="76" w:lineRule="exact"/>
        <w:rPr>
          <w:rFonts w:ascii="Arial" w:cs="Arial" w:eastAsia="Arial" w:hAnsi="Arial"/>
          <w:sz w:val="18"/>
          <w:szCs w:val="18"/>
          <w:color w:val="auto"/>
        </w:rPr>
      </w:pPr>
    </w:p>
    <w:p>
      <w:pPr>
        <w:ind w:left="460" w:right="20" w:hanging="452"/>
        <w:spacing w:after="0" w:line="269"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values shown in this column relate to the restricted stock units relating to Common Stock awarded to the named executive officers under our Incentive Plan. The values shown were calculated by multiplying the number of restricted stock units awarded by the closing price of our Common Stock on the NYSE on the date of the award. The total number of restricted stock units awarded to the named executive officers during fiscal 2006 was as follows: Mr. Rowley — 18,699; Mr. Powers — 5,952; Mr. Zunker — 4,254; Mr. Essl — 5,952; and Mr. Graass — 4,254. The vesting of these RSUs was subject to the satisfaction of certain performance goals during fiscal 2006. On April 21, 2006 the Compensation Committee determined that based on the Company’s performance during fiscal 2006, 77.644% of the RSUs granted in fiscal 2006 vested. As a result, a third of the vested shares were paid immediately with one third payable on March 31, 2007 and the remaining third payable on March 31, 2008. 22.356% of the shares were forfeited. (For the vestings of RSUs granted for fiscal 2005, please refer to the Company’s proxy statement for its 2005 annual meeting of stockholders, filed with the SEC on June 27, 2005.) Under the terms of the RSU agreements, grantees are paid “dividend equivalents” with respect to their vested but unpaid RSUs. These dividend equivalents are paid in the form of additional vested RSUs in an amount equal to the dividends that would have been paid on the shares covered thereby, divided by the per share stock price on the dividend payment date. Any unvested or vested and unpaid RSUs become payable upon a change in control.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shown in this table represent stock options granted under our Incentive Plan or predecessor plans. The Company did not grant any stock appreciation rights (“SARs”) to any of its executive officers during any of the periods covered by this table. Any unvested or unexercisable options become exercisable upon a change in control. All stock option grants made prior to the Stock Split have been adjusted to reflect the Stock Split, as required by our Incentive Plan.</w:t>
      </w:r>
    </w:p>
    <w:p>
      <w:pPr>
        <w:spacing w:after="0" w:line="38" w:lineRule="exact"/>
        <w:rPr>
          <w:rFonts w:ascii="Arial" w:cs="Arial" w:eastAsia="Arial" w:hAnsi="Arial"/>
          <w:sz w:val="18"/>
          <w:szCs w:val="18"/>
          <w:color w:val="auto"/>
        </w:rPr>
      </w:pPr>
    </w:p>
    <w:p>
      <w:pPr>
        <w:ind w:left="460" w:right="560" w:hanging="452"/>
        <w:spacing w:after="0" w:line="32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amounts shown in this column represent Company contributions to, and forfeitures allocated to, the account of the recipient under our profit sharing plan. All such amounts are fully vested except for the amount shown for Mr. Powers who is 40% vested as of March 31, 2006.</w:t>
      </w:r>
    </w:p>
    <w:p>
      <w:pPr>
        <w:spacing w:after="0" w:line="1" w:lineRule="exact"/>
        <w:rPr>
          <w:rFonts w:ascii="Arial" w:cs="Arial" w:eastAsia="Arial" w:hAnsi="Arial"/>
          <w:sz w:val="16"/>
          <w:szCs w:val="16"/>
          <w:color w:val="auto"/>
        </w:rPr>
      </w:pPr>
    </w:p>
    <w:p>
      <w:pPr>
        <w:ind w:left="460" w:right="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amounts shown in this column represent Company contributions to the account of the recipient pursuant to our amended and restated supplemental executive retirement plan (the “SERP”), an unfunded non-qualified plan for certain executives of the Company. All such amounts are fully vested in such individuals except for the amount shown for Mr. Powers who is 40% vested as of March 31, 2006.</w:t>
      </w:r>
    </w:p>
    <w:p>
      <w:pPr>
        <w:spacing w:after="0" w:line="32"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of the named executives is a participant in our Salary Continuation Plan (the “SCP”). Under the SCP, in the event of the death of a participating employee, such employee’s beneficiary will receive one full year of base salary in the first year following death and 50% of base salary each year thereafter until the date such employee would have been 65 years of age, subject to a maximum amount. These amounts in the Summary Compensation Table represent the premium costs to the Company of life insurance policies obtained by the Company in connection with the SCP.</w:t>
      </w:r>
    </w:p>
    <w:p>
      <w:pPr>
        <w:spacing w:after="0" w:line="5" w:lineRule="exact"/>
        <w:rPr>
          <w:rFonts w:ascii="Arial" w:cs="Arial" w:eastAsia="Arial" w:hAnsi="Arial"/>
          <w:sz w:val="16"/>
          <w:szCs w:val="16"/>
          <w:color w:val="auto"/>
        </w:rPr>
      </w:pPr>
    </w:p>
    <w:p>
      <w:pPr>
        <w:ind w:left="460" w:right="48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Rowley was elected as Chief Operating Officer of the Company in October 2002 and was elected as President and Chief Executive Officer in September 2003.</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Powers and Mr. Graass became executive officers in fiscal 2005.</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describes stock options granted to the named executive officers for fiscal year 2006.</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Option/SAR Grants in Last Fiscal Year </w:t>
      </w:r>
      <w:r>
        <w:rPr>
          <w:rFonts w:ascii="Arial" w:cs="Arial" w:eastAsia="Arial" w:hAnsi="Arial"/>
          <w:sz w:val="15"/>
          <w:szCs w:val="15"/>
          <w:b w:val="1"/>
          <w:bCs w:val="1"/>
          <w:color w:val="auto"/>
        </w:rPr>
        <w:t>(1)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900" w:type="dxa"/>
            <w:vAlign w:val="bottom"/>
            <w:gridSpan w:val="3"/>
          </w:tcPr>
          <w:p>
            <w:pPr>
              <w:jc w:val="center"/>
              <w:ind w:left="18"/>
              <w:spacing w:after="0"/>
              <w:rPr>
                <w:sz w:val="20"/>
                <w:szCs w:val="20"/>
                <w:color w:val="auto"/>
              </w:rPr>
            </w:pPr>
            <w:r>
              <w:rPr>
                <w:rFonts w:ascii="Arial" w:cs="Arial" w:eastAsia="Arial" w:hAnsi="Arial"/>
                <w:sz w:val="14"/>
                <w:szCs w:val="14"/>
                <w:b w:val="1"/>
                <w:bCs w:val="1"/>
                <w:color w:val="auto"/>
                <w:w w:val="92"/>
              </w:rPr>
              <w:t>Potential Realizable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900" w:type="dxa"/>
            <w:vAlign w:val="bottom"/>
            <w:gridSpan w:val="3"/>
          </w:tcPr>
          <w:p>
            <w:pPr>
              <w:jc w:val="center"/>
              <w:ind w:left="18"/>
              <w:spacing w:after="0" w:line="149" w:lineRule="exact"/>
              <w:rPr>
                <w:sz w:val="20"/>
                <w:szCs w:val="20"/>
                <w:color w:val="auto"/>
              </w:rPr>
            </w:pPr>
            <w:r>
              <w:rPr>
                <w:rFonts w:ascii="Arial" w:cs="Arial" w:eastAsia="Arial" w:hAnsi="Arial"/>
                <w:sz w:val="14"/>
                <w:szCs w:val="14"/>
                <w:b w:val="1"/>
                <w:bCs w:val="1"/>
                <w:color w:val="auto"/>
                <w:w w:val="92"/>
              </w:rPr>
              <w:t>at Assumed Annual Rates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80" w:type="dxa"/>
            <w:vAlign w:val="bottom"/>
            <w:gridSpan w:val="2"/>
          </w:tcPr>
          <w:p>
            <w:pPr>
              <w:jc w:val="center"/>
              <w:ind w:right="833"/>
              <w:spacing w:after="0" w:line="149" w:lineRule="exact"/>
              <w:rPr>
                <w:sz w:val="20"/>
                <w:szCs w:val="20"/>
                <w:color w:val="auto"/>
              </w:rPr>
            </w:pPr>
            <w:r>
              <w:rPr>
                <w:rFonts w:ascii="Arial" w:cs="Arial" w:eastAsia="Arial" w:hAnsi="Arial"/>
                <w:sz w:val="14"/>
                <w:szCs w:val="14"/>
                <w:b w:val="1"/>
                <w:bCs w:val="1"/>
                <w:color w:val="auto"/>
                <w:w w:val="89"/>
              </w:rPr>
              <w:t>of Stock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20" w:type="dxa"/>
            <w:vAlign w:val="bottom"/>
            <w:gridSpan w:val="2"/>
            <w:vMerge w:val="restart"/>
          </w:tcPr>
          <w:p>
            <w:pPr>
              <w:jc w:val="right"/>
              <w:ind w:right="497"/>
              <w:spacing w:after="0"/>
              <w:rPr>
                <w:sz w:val="20"/>
                <w:szCs w:val="20"/>
                <w:color w:val="auto"/>
              </w:rPr>
            </w:pPr>
            <w:r>
              <w:rPr>
                <w:rFonts w:ascii="Arial" w:cs="Arial" w:eastAsia="Arial" w:hAnsi="Arial"/>
                <w:sz w:val="14"/>
                <w:szCs w:val="14"/>
                <w:b w:val="1"/>
                <w:bCs w:val="1"/>
                <w:color w:val="auto"/>
              </w:rPr>
              <w:t xml:space="preserve">Individual Option Grants </w:t>
            </w:r>
            <w:r>
              <w:rPr>
                <w:rFonts w:ascii="Arial" w:cs="Arial" w:eastAsia="Arial" w:hAnsi="Arial"/>
                <w:sz w:val="12"/>
                <w:szCs w:val="12"/>
                <w:b w:val="1"/>
                <w:bCs w:val="1"/>
                <w:color w:val="auto"/>
              </w:rPr>
              <w:t>(2)</w:t>
            </w:r>
          </w:p>
        </w:tc>
        <w:tc>
          <w:tcPr>
            <w:tcW w:w="1560" w:type="dxa"/>
            <w:vAlign w:val="bottom"/>
          </w:tcPr>
          <w:p>
            <w:pPr>
              <w:spacing w:after="0"/>
              <w:rPr>
                <w:sz w:val="12"/>
                <w:szCs w:val="12"/>
                <w:color w:val="auto"/>
              </w:rPr>
            </w:pPr>
          </w:p>
        </w:tc>
        <w:tc>
          <w:tcPr>
            <w:tcW w:w="2900" w:type="dxa"/>
            <w:vAlign w:val="bottom"/>
            <w:gridSpan w:val="3"/>
          </w:tcPr>
          <w:p>
            <w:pPr>
              <w:jc w:val="center"/>
              <w:ind w:left="18"/>
              <w:spacing w:after="0" w:line="149" w:lineRule="exact"/>
              <w:rPr>
                <w:sz w:val="20"/>
                <w:szCs w:val="20"/>
                <w:color w:val="auto"/>
              </w:rPr>
            </w:pPr>
            <w:r>
              <w:rPr>
                <w:rFonts w:ascii="Arial" w:cs="Arial" w:eastAsia="Arial" w:hAnsi="Arial"/>
                <w:sz w:val="14"/>
                <w:szCs w:val="14"/>
                <w:b w:val="1"/>
                <w:bCs w:val="1"/>
                <w:color w:val="auto"/>
                <w:w w:val="94"/>
              </w:rPr>
              <w:t>Appreciation for Option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2"/>
            <w:vMerge w:val="continue"/>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3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3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3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Granted to</w:t>
            </w:r>
          </w:p>
        </w:tc>
        <w:tc>
          <w:tcPr>
            <w:tcW w:w="13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0"/>
              </w:rPr>
              <w:t>Exercise</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3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Employees</w:t>
            </w:r>
          </w:p>
        </w:tc>
        <w:tc>
          <w:tcPr>
            <w:tcW w:w="1380" w:type="dxa"/>
            <w:vAlign w:val="bottom"/>
            <w:vMerge w:val="continue"/>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Options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Fiscal</w:t>
            </w:r>
          </w:p>
        </w:tc>
        <w:tc>
          <w:tcPr>
            <w:tcW w:w="138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93"/>
              </w:rPr>
              <w:t>Price</w:t>
            </w:r>
          </w:p>
        </w:tc>
        <w:tc>
          <w:tcPr>
            <w:tcW w:w="1560" w:type="dxa"/>
            <w:vAlign w:val="bottom"/>
            <w:vMerge w:val="continue"/>
          </w:tcPr>
          <w:p>
            <w:pPr>
              <w:spacing w:after="0"/>
              <w:rPr>
                <w:sz w:val="12"/>
                <w:szCs w:val="12"/>
                <w:color w:val="auto"/>
              </w:rPr>
            </w:pPr>
          </w:p>
        </w:tc>
        <w:tc>
          <w:tcPr>
            <w:tcW w:w="102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5% ($)</w:t>
            </w:r>
          </w:p>
        </w:tc>
        <w:tc>
          <w:tcPr>
            <w:tcW w:w="900" w:type="dxa"/>
            <w:vAlign w:val="bottom"/>
          </w:tcPr>
          <w:p>
            <w:pPr>
              <w:spacing w:after="0"/>
              <w:rPr>
                <w:sz w:val="12"/>
                <w:szCs w:val="12"/>
                <w:color w:val="auto"/>
              </w:rPr>
            </w:pPr>
          </w:p>
        </w:tc>
        <w:tc>
          <w:tcPr>
            <w:tcW w:w="9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80" w:type="dxa"/>
            <w:vAlign w:val="bottom"/>
            <w:vMerge w:val="continue"/>
          </w:tcPr>
          <w:p>
            <w:pPr>
              <w:spacing w:after="0"/>
              <w:rPr>
                <w:sz w:val="15"/>
                <w:szCs w:val="15"/>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9"/>
              </w:rPr>
              <w:t>Granted (#)</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3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7"/>
              </w:rPr>
              <w:t xml:space="preserve">($/Sh) </w:t>
            </w:r>
            <w:r>
              <w:rPr>
                <w:rFonts w:ascii="Arial" w:cs="Arial" w:eastAsia="Arial" w:hAnsi="Arial"/>
                <w:sz w:val="12"/>
                <w:szCs w:val="12"/>
                <w:b w:val="1"/>
                <w:bCs w:val="1"/>
                <w:color w:val="auto"/>
                <w:w w:val="97"/>
              </w:rPr>
              <w:t>(3)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340" w:type="dxa"/>
            <w:vAlign w:val="bottom"/>
            <w:shd w:val="clear" w:color="auto" w:fill="CCEEFF"/>
          </w:tcPr>
          <w:p>
            <w:pPr>
              <w:jc w:val="center"/>
              <w:ind w:right="79"/>
              <w:spacing w:after="0"/>
              <w:rPr>
                <w:sz w:val="20"/>
                <w:szCs w:val="20"/>
                <w:color w:val="auto"/>
              </w:rPr>
            </w:pPr>
            <w:r>
              <w:rPr>
                <w:rFonts w:ascii="Arial" w:cs="Arial" w:eastAsia="Arial" w:hAnsi="Arial"/>
                <w:sz w:val="18"/>
                <w:szCs w:val="18"/>
                <w:color w:val="auto"/>
                <w:w w:val="90"/>
              </w:rPr>
              <w:t>66,000</w:t>
            </w:r>
          </w:p>
        </w:tc>
        <w:tc>
          <w:tcPr>
            <w:tcW w:w="144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rPr>
              <w:t>22.1%</w:t>
            </w:r>
          </w:p>
        </w:tc>
        <w:tc>
          <w:tcPr>
            <w:tcW w:w="1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$29.0767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9, 2012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$781,255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87"/>
              </w:rPr>
              <w:t>1,820,656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4"/>
              </w:rPr>
              <w:t>June 9,</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David B. Powers</w:t>
            </w:r>
          </w:p>
        </w:tc>
        <w:tc>
          <w:tcPr>
            <w:tcW w:w="1340" w:type="dxa"/>
            <w:vAlign w:val="bottom"/>
          </w:tcPr>
          <w:p>
            <w:pPr>
              <w:jc w:val="center"/>
              <w:ind w:right="79"/>
              <w:spacing w:after="0"/>
              <w:rPr>
                <w:sz w:val="20"/>
                <w:szCs w:val="20"/>
                <w:color w:val="auto"/>
              </w:rPr>
            </w:pPr>
            <w:r>
              <w:rPr>
                <w:rFonts w:ascii="Arial" w:cs="Arial" w:eastAsia="Arial" w:hAnsi="Arial"/>
                <w:sz w:val="18"/>
                <w:szCs w:val="18"/>
                <w:color w:val="auto"/>
                <w:w w:val="90"/>
              </w:rPr>
              <w:t>21,000</w:t>
            </w:r>
          </w:p>
        </w:tc>
        <w:tc>
          <w:tcPr>
            <w:tcW w:w="1440" w:type="dxa"/>
            <w:vAlign w:val="bottom"/>
          </w:tcPr>
          <w:p>
            <w:pPr>
              <w:jc w:val="right"/>
              <w:ind w:right="321"/>
              <w:spacing w:after="0"/>
              <w:rPr>
                <w:sz w:val="20"/>
                <w:szCs w:val="20"/>
                <w:color w:val="auto"/>
              </w:rPr>
            </w:pPr>
            <w:r>
              <w:rPr>
                <w:rFonts w:ascii="Arial" w:cs="Arial" w:eastAsia="Arial" w:hAnsi="Arial"/>
                <w:sz w:val="18"/>
                <w:szCs w:val="18"/>
                <w:color w:val="auto"/>
              </w:rPr>
              <w:t>7.0%</w:t>
            </w:r>
          </w:p>
        </w:tc>
        <w:tc>
          <w:tcPr>
            <w:tcW w:w="1380" w:type="dxa"/>
            <w:vAlign w:val="bottom"/>
          </w:tcPr>
          <w:p>
            <w:pPr>
              <w:jc w:val="right"/>
              <w:ind w:right="257"/>
              <w:spacing w:after="0"/>
              <w:rPr>
                <w:sz w:val="20"/>
                <w:szCs w:val="20"/>
                <w:color w:val="auto"/>
              </w:rPr>
            </w:pPr>
            <w:r>
              <w:rPr>
                <w:rFonts w:ascii="Arial" w:cs="Arial" w:eastAsia="Arial" w:hAnsi="Arial"/>
                <w:sz w:val="18"/>
                <w:szCs w:val="18"/>
                <w:color w:val="auto"/>
              </w:rPr>
              <w:t>$29.0767</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20" w:type="dxa"/>
            <w:vAlign w:val="bottom"/>
          </w:tcPr>
          <w:p>
            <w:pPr>
              <w:jc w:val="right"/>
              <w:spacing w:after="0"/>
              <w:rPr>
                <w:sz w:val="20"/>
                <w:szCs w:val="20"/>
                <w:color w:val="auto"/>
              </w:rPr>
            </w:pPr>
            <w:r>
              <w:rPr>
                <w:rFonts w:ascii="Arial" w:cs="Arial" w:eastAsia="Arial" w:hAnsi="Arial"/>
                <w:sz w:val="18"/>
                <w:szCs w:val="18"/>
                <w:color w:val="auto"/>
              </w:rPr>
              <w:t>$248,581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579,300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June 9,</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Arthur R. Zunker, Jr.</w:t>
            </w:r>
          </w:p>
        </w:tc>
        <w:tc>
          <w:tcPr>
            <w:tcW w:w="1340" w:type="dxa"/>
            <w:vAlign w:val="bottom"/>
            <w:shd w:val="clear" w:color="auto" w:fill="CCEEFF"/>
          </w:tcPr>
          <w:p>
            <w:pPr>
              <w:jc w:val="center"/>
              <w:ind w:right="79"/>
              <w:spacing w:after="0"/>
              <w:rPr>
                <w:sz w:val="20"/>
                <w:szCs w:val="20"/>
                <w:color w:val="auto"/>
              </w:rPr>
            </w:pPr>
            <w:r>
              <w:rPr>
                <w:rFonts w:ascii="Arial" w:cs="Arial" w:eastAsia="Arial" w:hAnsi="Arial"/>
                <w:sz w:val="18"/>
                <w:szCs w:val="18"/>
                <w:color w:val="auto"/>
                <w:w w:val="90"/>
              </w:rPr>
              <w:t>15,000</w:t>
            </w:r>
          </w:p>
        </w:tc>
        <w:tc>
          <w:tcPr>
            <w:tcW w:w="144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rPr>
              <w:t>5.0%</w:t>
            </w:r>
          </w:p>
        </w:tc>
        <w:tc>
          <w:tcPr>
            <w:tcW w:w="1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$29.0767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413,786</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4"/>
              </w:rPr>
              <w:t>June 9,</w:t>
            </w: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James H. Graass</w:t>
            </w:r>
          </w:p>
        </w:tc>
        <w:tc>
          <w:tcPr>
            <w:tcW w:w="1340" w:type="dxa"/>
            <w:vAlign w:val="bottom"/>
          </w:tcPr>
          <w:p>
            <w:pPr>
              <w:jc w:val="center"/>
              <w:ind w:right="79"/>
              <w:spacing w:after="0"/>
              <w:rPr>
                <w:sz w:val="20"/>
                <w:szCs w:val="20"/>
                <w:color w:val="auto"/>
              </w:rPr>
            </w:pPr>
            <w:r>
              <w:rPr>
                <w:rFonts w:ascii="Arial" w:cs="Arial" w:eastAsia="Arial" w:hAnsi="Arial"/>
                <w:sz w:val="18"/>
                <w:szCs w:val="18"/>
                <w:color w:val="auto"/>
                <w:w w:val="90"/>
              </w:rPr>
              <w:t>15,000</w:t>
            </w:r>
          </w:p>
        </w:tc>
        <w:tc>
          <w:tcPr>
            <w:tcW w:w="1440" w:type="dxa"/>
            <w:vAlign w:val="bottom"/>
          </w:tcPr>
          <w:p>
            <w:pPr>
              <w:jc w:val="right"/>
              <w:ind w:right="321"/>
              <w:spacing w:after="0"/>
              <w:rPr>
                <w:sz w:val="20"/>
                <w:szCs w:val="20"/>
                <w:color w:val="auto"/>
              </w:rPr>
            </w:pPr>
            <w:r>
              <w:rPr>
                <w:rFonts w:ascii="Arial" w:cs="Arial" w:eastAsia="Arial" w:hAnsi="Arial"/>
                <w:sz w:val="18"/>
                <w:szCs w:val="18"/>
                <w:color w:val="auto"/>
              </w:rPr>
              <w:t>5.0%</w:t>
            </w:r>
          </w:p>
        </w:tc>
        <w:tc>
          <w:tcPr>
            <w:tcW w:w="1380" w:type="dxa"/>
            <w:vAlign w:val="bottom"/>
          </w:tcPr>
          <w:p>
            <w:pPr>
              <w:jc w:val="right"/>
              <w:ind w:right="257"/>
              <w:spacing w:after="0"/>
              <w:rPr>
                <w:sz w:val="20"/>
                <w:szCs w:val="20"/>
                <w:color w:val="auto"/>
              </w:rPr>
            </w:pPr>
            <w:r>
              <w:rPr>
                <w:rFonts w:ascii="Arial" w:cs="Arial" w:eastAsia="Arial" w:hAnsi="Arial"/>
                <w:sz w:val="18"/>
                <w:szCs w:val="18"/>
                <w:color w:val="auto"/>
              </w:rPr>
              <w:t>$29.0767</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20" w:type="dxa"/>
            <w:vAlign w:val="bottom"/>
          </w:tcPr>
          <w:p>
            <w:pPr>
              <w:jc w:val="right"/>
              <w:spacing w:after="0"/>
              <w:rPr>
                <w:sz w:val="20"/>
                <w:szCs w:val="20"/>
                <w:color w:val="auto"/>
              </w:rPr>
            </w:pPr>
            <w:r>
              <w:rPr>
                <w:rFonts w:ascii="Arial" w:cs="Arial" w:eastAsia="Arial" w:hAnsi="Arial"/>
                <w:sz w:val="18"/>
                <w:szCs w:val="18"/>
                <w:color w:val="auto"/>
              </w:rPr>
              <w:t>$177,558</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3"/>
              <w:spacing w:after="0"/>
              <w:rPr>
                <w:sz w:val="20"/>
                <w:szCs w:val="20"/>
                <w:color w:val="auto"/>
              </w:rPr>
            </w:pPr>
            <w:r>
              <w:rPr>
                <w:rFonts w:ascii="Arial" w:cs="Arial" w:eastAsia="Arial" w:hAnsi="Arial"/>
                <w:sz w:val="18"/>
                <w:szCs w:val="18"/>
                <w:color w:val="auto"/>
              </w:rPr>
              <w:t>413,786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June 9,</w:t>
            </w: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p>
        </w:tc>
        <w:tc>
          <w:tcPr>
            <w:tcW w:w="1340" w:type="dxa"/>
            <w:vAlign w:val="bottom"/>
            <w:shd w:val="clear" w:color="auto" w:fill="CCEEFF"/>
          </w:tcPr>
          <w:p>
            <w:pPr>
              <w:jc w:val="center"/>
              <w:ind w:right="79"/>
              <w:spacing w:after="0"/>
              <w:rPr>
                <w:sz w:val="20"/>
                <w:szCs w:val="20"/>
                <w:color w:val="auto"/>
              </w:rPr>
            </w:pPr>
            <w:r>
              <w:rPr>
                <w:rFonts w:ascii="Arial" w:cs="Arial" w:eastAsia="Arial" w:hAnsi="Arial"/>
                <w:sz w:val="18"/>
                <w:szCs w:val="18"/>
                <w:color w:val="auto"/>
                <w:w w:val="90"/>
              </w:rPr>
              <w:t>21,000</w:t>
            </w:r>
          </w:p>
        </w:tc>
        <w:tc>
          <w:tcPr>
            <w:tcW w:w="144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rPr>
              <w:t>7.0%</w:t>
            </w:r>
          </w:p>
        </w:tc>
        <w:tc>
          <w:tcPr>
            <w:tcW w:w="1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$29.0767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579,300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right="4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set forth in the table reflect the number and value of shares and options only. The Company has issued no SARs. The number of options granted and the exercise price of such options have been adjusted to reflect the Stock Split that occurred on February 24, 2006, as required by our Incentive Plan.</w:t>
      </w:r>
    </w:p>
    <w:p>
      <w:pPr>
        <w:spacing w:after="0" w:line="32" w:lineRule="exact"/>
        <w:rPr>
          <w:rFonts w:ascii="Arial" w:cs="Arial" w:eastAsia="Arial" w:hAnsi="Arial"/>
          <w:sz w:val="18"/>
          <w:szCs w:val="18"/>
          <w:color w:val="auto"/>
        </w:rPr>
      </w:pPr>
    </w:p>
    <w:p>
      <w:pPr>
        <w:ind w:left="460" w:right="40" w:hanging="452"/>
        <w:spacing w:after="0" w:line="27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These options were granted under our Incentive Plan and represent options to purchase shares of our Common Stock. The vesting of the options is subject to the Company’s achievement of certain performance conditions. Forty-five percent (45%) of such grants vest based on the Company’s three year average earnings before interest and taxes (“EBIT”), which is calculated at the end of each of fiscal 2006, 2007 and 2008. The vesting of forty-five percent (45%) of the options vest based on certain operational metrics set by our compensation committee. The vesting of the remaining ten percent (10%) is based upon the achievement of a net debt-to-capitalization ratio within a certain range. At the end of fiscal 2006, 77.644% of these stock options vested based on achievement of certain of the performance criteria referenced above. One-third of such vested options became exercisable immediately, one-third at March 31, 2007 and one-third at March 31, 2008. The remaining unvested stock</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options were forfeited. Under the terms of the option agreements all unvested shares and vested but unexercisable shares become immediately exercisable upon a change in control, as defined in the stock option agreement.</w:t>
      </w:r>
    </w:p>
    <w:p>
      <w:pPr>
        <w:spacing w:after="0" w:line="22" w:lineRule="exact"/>
        <w:rPr>
          <w:sz w:val="20"/>
          <w:szCs w:val="20"/>
          <w:color w:val="auto"/>
        </w:rPr>
      </w:pPr>
    </w:p>
    <w:p>
      <w:pPr>
        <w:ind w:left="460" w:right="2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our Incentive Plan, the exercise price is set at the average of the high and low price for shares of Common Stock as reported on the NYSE for the date of grant.</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Option/SAR Exercises in Last Fiscal Year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and Fiscal Year-End Option/SAR Values </w:t>
      </w:r>
      <w:r>
        <w:rPr>
          <w:rFonts w:ascii="Arial" w:cs="Arial" w:eastAsia="Arial" w:hAnsi="Arial"/>
          <w:sz w:val="15"/>
          <w:szCs w:val="15"/>
          <w:b w:val="1"/>
          <w:bCs w:val="1"/>
          <w:color w:val="auto"/>
        </w:rPr>
        <w:t>(1)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3"/>
            <w:vMerge w:val="restart"/>
          </w:tcPr>
          <w:p>
            <w:pPr>
              <w:jc w:val="center"/>
              <w:ind w:right="168"/>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840" w:type="dxa"/>
            <w:vAlign w:val="bottom"/>
            <w:gridSpan w:val="3"/>
          </w:tcPr>
          <w:p>
            <w:pPr>
              <w:jc w:val="center"/>
              <w:ind w:right="908"/>
              <w:spacing w:after="0" w:line="149" w:lineRule="exact"/>
              <w:rPr>
                <w:sz w:val="20"/>
                <w:szCs w:val="20"/>
                <w:color w:val="auto"/>
              </w:rPr>
            </w:pPr>
            <w:r>
              <w:rPr>
                <w:rFonts w:ascii="Arial" w:cs="Arial" w:eastAsia="Arial" w:hAnsi="Arial"/>
                <w:sz w:val="14"/>
                <w:szCs w:val="14"/>
                <w:b w:val="1"/>
                <w:bCs w:val="1"/>
                <w:color w:val="auto"/>
                <w:w w:val="91"/>
              </w:rPr>
              <w:t>Options/SARs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gridSpan w:val="3"/>
          </w:tcPr>
          <w:p>
            <w:pPr>
              <w:jc w:val="center"/>
              <w:ind w:right="168"/>
              <w:spacing w:after="0" w:line="149" w:lineRule="exact"/>
              <w:rPr>
                <w:sz w:val="20"/>
                <w:szCs w:val="20"/>
                <w:color w:val="auto"/>
              </w:rPr>
            </w:pPr>
            <w:r>
              <w:rPr>
                <w:rFonts w:ascii="Arial" w:cs="Arial" w:eastAsia="Arial" w:hAnsi="Arial"/>
                <w:sz w:val="14"/>
                <w:szCs w:val="14"/>
                <w:b w:val="1"/>
                <w:bCs w:val="1"/>
                <w:color w:val="auto"/>
                <w:w w:val="95"/>
              </w:rPr>
              <w:t>In-the-Money Options/SARs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 on</w:t>
            </w:r>
          </w:p>
        </w:tc>
        <w:tc>
          <w:tcPr>
            <w:tcW w:w="34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Realized</w:t>
            </w:r>
          </w:p>
        </w:tc>
        <w:tc>
          <w:tcPr>
            <w:tcW w:w="2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at Fiscal Year-End (#)</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center"/>
              <w:ind w:right="168"/>
              <w:spacing w:after="0"/>
              <w:rPr>
                <w:sz w:val="20"/>
                <w:szCs w:val="20"/>
                <w:color w:val="auto"/>
              </w:rPr>
            </w:pPr>
            <w:r>
              <w:rPr>
                <w:rFonts w:ascii="Arial" w:cs="Arial" w:eastAsia="Arial" w:hAnsi="Arial"/>
                <w:sz w:val="14"/>
                <w:szCs w:val="14"/>
                <w:b w:val="1"/>
                <w:bCs w:val="1"/>
                <w:color w:val="auto"/>
                <w:w w:val="94"/>
              </w:rPr>
              <w:t xml:space="preserve">at Fiscal Year-End ($) </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Borders>
              <w:bottom w:val="single" w:sz="8" w:color="auto"/>
            </w:tcBorders>
          </w:tcPr>
          <w:p>
            <w:pPr>
              <w:ind w:left="840"/>
              <w:spacing w:after="0" w:line="142" w:lineRule="exact"/>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Exercise (#)</w:t>
            </w:r>
          </w:p>
        </w:tc>
        <w:tc>
          <w:tcPr>
            <w:tcW w:w="340" w:type="dxa"/>
            <w:vAlign w:val="bottom"/>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Exercisable</w:t>
            </w:r>
          </w:p>
        </w:tc>
        <w:tc>
          <w:tcPr>
            <w:tcW w:w="2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Unexercisable</w:t>
            </w:r>
          </w:p>
        </w:tc>
        <w:tc>
          <w:tcPr>
            <w:tcW w:w="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w w:val="92"/>
              </w:rPr>
              <w:t>Exercisable</w:t>
            </w:r>
          </w:p>
        </w:tc>
        <w:tc>
          <w:tcPr>
            <w:tcW w:w="360" w:type="dxa"/>
            <w:vAlign w:val="bottom"/>
          </w:tcPr>
          <w:p>
            <w:pPr>
              <w:spacing w:after="0"/>
              <w:rPr>
                <w:sz w:val="12"/>
                <w:szCs w:val="12"/>
                <w:color w:val="auto"/>
              </w:rPr>
            </w:pPr>
          </w:p>
        </w:tc>
        <w:tc>
          <w:tcPr>
            <w:tcW w:w="11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371,130</w:t>
            </w:r>
          </w:p>
        </w:tc>
        <w:tc>
          <w:tcPr>
            <w:tcW w:w="1840" w:type="dxa"/>
            <w:vAlign w:val="bottom"/>
            <w:gridSpan w:val="3"/>
            <w:shd w:val="clear" w:color="auto" w:fill="CCEEFF"/>
          </w:tcPr>
          <w:p>
            <w:pPr>
              <w:jc w:val="center"/>
              <w:ind w:left="533"/>
              <w:spacing w:after="0"/>
              <w:rPr>
                <w:sz w:val="20"/>
                <w:szCs w:val="20"/>
                <w:color w:val="auto"/>
              </w:rPr>
            </w:pPr>
            <w:r>
              <w:rPr>
                <w:rFonts w:ascii="Arial" w:cs="Arial" w:eastAsia="Arial" w:hAnsi="Arial"/>
                <w:sz w:val="18"/>
                <w:szCs w:val="18"/>
                <w:color w:val="auto"/>
                <w:w w:val="90"/>
              </w:rPr>
              <w:t>82,334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86"/>
              </w:rPr>
              <w:t>18,962,835</w:t>
            </w:r>
          </w:p>
        </w:tc>
        <w:tc>
          <w:tcPr>
            <w:tcW w:w="1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$3,391,176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David B. Powers</w:t>
            </w:r>
          </w:p>
        </w:tc>
        <w:tc>
          <w:tcPr>
            <w:tcW w:w="340" w:type="dxa"/>
            <w:vAlign w:val="bottom"/>
          </w:tcPr>
          <w:p>
            <w:pPr>
              <w:spacing w:after="0"/>
              <w:rPr>
                <w:sz w:val="18"/>
                <w:szCs w:val="18"/>
                <w:color w:val="auto"/>
              </w:rPr>
            </w:pPr>
          </w:p>
        </w:tc>
        <w:tc>
          <w:tcPr>
            <w:tcW w:w="11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19,902</w:t>
            </w:r>
          </w:p>
        </w:tc>
        <w:tc>
          <w:tcPr>
            <w:tcW w:w="1840" w:type="dxa"/>
            <w:vAlign w:val="bottom"/>
            <w:gridSpan w:val="3"/>
          </w:tcPr>
          <w:p>
            <w:pPr>
              <w:jc w:val="center"/>
              <w:ind w:left="533"/>
              <w:spacing w:after="0"/>
              <w:rPr>
                <w:sz w:val="20"/>
                <w:szCs w:val="20"/>
                <w:color w:val="auto"/>
              </w:rPr>
            </w:pPr>
            <w:r>
              <w:rPr>
                <w:rFonts w:ascii="Arial" w:cs="Arial" w:eastAsia="Arial" w:hAnsi="Arial"/>
                <w:sz w:val="18"/>
                <w:szCs w:val="18"/>
                <w:color w:val="auto"/>
                <w:w w:val="90"/>
              </w:rPr>
              <w:t>16,269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8"/>
              <w:spacing w:after="0"/>
              <w:rPr>
                <w:sz w:val="20"/>
                <w:szCs w:val="20"/>
                <w:color w:val="auto"/>
              </w:rPr>
            </w:pPr>
            <w:r>
              <w:rPr>
                <w:rFonts w:ascii="Arial" w:cs="Arial" w:eastAsia="Arial" w:hAnsi="Arial"/>
                <w:sz w:val="18"/>
                <w:szCs w:val="18"/>
                <w:color w:val="auto"/>
              </w:rPr>
              <w:t>972,416</w:t>
            </w:r>
          </w:p>
        </w:tc>
        <w:tc>
          <w:tcPr>
            <w:tcW w:w="1540" w:type="dxa"/>
            <w:vAlign w:val="bottom"/>
            <w:gridSpan w:val="2"/>
          </w:tcPr>
          <w:p>
            <w:pPr>
              <w:ind w:left="500"/>
              <w:spacing w:after="0"/>
              <w:rPr>
                <w:sz w:val="20"/>
                <w:szCs w:val="20"/>
                <w:color w:val="auto"/>
              </w:rPr>
            </w:pPr>
            <w:r>
              <w:rPr>
                <w:rFonts w:ascii="Arial" w:cs="Arial" w:eastAsia="Arial" w:hAnsi="Arial"/>
                <w:sz w:val="18"/>
                <w:szCs w:val="18"/>
                <w:color w:val="auto"/>
              </w:rPr>
              <w:t>$  669,557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Arthur R. Zunker, Jr.</w:t>
            </w:r>
          </w:p>
        </w:tc>
        <w:tc>
          <w:tcPr>
            <w:tcW w:w="1500" w:type="dxa"/>
            <w:vAlign w:val="bottom"/>
            <w:gridSpan w:val="2"/>
            <w:shd w:val="clear" w:color="auto" w:fill="CCEEFF"/>
          </w:tcPr>
          <w:p>
            <w:pPr>
              <w:jc w:val="right"/>
              <w:ind w:right="258"/>
              <w:spacing w:after="0"/>
              <w:rPr>
                <w:sz w:val="20"/>
                <w:szCs w:val="20"/>
                <w:color w:val="auto"/>
              </w:rPr>
            </w:pPr>
            <w:r>
              <w:rPr>
                <w:rFonts w:ascii="Arial" w:cs="Arial" w:eastAsia="Arial" w:hAnsi="Arial"/>
                <w:sz w:val="18"/>
                <w:szCs w:val="18"/>
                <w:color w:val="auto"/>
              </w:rPr>
              <w:t>40,804</w:t>
            </w:r>
          </w:p>
        </w:tc>
        <w:tc>
          <w:tcPr>
            <w:tcW w:w="15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$1,822,946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18,914</w:t>
            </w:r>
          </w:p>
        </w:tc>
        <w:tc>
          <w:tcPr>
            <w:tcW w:w="1840" w:type="dxa"/>
            <w:vAlign w:val="bottom"/>
            <w:gridSpan w:val="3"/>
            <w:shd w:val="clear" w:color="auto" w:fill="CCEEFF"/>
          </w:tcPr>
          <w:p>
            <w:pPr>
              <w:jc w:val="center"/>
              <w:ind w:left="533"/>
              <w:spacing w:after="0"/>
              <w:rPr>
                <w:sz w:val="20"/>
                <w:szCs w:val="20"/>
                <w:color w:val="auto"/>
              </w:rPr>
            </w:pPr>
            <w:r>
              <w:rPr>
                <w:rFonts w:ascii="Arial" w:cs="Arial" w:eastAsia="Arial" w:hAnsi="Arial"/>
                <w:sz w:val="18"/>
                <w:szCs w:val="18"/>
                <w:color w:val="auto"/>
                <w:w w:val="90"/>
              </w:rPr>
              <w:t>30,001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741,532</w:t>
            </w:r>
          </w:p>
        </w:tc>
        <w:tc>
          <w:tcPr>
            <w:tcW w:w="1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$1,323,652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James H. Graass</w:t>
            </w:r>
          </w:p>
        </w:tc>
        <w:tc>
          <w:tcPr>
            <w:tcW w:w="340" w:type="dxa"/>
            <w:vAlign w:val="bottom"/>
          </w:tcPr>
          <w:p>
            <w:pPr>
              <w:spacing w:after="0"/>
              <w:rPr>
                <w:sz w:val="18"/>
                <w:szCs w:val="18"/>
                <w:color w:val="auto"/>
              </w:rPr>
            </w:pPr>
          </w:p>
        </w:tc>
        <w:tc>
          <w:tcPr>
            <w:tcW w:w="1160" w:type="dxa"/>
            <w:vAlign w:val="bottom"/>
          </w:tcPr>
          <w:p>
            <w:pPr>
              <w:jc w:val="right"/>
              <w:ind w:right="25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283,185</w:t>
            </w:r>
          </w:p>
        </w:tc>
        <w:tc>
          <w:tcPr>
            <w:tcW w:w="1840" w:type="dxa"/>
            <w:vAlign w:val="bottom"/>
            <w:gridSpan w:val="3"/>
          </w:tcPr>
          <w:p>
            <w:pPr>
              <w:jc w:val="center"/>
              <w:ind w:left="533"/>
              <w:spacing w:after="0"/>
              <w:rPr>
                <w:sz w:val="20"/>
                <w:szCs w:val="20"/>
                <w:color w:val="auto"/>
              </w:rPr>
            </w:pPr>
            <w:r>
              <w:rPr>
                <w:rFonts w:ascii="Arial" w:cs="Arial" w:eastAsia="Arial" w:hAnsi="Arial"/>
                <w:sz w:val="18"/>
                <w:szCs w:val="18"/>
                <w:color w:val="auto"/>
                <w:w w:val="90"/>
              </w:rPr>
              <w:t>75,706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8"/>
              <w:spacing w:after="0"/>
              <w:rPr>
                <w:sz w:val="20"/>
                <w:szCs w:val="20"/>
                <w:color w:val="auto"/>
              </w:rPr>
            </w:pPr>
            <w:r>
              <w:rPr>
                <w:rFonts w:ascii="Arial" w:cs="Arial" w:eastAsia="Arial" w:hAnsi="Arial"/>
                <w:sz w:val="18"/>
                <w:szCs w:val="18"/>
                <w:color w:val="auto"/>
                <w:w w:val="86"/>
              </w:rPr>
              <w:t>15,072,218</w:t>
            </w:r>
          </w:p>
        </w:tc>
        <w:tc>
          <w:tcPr>
            <w:tcW w:w="1540" w:type="dxa"/>
            <w:vAlign w:val="bottom"/>
            <w:gridSpan w:val="2"/>
          </w:tcPr>
          <w:p>
            <w:pPr>
              <w:ind w:left="500"/>
              <w:spacing w:after="0"/>
              <w:rPr>
                <w:sz w:val="20"/>
                <w:szCs w:val="20"/>
                <w:color w:val="auto"/>
              </w:rPr>
            </w:pPr>
            <w:r>
              <w:rPr>
                <w:rFonts w:ascii="Arial" w:cs="Arial" w:eastAsia="Arial" w:hAnsi="Arial"/>
                <w:sz w:val="18"/>
                <w:szCs w:val="18"/>
                <w:color w:val="auto"/>
              </w:rPr>
              <w:t>$3,759,321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Gerald J. Essl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56,819</w:t>
            </w:r>
          </w:p>
        </w:tc>
        <w:tc>
          <w:tcPr>
            <w:tcW w:w="1840" w:type="dxa"/>
            <w:vAlign w:val="bottom"/>
            <w:gridSpan w:val="3"/>
            <w:shd w:val="clear" w:color="auto" w:fill="CCEEFF"/>
          </w:tcPr>
          <w:p>
            <w:pPr>
              <w:jc w:val="center"/>
              <w:ind w:left="533"/>
              <w:spacing w:after="0"/>
              <w:rPr>
                <w:sz w:val="20"/>
                <w:szCs w:val="20"/>
                <w:color w:val="auto"/>
              </w:rPr>
            </w:pPr>
            <w:r>
              <w:rPr>
                <w:rFonts w:ascii="Arial" w:cs="Arial" w:eastAsia="Arial" w:hAnsi="Arial"/>
                <w:sz w:val="18"/>
                <w:szCs w:val="18"/>
                <w:color w:val="auto"/>
                <w:w w:val="90"/>
              </w:rPr>
              <w:t>32,923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97"/>
              </w:rPr>
              <w:t>2,682,452</w:t>
            </w:r>
          </w:p>
        </w:tc>
        <w:tc>
          <w:tcPr>
            <w:tcW w:w="15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$1,424,233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jc w:val="both"/>
        <w:ind w:left="460" w:right="100" w:hanging="452"/>
        <w:spacing w:after="0" w:line="286"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set forth in the table reflect the number and value of options only. The Company has issued no SARs. The exercisable/unexercisable amounts in this table take into account vesting determinations confirmed by the compensation committee of the board of directors after March 31, 2006 as such determinations related to the attainment of performance criteria relating to our fiscal year ended March 31, 2006.</w:t>
      </w:r>
    </w:p>
    <w:p>
      <w:pPr>
        <w:spacing w:after="0" w:line="16" w:lineRule="exact"/>
        <w:rPr>
          <w:rFonts w:ascii="Arial" w:cs="Arial" w:eastAsia="Arial" w:hAnsi="Arial"/>
          <w:sz w:val="17"/>
          <w:szCs w:val="17"/>
          <w:color w:val="auto"/>
        </w:rPr>
      </w:pPr>
    </w:p>
    <w:p>
      <w:pPr>
        <w:ind w:left="460" w:right="20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difference between the closing price of Common Stock on the NYSE for March 31, 2006 of $63.76 per share and the exercise price of such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Compensation Committee on Executive Compensation</w:t>
      </w:r>
    </w:p>
    <w:p>
      <w:pPr>
        <w:spacing w:after="0" w:line="121"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Under its charter, the compensation committee (the “Committee”) assists the board in discharging its responsibilities relating to the compensation of our Chief Executive Officer (“CEO”) and the other senior executive officers who are required to make disclosures under Section 16 of the Securities Exchange Act of 1934, as amended (such other officers, our “Senior Executive Officers”). In particular, the Committee is charged with the responsibility to: (i) annually review and approve corporate goals and objectives relevant to the compensation of our CEO, evaluate his performance as measured against such goals and objectives and to set the salary and other cash and equity compensation for our CEO based on such evaluation; and (ii) review and approve the compensation of our Senior Executive Officers. See “Board Committees — Compensation Committee” above. The Committee also administers our Incentive Plan and is authorized under that plan to grant cash awards (including annual bonuses) and equity awards (including options and restricted stock) to officers and other key employees and those of our subsidiaries. The Committee is also authorized under the Incentive Plan to grant equity awards (including options and restricted stock) to our non-employee directors. The Committee is comprised of three independent directors. The Committee’s charter may be found at www.eaglematerials.com. This report describes the policies and principles that shape the structure of our executive compensation program.</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executive compensation program is structured to achieve the following objectives:</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to attract, retain and motivate highly qualified, energetic and talented executives;</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to create an incentive to increase stockholder returns by establishing a direct and substantial link between individual compensation and certain financial and operational measures that have a direct effect on stockholder values;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to create substantial long-term compensation opportunities for individual executive officers based on long-term corporate performance.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 achieve its compensation objectives for fiscal 2006, the executive compensation program used a combination of short-term and long-term elements:</w:t>
      </w:r>
    </w:p>
    <w:p>
      <w:pPr>
        <w:spacing w:after="0" w:line="46" w:lineRule="exact"/>
        <w:rPr>
          <w:sz w:val="20"/>
          <w:szCs w:val="20"/>
          <w:color w:val="auto"/>
        </w:rPr>
      </w:pPr>
    </w:p>
    <w:p>
      <w:pPr>
        <w:ind w:right="80" w:firstLine="8"/>
        <w:spacing w:after="0" w:line="254"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salary, (ii) annual incentive bonus and (iii) long-term incentive compensation in the form of stock options and restricted stock units (“RSUs”). In addition, our Senior Executive Officers are eligible to receive other benefits, such as medical benefits and profit sharing plan contributions, that are generally available to our other employees, and contributions under our Supplemental Executive Retirement Plan (“SERP”) that are accrued for the Senior Executive Officers and certain other officers of the Company and its subsidiaries.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structuring the specific components of executive compensation, the Committee was guided by the following principles:</w:t>
      </w:r>
    </w:p>
    <w:p>
      <w:pPr>
        <w:spacing w:after="0" w:line="117" w:lineRule="exact"/>
        <w:rPr>
          <w:sz w:val="20"/>
          <w:szCs w:val="20"/>
          <w:color w:val="auto"/>
        </w:rPr>
      </w:pPr>
    </w:p>
    <w:p>
      <w:pPr>
        <w:ind w:left="660" w:right="120" w:hanging="436"/>
        <w:spacing w:after="0" w:line="264"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overall annual compensation over the applicable business cycle should be targeted to be above the median for similar positions with similarly-sized companies that engage in one or more of the businesses in which we engage, although in any particular fiscal year overall compensation for a position could be more or less than the median;</w:t>
      </w:r>
    </w:p>
    <w:p>
      <w:pPr>
        <w:spacing w:after="0" w:line="86"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significant portion of the executive’s compensation should be “at risk” — that is, dependent upon the individual’s performance and our financial performance;</w:t>
      </w:r>
    </w:p>
    <w:p>
      <w:pPr>
        <w:spacing w:after="0" w:line="75" w:lineRule="exact"/>
        <w:rPr>
          <w:rFonts w:ascii="Arial" w:cs="Arial" w:eastAsia="Arial" w:hAnsi="Arial"/>
          <w:sz w:val="18"/>
          <w:szCs w:val="18"/>
          <w:b w:val="1"/>
          <w:bCs w:val="1"/>
          <w:color w:val="auto"/>
        </w:rPr>
      </w:pPr>
    </w:p>
    <w:p>
      <w:pPr>
        <w:ind w:left="660" w:right="40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executive’s annual incentive bonus should be structured to drive the achievement of operational, strategic or financial objectives during the fiscal year; and</w:t>
      </w:r>
    </w:p>
    <w:p>
      <w:pPr>
        <w:spacing w:after="0" w:line="75"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 significant portion of compensation should be in the form of long-term incentive compensation that creates rewards for long-term sustained corporate performance and the achievement of our operational and strategic objectives.</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Committee begins the annual process of establishing compensation for the CEO and the Senior Executive Officers by engaging a compensation consultant to conduct a compensation survey of similarly sized companies in similar industries. Based in part on these surveys, the Committee establishes the target level of overall compensation for each position. This target is generally set to be within a reasonable range of the median level of the surveyed companies. In addition, the Committee uses this survey to guide it in establishing the components of executive compensation: salaries, annual incentive bonus opportunity and long term compensation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w:t>
      </w:r>
    </w:p>
    <w:p>
      <w:pPr>
        <w:spacing w:after="0" w:line="117" w:lineRule="exact"/>
        <w:rPr>
          <w:sz w:val="20"/>
          <w:szCs w:val="20"/>
          <w:color w:val="auto"/>
        </w:rPr>
      </w:pPr>
    </w:p>
    <w:p>
      <w:pPr>
        <w:ind w:right="180" w:firstLine="215"/>
        <w:spacing w:after="0" w:line="273" w:lineRule="auto"/>
        <w:rPr>
          <w:sz w:val="20"/>
          <w:szCs w:val="20"/>
          <w:color w:val="auto"/>
        </w:rPr>
      </w:pPr>
      <w:r>
        <w:rPr>
          <w:rFonts w:ascii="Arial" w:cs="Arial" w:eastAsia="Arial" w:hAnsi="Arial"/>
          <w:sz w:val="17"/>
          <w:szCs w:val="17"/>
          <w:color w:val="auto"/>
        </w:rPr>
        <w:t>At the time the base salaries for fiscal 2006 for the CEO and other Senior Executive Officers were established, the Committee was responsible for reviewing and approving the base salary level for the CEO and recommending to the board the base salary level for the Senior Executive Officers (during fiscal 2006 the Committee’s charter was amended to provide that the Committee was responsible for reviewing and approving the compensation of both the CEO and the Senior Executive Officers). In keeping with its philosophy that a significant portion of the executives’ compensation be at risk, for fiscal 2006 the Committee set the base salary level for the CEO and recommended that the Board approve the base salary levels for the Senior Executive Officers at or below the median salary of the companies reviewed in the compensation survey.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Incentive Bonus</w:t>
      </w:r>
    </w:p>
    <w:p>
      <w:pPr>
        <w:spacing w:after="0" w:line="117"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Committee is also responsible for approving the annual incentive bonus for the CEO and, in consultation with the CEO, approving the annual incentive bonuses for the Senior Executive Officers. The Eagle Materials Inc. Annual Salaried Incentive Compensation Program for fiscal 2006 was structured to create financial incentives and rewards for executive officers that are directly related to corporate performance during the fiscal year and the achievement by the executive of certain goals and objectives set at the beginning of the fiscal year. Under this program, a percentage of consolidated earnings before interest and taxes (“EBIT”) is designated as a pool for bonuses, with each participating executive being assigned a percentage of such pool. For fiscal 2006, 1.2% of EBIT was allocated for annual incentive bonuses for executives. At the end of the fiscal year, the pool is divided, and bonuses are paid among the executives participating in the program in accordance with such percentages, subject to reduction based on the executive’s individual performance relative to his/her goals and objectives. The amount of the bonus paid to an executive is based on the level of our EBIT, the percentage of the pool designated for such executive and an assessment of such executive’s performance. For fiscal 2006, Messrs. Rowley, Zunker and Graass were participants in the Eagle Materials Inc. Annual Salaried Incentive Compensation Program.</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225"/>
        <w:spacing w:after="0" w:line="302" w:lineRule="auto"/>
        <w:rPr>
          <w:sz w:val="20"/>
          <w:szCs w:val="20"/>
          <w:color w:val="auto"/>
        </w:rPr>
      </w:pPr>
      <w:r>
        <w:rPr>
          <w:rFonts w:ascii="Arial" w:cs="Arial" w:eastAsia="Arial" w:hAnsi="Arial"/>
          <w:sz w:val="16"/>
          <w:szCs w:val="16"/>
          <w:color w:val="auto"/>
        </w:rPr>
        <w:t>During fiscal 2006, Mr. Essl and Mr. Powers participated in the annual incentive compensation program established for their operating divisions. Under these programs a percentage of the division operating earnings is allocated to the bonus pool with each participating employee assigned a percentage of the pool representing the maximum bonus opportunity. At the end of the fiscal year, bonuses are paid among participating employees in accordance with such percentage, subject to reduction based on the employee’s individual performance relative to his or her previously established goals and objectives.</w:t>
      </w:r>
    </w:p>
    <w:p>
      <w:pPr>
        <w:spacing w:after="0" w:line="46"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Committee believes these programs are consistent with the Company’s compensation philosophy in that they place a significant portion of the executive’s compensation “at risk.” In these instances a significant portion of the executive’s total compensation is dependent upon the performance of the Company (or its operating divisions) and the individual’s performance. Under this structure, the individual executive’s annual incentive bonus compensation will exceed a median level when the operating earnings of the Company (or its operating divisions) are high and the individual achieves a significant part of his or her goals and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Compensation</w:t>
      </w:r>
    </w:p>
    <w:p>
      <w:pPr>
        <w:spacing w:after="0" w:line="117"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Consistent with the Committee’s philosophy of linking compensation to the Company’s performance, our equity compensation program has been structured to link the vesting of equity awards to the achievement by the Company of specific performance levels. During fiscal 2006, the Committee granted stock options and RSUs to the CEO and to all of the Senior Executive Officers. The level of stock options and RSUs granted to each such senior executive was based on the compensation survey mentioned above and was targeted to be within a reasonable range of the median level of long-term compensation for such position. Fifty percent (50%) of the value of such awards was in the form of RSUs with the other fifty percent (50%) in the form of stock options. The assumed value of the stock options was based on a Black-Scholes valuation while the RSUs were valued by reference to the closing stock price on the date of grant. The Committee makes its grants to the named executive officers once a year, typically at the Committee meeting that occurs in the early part of the fiscal year which is customarily held in May.</w:t>
      </w:r>
    </w:p>
    <w:p>
      <w:pPr>
        <w:spacing w:after="0" w:line="71"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For fiscal 2006, the Committee decided to make awards of RSUs and stock options vest based on three different operating and financial performance criteria. The RSUs and stock options awarded to each of the Senior Executive Officers vest based on the attainment of goals related to EBIT (45% of the award), operational criteria (such as average line speeds in our wallboard plants, average clinker production rate in our cement plants, and safety performance) (45% of the award), and balance sheet improvement (maintaining a target net debt-to-capitalization ratio) (10% of the award). The awards tied to EBIT could vest during a three-year period after the grant, and the awards tied to operational excellence and balance sheet improvement could vest during a one-year period after the grant. Any RSU and stock option awards not vested after the three-year or one-year period, as applicable, will be forfeited. These differing vesting criteria provide a strong incentive to award recipients to focus on promoting both operational excellence and financial performance. The Committee believes that these awards properly align the interests of our executives with the interests of our stockholders by linking their long-term compensation with goals that are directly relevant to stockholder value. In order for these stock options and RSUs to fully vest, the Company must achieve a superior three-year average EBIT and must meet stringent operational performance goals and improve the Company’s balance sheet during fiscal 2006. Except for certain options granted to certain employees at the time of hire, almost all of the options and all of the RSUs granted by the Company to its officers and key employees have been granted under performance oriented programs. For a discussion of the vesting of the RSU awards and stock option grants made in fiscal year 2006, please refer to footnote 3 under “Executive Compensation — Compensation Tables — Summary Compensation Table” on page 12 of this proxy statement and to footnote 2 under “Executive Compensation — Compensation Tables — Option/SAR Grants in Last Fiscal Year” on pages 13 and 14 of this proxy statement.</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of the named executives participated in the Company’s long-term incentive compensation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SERP</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fiscal year 1995, the board approved the SERP for certain employees participating in the profit sharing plan. Pursuant to the Internal Revenue Code, the Internal Revenue Service sets a limit (currently $220,000) on the amount of annual compensation that may be considered in determining, for the account of an eligible participant, our contribution to the profit sharing plan. The SERP was established to eliminate the adverse treatment that higher-salaried employees receive under such rule by funding balances for each participant in an amount equal to the additional contribution that he or she would have received under the profit sharing plan had 100% of his or her annual salary been eligible for a profit sharing contribution. Contributions accrued under the SERP for the benefit of the named executive officers vest under the same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terms and conditions as the profit sharing plan. Bonuses paid to participants are not included in making calculations for contributions made or accrued to recipients’ accounts under either the profit sharing plan or the SERP.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Tax Deductibility of Compensation</w:t>
      </w:r>
    </w:p>
    <w:p>
      <w:pPr>
        <w:spacing w:after="0" w:line="117" w:lineRule="exact"/>
        <w:rPr>
          <w:sz w:val="20"/>
          <w:szCs w:val="20"/>
          <w:color w:val="auto"/>
        </w:rPr>
      </w:pPr>
    </w:p>
    <w:p>
      <w:pPr>
        <w:jc w:val="both"/>
        <w:ind w:right="220" w:firstLine="225"/>
        <w:spacing w:after="0" w:line="264" w:lineRule="auto"/>
        <w:rPr>
          <w:sz w:val="20"/>
          <w:szCs w:val="20"/>
          <w:color w:val="auto"/>
        </w:rPr>
      </w:pPr>
      <w:r>
        <w:rPr>
          <w:rFonts w:ascii="Arial" w:cs="Arial" w:eastAsia="Arial" w:hAnsi="Arial"/>
          <w:sz w:val="18"/>
          <w:szCs w:val="18"/>
          <w:color w:val="auto"/>
        </w:rPr>
        <w:t>Section 162(m) of the Internal Revenue Code generally disallows a tax deduction for public corporations for compensation over $1,000,000 paid in any fiscal year to the corporation’s chief executive officer and four other most highly compensated executive officers. However, this law exempts performance-based compensation from the deduction limit if certain requirements are met.</w:t>
      </w:r>
    </w:p>
    <w:p>
      <w:pPr>
        <w:spacing w:after="0" w:line="73" w:lineRule="exact"/>
        <w:rPr>
          <w:sz w:val="20"/>
          <w:szCs w:val="20"/>
          <w:color w:val="auto"/>
        </w:rPr>
      </w:pPr>
    </w:p>
    <w:p>
      <w:pPr>
        <w:ind w:right="120" w:firstLine="215"/>
        <w:spacing w:after="0" w:line="297" w:lineRule="auto"/>
        <w:rPr>
          <w:sz w:val="20"/>
          <w:szCs w:val="20"/>
          <w:color w:val="auto"/>
        </w:rPr>
      </w:pPr>
      <w:r>
        <w:rPr>
          <w:rFonts w:ascii="Arial" w:cs="Arial" w:eastAsia="Arial" w:hAnsi="Arial"/>
          <w:sz w:val="16"/>
          <w:szCs w:val="16"/>
          <w:color w:val="auto"/>
        </w:rPr>
        <w:t>Awards of annual incentive compensation pursuant to the Eagle Materials Inc. Annual Salaried Incentive Compensation Program and long-term incentive compensation are made to the CEO and certain Senior Executive Officers under Eagle’s Incentive Plan, a compensation plan that has been approved by the Committee and by our stockholders and otherwise meets the other performance-based criteria under Section 162(m). Accordingly, such awards are exempt from the limit described above. All other compensation paid to the CEO and the other Senior Executive Officers was below the limit described above. The Committee will take appropriate action in the future as it determines to be advisable to minimize any future impacts of this limitation on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CEO Compensation</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Committee established Mr. Rowley’s salary for fiscal 2006 in May of 2005. The level of Mr. Rowley’s base salary was based on a compensation survey of similarly sized companies in similar industries and was targeted to be at or below the median of the base salaries of chief executive officers of comparably sized companies in similar industries. In addition, the Committee considered the Company’s operating performance and Mr. Rowley’s individual performance as Chief Executive Officer during fiscal 2005.</w:t>
      </w:r>
    </w:p>
    <w:p>
      <w:pPr>
        <w:spacing w:after="0" w:line="79" w:lineRule="exact"/>
        <w:rPr>
          <w:sz w:val="20"/>
          <w:szCs w:val="20"/>
          <w:color w:val="auto"/>
        </w:rPr>
      </w:pPr>
    </w:p>
    <w:p>
      <w:pPr>
        <w:ind w:right="60" w:firstLine="225"/>
        <w:spacing w:after="0" w:line="287" w:lineRule="auto"/>
        <w:rPr>
          <w:sz w:val="20"/>
          <w:szCs w:val="20"/>
          <w:color w:val="auto"/>
        </w:rPr>
      </w:pPr>
      <w:r>
        <w:rPr>
          <w:rFonts w:ascii="Arial" w:cs="Arial" w:eastAsia="Arial" w:hAnsi="Arial"/>
          <w:sz w:val="16"/>
          <w:szCs w:val="16"/>
          <w:u w:val="single" w:color="auto"/>
          <w:color w:val="auto"/>
        </w:rPr>
        <w:t>Annual Salaried Incentive Compensation Program</w:t>
      </w:r>
      <w:r>
        <w:rPr>
          <w:rFonts w:ascii="Arial" w:cs="Arial" w:eastAsia="Arial" w:hAnsi="Arial"/>
          <w:sz w:val="16"/>
          <w:szCs w:val="16"/>
          <w:color w:val="auto"/>
        </w:rPr>
        <w:t>. Like the other executives, Mr. Rowley participates in the Eagle Materials Inc. Annual Salaried Incentive Compensation Program. Mr. Rowley’s annual salary incentive bonus payment for fiscal 2006 was based on Mr. Rowley’s participation percentage in the corporate pool (40%), the level of our EBIT for fiscal 2006 and Mr. Rowley’s performance relative to the objective and subjective goals approved by the Committee at the beginning of the fiscal year. The Committee believes Mr. Rowley largely achieved these goals and objectives. In particular, the Committee considered the following factors (among others) in assessing Mr. Rowley’s performance over the past fiscal year: (i) Mr. Rowley’s leadership in guiding the Company to excellent operational and financial performance; (ii) the continuation of the implementation of the Company’s strategic expansion strategy as evidenced by: (a) the completion of a cement storage dome at the Company’s Illinois Cement plant, (b) the successful on-time, ahead-of-budget construction of a majority of the expansion of production capacity at the Company’s Illinois Cement plant, (c) the commencement of construction of a new synthetic gypsum wallboard plant in South Carolina, and (d) the development of the major capital projects relating to the expansion and modernization of the Company’s Mountain Cement and Nevada Cement plants; (iii) the successful communication of the Company’s long-term goals and opportunities to the Company’s stockholders and the investment community, and (iv) the continued development of a solid team and organizational structure at the Company.</w:t>
      </w:r>
    </w:p>
    <w:p>
      <w:pPr>
        <w:spacing w:after="0" w:line="65"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Long-Term Compensation</w:t>
      </w:r>
      <w:r>
        <w:rPr>
          <w:rFonts w:ascii="Arial" w:cs="Arial" w:eastAsia="Arial" w:hAnsi="Arial"/>
          <w:sz w:val="18"/>
          <w:szCs w:val="18"/>
          <w:color w:val="auto"/>
        </w:rPr>
        <w:t>. In fiscal 2006, Mr. Rowley received the same type of equity awards as the Senior Executive Officers and other officers. The level of awards for Mr. Rowley was based in part on the compensation survey described above and was targeted to be within a reasonable range of the median level of long term compensation for CEOs at similarly sized companies in similar industries. The method of the valuation of the awards was the same as that used for Senior Executive Officers and other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William Barnett, </w:t>
      </w:r>
      <w:r>
        <w:rPr>
          <w:rFonts w:ascii="Arial" w:cs="Arial" w:eastAsia="Arial" w:hAnsi="Arial"/>
          <w:sz w:val="18"/>
          <w:szCs w:val="18"/>
          <w:i w:val="1"/>
          <w:iCs w:val="1"/>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Maresh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following graph compares the yearly change in the cumulative total stockholder return on the Company’s Common Stock during the five fiscal years ended March 31, 2006 with the Russell 2000 Index, which is a regularly published small-cap index, and the Dow Jones Building Materials and Fixtures Index (the “DJ Building Materials Index”), which is a regularly published construction products industry index. The comparison assumes (i) $100 was invested on March 31, 2001 in each of the Company’s Common Stock, the Russell 2000 Index and the DJ Building Materials Index, and (ii) the reinvestment of all dividends.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Cumulative Total Return</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2001</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2002</w:t>
            </w:r>
          </w:p>
        </w:tc>
        <w:tc>
          <w:tcPr>
            <w:tcW w:w="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2003</w:t>
            </w:r>
          </w:p>
        </w:tc>
        <w:tc>
          <w:tcPr>
            <w:tcW w:w="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2004</w:t>
            </w:r>
          </w:p>
        </w:tc>
        <w:tc>
          <w:tcPr>
            <w:tcW w:w="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2005</w:t>
            </w:r>
          </w:p>
        </w:tc>
        <w:tc>
          <w:tcPr>
            <w:tcW w:w="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Eagle Materials Inc.</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432"/>
        </w:trPr>
        <w:tc>
          <w:tcPr>
            <w:tcW w:w="2900" w:type="dxa"/>
            <w:vAlign w:val="bottom"/>
            <w:gridSpan w:val="2"/>
          </w:tcPr>
          <w:p>
            <w:pPr>
              <w:spacing w:after="0"/>
              <w:rPr>
                <w:sz w:val="20"/>
                <w:szCs w:val="20"/>
                <w:color w:val="auto"/>
              </w:rPr>
            </w:pPr>
            <w:r>
              <w:rPr>
                <w:rFonts w:ascii="Arial" w:cs="Arial" w:eastAsia="Arial" w:hAnsi="Arial"/>
                <w:sz w:val="18"/>
                <w:szCs w:val="18"/>
                <w:color w:val="auto"/>
              </w:rPr>
              <w:t>Russell 2000 Index</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114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136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144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Dow Jones Building Materials &amp;</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Fixtures Index</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223520</wp:posOffset>
            </wp:positionV>
            <wp:extent cx="3344545" cy="3310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4454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encourage stock ownership by our directors, officers and employees to align their interests with your interests as stockholders. The following table shows the beneficial ownership of our Common Stock, as of the record date for the annual meeting by: (a) each director (and each nominee for election to the board of directors), (b) each of the named executive officers in the Summary Compensation Table under “Executive Compensation” on page 12 and (c) by all directors, nominees and executive officers of the Company as a group (13 persons). Except as otherwise indicated, all shares are owned directly, and the owner of such shares has the sole voting and investment power with respect thereto.</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Amount and Nature of Beneficial Ownership </w:t>
      </w:r>
      <w:r>
        <w:rPr>
          <w:rFonts w:ascii="Arial" w:cs="Arial" w:eastAsia="Arial" w:hAnsi="Arial"/>
          <w:sz w:val="15"/>
          <w:szCs w:val="15"/>
          <w:b w:val="1"/>
          <w:bCs w:val="1"/>
          <w:color w:val="auto"/>
        </w:rPr>
        <w:t>(1)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5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71"/>
        </w:trPr>
        <w:tc>
          <w:tcPr>
            <w:tcW w:w="84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Owned </w:t>
            </w:r>
            <w:r>
              <w:rPr>
                <w:rFonts w:ascii="Arial" w:cs="Arial" w:eastAsia="Arial" w:hAnsi="Arial"/>
                <w:sz w:val="12"/>
                <w:szCs w:val="12"/>
                <w:b w:val="1"/>
                <w:bCs w:val="1"/>
                <w:color w:val="auto"/>
                <w:w w:val="94"/>
              </w:rPr>
              <w:t>(2)</w:t>
            </w:r>
          </w:p>
        </w:tc>
        <w:tc>
          <w:tcPr>
            <w:tcW w:w="5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13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24,387</w:t>
            </w:r>
          </w:p>
        </w:tc>
        <w:tc>
          <w:tcPr>
            <w:tcW w:w="15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Robert L. Clarke</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94,226</w:t>
            </w:r>
          </w:p>
        </w:tc>
        <w:tc>
          <w:tcPr>
            <w:tcW w:w="15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O.G. Dagnan</w:t>
            </w:r>
          </w:p>
        </w:tc>
        <w:tc>
          <w:tcPr>
            <w:tcW w:w="13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60,474</w:t>
            </w:r>
          </w:p>
        </w:tc>
        <w:tc>
          <w:tcPr>
            <w:tcW w:w="15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Gerald J. Essl</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71,190</w:t>
            </w:r>
          </w:p>
        </w:tc>
        <w:tc>
          <w:tcPr>
            <w:tcW w:w="15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3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286,664</w:t>
            </w:r>
          </w:p>
        </w:tc>
        <w:tc>
          <w:tcPr>
            <w:tcW w:w="15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Laurence E. Hirsch</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695,448</w:t>
            </w:r>
          </w:p>
        </w:tc>
        <w:tc>
          <w:tcPr>
            <w:tcW w:w="1560" w:type="dxa"/>
            <w:vAlign w:val="bottom"/>
            <w:gridSpan w:val="2"/>
          </w:tcPr>
          <w:p>
            <w:pPr>
              <w:jc w:val="right"/>
              <w:ind w:right="128"/>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Frank W. Maresh</w:t>
            </w:r>
          </w:p>
        </w:tc>
        <w:tc>
          <w:tcPr>
            <w:tcW w:w="13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7,836</w:t>
            </w:r>
          </w:p>
        </w:tc>
        <w:tc>
          <w:tcPr>
            <w:tcW w:w="15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Michael R. Nicolais</w:t>
            </w: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47,157</w:t>
            </w:r>
            <w:r>
              <w:rPr>
                <w:rFonts w:ascii="Arial" w:cs="Arial" w:eastAsia="Arial" w:hAnsi="Arial"/>
                <w:sz w:val="15"/>
                <w:szCs w:val="15"/>
                <w:b w:val="1"/>
                <w:bCs w:val="1"/>
                <w:color w:val="auto"/>
              </w:rPr>
              <w:t>(3)</w:t>
            </w:r>
          </w:p>
        </w:tc>
        <w:tc>
          <w:tcPr>
            <w:tcW w:w="15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David B. Powers</w:t>
            </w:r>
          </w:p>
        </w:tc>
        <w:tc>
          <w:tcPr>
            <w:tcW w:w="13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21,443</w:t>
            </w:r>
          </w:p>
        </w:tc>
        <w:tc>
          <w:tcPr>
            <w:tcW w:w="15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David W. Quinn</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30,174</w:t>
            </w:r>
          </w:p>
        </w:tc>
        <w:tc>
          <w:tcPr>
            <w:tcW w:w="15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Steven R. Rowley</w:t>
            </w:r>
          </w:p>
        </w:tc>
        <w:tc>
          <w:tcPr>
            <w:tcW w:w="13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450,028</w:t>
            </w:r>
            <w:r>
              <w:rPr>
                <w:rFonts w:ascii="Arial" w:cs="Arial" w:eastAsia="Arial" w:hAnsi="Arial"/>
                <w:sz w:val="15"/>
                <w:szCs w:val="15"/>
                <w:b w:val="1"/>
                <w:bCs w:val="1"/>
                <w:color w:val="auto"/>
              </w:rPr>
              <w:t>(4)</w:t>
            </w:r>
          </w:p>
        </w:tc>
        <w:tc>
          <w:tcPr>
            <w:tcW w:w="15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Arthur R. Zunker, Jr.</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23,968</w:t>
            </w:r>
          </w:p>
        </w:tc>
        <w:tc>
          <w:tcPr>
            <w:tcW w:w="156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All current directors, nominees and executive officers as a group (13 persons)</w:t>
            </w:r>
          </w:p>
        </w:tc>
        <w:tc>
          <w:tcPr>
            <w:tcW w:w="13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1,815,329</w:t>
            </w:r>
          </w:p>
        </w:tc>
        <w:tc>
          <w:tcPr>
            <w:tcW w:w="15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460" w:right="140" w:hanging="452"/>
        <w:spacing w:after="0" w:line="25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the Company’s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3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include the following shares of Common Stock that may be acquired upon exercise of stock options: Mr. Barnett — 24,387 shares; Mr. Clarke</w:t>
      </w:r>
    </w:p>
    <w:p>
      <w:pPr>
        <w:spacing w:after="0" w:line="46" w:lineRule="exact"/>
        <w:rPr>
          <w:rFonts w:ascii="Arial" w:cs="Arial" w:eastAsia="Arial" w:hAnsi="Arial"/>
          <w:sz w:val="16"/>
          <w:szCs w:val="16"/>
          <w:color w:val="auto"/>
        </w:rPr>
      </w:pPr>
    </w:p>
    <w:p>
      <w:pPr>
        <w:ind w:left="460" w:right="60"/>
        <w:spacing w:after="0" w:line="281" w:lineRule="auto"/>
        <w:rPr>
          <w:rFonts w:ascii="Arial" w:cs="Arial" w:eastAsia="Arial" w:hAnsi="Arial"/>
          <w:sz w:val="16"/>
          <w:szCs w:val="16"/>
          <w:color w:val="auto"/>
        </w:rPr>
      </w:pPr>
      <w:r>
        <w:rPr>
          <w:rFonts w:ascii="Arial" w:cs="Arial" w:eastAsia="Arial" w:hAnsi="Arial"/>
          <w:sz w:val="16"/>
          <w:szCs w:val="16"/>
          <w:color w:val="auto"/>
        </w:rPr>
        <w:t>— 68,972 shares; Mr. Dagnan — 11,913 shares; Mr. Essl — 56,819 shares; Mr. Graass — 283,185 shares; Mr. Hirsch — 22,485 shares; Mr. Maresh — 7,836 shares; Mr. Nicolais — 37,403 shares; Mr. Powers — 19,902 shares; Mr. Rowley — 371,130 shares; Mr. Quinn — 11,913 shares; Mr. Zunker — 18,914 shares; and all directors and executive officers of the Company as a group (13 persons) — 936,490 shares. In addition, this table includes shares of Common Stock that are held for the account of participants as of June 2, 2006, pursuant to the common stock fund of the Company’s profit sharing and retirement plans, as follows: Mr. Rowley — 3,898 shares; Mr. Graass — 347 shares; and all directors, nominees and executive officers of the Company as a group (13 persons) — 4,379 shares. These amounts do not include the following number of RSUs granted to the non-employee directors during fiscal 2006 (including dividend equivalent units): Mr. Barnett — 2,373 RSUs; Mr. Clarke — 2,373 RSUs; Mr. Dagnan — 2,156 RSUs;</w:t>
      </w:r>
    </w:p>
    <w:p>
      <w:pPr>
        <w:spacing w:after="0" w:line="4" w:lineRule="exact"/>
        <w:rPr>
          <w:rFonts w:ascii="Arial" w:cs="Arial" w:eastAsia="Arial" w:hAnsi="Arial"/>
          <w:sz w:val="16"/>
          <w:szCs w:val="16"/>
          <w:color w:val="auto"/>
        </w:rPr>
      </w:pPr>
    </w:p>
    <w:p>
      <w:pPr>
        <w:ind w:left="460" w:right="180"/>
        <w:spacing w:after="0" w:line="254" w:lineRule="auto"/>
        <w:rPr>
          <w:rFonts w:ascii="Arial" w:cs="Arial" w:eastAsia="Arial" w:hAnsi="Arial"/>
          <w:sz w:val="16"/>
          <w:szCs w:val="16"/>
          <w:color w:val="auto"/>
        </w:rPr>
      </w:pPr>
      <w:r>
        <w:rPr>
          <w:rFonts w:ascii="Arial" w:cs="Arial" w:eastAsia="Arial" w:hAnsi="Arial"/>
          <w:sz w:val="18"/>
          <w:szCs w:val="18"/>
          <w:color w:val="auto"/>
        </w:rPr>
        <w:t>Mr. Hirsch 2,878 RSUs; Mr. Maresh — 971 RSUs; Mr. Nicolais — 971 RSUs; and Mr. Quinn — 2,156 RSUs. Additionally, these amounts do not include the following number of RSUs granted to the non-employee directors during fiscal 2005 (including dividend equivalent units): Mr. Barnett — 2,908 RSUs; Mr. Clarke — 2,908 RSUs; Mr. Dagnan — 1,453 RSUs; Mr. Hirsch — 4,069 RSUs; Mr. Maresh — 1,453 RSUs; Mr. Nicolais — 1,453 RSUs; and Mr. Quinn — 1,453 RSUs.</w:t>
      </w:r>
    </w:p>
    <w:p>
      <w:pPr>
        <w:spacing w:after="0" w:line="41" w:lineRule="exact"/>
        <w:rPr>
          <w:rFonts w:ascii="Arial" w:cs="Arial" w:eastAsia="Arial" w:hAnsi="Arial"/>
          <w:sz w:val="16"/>
          <w:szCs w:val="16"/>
          <w:color w:val="auto"/>
        </w:rPr>
      </w:pPr>
    </w:p>
    <w:p>
      <w:pPr>
        <w:ind w:left="460" w:right="22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Includes 1,366 shares of Common Stock owned by Mr. Nicolais’ wife; does not include 1,110 shares of Common Stock in trust for their two children (555 shares each child), of which shares Mr. Nicolais has disclaimed beneficial ownership. Mr. Nicolais’ wife is trustee of the trust.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45,000 shares of Common Stock issued to Mr. Rowley on September 18, 2003 pursuant to a restricted stock award.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 sets forth information as of June 2, 2006 regarding the only persons we know of that beneficially own more than five percent of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jc w:val="center"/>
              <w:spacing w:after="0"/>
              <w:rPr>
                <w:sz w:val="20"/>
                <w:szCs w:val="20"/>
                <w:color w:val="auto"/>
              </w:rPr>
            </w:pPr>
            <w:r>
              <w:rPr>
                <w:rFonts w:ascii="Arial" w:cs="Arial" w:eastAsia="Arial" w:hAnsi="Arial"/>
                <w:sz w:val="14"/>
                <w:szCs w:val="14"/>
                <w:b w:val="1"/>
                <w:bCs w:val="1"/>
                <w:color w:val="auto"/>
                <w:w w:val="93"/>
              </w:rPr>
              <w:t>Name and Address</w:t>
            </w:r>
          </w:p>
        </w:tc>
        <w:tc>
          <w:tcPr>
            <w:tcW w:w="5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500" w:type="dxa"/>
            <w:vAlign w:val="bottom"/>
          </w:tcPr>
          <w:p>
            <w:pPr>
              <w:spacing w:after="0"/>
              <w:rPr>
                <w:sz w:val="14"/>
                <w:szCs w:val="1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Beneficial Owner</w:t>
            </w:r>
          </w:p>
        </w:tc>
        <w:tc>
          <w:tcPr>
            <w:tcW w:w="50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500" w:type="dxa"/>
            <w:vAlign w:val="bottom"/>
          </w:tcPr>
          <w:p>
            <w:pPr>
              <w:spacing w:after="0"/>
              <w:rPr>
                <w:sz w:val="14"/>
                <w:szCs w:val="1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Common Stock</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 xml:space="preserve">Baron Capital Group Inc. </w:t>
            </w:r>
            <w:r>
              <w:rPr>
                <w:rFonts w:ascii="Arial" w:cs="Arial" w:eastAsia="Arial" w:hAnsi="Arial"/>
                <w:sz w:val="15"/>
                <w:szCs w:val="15"/>
                <w:color w:val="auto"/>
              </w:rPr>
              <w:t>(1)</w:t>
            </w:r>
          </w:p>
        </w:tc>
        <w:tc>
          <w:tcPr>
            <w:tcW w:w="5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767 Fifth Avenue,</w:t>
            </w: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New York, NY 10153</w:t>
            </w:r>
          </w:p>
        </w:tc>
        <w:tc>
          <w:tcPr>
            <w:tcW w:w="22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3,108,000</w:t>
            </w:r>
          </w:p>
        </w:tc>
        <w:tc>
          <w:tcPr>
            <w:tcW w:w="16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418"/>
        </w:trPr>
        <w:tc>
          <w:tcPr>
            <w:tcW w:w="7540" w:type="dxa"/>
            <w:vAlign w:val="bottom"/>
            <w:gridSpan w:val="2"/>
          </w:tcPr>
          <w:p>
            <w:pPr>
              <w:spacing w:after="0"/>
              <w:rPr>
                <w:sz w:val="20"/>
                <w:szCs w:val="20"/>
                <w:color w:val="auto"/>
              </w:rPr>
            </w:pPr>
            <w:r>
              <w:rPr>
                <w:rFonts w:ascii="Arial" w:cs="Arial" w:eastAsia="Arial" w:hAnsi="Arial"/>
                <w:sz w:val="18"/>
                <w:szCs w:val="18"/>
                <w:color w:val="auto"/>
              </w:rPr>
              <w:t xml:space="preserve">Atticus Management LLC </w:t>
            </w:r>
            <w:r>
              <w:rPr>
                <w:rFonts w:ascii="Arial" w:cs="Arial" w:eastAsia="Arial" w:hAnsi="Arial"/>
                <w:sz w:val="15"/>
                <w:szCs w:val="15"/>
                <w:color w:val="auto"/>
              </w:rPr>
              <w:t>(2)</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152 West 57th St., 45th Floor,</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New York, NY 10019</w:t>
            </w:r>
          </w:p>
        </w:tc>
        <w:tc>
          <w:tcPr>
            <w:tcW w:w="224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2,921,100</w:t>
            </w:r>
          </w:p>
        </w:tc>
        <w:tc>
          <w:tcPr>
            <w:tcW w:w="1640" w:type="dxa"/>
            <w:vAlign w:val="bottom"/>
            <w:gridSpan w:val="2"/>
          </w:tcPr>
          <w:p>
            <w:pPr>
              <w:jc w:val="right"/>
              <w:ind w:right="188"/>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AXA Assurances I.A.R.D. Mutuelle </w:t>
            </w:r>
            <w:r>
              <w:rPr>
                <w:rFonts w:ascii="Arial" w:cs="Arial" w:eastAsia="Arial" w:hAnsi="Arial"/>
                <w:sz w:val="15"/>
                <w:szCs w:val="15"/>
                <w:color w:val="auto"/>
              </w:rPr>
              <w:t>(3)</w:t>
            </w:r>
          </w:p>
        </w:tc>
        <w:tc>
          <w:tcPr>
            <w:tcW w:w="5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26, rue Drouot</w:t>
            </w: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75009 Paris, France</w:t>
            </w:r>
          </w:p>
        </w:tc>
        <w:tc>
          <w:tcPr>
            <w:tcW w:w="22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2,097,399</w:t>
            </w:r>
          </w:p>
        </w:tc>
        <w:tc>
          <w:tcPr>
            <w:tcW w:w="16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418"/>
        </w:trPr>
        <w:tc>
          <w:tcPr>
            <w:tcW w:w="7540" w:type="dxa"/>
            <w:vAlign w:val="bottom"/>
            <w:gridSpan w:val="2"/>
          </w:tcPr>
          <w:p>
            <w:pPr>
              <w:spacing w:after="0"/>
              <w:rPr>
                <w:sz w:val="20"/>
                <w:szCs w:val="20"/>
                <w:color w:val="auto"/>
              </w:rPr>
            </w:pPr>
            <w:r>
              <w:rPr>
                <w:rFonts w:ascii="Arial" w:cs="Arial" w:eastAsia="Arial" w:hAnsi="Arial"/>
                <w:sz w:val="18"/>
                <w:szCs w:val="18"/>
                <w:color w:val="auto"/>
              </w:rPr>
              <w:t xml:space="preserve">FMR Corp </w:t>
            </w:r>
            <w:r>
              <w:rPr>
                <w:rFonts w:ascii="Arial" w:cs="Arial" w:eastAsia="Arial" w:hAnsi="Arial"/>
                <w:sz w:val="15"/>
                <w:szCs w:val="15"/>
                <w:color w:val="auto"/>
              </w:rPr>
              <w:t>(4)</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82 Devonshire Street,</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Boston, MA 02109</w:t>
            </w:r>
          </w:p>
        </w:tc>
        <w:tc>
          <w:tcPr>
            <w:tcW w:w="224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2,069,478</w:t>
            </w:r>
          </w:p>
        </w:tc>
        <w:tc>
          <w:tcPr>
            <w:tcW w:w="1640" w:type="dxa"/>
            <w:vAlign w:val="bottom"/>
            <w:gridSpan w:val="2"/>
          </w:tcPr>
          <w:p>
            <w:pPr>
              <w:jc w:val="right"/>
              <w:ind w:right="188"/>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Wellington Management Company, LLP </w:t>
            </w:r>
            <w:r>
              <w:rPr>
                <w:rFonts w:ascii="Arial" w:cs="Arial" w:eastAsia="Arial" w:hAnsi="Arial"/>
                <w:sz w:val="15"/>
                <w:szCs w:val="15"/>
                <w:color w:val="auto"/>
              </w:rPr>
              <w:t>(5)</w:t>
            </w:r>
          </w:p>
        </w:tc>
        <w:tc>
          <w:tcPr>
            <w:tcW w:w="5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Boston, MA 02109</w:t>
            </w:r>
          </w:p>
        </w:tc>
        <w:tc>
          <w:tcPr>
            <w:tcW w:w="22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1,854,969</w:t>
            </w:r>
          </w:p>
        </w:tc>
        <w:tc>
          <w:tcPr>
            <w:tcW w:w="16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418"/>
        </w:trPr>
        <w:tc>
          <w:tcPr>
            <w:tcW w:w="7540" w:type="dxa"/>
            <w:vAlign w:val="bottom"/>
            <w:gridSpan w:val="2"/>
          </w:tcPr>
          <w:p>
            <w:pPr>
              <w:spacing w:after="0"/>
              <w:rPr>
                <w:sz w:val="20"/>
                <w:szCs w:val="20"/>
                <w:color w:val="auto"/>
              </w:rPr>
            </w:pPr>
            <w:r>
              <w:rPr>
                <w:rFonts w:ascii="Arial" w:cs="Arial" w:eastAsia="Arial" w:hAnsi="Arial"/>
                <w:sz w:val="18"/>
                <w:szCs w:val="18"/>
                <w:color w:val="auto"/>
              </w:rPr>
              <w:t xml:space="preserve">Carlson Capital, L.P. </w:t>
            </w:r>
            <w:r>
              <w:rPr>
                <w:rFonts w:ascii="Arial" w:cs="Arial" w:eastAsia="Arial" w:hAnsi="Arial"/>
                <w:sz w:val="15"/>
                <w:szCs w:val="15"/>
                <w:color w:val="auto"/>
              </w:rPr>
              <w:t>(6)</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2100 McKinney Avenue, Suite 1600</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Dallas, TX 75201</w:t>
            </w:r>
          </w:p>
        </w:tc>
        <w:tc>
          <w:tcPr>
            <w:tcW w:w="224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1,786,995</w:t>
            </w:r>
          </w:p>
        </w:tc>
        <w:tc>
          <w:tcPr>
            <w:tcW w:w="1640" w:type="dxa"/>
            <w:vAlign w:val="bottom"/>
            <w:gridSpan w:val="2"/>
          </w:tcPr>
          <w:p>
            <w:pPr>
              <w:jc w:val="right"/>
              <w:ind w:right="188"/>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Massachusetts Financial Services Company </w:t>
            </w:r>
            <w:r>
              <w:rPr>
                <w:rFonts w:ascii="Arial" w:cs="Arial" w:eastAsia="Arial" w:hAnsi="Arial"/>
                <w:sz w:val="15"/>
                <w:szCs w:val="15"/>
                <w:color w:val="auto"/>
              </w:rPr>
              <w:t>(7)</w:t>
            </w:r>
          </w:p>
        </w:tc>
        <w:tc>
          <w:tcPr>
            <w:tcW w:w="5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500 Boylston Street,</w:t>
            </w: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Boston MA 02116</w:t>
            </w:r>
          </w:p>
        </w:tc>
        <w:tc>
          <w:tcPr>
            <w:tcW w:w="22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1,611,900</w:t>
            </w:r>
          </w:p>
        </w:tc>
        <w:tc>
          <w:tcPr>
            <w:tcW w:w="16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18"/>
        </w:trPr>
        <w:tc>
          <w:tcPr>
            <w:tcW w:w="7540" w:type="dxa"/>
            <w:vAlign w:val="bottom"/>
            <w:gridSpan w:val="2"/>
          </w:tcPr>
          <w:p>
            <w:pPr>
              <w:spacing w:after="0"/>
              <w:rPr>
                <w:sz w:val="20"/>
                <w:szCs w:val="20"/>
                <w:color w:val="auto"/>
              </w:rPr>
            </w:pPr>
            <w:r>
              <w:rPr>
                <w:rFonts w:ascii="Arial" w:cs="Arial" w:eastAsia="Arial" w:hAnsi="Arial"/>
                <w:sz w:val="18"/>
                <w:szCs w:val="18"/>
                <w:color w:val="auto"/>
              </w:rPr>
              <w:t xml:space="preserve">The Vanguard Group, Inc. </w:t>
            </w:r>
            <w:r>
              <w:rPr>
                <w:rFonts w:ascii="Arial" w:cs="Arial" w:eastAsia="Arial" w:hAnsi="Arial"/>
                <w:sz w:val="15"/>
                <w:szCs w:val="15"/>
                <w:color w:val="auto"/>
              </w:rPr>
              <w:t>(8)</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100 Vanguard Blvd.,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Malvern, PA 19355</w:t>
            </w:r>
          </w:p>
        </w:tc>
        <w:tc>
          <w:tcPr>
            <w:tcW w:w="224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1,543,239</w:t>
            </w:r>
          </w:p>
        </w:tc>
        <w:tc>
          <w:tcPr>
            <w:tcW w:w="1640" w:type="dxa"/>
            <w:vAlign w:val="bottom"/>
            <w:gridSpan w:val="2"/>
          </w:tcPr>
          <w:p>
            <w:pPr>
              <w:jc w:val="right"/>
              <w:ind w:right="188"/>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Batterymarch Financial Management, Inc. </w:t>
            </w:r>
            <w:r>
              <w:rPr>
                <w:rFonts w:ascii="Arial" w:cs="Arial" w:eastAsia="Arial" w:hAnsi="Arial"/>
                <w:sz w:val="15"/>
                <w:szCs w:val="15"/>
                <w:color w:val="auto"/>
              </w:rPr>
              <w:t>(9)</w:t>
            </w:r>
          </w:p>
        </w:tc>
        <w:tc>
          <w:tcPr>
            <w:tcW w:w="5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200 Clarendon Street,</w:t>
            </w: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Boston, MA 02116</w:t>
            </w:r>
          </w:p>
        </w:tc>
        <w:tc>
          <w:tcPr>
            <w:tcW w:w="22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1,473,408</w:t>
            </w:r>
          </w:p>
        </w:tc>
        <w:tc>
          <w:tcPr>
            <w:tcW w:w="16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418"/>
        </w:trPr>
        <w:tc>
          <w:tcPr>
            <w:tcW w:w="7540" w:type="dxa"/>
            <w:vAlign w:val="bottom"/>
            <w:gridSpan w:val="2"/>
          </w:tcPr>
          <w:p>
            <w:pPr>
              <w:spacing w:after="0"/>
              <w:rPr>
                <w:sz w:val="20"/>
                <w:szCs w:val="20"/>
                <w:color w:val="auto"/>
              </w:rPr>
            </w:pPr>
            <w:r>
              <w:rPr>
                <w:rFonts w:ascii="Arial" w:cs="Arial" w:eastAsia="Arial" w:hAnsi="Arial"/>
                <w:sz w:val="18"/>
                <w:szCs w:val="18"/>
                <w:color w:val="auto"/>
              </w:rPr>
              <w:t xml:space="preserve">Systematic Financial Management, L.P. </w:t>
            </w:r>
            <w:r>
              <w:rPr>
                <w:rFonts w:ascii="Arial" w:cs="Arial" w:eastAsia="Arial" w:hAnsi="Arial"/>
                <w:sz w:val="15"/>
                <w:szCs w:val="15"/>
                <w:color w:val="auto"/>
              </w:rPr>
              <w:t>(10)</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200 Clarendon Street,</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Boston, MA 02116</w:t>
            </w:r>
          </w:p>
        </w:tc>
        <w:tc>
          <w:tcPr>
            <w:tcW w:w="224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1,162,695</w:t>
            </w:r>
          </w:p>
        </w:tc>
        <w:tc>
          <w:tcPr>
            <w:tcW w:w="1640" w:type="dxa"/>
            <w:vAlign w:val="bottom"/>
            <w:gridSpan w:val="2"/>
          </w:tcPr>
          <w:p>
            <w:pPr>
              <w:jc w:val="right"/>
              <w:ind w:right="188"/>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xml:space="preserve">Barclays Global Investors, N.A. </w:t>
            </w:r>
            <w:r>
              <w:rPr>
                <w:rFonts w:ascii="Arial" w:cs="Arial" w:eastAsia="Arial" w:hAnsi="Arial"/>
                <w:sz w:val="15"/>
                <w:szCs w:val="15"/>
                <w:color w:val="auto"/>
              </w:rPr>
              <w:t>(11)</w:t>
            </w:r>
          </w:p>
        </w:tc>
        <w:tc>
          <w:tcPr>
            <w:tcW w:w="5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45 Fremont Street,</w:t>
            </w:r>
          </w:p>
        </w:tc>
        <w:tc>
          <w:tcPr>
            <w:tcW w:w="5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San Francisco, CA 94105</w:t>
            </w:r>
          </w:p>
        </w:tc>
        <w:tc>
          <w:tcPr>
            <w:tcW w:w="22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1,024,629</w:t>
            </w:r>
          </w:p>
        </w:tc>
        <w:tc>
          <w:tcPr>
            <w:tcW w:w="16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40" w:hanging="452"/>
        <w:spacing w:after="0" w:line="27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solely on the information contained in the Schedule 13G/A of Baron Capital Group Inc. filed with the SEC on February 13, 2006, with respect to shares of Common Stock owned as of December 31, 2005 and after giving effect to the April 11, 2006 transaction described on page 3 of this proxy statement (the “Recombination”), but calculating the percentage shown by dividing the number of such shares by the total number of shares of Common Stock issued and outstanding on the record date. According to the Schedule 13G/A, Baron Capital Group Inc. had shared power to vote or to direct the vote of 3,033,000 shares of Common Stock and shared dispositive power over all of 3,108,000 shares.</w:t>
      </w:r>
    </w:p>
    <w:p>
      <w:pPr>
        <w:sectPr>
          <w:pgSz w:w="11900" w:h="16838" w:orient="portrait"/>
          <w:cols w:equalWidth="0" w:num="1">
            <w:col w:w="11420"/>
          </w:cols>
          <w:pgMar w:left="240" w:top="419" w:right="239"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hanging="452"/>
        <w:spacing w:after="0" w:line="25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13G/A of Atticus Management LLC filed with the SEC on February 14, 2006, with respect to shares of Common Stock owned as of December 31, 2005 and after giving effect to the Recombination, but calculating the percentage shown by dividing the number of such shares by the total number of shares of Common Stock issued and outstanding on the record date. According to the Schedule 13G/A, Atticus Management LLC had sole power to vote or to direct the vote of 2,921,100 shares of Common Stock and sole dispositive power over all of 2,921,100 shares.</w:t>
      </w:r>
    </w:p>
    <w:p>
      <w:pPr>
        <w:spacing w:after="0" w:line="39" w:lineRule="exact"/>
        <w:rPr>
          <w:rFonts w:ascii="Arial" w:cs="Arial" w:eastAsia="Arial" w:hAnsi="Arial"/>
          <w:sz w:val="18"/>
          <w:szCs w:val="18"/>
          <w:color w:val="auto"/>
        </w:rPr>
      </w:pPr>
    </w:p>
    <w:p>
      <w:pPr>
        <w:ind w:left="460" w:right="20" w:hanging="452"/>
        <w:spacing w:after="0" w:line="25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AXA Assurances I.A.R.D. Mutuelle filed with the SEC on February 14, 2006, with respect to shares of Common Stock owned as of December 31, 2005 and after giving effect to the Recombination, but calculating the percentage shown by dividing the number of such shares by the total number of shares of Common Stock issued and outstanding on the record date. According to the Schedule 13G, AXA Assurances I.A.R.D. Mutuelle had sole power to vote or to direct the vote of 1,059,801 shares of Common Stock and sole dispositive power over all of 2,097,399 shares</w:t>
      </w:r>
    </w:p>
    <w:p>
      <w:pPr>
        <w:spacing w:after="0" w:line="39"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FMR Corp. filed with the SEC on May 10, 2006, with respect to shares of Common Stock owned as of April 30, 2006, but calculating the percentage shown by dividing the number of such shares by the total number of shares of Common Stock issued and outstanding on the record date. According to the Schedule 13, FMR Corp. had sole power to vote or to direct the vote of 96,300 shares of Common Stock and sole dispositive power over all of 2,069,478 shares.</w:t>
      </w:r>
    </w:p>
    <w:p>
      <w:pPr>
        <w:spacing w:after="0" w:line="38" w:lineRule="exact"/>
        <w:rPr>
          <w:rFonts w:ascii="Arial" w:cs="Arial" w:eastAsia="Arial" w:hAnsi="Arial"/>
          <w:sz w:val="18"/>
          <w:szCs w:val="18"/>
          <w:color w:val="auto"/>
        </w:rPr>
      </w:pPr>
    </w:p>
    <w:p>
      <w:pPr>
        <w:ind w:left="460" w:right="20" w:hanging="452"/>
        <w:spacing w:after="0" w:line="25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13G/A of Wellington Management Company, LLP filed with the SEC on February 14, 2006, with respect to shares of Common Stock owned as of December 31, 2005 and after giving effect to the Recombination, but calculating the percentage shown by dividing the number of such shares by the total number of shares of Common Stock issued and outstanding on the record date. According to the Schedule 13G/A, Wellington Management Company had shared power to vote or to direct the vote of 1,609,719 shares of Common Stock and shared dispositive power over all of 1,840,569 shares.</w:t>
      </w:r>
    </w:p>
    <w:p>
      <w:pPr>
        <w:spacing w:after="0" w:line="39"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Carlson Capital, L.P. filed with the SEC on February 14, 2006, with respect to shares of Common Stock owned as of December 31, 2005 and after giving effect to the Recombination, but calculating the percentage shown by dividing the number of such shares by the total number of shares of Common Stock issued and outstanding on the record date. According to the Schedule 13G, Carlson Capital, L.P. had sole power to vote or to direct the vote of 1,786,995 shares of Common Stock and sole dispositive power over all of 1,786,995 shares.</w:t>
      </w:r>
    </w:p>
    <w:p>
      <w:pPr>
        <w:spacing w:after="0" w:line="39" w:lineRule="exact"/>
        <w:rPr>
          <w:rFonts w:ascii="Arial" w:cs="Arial" w:eastAsia="Arial" w:hAnsi="Arial"/>
          <w:sz w:val="18"/>
          <w:szCs w:val="18"/>
          <w:color w:val="auto"/>
        </w:rPr>
      </w:pPr>
    </w:p>
    <w:p>
      <w:pPr>
        <w:ind w:left="460" w:right="60" w:hanging="452"/>
        <w:spacing w:after="0" w:line="25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Massachusetts Financial Services Company filed with the SEC on February 8, 2005, with respect to shares of Common Stock owned as of December 31, 2004 and after giving effect to the Recombination, but calculating the percentage shown by dividing the number of such shares by the total number of shares of Common Stock issued and outstanding on the record date. According to the Schedule 13G, Massachusetts Financial Services Company had sole power to vote or to direct the vote of 1,611,900 shares of Common Stock and sole dispositive power over all of 1,611,900 shares.</w:t>
      </w:r>
    </w:p>
    <w:p>
      <w:pPr>
        <w:spacing w:after="0" w:line="39" w:lineRule="exact"/>
        <w:rPr>
          <w:rFonts w:ascii="Arial" w:cs="Arial" w:eastAsia="Arial" w:hAnsi="Arial"/>
          <w:sz w:val="18"/>
          <w:szCs w:val="18"/>
          <w:color w:val="auto"/>
        </w:rPr>
      </w:pPr>
    </w:p>
    <w:p>
      <w:pPr>
        <w:ind w:left="460" w:right="140" w:hanging="452"/>
        <w:spacing w:after="0" w:line="25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The Vanguard Group, Inc. filed with the SEC on February 13, 2006, with respect to shares of Common Stock owned as of December 31, 2005 and after giving effect to the Recombination, but calculating the percentage shown by dividing the number of such shares by the total number of shares of Common Stock issued and outstanding on the record date. According to the Schedule 13G, The Vanguard Group, Inc. had sole power to vote or to direct the vote of 43,320 shares of Common Stock and sole dispositive power over all of 1,543,239 shares.</w:t>
      </w:r>
    </w:p>
    <w:p>
      <w:pPr>
        <w:spacing w:after="0" w:line="39"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Batterymarch Financial Management, Inc. filed with the SEC on February 15, 2006, with respect to shares of Common Stock owned as of December 31, 2005 and after giving effect to the Recombination, but calculating the percentage shown by dividing the number of such shares by the total number of shares of Common Stock issued and outstanding on the record date. According to the Schedule 13G, Batterymarch Financial Management, Inc. had shared power to vote or to direct the vote of 1,473,408 shares of Common Stock and shared dispositive power over all of 1,473,408 shares.</w:t>
      </w:r>
    </w:p>
    <w:p>
      <w:pPr>
        <w:spacing w:after="0" w:line="39"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13G/A of Systematic Financial Management, L.P. filed with the SEC on February 14, 2006, with respect to shares of Common Stock owned as of December 31, 2005 and after giving effect to the Recombination, but calculating the percentage shown by dividing the number of such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64" w:lineRule="auto"/>
        <w:rPr>
          <w:sz w:val="20"/>
          <w:szCs w:val="20"/>
          <w:color w:val="auto"/>
        </w:rPr>
      </w:pPr>
      <w:r>
        <w:rPr>
          <w:rFonts w:ascii="Arial" w:cs="Arial" w:eastAsia="Arial" w:hAnsi="Arial"/>
          <w:sz w:val="18"/>
          <w:szCs w:val="18"/>
          <w:color w:val="auto"/>
        </w:rPr>
        <w:t>shares by the total number of shares of Common Stock issued and outstanding on the record date. According to the Schedule 13G/A, Systematic Financial Management, L.P. had sole power to vote or to direct the vote of 928,245 shares of Common Stock and sole dispositive power over all of 1,162,695 shares.</w:t>
      </w:r>
    </w:p>
    <w:p>
      <w:pPr>
        <w:spacing w:after="0" w:line="33" w:lineRule="exact"/>
        <w:rPr>
          <w:sz w:val="20"/>
          <w:szCs w:val="20"/>
          <w:color w:val="auto"/>
        </w:rPr>
      </w:pPr>
    </w:p>
    <w:p>
      <w:pPr>
        <w:ind w:left="460" w:hanging="452"/>
        <w:spacing w:after="0" w:line="257"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of Barclays Global Investors, N.A. filed with the SEC on January 26, 2006, with respect to shares of Common Stock owned as of December 31, 2005 and after giving effect to the Recombination, but calculating the percentage shown by dividing the number of such shares by the total number of shares of Common Stock issued and outstanding on the record date. According to the Schedule 13G, Barclays Global Investors, N.A. had sole power to vote or to direct the vote of 854,529 shares of Common Stock and sole dispositive power over all of 1,024,629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 forms that they file with the SEC.</w:t>
      </w:r>
    </w:p>
    <w:p>
      <w:pPr>
        <w:spacing w:after="0" w:line="79" w:lineRule="exact"/>
        <w:rPr>
          <w:sz w:val="20"/>
          <w:szCs w:val="20"/>
          <w:color w:val="auto"/>
        </w:rPr>
      </w:pPr>
    </w:p>
    <w:p>
      <w:pPr>
        <w:ind w:right="200" w:firstLine="225"/>
        <w:spacing w:after="0" w:line="286" w:lineRule="auto"/>
        <w:rPr>
          <w:sz w:val="20"/>
          <w:szCs w:val="20"/>
          <w:color w:val="auto"/>
        </w:rPr>
      </w:pPr>
      <w:r>
        <w:rPr>
          <w:rFonts w:ascii="Arial" w:cs="Arial" w:eastAsia="Arial" w:hAnsi="Arial"/>
          <w:sz w:val="17"/>
          <w:szCs w:val="17"/>
          <w:color w:val="auto"/>
        </w:rPr>
        <w:t>Based solely on our review of the copies of such forms we received with respect to fiscal 2006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2006 applicable to such persons.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has adopted a code of conduct, called “Eagle Ethics,” that applies to all of the Company’s employees, including the Company’s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Eagle Ethics also applies to the board of directors. The Company’s code of conduct is designed to deter wrongdoing and to promote:</w:t>
      </w:r>
    </w:p>
    <w:p>
      <w:pPr>
        <w:spacing w:after="0" w:line="103" w:lineRule="exact"/>
        <w:rPr>
          <w:sz w:val="20"/>
          <w:szCs w:val="20"/>
          <w:color w:val="auto"/>
        </w:rPr>
      </w:pPr>
    </w:p>
    <w:p>
      <w:pPr>
        <w:ind w:left="660" w:hanging="436"/>
        <w:spacing w:after="0"/>
        <w:tabs>
          <w:tab w:leader="none" w:pos="66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compliance with applicable governmental laws, rules and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7"/>
        </w:numPr>
        <w:rPr>
          <w:rFonts w:ascii="Arial" w:cs="Arial" w:eastAsia="Arial" w:hAnsi="Arial"/>
          <w:sz w:val="17"/>
          <w:szCs w:val="17"/>
          <w:b w:val="1"/>
          <w:bCs w:val="1"/>
          <w:color w:val="auto"/>
        </w:rPr>
      </w:pPr>
      <w:r>
        <w:rPr>
          <w:rFonts w:ascii="Arial" w:cs="Arial" w:eastAsia="Arial" w:hAnsi="Arial"/>
          <w:sz w:val="17"/>
          <w:szCs w:val="17"/>
          <w:color w:val="auto"/>
        </w:rPr>
        <w:t>the prompt internal reporting of violations of the code of conduct to an appropriate person or persons identified in the code of conduct;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accountability for adherence to the code of conduct.</w:t>
      </w:r>
    </w:p>
    <w:p>
      <w:pPr>
        <w:spacing w:after="0" w:line="11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All of the Company’s employees and directors are required to certify to the Company, on an annual basis, that they have complied with the Company’s code of conduct without exception or, if they have not so complied, to list the exceptions.</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has posted the text of its code of conduct on its Internet website at www.eaglematerials.com (click on “Investor Relations”, then on “Corporate Governance”, then on “Code of Ethics” and then on “Eagle Ethics”). Additionally, the Company will provide without charge a copy of the code of conduct to any person upon written request to our Secretary at our principal executive office.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connection with the Spin-off, the Company entered into an administrative services agreement with Centex. Under the terms of this agreement, Centex Service Company (“CSC”), a subsidiary of Centex, provided the Company with employee benefits administration, legal, public/investor relations and certain other services. The terms of this agreement ended on December 31, 2005. For fiscal year 2006, the payment by the Company to CSC for services rendered under this agreement was $269,110. Laurence E. Hirsch and Timothy R. Eller, who are present or former directors of the Company, were directors and executive officers of CSC at the time the administrative services agreement was entered into with Centex.</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80" w:firstLine="225"/>
        <w:spacing w:after="0" w:line="277" w:lineRule="auto"/>
        <w:rPr>
          <w:sz w:val="20"/>
          <w:szCs w:val="20"/>
          <w:color w:val="auto"/>
        </w:rPr>
      </w:pPr>
      <w:r>
        <w:rPr>
          <w:rFonts w:ascii="Arial" w:cs="Arial" w:eastAsia="Arial" w:hAnsi="Arial"/>
          <w:sz w:val="18"/>
          <w:szCs w:val="18"/>
          <w:color w:val="auto"/>
        </w:rPr>
        <w:t>For additional information regarding the foregoing agreements and transactions, we refer you to the Company’s definitive proxy material on Schedule 14A, filed with SEC on December 1, 2003.</w:t>
      </w:r>
    </w:p>
    <w:p>
      <w:pPr>
        <w:spacing w:after="0" w:line="27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RELATIONSHIP WITH INDEPENDENT PUBLIC ACCOUNTANTS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Ernst &amp; Young LLP (“Ernst &amp; Young”) audited the Company’s financial statements for the fiscal years ended March 31, 2004, 2005 and 2006.</w:t>
      </w:r>
    </w:p>
    <w:p>
      <w:pPr>
        <w:spacing w:after="0" w:line="129"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5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following table sets forth the various fees for services provided to the Company by Ernst &amp; Young in the fiscal years ended March 31, 2006 and 2005, all of which services have been approved by the audit committee: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gridSpan w:val="2"/>
          </w:tcPr>
          <w:p>
            <w:pPr>
              <w:jc w:val="right"/>
              <w:ind w:right="2670"/>
              <w:spacing w:after="0"/>
              <w:rPr>
                <w:sz w:val="20"/>
                <w:szCs w:val="20"/>
                <w:color w:val="auto"/>
              </w:rPr>
            </w:pPr>
            <w:r>
              <w:rPr>
                <w:rFonts w:ascii="Arial" w:cs="Arial" w:eastAsia="Arial" w:hAnsi="Arial"/>
                <w:sz w:val="14"/>
                <w:szCs w:val="14"/>
                <w:b w:val="1"/>
                <w:bCs w:val="1"/>
                <w:color w:val="auto"/>
                <w:w w:val="91"/>
              </w:rPr>
              <w:t>Fiscal Year</w:t>
            </w:r>
          </w:p>
        </w:tc>
        <w:tc>
          <w:tcPr>
            <w:tcW w:w="420" w:type="dxa"/>
            <w:vAlign w:val="bottom"/>
          </w:tcPr>
          <w:p>
            <w:pPr>
              <w:spacing w:after="0"/>
              <w:rPr>
                <w:sz w:val="14"/>
                <w:szCs w:val="14"/>
                <w:color w:val="auto"/>
              </w:rPr>
            </w:pPr>
          </w:p>
        </w:tc>
        <w:tc>
          <w:tcPr>
            <w:tcW w:w="1320" w:type="dxa"/>
            <w:vAlign w:val="bottom"/>
          </w:tcPr>
          <w:p>
            <w:pPr>
              <w:jc w:val="right"/>
              <w:ind w:right="159"/>
              <w:spacing w:after="0"/>
              <w:rPr>
                <w:sz w:val="20"/>
                <w:szCs w:val="20"/>
                <w:color w:val="auto"/>
              </w:rPr>
            </w:pPr>
            <w:r>
              <w:rPr>
                <w:rFonts w:ascii="Arial" w:cs="Arial" w:eastAsia="Arial" w:hAnsi="Arial"/>
                <w:sz w:val="14"/>
                <w:szCs w:val="14"/>
                <w:b w:val="1"/>
                <w:bCs w:val="1"/>
                <w:color w:val="auto"/>
              </w:rPr>
              <w:t xml:space="preserve">Audit Fees </w:t>
            </w:r>
            <w:r>
              <w:rPr>
                <w:rFonts w:ascii="Arial" w:cs="Arial" w:eastAsia="Arial" w:hAnsi="Arial"/>
                <w:sz w:val="12"/>
                <w:szCs w:val="12"/>
                <w:b w:val="1"/>
                <w:bCs w:val="1"/>
                <w:color w:val="auto"/>
              </w:rPr>
              <w:t>(1)</w:t>
            </w:r>
          </w:p>
        </w:tc>
        <w:tc>
          <w:tcPr>
            <w:tcW w:w="440" w:type="dxa"/>
            <w:vAlign w:val="bottom"/>
          </w:tcPr>
          <w:p>
            <w:pPr>
              <w:spacing w:after="0"/>
              <w:rPr>
                <w:sz w:val="14"/>
                <w:szCs w:val="14"/>
                <w:color w:val="auto"/>
              </w:rPr>
            </w:pPr>
          </w:p>
        </w:tc>
        <w:tc>
          <w:tcPr>
            <w:tcW w:w="16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Audit Related Fees</w:t>
            </w:r>
          </w:p>
        </w:tc>
        <w:tc>
          <w:tcPr>
            <w:tcW w:w="4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Tax Fees</w:t>
            </w:r>
          </w:p>
        </w:tc>
        <w:tc>
          <w:tcPr>
            <w:tcW w:w="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All Other Fees</w:t>
            </w:r>
          </w:p>
        </w:tc>
        <w:tc>
          <w:tcPr>
            <w:tcW w:w="420" w:type="dxa"/>
            <w:vAlign w:val="bottom"/>
          </w:tcPr>
          <w:p>
            <w:pPr>
              <w:spacing w:after="0"/>
              <w:rPr>
                <w:sz w:val="14"/>
                <w:szCs w:val="14"/>
                <w:color w:val="auto"/>
              </w:rPr>
            </w:pPr>
          </w:p>
        </w:tc>
        <w:tc>
          <w:tcPr>
            <w:tcW w:w="1140" w:type="dxa"/>
            <w:vAlign w:val="bottom"/>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195"/>
        </w:trPr>
        <w:tc>
          <w:tcPr>
            <w:tcW w:w="20" w:type="dxa"/>
            <w:vAlign w:val="bottom"/>
          </w:tcPr>
          <w:p>
            <w:pPr>
              <w:spacing w:after="0"/>
              <w:rPr>
                <w:sz w:val="16"/>
                <w:szCs w:val="16"/>
                <w:color w:val="auto"/>
              </w:rPr>
            </w:pPr>
          </w:p>
        </w:tc>
        <w:tc>
          <w:tcPr>
            <w:tcW w:w="3440" w:type="dxa"/>
            <w:vAlign w:val="bottom"/>
            <w:tcBorders>
              <w:top w:val="single" w:sz="8" w:color="auto"/>
            </w:tcBorders>
          </w:tcPr>
          <w:p>
            <w:pPr>
              <w:jc w:val="right"/>
              <w:ind w:right="2790"/>
              <w:spacing w:after="0" w:line="195" w:lineRule="exact"/>
              <w:rPr>
                <w:sz w:val="20"/>
                <w:szCs w:val="20"/>
                <w:color w:val="auto"/>
              </w:rPr>
            </w:pPr>
            <w:r>
              <w:rPr>
                <w:rFonts w:ascii="Arial" w:cs="Arial" w:eastAsia="Arial" w:hAnsi="Arial"/>
                <w:sz w:val="18"/>
                <w:szCs w:val="18"/>
                <w:color w:val="auto"/>
              </w:rPr>
              <w:t>2006</w:t>
            </w:r>
          </w:p>
        </w:tc>
        <w:tc>
          <w:tcPr>
            <w:tcW w:w="420" w:type="dxa"/>
            <w:vAlign w:val="bottom"/>
          </w:tcPr>
          <w:p>
            <w:pPr>
              <w:spacing w:after="0"/>
              <w:rPr>
                <w:sz w:val="16"/>
                <w:szCs w:val="16"/>
                <w:color w:val="auto"/>
              </w:rPr>
            </w:pPr>
          </w:p>
        </w:tc>
        <w:tc>
          <w:tcPr>
            <w:tcW w:w="1320" w:type="dxa"/>
            <w:vAlign w:val="bottom"/>
            <w:tcBorders>
              <w:top w:val="single" w:sz="8" w:color="auto"/>
            </w:tcBorders>
          </w:tcPr>
          <w:p>
            <w:pPr>
              <w:jc w:val="right"/>
              <w:ind w:right="279"/>
              <w:spacing w:after="0" w:line="195" w:lineRule="exact"/>
              <w:rPr>
                <w:sz w:val="20"/>
                <w:szCs w:val="20"/>
                <w:color w:val="auto"/>
              </w:rPr>
            </w:pPr>
            <w:r>
              <w:rPr>
                <w:rFonts w:ascii="Arial" w:cs="Arial" w:eastAsia="Arial" w:hAnsi="Arial"/>
                <w:sz w:val="18"/>
                <w:szCs w:val="18"/>
                <w:color w:val="auto"/>
              </w:rPr>
              <w:t>$589,000</w:t>
            </w:r>
          </w:p>
        </w:tc>
        <w:tc>
          <w:tcPr>
            <w:tcW w:w="440" w:type="dxa"/>
            <w:vAlign w:val="bottom"/>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w w:val="91"/>
              </w:rPr>
              <w:t>122,900</w:t>
            </w:r>
            <w:r>
              <w:rPr>
                <w:rFonts w:ascii="Arial" w:cs="Arial" w:eastAsia="Arial" w:hAnsi="Arial"/>
                <w:sz w:val="15"/>
                <w:szCs w:val="15"/>
                <w:b w:val="1"/>
                <w:bCs w:val="1"/>
                <w:color w:val="auto"/>
                <w:w w:val="91"/>
              </w:rPr>
              <w:t>(2)</w:t>
            </w:r>
          </w:p>
        </w:tc>
        <w:tc>
          <w:tcPr>
            <w:tcW w:w="42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6"/>
                <w:szCs w:val="16"/>
                <w:color w:val="auto"/>
              </w:rPr>
            </w:pPr>
          </w:p>
        </w:tc>
        <w:tc>
          <w:tcPr>
            <w:tcW w:w="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6"/>
                <w:szCs w:val="16"/>
                <w:color w:val="auto"/>
              </w:rPr>
            </w:pPr>
          </w:p>
        </w:tc>
        <w:tc>
          <w:tcPr>
            <w:tcW w:w="1140" w:type="dxa"/>
            <w:vAlign w:val="bottom"/>
            <w:tcBorders>
              <w:top w:val="single" w:sz="8" w:color="auto"/>
            </w:tcBorders>
          </w:tcPr>
          <w:p>
            <w:pPr>
              <w:jc w:val="right"/>
              <w:ind w:right="179"/>
              <w:spacing w:after="0" w:line="195" w:lineRule="exact"/>
              <w:rPr>
                <w:sz w:val="20"/>
                <w:szCs w:val="20"/>
                <w:color w:val="auto"/>
              </w:rPr>
            </w:pPr>
            <w:r>
              <w:rPr>
                <w:rFonts w:ascii="Arial" w:cs="Arial" w:eastAsia="Arial" w:hAnsi="Arial"/>
                <w:sz w:val="18"/>
                <w:szCs w:val="18"/>
                <w:color w:val="auto"/>
              </w:rPr>
              <w:t>$711,900</w:t>
            </w:r>
          </w:p>
        </w:tc>
      </w:tr>
      <w:tr>
        <w:trPr>
          <w:trHeight w:val="249"/>
        </w:trPr>
        <w:tc>
          <w:tcPr>
            <w:tcW w:w="3460" w:type="dxa"/>
            <w:vAlign w:val="bottom"/>
            <w:gridSpan w:val="2"/>
          </w:tcPr>
          <w:p>
            <w:pPr>
              <w:jc w:val="right"/>
              <w:ind w:right="2790"/>
              <w:spacing w:after="0"/>
              <w:rPr>
                <w:sz w:val="20"/>
                <w:szCs w:val="20"/>
                <w:color w:val="auto"/>
              </w:rPr>
            </w:pPr>
            <w:r>
              <w:rPr>
                <w:rFonts w:ascii="Arial" w:cs="Arial" w:eastAsia="Arial" w:hAnsi="Arial"/>
                <w:sz w:val="18"/>
                <w:szCs w:val="18"/>
                <w:color w:val="auto"/>
              </w:rPr>
              <w:t>2005</w:t>
            </w:r>
          </w:p>
        </w:tc>
        <w:tc>
          <w:tcPr>
            <w:tcW w:w="1740" w:type="dxa"/>
            <w:vAlign w:val="bottom"/>
            <w:gridSpan w:val="2"/>
          </w:tcPr>
          <w:p>
            <w:pPr>
              <w:jc w:val="right"/>
              <w:ind w:right="279"/>
              <w:spacing w:after="0"/>
              <w:rPr>
                <w:sz w:val="20"/>
                <w:szCs w:val="20"/>
                <w:color w:val="auto"/>
              </w:rPr>
            </w:pPr>
            <w:r>
              <w:rPr>
                <w:rFonts w:ascii="Arial" w:cs="Arial" w:eastAsia="Arial" w:hAnsi="Arial"/>
                <w:sz w:val="18"/>
                <w:szCs w:val="18"/>
                <w:color w:val="auto"/>
              </w:rPr>
              <w:t>$755,265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95,000</w:t>
            </w:r>
            <w:r>
              <w:rPr>
                <w:rFonts w:ascii="Arial" w:cs="Arial" w:eastAsia="Arial" w:hAnsi="Arial"/>
                <w:sz w:val="15"/>
                <w:szCs w:val="15"/>
                <w:b w:val="1"/>
                <w:bCs w:val="1"/>
                <w:color w:val="auto"/>
              </w:rPr>
              <w:t>(3)</w:t>
            </w:r>
          </w:p>
        </w:tc>
        <w:tc>
          <w:tcPr>
            <w:tcW w:w="4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79"/>
              <w:spacing w:after="0"/>
              <w:rPr>
                <w:sz w:val="20"/>
                <w:szCs w:val="20"/>
                <w:color w:val="auto"/>
              </w:rPr>
            </w:pPr>
            <w:r>
              <w:rPr>
                <w:rFonts w:ascii="Arial" w:cs="Arial" w:eastAsia="Arial" w:hAnsi="Arial"/>
                <w:sz w:val="18"/>
                <w:szCs w:val="18"/>
                <w:color w:val="auto"/>
              </w:rPr>
              <w:t>$850,265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right="460" w:hanging="452"/>
        <w:spacing w:after="0" w:line="277"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fees for benefit plan audits and consent for proxy statement for special stockholders meeting.</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fees for benefit plan audits.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the Board of Directors of Eagle Materials Inc.:</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have reviewed and discussed with management Eagle Materials Inc.’s audited financial statements as of and for the fiscal year ended March 31, 2006.</w:t>
      </w:r>
    </w:p>
    <w:p>
      <w:pPr>
        <w:spacing w:after="0" w:line="140"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i w:val="1"/>
          <w:iCs w:val="1"/>
          <w:color w:val="auto"/>
        </w:rPr>
        <w:t>We have discussed with the independent auditors the matters required to be discussed by Statement on Auditing Standards No. 61, Communication with Audit Committees, as amended by Statement on Auditing Standards No. 90, Audit Committee Communications, by the Auditing Standards Board of the American Institute of Certified Public Accountants.</w:t>
      </w:r>
    </w:p>
    <w:p>
      <w:pPr>
        <w:spacing w:after="0" w:line="7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i w:val="1"/>
          <w:iCs w:val="1"/>
          <w:color w:val="auto"/>
        </w:rPr>
        <w:t>We have received and reviewed the written disclosures and the letter from the independent auditors required by Independence Standards Board Standard No. 1, Independence Discussions with Audit Committees, as amended by the Independence Standards Board, and have discussed with the auditors the auditors’ independence. We have also considered whether the auditors’ provision of non-audit services to Eagle Materials Inc. and its affiliates is compatible with the auditors’ independence.</w:t>
      </w:r>
    </w:p>
    <w:p>
      <w:pPr>
        <w:spacing w:after="0" w:line="79"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i w:val="1"/>
          <w:iCs w:val="1"/>
          <w:color w:val="auto"/>
        </w:rPr>
        <w:t>Based on the reviews and discussions referred to above, we recommend to the Board of Directors that the financial statements referred to above be included in Eagle Materials Inc.’s Annual Report on Form 10-K for the year ended March 31,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L. Clarke</w:t>
      </w:r>
      <w:r>
        <w:rPr>
          <w:rFonts w:ascii="Arial" w:cs="Arial" w:eastAsia="Arial" w:hAnsi="Arial"/>
          <w:sz w:val="18"/>
          <w:szCs w:val="18"/>
          <w:i w:val="1"/>
          <w:iCs w:val="1"/>
          <w:color w:val="auto"/>
        </w:rPr>
        <w:t>,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W. Maresh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Nicolais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21"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2006, and the audit committee has appointed Ernst &amp; Young as our independent auditors for fiscal year 2007, subject to ratification by our stockholders.</w:t>
      </w:r>
    </w:p>
    <w:p>
      <w:pPr>
        <w:spacing w:after="0" w:line="62"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believe ratification of this appointment is good corporate practice because the audit of our books and records is a matter of importance to our stockholders. If our stockholders do not ratify the appointment, our audit committee will reconsider whether or not to retain Ernst &amp; Young, but still may elect to retain them. Even if the appointment is ratified, the audit committee, in its discretion, may change the appointment at any time during the year if it determines that such a change would be in our best interests and the best interests of our stockholders.</w:t>
      </w:r>
    </w:p>
    <w:p>
      <w:pPr>
        <w:spacing w:after="0" w:line="7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right="760" w:firstLine="225"/>
        <w:spacing w:after="0" w:line="282" w:lineRule="auto"/>
        <w:rPr>
          <w:sz w:val="20"/>
          <w:szCs w:val="20"/>
          <w:color w:val="auto"/>
        </w:rPr>
      </w:pPr>
      <w:r>
        <w:rPr>
          <w:rFonts w:ascii="Arial" w:cs="Arial" w:eastAsia="Arial" w:hAnsi="Arial"/>
          <w:sz w:val="18"/>
          <w:szCs w:val="18"/>
          <w:b w:val="1"/>
          <w:bCs w:val="1"/>
          <w:color w:val="auto"/>
        </w:rPr>
        <w:t>Our board unanimously recommends a vote “for” the ratification of the appointment by our board of directors of Ernst &amp; Young as the Company’s auditors for fiscal year ended March 31, 2007.</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121"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Next year’s annual meeting of stockholders is scheduled to be held on July 26, 2007. In order to be considered for inclusion in the Company’s proxy material for that meeting, stockholder proposals must be received at our executive offices, addressed to the attention of the Secretary, not later than February 20, 2007.</w:t>
      </w:r>
    </w:p>
    <w:p>
      <w:pPr>
        <w:spacing w:after="0" w:line="73"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For any proposal that is not submitted for inclusion in our proxy material for the 2007 annual meeting of stockholders but is instead sought to be presented directly at that meeting, Rule 14a-4(c) under the Securities Exchange Act of 1934 permits the Company’s management to exercise discretionary voting authority under proxies it solicits unless the Company is notified about the proposal on or before April 27, 2007, and the stockholder satisfies the other requirements of Rule 14a-4(c). Our Bylaws provide that, to be considered at the 2007 annual meeting, a stockholder proposal must be submitted in writing and received by our Secretary at the executive offices of the Company during the period beginning on January 26, 2007 and ending April 27, 2007, and must contain the information specified by and otherwise comply with our Bylaws. Any stockholder wishing to receive a copy of our Bylaws should direct a written request to our Secretary at the Company’s principal executive office.</w:t>
      </w:r>
    </w:p>
    <w:p>
      <w:pPr>
        <w:spacing w:after="0" w:line="282"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Stockholders entitled to vote at the meeting may obtain a copy of the Company’s Annual Report on Form 10-K for the fiscal year ended</w:t>
      </w:r>
    </w:p>
    <w:p>
      <w:pPr>
        <w:spacing w:after="0" w:line="39"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color w:val="auto"/>
        </w:rPr>
        <w:t>March 31, 2006,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62" w:lineRule="exact"/>
        <w:rPr>
          <w:sz w:val="20"/>
          <w:szCs w:val="20"/>
          <w:color w:val="auto"/>
        </w:rPr>
      </w:pPr>
    </w:p>
    <w:p>
      <w:pPr>
        <w:jc w:val="center"/>
        <w:ind w:left="48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jc w:val="center"/>
        <w:ind w:left="480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jc w:val="center"/>
        <w:ind w:left="480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jc w:val="center"/>
        <w:ind w:left="480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21,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9260"/>
        <w:spacing w:after="0"/>
        <w:rPr>
          <w:sz w:val="20"/>
          <w:szCs w:val="20"/>
          <w:color w:val="auto"/>
        </w:rPr>
      </w:pPr>
      <w:r>
        <w:rPr>
          <w:rFonts w:ascii="Arial" w:cs="Arial" w:eastAsia="Arial" w:hAnsi="Arial"/>
          <w:sz w:val="13"/>
          <w:szCs w:val="13"/>
          <w:color w:val="auto"/>
        </w:rPr>
        <w:t>Please</w:t>
      </w:r>
    </w:p>
    <w:p>
      <w:pPr>
        <w:ind w:left="9260"/>
        <w:spacing w:after="0" w:line="180" w:lineRule="auto"/>
        <w:tabs>
          <w:tab w:leader="none" w:pos="10040" w:val="left"/>
        </w:tabs>
        <w:rPr>
          <w:sz w:val="20"/>
          <w:szCs w:val="20"/>
          <w:color w:val="auto"/>
        </w:rPr>
      </w:pPr>
      <w:r>
        <w:rPr>
          <w:rFonts w:ascii="Arial" w:cs="Arial" w:eastAsia="Arial" w:hAnsi="Arial"/>
          <w:sz w:val="13"/>
          <w:szCs w:val="13"/>
          <w:color w:val="auto"/>
        </w:rPr>
        <w:t>Mark Here</w:t>
      </w:r>
      <w:r>
        <w:rPr>
          <w:sz w:val="20"/>
          <w:szCs w:val="20"/>
          <w:color w:val="auto"/>
        </w:rPr>
        <w:tab/>
      </w:r>
      <w:r>
        <w:rPr>
          <w:rFonts w:ascii="Arial" w:cs="Arial" w:eastAsia="Arial" w:hAnsi="Arial"/>
          <w:sz w:val="18"/>
          <w:szCs w:val="18"/>
          <w:color w:val="auto"/>
        </w:rPr>
        <w:t>o</w:t>
      </w:r>
    </w:p>
    <w:p>
      <w:pPr>
        <w:ind w:left="9260"/>
        <w:spacing w:after="0" w:line="218" w:lineRule="auto"/>
        <w:rPr>
          <w:sz w:val="20"/>
          <w:szCs w:val="20"/>
          <w:color w:val="auto"/>
        </w:rPr>
      </w:pPr>
      <w:r>
        <w:rPr>
          <w:rFonts w:ascii="Arial" w:cs="Arial" w:eastAsia="Arial" w:hAnsi="Arial"/>
          <w:sz w:val="13"/>
          <w:szCs w:val="13"/>
          <w:color w:val="auto"/>
        </w:rPr>
        <w:t>for Address</w:t>
      </w:r>
    </w:p>
    <w:p>
      <w:pPr>
        <w:ind w:left="9260"/>
        <w:spacing w:after="0" w:line="216" w:lineRule="auto"/>
        <w:rPr>
          <w:sz w:val="20"/>
          <w:szCs w:val="20"/>
          <w:color w:val="auto"/>
        </w:rPr>
      </w:pPr>
      <w:r>
        <w:rPr>
          <w:rFonts w:ascii="Arial" w:cs="Arial" w:eastAsia="Arial" w:hAnsi="Arial"/>
          <w:sz w:val="13"/>
          <w:szCs w:val="13"/>
          <w:color w:val="auto"/>
        </w:rPr>
        <w:t>Change or</w:t>
      </w:r>
    </w:p>
    <w:p>
      <w:pPr>
        <w:ind w:left="9260"/>
        <w:spacing w:after="0" w:line="217" w:lineRule="auto"/>
        <w:rPr>
          <w:sz w:val="20"/>
          <w:szCs w:val="20"/>
          <w:color w:val="auto"/>
        </w:rPr>
      </w:pPr>
      <w:r>
        <w:rPr>
          <w:rFonts w:ascii="Arial" w:cs="Arial" w:eastAsia="Arial" w:hAnsi="Arial"/>
          <w:sz w:val="13"/>
          <w:szCs w:val="13"/>
          <w:color w:val="auto"/>
        </w:rPr>
        <w:t>Comments</w:t>
      </w:r>
    </w:p>
    <w:p>
      <w:pPr>
        <w:jc w:val="right"/>
        <w:ind w:right="940"/>
        <w:spacing w:after="0" w:line="217" w:lineRule="auto"/>
        <w:rPr>
          <w:sz w:val="20"/>
          <w:szCs w:val="20"/>
          <w:color w:val="auto"/>
        </w:rPr>
      </w:pPr>
      <w:r>
        <w:rPr>
          <w:rFonts w:ascii="Arial" w:cs="Arial" w:eastAsia="Arial" w:hAnsi="Arial"/>
          <w:sz w:val="13"/>
          <w:szCs w:val="13"/>
          <w:b w:val="1"/>
          <w:bCs w:val="1"/>
          <w:color w:val="auto"/>
        </w:rPr>
        <w:t>SEE REVERSE SIDE</w:t>
      </w:r>
    </w:p>
    <w:p>
      <w:pPr>
        <w:spacing w:after="0"/>
        <w:rPr>
          <w:sz w:val="20"/>
          <w:szCs w:val="20"/>
          <w:color w:val="auto"/>
        </w:rPr>
      </w:pPr>
      <w:r>
        <w:rPr>
          <w:rFonts w:ascii="Arial" w:cs="Arial" w:eastAsia="Arial" w:hAnsi="Arial"/>
          <w:sz w:val="13"/>
          <w:szCs w:val="13"/>
          <w:b w:val="1"/>
          <w:bCs w:val="1"/>
          <w:color w:val="auto"/>
        </w:rPr>
        <w:t>The Board of Directors recommends that you vote FOR the election of the nominees in Item 1 and FOR the Proposal in Item 2.</w:t>
      </w:r>
    </w:p>
    <w:p>
      <w:pPr>
        <w:sectPr>
          <w:pgSz w:w="11900" w:h="16838" w:orient="portrait"/>
          <w:cols w:equalWidth="0" w:num="1">
            <w:col w:w="11420"/>
          </w:cols>
          <w:pgMar w:left="240" w:top="419" w:right="239" w:bottom="1440" w:gutter="0" w:footer="0" w:header="0"/>
        </w:sect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20"/>
                <w:szCs w:val="20"/>
                <w:color w:val="auto"/>
              </w:rPr>
            </w:pPr>
            <w:r>
              <w:rPr>
                <w:rFonts w:ascii="Arial" w:cs="Arial" w:eastAsia="Arial" w:hAnsi="Arial"/>
                <w:sz w:val="13"/>
                <w:szCs w:val="13"/>
                <w:color w:val="auto"/>
              </w:rPr>
              <w:t>1. Election of Directors</w:t>
            </w:r>
          </w:p>
        </w:tc>
        <w:tc>
          <w:tcPr>
            <w:tcW w:w="1700" w:type="dxa"/>
            <w:vAlign w:val="bottom"/>
          </w:tcPr>
          <w:p>
            <w:pPr>
              <w:jc w:val="center"/>
              <w:ind w:left="422"/>
              <w:spacing w:after="0"/>
              <w:rPr>
                <w:sz w:val="20"/>
                <w:szCs w:val="20"/>
                <w:color w:val="auto"/>
              </w:rPr>
            </w:pPr>
            <w:r>
              <w:rPr>
                <w:rFonts w:ascii="Arial" w:cs="Arial" w:eastAsia="Arial" w:hAnsi="Arial"/>
                <w:sz w:val="13"/>
                <w:szCs w:val="13"/>
                <w:color w:val="auto"/>
                <w:w w:val="95"/>
              </w:rPr>
              <w:t>FOR all</w:t>
            </w:r>
          </w:p>
        </w:tc>
        <w:tc>
          <w:tcPr>
            <w:tcW w:w="1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WITHHOLD AUTHORITY</w:t>
            </w:r>
          </w:p>
        </w:tc>
        <w:tc>
          <w:tcPr>
            <w:tcW w:w="0" w:type="dxa"/>
            <w:vAlign w:val="bottom"/>
          </w:tcPr>
          <w:p>
            <w:pPr>
              <w:spacing w:after="0"/>
              <w:rPr>
                <w:sz w:val="1"/>
                <w:szCs w:val="1"/>
                <w:color w:val="auto"/>
              </w:rPr>
            </w:pPr>
          </w:p>
        </w:tc>
      </w:tr>
      <w:tr>
        <w:trPr>
          <w:trHeight w:val="135"/>
        </w:trPr>
        <w:tc>
          <w:tcPr>
            <w:tcW w:w="1940" w:type="dxa"/>
            <w:vAlign w:val="bottom"/>
          </w:tcPr>
          <w:p>
            <w:pPr>
              <w:ind w:left="200"/>
              <w:spacing w:after="0" w:line="135" w:lineRule="exact"/>
              <w:rPr>
                <w:sz w:val="20"/>
                <w:szCs w:val="20"/>
                <w:color w:val="auto"/>
              </w:rPr>
            </w:pPr>
            <w:r>
              <w:rPr>
                <w:rFonts w:ascii="Arial" w:cs="Arial" w:eastAsia="Arial" w:hAnsi="Arial"/>
                <w:sz w:val="13"/>
                <w:szCs w:val="13"/>
                <w:color w:val="auto"/>
              </w:rPr>
              <w:t>listed below.</w:t>
            </w:r>
          </w:p>
        </w:tc>
        <w:tc>
          <w:tcPr>
            <w:tcW w:w="1700" w:type="dxa"/>
            <w:vAlign w:val="bottom"/>
          </w:tcPr>
          <w:p>
            <w:pPr>
              <w:jc w:val="center"/>
              <w:ind w:left="462"/>
              <w:spacing w:after="0" w:line="135" w:lineRule="exact"/>
              <w:rPr>
                <w:sz w:val="20"/>
                <w:szCs w:val="20"/>
                <w:color w:val="auto"/>
              </w:rPr>
            </w:pPr>
            <w:r>
              <w:rPr>
                <w:rFonts w:ascii="Arial" w:cs="Arial" w:eastAsia="Arial" w:hAnsi="Arial"/>
                <w:sz w:val="13"/>
                <w:szCs w:val="13"/>
                <w:color w:val="auto"/>
                <w:w w:val="95"/>
              </w:rPr>
              <w:t>nominees</w:t>
            </w: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700" w:type="dxa"/>
            <w:vAlign w:val="bottom"/>
          </w:tcPr>
          <w:p>
            <w:pPr>
              <w:jc w:val="center"/>
              <w:ind w:left="462"/>
              <w:spacing w:after="0" w:line="135" w:lineRule="exact"/>
              <w:rPr>
                <w:sz w:val="20"/>
                <w:szCs w:val="20"/>
                <w:color w:val="auto"/>
              </w:rPr>
            </w:pPr>
            <w:r>
              <w:rPr>
                <w:rFonts w:ascii="Arial" w:cs="Arial" w:eastAsia="Arial" w:hAnsi="Arial"/>
                <w:sz w:val="13"/>
                <w:szCs w:val="13"/>
                <w:color w:val="auto"/>
                <w:w w:val="97"/>
              </w:rPr>
              <w:t>listed below</w:t>
            </w: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96"/>
              </w:rPr>
              <w:t>to vote for all</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700" w:type="dxa"/>
            <w:vAlign w:val="bottom"/>
          </w:tcPr>
          <w:p>
            <w:pPr>
              <w:jc w:val="center"/>
              <w:ind w:left="462"/>
              <w:spacing w:after="0" w:line="135" w:lineRule="exact"/>
              <w:rPr>
                <w:sz w:val="20"/>
                <w:szCs w:val="20"/>
                <w:color w:val="auto"/>
              </w:rPr>
            </w:pPr>
            <w:r>
              <w:rPr>
                <w:rFonts w:ascii="Arial" w:cs="Arial" w:eastAsia="Arial" w:hAnsi="Arial"/>
                <w:sz w:val="13"/>
                <w:szCs w:val="13"/>
                <w:color w:val="auto"/>
                <w:w w:val="95"/>
              </w:rPr>
              <w:t>(except as marked</w:t>
            </w:r>
          </w:p>
        </w:tc>
        <w:tc>
          <w:tcPr>
            <w:tcW w:w="1500" w:type="dxa"/>
            <w:vAlign w:val="bottom"/>
          </w:tcPr>
          <w:p>
            <w:pPr>
              <w:jc w:val="center"/>
              <w:spacing w:after="0" w:line="135" w:lineRule="exact"/>
              <w:rPr>
                <w:sz w:val="20"/>
                <w:szCs w:val="20"/>
                <w:color w:val="auto"/>
              </w:rPr>
            </w:pPr>
            <w:r>
              <w:rPr>
                <w:rFonts w:ascii="Arial" w:cs="Arial" w:eastAsia="Arial" w:hAnsi="Arial"/>
                <w:sz w:val="13"/>
                <w:szCs w:val="13"/>
                <w:color w:val="auto"/>
                <w:w w:val="97"/>
              </w:rPr>
              <w:t>nominees listed</w:t>
            </w:r>
          </w:p>
        </w:tc>
        <w:tc>
          <w:tcPr>
            <w:tcW w:w="0" w:type="dxa"/>
            <w:vAlign w:val="bottom"/>
          </w:tcPr>
          <w:p>
            <w:pPr>
              <w:spacing w:after="0"/>
              <w:rPr>
                <w:sz w:val="1"/>
                <w:szCs w:val="1"/>
                <w:color w:val="auto"/>
              </w:rPr>
            </w:pPr>
          </w:p>
        </w:tc>
      </w:tr>
      <w:tr>
        <w:trPr>
          <w:trHeight w:val="114"/>
        </w:trPr>
        <w:tc>
          <w:tcPr>
            <w:tcW w:w="1940" w:type="dxa"/>
            <w:vAlign w:val="bottom"/>
          </w:tcPr>
          <w:p>
            <w:pPr>
              <w:spacing w:after="0"/>
              <w:rPr>
                <w:sz w:val="9"/>
                <w:szCs w:val="9"/>
                <w:color w:val="auto"/>
              </w:rPr>
            </w:pPr>
          </w:p>
        </w:tc>
        <w:tc>
          <w:tcPr>
            <w:tcW w:w="1700" w:type="dxa"/>
            <w:vAlign w:val="bottom"/>
          </w:tcPr>
          <w:p>
            <w:pPr>
              <w:jc w:val="center"/>
              <w:ind w:left="462"/>
              <w:spacing w:after="0" w:line="114" w:lineRule="exact"/>
              <w:rPr>
                <w:sz w:val="20"/>
                <w:szCs w:val="20"/>
                <w:color w:val="auto"/>
              </w:rPr>
            </w:pPr>
            <w:r>
              <w:rPr>
                <w:rFonts w:ascii="Arial" w:cs="Arial" w:eastAsia="Arial" w:hAnsi="Arial"/>
                <w:sz w:val="13"/>
                <w:szCs w:val="13"/>
                <w:color w:val="auto"/>
                <w:w w:val="98"/>
              </w:rPr>
              <w:t>to the contrary)</w:t>
            </w:r>
          </w:p>
        </w:tc>
        <w:tc>
          <w:tcPr>
            <w:tcW w:w="1500" w:type="dxa"/>
            <w:vAlign w:val="bottom"/>
          </w:tcPr>
          <w:p>
            <w:pPr>
              <w:jc w:val="center"/>
              <w:spacing w:after="0" w:line="114" w:lineRule="exact"/>
              <w:rPr>
                <w:sz w:val="20"/>
                <w:szCs w:val="20"/>
                <w:color w:val="auto"/>
              </w:rPr>
            </w:pPr>
            <w:r>
              <w:rPr>
                <w:rFonts w:ascii="Arial" w:cs="Arial" w:eastAsia="Arial" w:hAnsi="Arial"/>
                <w:sz w:val="13"/>
                <w:szCs w:val="13"/>
                <w:color w:val="auto"/>
                <w:w w:val="99"/>
              </w:rPr>
              <w:t>below</w:t>
            </w:r>
          </w:p>
        </w:tc>
        <w:tc>
          <w:tcPr>
            <w:tcW w:w="0" w:type="dxa"/>
            <w:vAlign w:val="bottom"/>
          </w:tcPr>
          <w:p>
            <w:pPr>
              <w:spacing w:after="0"/>
              <w:rPr>
                <w:sz w:val="1"/>
                <w:szCs w:val="1"/>
                <w:color w:val="auto"/>
              </w:rPr>
            </w:pPr>
          </w:p>
        </w:tc>
      </w:tr>
      <w:tr>
        <w:trPr>
          <w:trHeight w:val="691"/>
        </w:trPr>
        <w:tc>
          <w:tcPr>
            <w:tcW w:w="1940" w:type="dxa"/>
            <w:vAlign w:val="bottom"/>
          </w:tcPr>
          <w:p>
            <w:pPr>
              <w:spacing w:after="0"/>
              <w:rPr>
                <w:sz w:val="24"/>
                <w:szCs w:val="24"/>
                <w:color w:val="auto"/>
              </w:rPr>
            </w:pPr>
          </w:p>
        </w:tc>
        <w:tc>
          <w:tcPr>
            <w:tcW w:w="1700" w:type="dxa"/>
            <w:vAlign w:val="bottom"/>
          </w:tcPr>
          <w:p>
            <w:pPr>
              <w:jc w:val="center"/>
              <w:ind w:left="462"/>
              <w:spacing w:after="0"/>
              <w:rPr>
                <w:sz w:val="20"/>
                <w:szCs w:val="20"/>
                <w:color w:val="auto"/>
              </w:rPr>
            </w:pPr>
            <w:r>
              <w:rPr>
                <w:rFonts w:ascii="Arial" w:cs="Arial" w:eastAsia="Arial" w:hAnsi="Arial"/>
                <w:sz w:val="54"/>
                <w:szCs w:val="54"/>
                <w:color w:val="auto"/>
                <w:w w:val="86"/>
              </w:rPr>
              <w:t>o</w:t>
            </w:r>
          </w:p>
        </w:tc>
        <w:tc>
          <w:tcPr>
            <w:tcW w:w="1500" w:type="dxa"/>
            <w:vAlign w:val="bottom"/>
          </w:tcPr>
          <w:p>
            <w:pPr>
              <w:jc w:val="center"/>
              <w:spacing w:after="0"/>
              <w:rPr>
                <w:sz w:val="20"/>
                <w:szCs w:val="20"/>
                <w:color w:val="auto"/>
              </w:rPr>
            </w:pPr>
            <w:r>
              <w:rPr>
                <w:rFonts w:ascii="Arial" w:cs="Arial" w:eastAsia="Arial" w:hAnsi="Arial"/>
                <w:sz w:val="54"/>
                <w:szCs w:val="54"/>
                <w:color w:val="auto"/>
                <w:w w:val="86"/>
              </w:rPr>
              <w:t>o</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460"/>
        <w:spacing w:after="0" w:line="285" w:lineRule="auto"/>
        <w:rPr>
          <w:sz w:val="20"/>
          <w:szCs w:val="20"/>
          <w:color w:val="auto"/>
        </w:rPr>
      </w:pPr>
      <w:r>
        <w:rPr>
          <w:rFonts w:ascii="Arial" w:cs="Arial" w:eastAsia="Arial" w:hAnsi="Arial"/>
          <w:sz w:val="14"/>
          <w:szCs w:val="14"/>
          <w:b w:val="1"/>
          <w:bCs w:val="1"/>
          <w:color w:val="auto"/>
        </w:rPr>
        <w:t>(INSTRUCTIONS: To withhold authority to vote for any individual nominee, write the nominee’s name in the space provided below.)</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3"/>
                <w:szCs w:val="13"/>
                <w:color w:val="auto"/>
              </w:rPr>
            </w:pPr>
          </w:p>
        </w:tc>
        <w:tc>
          <w:tcPr>
            <w:tcW w:w="680" w:type="dxa"/>
            <w:vAlign w:val="bottom"/>
          </w:tcPr>
          <w:p>
            <w:pPr>
              <w:ind w:left="300"/>
              <w:spacing w:after="0"/>
              <w:rPr>
                <w:sz w:val="20"/>
                <w:szCs w:val="20"/>
                <w:color w:val="auto"/>
              </w:rPr>
            </w:pPr>
            <w:r>
              <w:rPr>
                <w:rFonts w:ascii="Arial" w:cs="Arial" w:eastAsia="Arial" w:hAnsi="Arial"/>
                <w:sz w:val="13"/>
                <w:szCs w:val="13"/>
                <w:color w:val="auto"/>
              </w:rPr>
              <w:t>FOR</w:t>
            </w:r>
          </w:p>
        </w:tc>
        <w:tc>
          <w:tcPr>
            <w:tcW w:w="700" w:type="dxa"/>
            <w:vAlign w:val="bottom"/>
          </w:tcPr>
          <w:p>
            <w:pPr>
              <w:jc w:val="center"/>
              <w:spacing w:after="0"/>
              <w:rPr>
                <w:sz w:val="20"/>
                <w:szCs w:val="20"/>
                <w:color w:val="auto"/>
              </w:rPr>
            </w:pPr>
            <w:r>
              <w:rPr>
                <w:rFonts w:ascii="Arial" w:cs="Arial" w:eastAsia="Arial" w:hAnsi="Arial"/>
                <w:sz w:val="13"/>
                <w:szCs w:val="13"/>
                <w:color w:val="auto"/>
                <w:w w:val="94"/>
              </w:rPr>
              <w:t>AGAINST</w:t>
            </w:r>
          </w:p>
        </w:tc>
        <w:tc>
          <w:tcPr>
            <w:tcW w:w="580" w:type="dxa"/>
            <w:vAlign w:val="bottom"/>
          </w:tcPr>
          <w:p>
            <w:pPr>
              <w:jc w:val="center"/>
              <w:spacing w:after="0"/>
              <w:rPr>
                <w:sz w:val="20"/>
                <w:szCs w:val="20"/>
                <w:color w:val="auto"/>
              </w:rPr>
            </w:pPr>
            <w:r>
              <w:rPr>
                <w:rFonts w:ascii="Arial" w:cs="Arial" w:eastAsia="Arial" w:hAnsi="Arial"/>
                <w:sz w:val="13"/>
                <w:szCs w:val="13"/>
                <w:color w:val="auto"/>
                <w:w w:val="96"/>
              </w:rPr>
              <w:t>ABSTAIN</w:t>
            </w:r>
          </w:p>
        </w:tc>
        <w:tc>
          <w:tcPr>
            <w:tcW w:w="0" w:type="dxa"/>
            <w:vAlign w:val="bottom"/>
          </w:tcPr>
          <w:p>
            <w:pPr>
              <w:spacing w:after="0"/>
              <w:rPr>
                <w:sz w:val="1"/>
                <w:szCs w:val="1"/>
                <w:color w:val="auto"/>
              </w:rPr>
            </w:pPr>
          </w:p>
        </w:tc>
      </w:tr>
      <w:tr>
        <w:trPr>
          <w:trHeight w:val="156"/>
        </w:trPr>
        <w:tc>
          <w:tcPr>
            <w:tcW w:w="3180" w:type="dxa"/>
            <w:vAlign w:val="bottom"/>
          </w:tcPr>
          <w:p>
            <w:pPr>
              <w:spacing w:after="0"/>
              <w:rPr>
                <w:sz w:val="20"/>
                <w:szCs w:val="20"/>
                <w:color w:val="auto"/>
              </w:rPr>
            </w:pPr>
            <w:r>
              <w:rPr>
                <w:rFonts w:ascii="Arial" w:cs="Arial" w:eastAsia="Arial" w:hAnsi="Arial"/>
                <w:sz w:val="13"/>
                <w:szCs w:val="13"/>
                <w:color w:val="auto"/>
              </w:rPr>
              <w:t>2. Ratify the appointment of Ernst &amp; Young LLP as</w:t>
            </w:r>
          </w:p>
        </w:tc>
        <w:tc>
          <w:tcPr>
            <w:tcW w:w="680" w:type="dxa"/>
            <w:vAlign w:val="bottom"/>
            <w:vMerge w:val="restart"/>
          </w:tcPr>
          <w:p>
            <w:pPr>
              <w:ind w:left="300"/>
              <w:spacing w:after="0" w:line="269" w:lineRule="exact"/>
              <w:rPr>
                <w:sz w:val="20"/>
                <w:szCs w:val="20"/>
                <w:color w:val="auto"/>
              </w:rPr>
            </w:pPr>
            <w:r>
              <w:rPr>
                <w:rFonts w:ascii="Arial" w:cs="Arial" w:eastAsia="Arial" w:hAnsi="Arial"/>
                <w:sz w:val="31"/>
                <w:szCs w:val="31"/>
                <w:color w:val="auto"/>
              </w:rPr>
              <w:t>o</w:t>
            </w:r>
          </w:p>
        </w:tc>
        <w:tc>
          <w:tcPr>
            <w:tcW w:w="700" w:type="dxa"/>
            <w:vAlign w:val="bottom"/>
            <w:vMerge w:val="restart"/>
          </w:tcPr>
          <w:p>
            <w:pPr>
              <w:jc w:val="center"/>
              <w:spacing w:after="0" w:line="269" w:lineRule="exact"/>
              <w:rPr>
                <w:sz w:val="20"/>
                <w:szCs w:val="20"/>
                <w:color w:val="auto"/>
              </w:rPr>
            </w:pPr>
            <w:r>
              <w:rPr>
                <w:rFonts w:ascii="Arial" w:cs="Arial" w:eastAsia="Arial" w:hAnsi="Arial"/>
                <w:sz w:val="31"/>
                <w:szCs w:val="31"/>
                <w:color w:val="auto"/>
              </w:rPr>
              <w:t>o</w:t>
            </w:r>
          </w:p>
        </w:tc>
        <w:tc>
          <w:tcPr>
            <w:tcW w:w="580" w:type="dxa"/>
            <w:vAlign w:val="bottom"/>
            <w:vMerge w:val="restart"/>
          </w:tcPr>
          <w:p>
            <w:pPr>
              <w:jc w:val="center"/>
              <w:spacing w:after="0" w:line="269" w:lineRule="exact"/>
              <w:rPr>
                <w:sz w:val="20"/>
                <w:szCs w:val="20"/>
                <w:color w:val="auto"/>
              </w:rPr>
            </w:pPr>
            <w:r>
              <w:rPr>
                <w:rFonts w:ascii="Arial" w:cs="Arial" w:eastAsia="Arial" w:hAnsi="Arial"/>
                <w:sz w:val="31"/>
                <w:szCs w:val="31"/>
                <w:color w:val="auto"/>
              </w:rPr>
              <w:t>o</w:t>
            </w:r>
          </w:p>
        </w:tc>
        <w:tc>
          <w:tcPr>
            <w:tcW w:w="0" w:type="dxa"/>
            <w:vAlign w:val="bottom"/>
          </w:tcPr>
          <w:p>
            <w:pPr>
              <w:spacing w:after="0"/>
              <w:rPr>
                <w:sz w:val="1"/>
                <w:szCs w:val="1"/>
                <w:color w:val="auto"/>
              </w:rPr>
            </w:pPr>
          </w:p>
        </w:tc>
      </w:tr>
      <w:tr>
        <w:trPr>
          <w:trHeight w:val="114"/>
        </w:trPr>
        <w:tc>
          <w:tcPr>
            <w:tcW w:w="3180" w:type="dxa"/>
            <w:vAlign w:val="bottom"/>
            <w:vMerge w:val="restart"/>
          </w:tcPr>
          <w:p>
            <w:pPr>
              <w:ind w:left="200"/>
              <w:spacing w:after="0"/>
              <w:rPr>
                <w:sz w:val="20"/>
                <w:szCs w:val="20"/>
                <w:color w:val="auto"/>
              </w:rPr>
            </w:pPr>
            <w:r>
              <w:rPr>
                <w:rFonts w:ascii="Arial" w:cs="Arial" w:eastAsia="Arial" w:hAnsi="Arial"/>
                <w:sz w:val="13"/>
                <w:szCs w:val="13"/>
                <w:color w:val="auto"/>
              </w:rPr>
              <w:t>independent auditors for fiscal year 2007.</w:t>
            </w:r>
          </w:p>
        </w:tc>
        <w:tc>
          <w:tcPr>
            <w:tcW w:w="6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318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ind w:left="200" w:right="440" w:hanging="194"/>
        <w:spacing w:after="0" w:line="230" w:lineRule="auto"/>
        <w:tabs>
          <w:tab w:leader="none" w:pos="2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their discretion, on such other business as may properly be brought before the meeting or any adjournment thereof.</w:t>
      </w:r>
    </w:p>
    <w:p>
      <w:pPr>
        <w:spacing w:after="0" w:line="119"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UNLESS OTHERWISE SPECIFIED, THIS PROXY WILL BE VOTED FOR ITEMS 1 AND 2 and, at the discretion of the named proxies, upon such other business as may properly be brought before the meeting or any adjournment thereof. By executing this proxy, the undersigned hereby revokes prior proxies relating to the meeting.</w:t>
      </w:r>
    </w:p>
    <w:p>
      <w:pPr>
        <w:spacing w:after="0" w:line="200" w:lineRule="exact"/>
        <w:rPr>
          <w:sz w:val="20"/>
          <w:szCs w:val="20"/>
          <w:color w:val="auto"/>
        </w:rPr>
      </w:pPr>
    </w:p>
    <w:p>
      <w:pPr>
        <w:sectPr>
          <w:pgSz w:w="11900" w:h="16838" w:orient="portrait"/>
          <w:cols w:equalWidth="0" w:num="2">
            <w:col w:w="5560" w:space="720"/>
            <w:col w:w="5140"/>
          </w:cols>
          <w:pgMar w:left="240" w:top="419" w:right="239" w:bottom="1440" w:gutter="0" w:footer="0" w:header="0"/>
          <w:type w:val="continuous"/>
        </w:sectPr>
      </w:pPr>
    </w:p>
    <w:p>
      <w:pPr>
        <w:spacing w:after="0"/>
        <w:rPr>
          <w:sz w:val="20"/>
          <w:szCs w:val="20"/>
          <w:color w:val="auto"/>
        </w:rPr>
      </w:pPr>
      <w:r>
        <w:rPr>
          <w:rFonts w:ascii="Arial" w:cs="Arial" w:eastAsia="Arial" w:hAnsi="Arial"/>
          <w:sz w:val="12"/>
          <w:szCs w:val="12"/>
          <w:color w:val="auto"/>
        </w:rPr>
        <w:t>01 F. William Barnett, 02 O.G. Dagnan and 03 David W. Quinn</w:t>
      </w:r>
    </w:p>
    <w:p>
      <w:pPr>
        <w:sectPr>
          <w:pgSz w:w="11900" w:h="16838" w:orient="portrait"/>
          <w:cols w:equalWidth="0" w:num="1">
            <w:col w:w="11420"/>
          </w:cols>
          <w:pgMar w:left="240" w:top="419" w:right="239" w:bottom="1440" w:gutter="0" w:footer="0" w:header="0"/>
          <w:type w:val="continuous"/>
        </w:sectPr>
      </w:pPr>
    </w:p>
    <w:p>
      <w:pPr>
        <w:spacing w:after="0" w:line="400" w:lineRule="exact"/>
        <w:rPr>
          <w:sz w:val="20"/>
          <w:szCs w:val="20"/>
          <w:color w:val="auto"/>
        </w:rPr>
      </w:pPr>
    </w:p>
    <w:p>
      <w:pPr>
        <w:ind w:left="1840" w:right="2500" w:hanging="1835"/>
        <w:spacing w:after="0" w:line="246" w:lineRule="auto"/>
        <w:rPr>
          <w:sz w:val="20"/>
          <w:szCs w:val="20"/>
          <w:color w:val="auto"/>
        </w:rPr>
      </w:pPr>
      <w:r>
        <w:rPr>
          <w:rFonts w:ascii="Arial" w:cs="Arial" w:eastAsia="Arial" w:hAnsi="Arial"/>
          <w:sz w:val="13"/>
          <w:szCs w:val="13"/>
          <w:b w:val="1"/>
          <w:bCs w:val="1"/>
          <w:color w:val="auto"/>
        </w:rPr>
        <w:t>THIS PROXY MAY BE REVOKED AT ANY TIME BEFORE IT IS VOTED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2588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tabs>
          <w:tab w:leader="none" w:pos="3360" w:val="left"/>
        </w:tabs>
        <w:rPr>
          <w:sz w:val="20"/>
          <w:szCs w:val="20"/>
          <w:color w:val="auto"/>
        </w:rPr>
      </w:pPr>
      <w:r>
        <w:rPr>
          <w:rFonts w:ascii="Arial" w:cs="Arial" w:eastAsia="Arial" w:hAnsi="Arial"/>
          <w:sz w:val="12"/>
          <w:szCs w:val="12"/>
          <w:color w:val="auto"/>
        </w:rPr>
        <w:t>Dated:</w:t>
      </w:r>
      <w:r>
        <w:rPr>
          <w:sz w:val="20"/>
          <w:szCs w:val="20"/>
          <w:color w:val="auto"/>
        </w:rPr>
        <w:tab/>
      </w:r>
      <w:r>
        <w:rPr>
          <w:rFonts w:ascii="Arial" w:cs="Arial" w:eastAsia="Arial" w:hAnsi="Arial"/>
          <w:sz w:val="20"/>
          <w:szCs w:val="20"/>
          <w:color w:val="auto"/>
          <w:vertAlign w:val="subscript"/>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-50165</wp:posOffset>
            </wp:positionV>
            <wp:extent cx="2598420"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8420" cy="3429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21437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319" w:lineRule="exact"/>
        <w:rPr>
          <w:sz w:val="20"/>
          <w:szCs w:val="20"/>
          <w:color w:val="auto"/>
        </w:rPr>
      </w:pPr>
    </w:p>
    <w:p>
      <w:pPr>
        <w:jc w:val="center"/>
        <w:ind w:right="520"/>
        <w:spacing w:after="0"/>
        <w:rPr>
          <w:sz w:val="20"/>
          <w:szCs w:val="20"/>
          <w:color w:val="auto"/>
        </w:rPr>
      </w:pPr>
      <w:r>
        <w:rPr>
          <w:rFonts w:ascii="Arial" w:cs="Arial" w:eastAsia="Arial" w:hAnsi="Arial"/>
          <w:sz w:val="14"/>
          <w:szCs w:val="14"/>
          <w:color w:val="auto"/>
        </w:rPr>
        <w:t>Signature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NOTE: please sign as name appears hereon. Joint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owners should each sign. When signing as attorney,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executor, administrator, trustee or guardian, please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give full title.</w:t>
      </w:r>
    </w:p>
    <w:p>
      <w:pPr>
        <w:spacing w:after="0" w:line="200" w:lineRule="exact"/>
        <w:rPr>
          <w:sz w:val="20"/>
          <w:szCs w:val="20"/>
          <w:color w:val="auto"/>
        </w:rPr>
      </w:pPr>
    </w:p>
    <w:p>
      <w:pPr>
        <w:sectPr>
          <w:pgSz w:w="11900" w:h="16838" w:orient="portrait"/>
          <w:cols w:equalWidth="0" w:num="2">
            <w:col w:w="6800" w:space="720"/>
            <w:col w:w="3900"/>
          </w:cols>
          <w:pgMar w:left="240" w:top="419" w:right="239" w:bottom="1440" w:gutter="0" w:footer="0" w:header="0"/>
          <w:type w:val="continuous"/>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4"/>
          <w:szCs w:val="14"/>
          <w:b w:val="1"/>
          <w:bCs w:val="1"/>
          <w:color w:val="auto"/>
        </w:rPr>
        <w:t>FOLD AND DETACH HERE</w:t>
      </w:r>
      <w:r>
        <w:rPr>
          <w:rFonts w:ascii="Arial" w:cs="Arial" w:eastAsia="Arial" w:hAnsi="Arial"/>
          <w:sz w:val="18"/>
          <w:szCs w:val="18"/>
          <w:b w:val="1"/>
          <w:bCs w:val="1"/>
          <w:color w:val="auto"/>
        </w:rPr>
        <w:t xml:space="preserve"> 5</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Vote by Internet or Telephone or Mail</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24 Hours a Day, 7 Days a Week</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 11:59 PM Eastern Time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day prior to annual meeting day.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5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Internet</w:t>
            </w:r>
          </w:p>
        </w:tc>
        <w:tc>
          <w:tcPr>
            <w:tcW w:w="540" w:type="dxa"/>
            <w:vAlign w:val="bottom"/>
            <w:tcBorders>
              <w:right w:val="single" w:sz="8" w:color="auto"/>
            </w:tcBorders>
          </w:tcPr>
          <w:p>
            <w:pPr>
              <w:spacing w:after="0"/>
              <w:rPr>
                <w:sz w:val="16"/>
                <w:szCs w:val="16"/>
                <w:color w:val="auto"/>
              </w:rPr>
            </w:pPr>
          </w:p>
        </w:tc>
        <w:tc>
          <w:tcPr>
            <w:tcW w:w="3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Telephone</w:t>
            </w:r>
          </w:p>
        </w:tc>
        <w:tc>
          <w:tcPr>
            <w:tcW w:w="580" w:type="dxa"/>
            <w:vAlign w:val="bottom"/>
            <w:tcBorders>
              <w:right w:val="single" w:sz="8" w:color="auto"/>
            </w:tcBorders>
          </w:tcPr>
          <w:p>
            <w:pPr>
              <w:spacing w:after="0"/>
              <w:rPr>
                <w:sz w:val="16"/>
                <w:szCs w:val="16"/>
                <w:color w:val="auto"/>
              </w:rPr>
            </w:pP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Mail</w:t>
            </w:r>
          </w:p>
        </w:tc>
        <w:tc>
          <w:tcPr>
            <w:tcW w:w="0" w:type="dxa"/>
            <w:vAlign w:val="bottom"/>
          </w:tcPr>
          <w:p>
            <w:pPr>
              <w:spacing w:after="0"/>
              <w:rPr>
                <w:sz w:val="1"/>
                <w:szCs w:val="1"/>
                <w:color w:val="auto"/>
              </w:rPr>
            </w:pPr>
          </w:p>
        </w:tc>
      </w:tr>
      <w:tr>
        <w:trPr>
          <w:trHeight w:val="209"/>
        </w:trPr>
        <w:tc>
          <w:tcPr>
            <w:tcW w:w="3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http://www.proxyvoting.com/exp</w:t>
            </w:r>
          </w:p>
        </w:tc>
        <w:tc>
          <w:tcPr>
            <w:tcW w:w="5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OR</w:t>
            </w:r>
          </w:p>
        </w:tc>
        <w:tc>
          <w:tcPr>
            <w:tcW w:w="3360" w:type="dxa"/>
            <w:vAlign w:val="bottom"/>
            <w:tcBorders>
              <w:right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1-866-540-5760</w:t>
            </w:r>
          </w:p>
        </w:tc>
        <w:tc>
          <w:tcPr>
            <w:tcW w:w="5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OR</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Mark, sign and date</w:t>
            </w:r>
          </w:p>
        </w:tc>
        <w:tc>
          <w:tcPr>
            <w:tcW w:w="0" w:type="dxa"/>
            <w:vAlign w:val="bottom"/>
          </w:tcPr>
          <w:p>
            <w:pPr>
              <w:spacing w:after="0"/>
              <w:rPr>
                <w:sz w:val="1"/>
                <w:szCs w:val="1"/>
                <w:color w:val="auto"/>
              </w:rPr>
            </w:pPr>
          </w:p>
        </w:tc>
      </w:tr>
      <w:tr>
        <w:trPr>
          <w:trHeight w:val="189"/>
        </w:trPr>
        <w:tc>
          <w:tcPr>
            <w:tcW w:w="3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Use the internet to vote your proxy. Have</w:t>
            </w:r>
          </w:p>
        </w:tc>
        <w:tc>
          <w:tcPr>
            <w:tcW w:w="540" w:type="dxa"/>
            <w:vAlign w:val="bottom"/>
            <w:tcBorders>
              <w:right w:val="single" w:sz="8" w:color="auto"/>
            </w:tcBorders>
            <w:vMerge w:val="continue"/>
          </w:tcPr>
          <w:p>
            <w:pPr>
              <w:spacing w:after="0"/>
              <w:rPr>
                <w:sz w:val="16"/>
                <w:szCs w:val="16"/>
                <w:color w:val="auto"/>
              </w:rPr>
            </w:pPr>
          </w:p>
        </w:tc>
        <w:tc>
          <w:tcPr>
            <w:tcW w:w="33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Use any touch-tone telephone to vote your</w:t>
            </w:r>
          </w:p>
        </w:tc>
        <w:tc>
          <w:tcPr>
            <w:tcW w:w="580" w:type="dxa"/>
            <w:vAlign w:val="bottom"/>
            <w:tcBorders>
              <w:right w:val="single" w:sz="8" w:color="auto"/>
            </w:tcBorders>
            <w:vMerge w:val="continue"/>
          </w:tcPr>
          <w:p>
            <w:pPr>
              <w:spacing w:after="0"/>
              <w:rPr>
                <w:sz w:val="16"/>
                <w:szCs w:val="16"/>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your proxy card</w:t>
            </w:r>
          </w:p>
        </w:tc>
        <w:tc>
          <w:tcPr>
            <w:tcW w:w="0" w:type="dxa"/>
            <w:vAlign w:val="bottom"/>
          </w:tcPr>
          <w:p>
            <w:pPr>
              <w:spacing w:after="0"/>
              <w:rPr>
                <w:sz w:val="1"/>
                <w:szCs w:val="1"/>
                <w:color w:val="auto"/>
              </w:rPr>
            </w:pPr>
          </w:p>
        </w:tc>
      </w:tr>
      <w:tr>
        <w:trPr>
          <w:trHeight w:val="189"/>
        </w:trPr>
        <w:tc>
          <w:tcPr>
            <w:tcW w:w="3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your proxy card in hand when you access the</w:t>
            </w:r>
          </w:p>
        </w:tc>
        <w:tc>
          <w:tcPr>
            <w:tcW w:w="54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proxy. Have your proxy card in hand when</w:t>
            </w:r>
          </w:p>
        </w:tc>
        <w:tc>
          <w:tcPr>
            <w:tcW w:w="58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189"/>
        </w:trPr>
        <w:tc>
          <w:tcPr>
            <w:tcW w:w="35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web site.</w:t>
            </w:r>
          </w:p>
        </w:tc>
        <w:tc>
          <w:tcPr>
            <w:tcW w:w="54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you call.</w:t>
            </w:r>
          </w:p>
        </w:tc>
        <w:tc>
          <w:tcPr>
            <w:tcW w:w="58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return it in the</w:t>
            </w:r>
          </w:p>
        </w:tc>
        <w:tc>
          <w:tcPr>
            <w:tcW w:w="0" w:type="dxa"/>
            <w:vAlign w:val="bottom"/>
          </w:tcPr>
          <w:p>
            <w:pPr>
              <w:spacing w:after="0"/>
              <w:rPr>
                <w:sz w:val="1"/>
                <w:szCs w:val="1"/>
                <w:color w:val="auto"/>
              </w:rPr>
            </w:pPr>
          </w:p>
        </w:tc>
      </w:tr>
      <w:tr>
        <w:trPr>
          <w:trHeight w:val="189"/>
        </w:trPr>
        <w:tc>
          <w:tcPr>
            <w:tcW w:w="3560" w:type="dxa"/>
            <w:vAlign w:val="bottom"/>
            <w:tcBorders>
              <w:left w:val="single" w:sz="8" w:color="auto"/>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3360" w:type="dxa"/>
            <w:vAlign w:val="bottom"/>
            <w:tcBorders>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enclosed postage-paid</w:t>
            </w:r>
          </w:p>
        </w:tc>
        <w:tc>
          <w:tcPr>
            <w:tcW w:w="0" w:type="dxa"/>
            <w:vAlign w:val="bottom"/>
          </w:tcPr>
          <w:p>
            <w:pPr>
              <w:spacing w:after="0"/>
              <w:rPr>
                <w:sz w:val="1"/>
                <w:szCs w:val="1"/>
                <w:color w:val="auto"/>
              </w:rPr>
            </w:pPr>
          </w:p>
        </w:tc>
      </w:tr>
      <w:tr>
        <w:trPr>
          <w:trHeight w:val="187"/>
        </w:trPr>
        <w:tc>
          <w:tcPr>
            <w:tcW w:w="3560" w:type="dxa"/>
            <w:vAlign w:val="bottom"/>
            <w:tcBorders>
              <w:left w:val="single" w:sz="8" w:color="auto"/>
              <w:bottom w:val="single" w:sz="8" w:color="auto"/>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3360" w:type="dxa"/>
            <w:vAlign w:val="bottom"/>
            <w:tcBorders>
              <w:bottom w:val="single" w:sz="8" w:color="auto"/>
              <w:right w:val="single" w:sz="8" w:color="auto"/>
            </w:tcBorders>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envelope.</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If you vote your proxy by Internet or by telephone,</w:t>
      </w:r>
    </w:p>
    <w:p>
      <w:pPr>
        <w:spacing w:after="0" w:line="1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you do NOT need to mail back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EAGLE MATERIALS INC.</w:t>
      </w:r>
    </w:p>
    <w:p>
      <w:pPr>
        <w:spacing w:after="0" w:line="12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COMMON STOCK</w:t>
      </w:r>
    </w:p>
    <w:p>
      <w:pPr>
        <w:spacing w:after="0" w:line="11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1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Annual Meeting of stockholders - July 27, 2006</w:t>
      </w:r>
    </w:p>
    <w:p>
      <w:pPr>
        <w:spacing w:after="0" w:line="220" w:lineRule="exact"/>
        <w:rPr>
          <w:sz w:val="20"/>
          <w:szCs w:val="20"/>
          <w:color w:val="auto"/>
        </w:rPr>
      </w:pPr>
    </w:p>
    <w:p>
      <w:pPr>
        <w:jc w:val="both"/>
        <w:ind w:left="580" w:right="800"/>
        <w:spacing w:after="0" w:line="238" w:lineRule="auto"/>
        <w:rPr>
          <w:sz w:val="20"/>
          <w:szCs w:val="20"/>
          <w:color w:val="auto"/>
        </w:rPr>
      </w:pPr>
      <w:r>
        <w:rPr>
          <w:rFonts w:ascii="Arial" w:cs="Arial" w:eastAsia="Arial" w:hAnsi="Arial"/>
          <w:sz w:val="18"/>
          <w:szCs w:val="18"/>
          <w:color w:val="auto"/>
        </w:rPr>
        <w:t>The undersigned hereby appoints James H. Graass and Steven R. Rowley (acting unanimously or, if only one be present, by that one alone), and each of them, proxies, with full power of substitution to each, to vote , as specified on the reverse side, at the Annual Meeting of Stockholders of Eagle Materials Inc. to be held July 27, 2006, or any adjournment thereof, all shares of Common Stock of Eagle Materials Inc. registered in the name of the undersigned a the close of business on June 2, 2006.</w:t>
      </w:r>
    </w:p>
    <w:p>
      <w:pPr>
        <w:spacing w:after="0" w:line="86" w:lineRule="exact"/>
        <w:rPr>
          <w:sz w:val="20"/>
          <w:szCs w:val="20"/>
          <w:color w:val="auto"/>
        </w:rPr>
      </w:pPr>
    </w:p>
    <w:p>
      <w:pPr>
        <w:jc w:val="both"/>
        <w:ind w:left="580" w:right="800"/>
        <w:spacing w:after="0" w:line="253" w:lineRule="auto"/>
        <w:rPr>
          <w:sz w:val="20"/>
          <w:szCs w:val="20"/>
          <w:color w:val="auto"/>
        </w:rPr>
      </w:pPr>
      <w:r>
        <w:rPr>
          <w:rFonts w:ascii="Arial" w:cs="Arial" w:eastAsia="Arial" w:hAnsi="Arial"/>
          <w:sz w:val="18"/>
          <w:szCs w:val="18"/>
          <w:b w:val="1"/>
          <w:bCs w:val="1"/>
          <w:color w:val="auto"/>
        </w:rPr>
        <w:t>THIS PROXY WHEN PROPERLY EXECUTED WILL BE VOTED AS SPECIFIED ON THE BALLOT ON THE REVERSE SIDE, BUT IF NO INSTRUCTIONS ARE INDICATED, THEN THIS PROXY WILL BE VOTED FOR ITEMS 1 AND 2. THE PROXIES WILL USE THEIR DISCRETION WITH RESPECT TO ANY MATTER REFERRED TO IN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8905" cy="540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540385"/>
                    </a:xfrm>
                    <a:prstGeom prst="rect">
                      <a:avLst/>
                    </a:prstGeom>
                    <a:noFill/>
                  </pic:spPr>
                </pic:pic>
              </a:graphicData>
            </a:graphic>
          </wp:anchor>
        </w:drawing>
      </w:r>
    </w:p>
    <w:p>
      <w:pPr>
        <w:spacing w:after="0" w:line="77" w:lineRule="exact"/>
        <w:rPr>
          <w:sz w:val="20"/>
          <w:szCs w:val="20"/>
          <w:color w:val="auto"/>
        </w:rPr>
      </w:pPr>
    </w:p>
    <w:p>
      <w:pPr>
        <w:ind w:left="3260" w:right="2120" w:hanging="2671"/>
        <w:spacing w:after="0" w:line="246" w:lineRule="auto"/>
        <w:rPr>
          <w:sz w:val="20"/>
          <w:szCs w:val="20"/>
          <w:color w:val="auto"/>
        </w:rPr>
      </w:pPr>
      <w:r>
        <w:rPr>
          <w:rFonts w:ascii="Arial" w:cs="Arial" w:eastAsia="Arial" w:hAnsi="Arial"/>
          <w:sz w:val="18"/>
          <w:szCs w:val="18"/>
          <w:color w:val="auto"/>
        </w:rPr>
        <w:t>By execution of this proxy, you hereby acknowledge receipt herewith of the Notice of Annual Meeting and Proxy Statement for the July 27, 2006 Annual Meeting.</w:t>
      </w:r>
    </w:p>
    <w:p>
      <w:pPr>
        <w:spacing w:after="0" w:line="8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READ, EXECUTE AND DATE REVERSE SIDE AND MAIL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106045</wp:posOffset>
            </wp:positionV>
            <wp:extent cx="6517640" cy="660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660400"/>
                    </a:xfrm>
                    <a:prstGeom prst="rect">
                      <a:avLst/>
                    </a:prstGeom>
                    <a:noFill/>
                  </pic:spPr>
                </pic:pic>
              </a:graphicData>
            </a:graphic>
          </wp:anchor>
        </w:drawing>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 xml:space="preserve">Address Change/Comments </w:t>
      </w:r>
      <w:r>
        <w:rPr>
          <w:rFonts w:ascii="Arial" w:cs="Arial" w:eastAsia="Arial" w:hAnsi="Arial"/>
          <w:sz w:val="10"/>
          <w:szCs w:val="10"/>
          <w:b w:val="1"/>
          <w:bCs w:val="1"/>
          <w:color w:val="auto"/>
        </w:rPr>
        <w:t>(Mark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635000</wp:posOffset>
            </wp:positionV>
            <wp:extent cx="8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635000</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635000</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635000</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635000</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635000</wp:posOffset>
            </wp:positionV>
            <wp:extent cx="8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635000</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635000</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635000</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635000</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635000</wp:posOffset>
            </wp:positionV>
            <wp:extent cx="8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635000</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635000</wp:posOffset>
            </wp:positionV>
            <wp:extent cx="8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635000</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635000</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635000</wp:posOffset>
            </wp:positionV>
            <wp:extent cx="88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635000</wp:posOffset>
            </wp:positionV>
            <wp:extent cx="8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635000</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635000</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635000</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635000</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635000</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635000</wp:posOffset>
            </wp:positionV>
            <wp:extent cx="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635000</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635000</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635000</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635000</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635000</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635000</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635000</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635000</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635000</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635000</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635000</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635000</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635000</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635000</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635000</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635000</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635000</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635000</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635000</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635000</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635000</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635000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635000</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635000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635000</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635000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635000</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635000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635000</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635000</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635000</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635000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635000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635000</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635000</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635000</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635000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635000</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635000</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635000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635000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635000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635000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635000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635000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635000</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635000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635000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635000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635000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635000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635000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635000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635000</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635000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635000</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635000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635000</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635000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635000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635000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635000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635000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635000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635000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635000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635000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635000</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635000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635000</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635000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635000</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635000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635000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635000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635000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635000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635000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635000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635000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635000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635000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635000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635000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635000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635000</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635000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635000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635000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635000</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635000</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635000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635000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635000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635000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635000</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635000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635000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635000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635000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635000</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635000</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635000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635000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635000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635000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635000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635000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635000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635000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635000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635000</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635000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635000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635000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635000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635000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635000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635000</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635000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635000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635000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635000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635000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635000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635000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635000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635000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635000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635000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635000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635000</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635000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635000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635000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635000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635000</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635000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635000</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635000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635000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635000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635000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635000</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635000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635000</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635000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635000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635000</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635000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635000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635000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635000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635000</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635000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635000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635000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635000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635000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635000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635000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635000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635000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635000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635000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635000</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635000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635000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635000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635000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635000</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635000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635000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635000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635000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635000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635000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635000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635000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635000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635000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635000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635000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635000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635000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635000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635000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635000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635000</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635000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635000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635000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635000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635000</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635000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635000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635000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635000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635000</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635000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635000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635000</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635000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635000</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635000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635000</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635000</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635000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635000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635000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635000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635000</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635000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635000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635000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635000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635000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635000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635000</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635000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635000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635000</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635000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635000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635000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635000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635000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635000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635000</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635000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635000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635000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635000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635000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635000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635000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635000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635000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635000</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635000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635000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635000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635000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635000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635000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635000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635000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635000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635000</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635000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635000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635000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635000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635000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635000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635000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635000</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635000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635000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635000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635000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635000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635000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635000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635000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635000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635000</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635000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635000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635000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635000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635000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635000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635000</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635000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635000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635000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635000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635000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635000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635000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635000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635000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635000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635000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635000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635000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635000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635000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635000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635000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635000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635000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635000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635000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635000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635000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635000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635000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635000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635000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635000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635000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635000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635000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635000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635000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635000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635000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635000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635000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635000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635000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635000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635000</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635000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635000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635000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635000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635000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635000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635000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635000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635000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635000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635000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635000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635000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635000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635000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635000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635000</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635000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635000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635000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635000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635000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635000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635000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635000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635000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635000</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635000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635000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635000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635000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635000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635000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635000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635000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635000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635000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635000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635000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635000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635000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635000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635000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635000</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635000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635000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635000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635000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635000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635000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635000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635000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635000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635000</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635000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635000</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635000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635000</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635000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635000</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635000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635000</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635000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635000</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635000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635000</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635000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635000</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635000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635000</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635000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635000</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635000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635000</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635000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635000</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635000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635000</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635000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635000</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635000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635000</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635000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635000</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635000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59"/>
        <w:spacing w:after="0"/>
        <w:tabs>
          <w:tab w:leader="none" w:pos="10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b w:val="1"/>
          <w:bCs w:val="1"/>
          <w:color w:val="auto"/>
        </w:rPr>
        <w:t xml:space="preserve">FOLD AND DETACH HERE  </w:t>
      </w:r>
      <w:r>
        <w:rPr>
          <w:rFonts w:ascii="Arial" w:cs="Arial" w:eastAsia="Arial" w:hAnsi="Arial"/>
          <w:sz w:val="14"/>
          <w:szCs w:val="14"/>
          <w:color w:val="auto"/>
        </w:rPr>
        <w:t>5</w:t>
      </w:r>
    </w:p>
    <w:p>
      <w:pPr>
        <w:spacing w:after="0" w:line="306" w:lineRule="exact"/>
        <w:rPr>
          <w:sz w:val="20"/>
          <w:szCs w:val="20"/>
          <w:color w:val="auto"/>
        </w:rPr>
      </w:pPr>
    </w:p>
    <w:p>
      <w:pPr>
        <w:ind w:left="2540"/>
        <w:spacing w:after="0"/>
        <w:rPr>
          <w:sz w:val="20"/>
          <w:szCs w:val="20"/>
          <w:color w:val="auto"/>
        </w:rPr>
      </w:pPr>
      <w:r>
        <w:rPr>
          <w:rFonts w:ascii="Arial" w:cs="Arial" w:eastAsia="Arial" w:hAnsi="Arial"/>
          <w:sz w:val="22"/>
          <w:szCs w:val="22"/>
          <w:b w:val="1"/>
          <w:bCs w:val="1"/>
          <w:i w:val="1"/>
          <w:iCs w:val="1"/>
          <w:color w:val="auto"/>
        </w:rPr>
        <w:t>You can now access your Eagle Materials Inc. account online.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Access your Eagle Materials Inc. stockholder account online via Investor ServiceDirect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(ISD).</w:t>
      </w:r>
    </w:p>
    <w:p>
      <w:pPr>
        <w:spacing w:after="0" w:line="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Mellon Investor Services LLC, Transfer Agent for Eagle Materials Inc., now makes it easy and convenient to get current information on your stockholder account.</w:t>
      </w:r>
    </w:p>
    <w:p>
      <w:pPr>
        <w:sectPr>
          <w:pgSz w:w="11900" w:h="16838" w:orient="portrait"/>
          <w:cols w:equalWidth="0" w:num="1">
            <w:col w:w="11080"/>
          </w:cols>
          <w:pgMar w:left="240" w:top="419" w:right="579" w:bottom="1440" w:gutter="0" w:footer="0" w:header="0"/>
        </w:sectPr>
      </w:pPr>
    </w:p>
    <w:p>
      <w:pPr>
        <w:spacing w:after="0" w:line="11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Ÿ View account status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Ÿ View payment history for dividends</w:t>
      </w:r>
    </w:p>
    <w:p>
      <w:pPr>
        <w:spacing w:after="0" w:line="131" w:lineRule="exact"/>
        <w:rPr>
          <w:sz w:val="20"/>
          <w:szCs w:val="20"/>
          <w:color w:val="auto"/>
        </w:rPr>
      </w:pPr>
    </w:p>
    <w:p>
      <w:pPr>
        <w:sectPr>
          <w:pgSz w:w="11900" w:h="16838" w:orient="portrait"/>
          <w:cols w:equalWidth="0" w:num="2">
            <w:col w:w="5820" w:space="720"/>
            <w:col w:w="4540"/>
          </w:cols>
          <w:pgMar w:left="240" w:top="419" w:right="579" w:bottom="1440" w:gutter="0" w:footer="0" w:header="0"/>
          <w:type w:val="continuous"/>
        </w:sectPr>
      </w:pPr>
    </w:p>
    <w:p>
      <w:pPr>
        <w:jc w:val="center"/>
        <w:ind w:left="620"/>
        <w:spacing w:after="0"/>
        <w:rPr>
          <w:sz w:val="20"/>
          <w:szCs w:val="20"/>
          <w:color w:val="auto"/>
        </w:rPr>
      </w:pPr>
      <w:r>
        <w:rPr>
          <w:rFonts w:ascii="Arial" w:cs="Arial" w:eastAsia="Arial" w:hAnsi="Arial"/>
          <w:sz w:val="18"/>
          <w:szCs w:val="18"/>
          <w:color w:val="auto"/>
        </w:rPr>
        <w:t>Ÿ View certificate history</w:t>
      </w:r>
    </w:p>
    <w:p>
      <w:pPr>
        <w:spacing w:after="0" w:line="20" w:lineRule="exact"/>
        <w:rPr>
          <w:sz w:val="20"/>
          <w:szCs w:val="20"/>
          <w:color w:val="auto"/>
        </w:rPr>
      </w:pPr>
      <w:r>
        <w:rPr>
          <w:sz w:val="20"/>
          <w:szCs w:val="20"/>
          <w:color w:val="auto"/>
        </w:rPr>
        <w:br w:type="column"/>
      </w:r>
    </w:p>
    <w:p>
      <w:pPr>
        <w:jc w:val="center"/>
        <w:ind w:right="2480"/>
        <w:spacing w:after="0"/>
        <w:rPr>
          <w:sz w:val="20"/>
          <w:szCs w:val="20"/>
          <w:color w:val="auto"/>
        </w:rPr>
      </w:pPr>
      <w:r>
        <w:rPr>
          <w:rFonts w:ascii="Arial" w:cs="Arial" w:eastAsia="Arial" w:hAnsi="Arial"/>
          <w:sz w:val="18"/>
          <w:szCs w:val="18"/>
          <w:color w:val="auto"/>
        </w:rPr>
        <w:t>Ÿ Make address changes</w:t>
      </w:r>
    </w:p>
    <w:p>
      <w:pPr>
        <w:spacing w:after="0" w:line="131" w:lineRule="exact"/>
        <w:rPr>
          <w:sz w:val="20"/>
          <w:szCs w:val="20"/>
          <w:color w:val="auto"/>
        </w:rPr>
      </w:pPr>
    </w:p>
    <w:p>
      <w:pPr>
        <w:sectPr>
          <w:pgSz w:w="11900" w:h="16838" w:orient="portrait"/>
          <w:cols w:equalWidth="0" w:num="2">
            <w:col w:w="5820" w:space="720"/>
            <w:col w:w="4540"/>
          </w:cols>
          <w:pgMar w:left="240" w:top="419" w:right="579" w:bottom="1440" w:gutter="0" w:footer="0" w:header="0"/>
          <w:type w:val="continuous"/>
        </w:sectPr>
      </w:pPr>
    </w:p>
    <w:p>
      <w:pPr>
        <w:ind w:left="2220"/>
        <w:spacing w:after="0"/>
        <w:rPr>
          <w:sz w:val="20"/>
          <w:szCs w:val="20"/>
          <w:color w:val="auto"/>
        </w:rPr>
      </w:pPr>
      <w:r>
        <w:rPr>
          <w:rFonts w:ascii="Arial" w:cs="Arial" w:eastAsia="Arial" w:hAnsi="Arial"/>
          <w:sz w:val="18"/>
          <w:szCs w:val="18"/>
          <w:color w:val="auto"/>
        </w:rPr>
        <w:t>Ÿ View book-entry information</w:t>
      </w:r>
    </w:p>
    <w:p>
      <w:pPr>
        <w:spacing w:after="0" w:line="20" w:lineRule="exact"/>
        <w:rPr>
          <w:sz w:val="20"/>
          <w:szCs w:val="20"/>
          <w:color w:val="auto"/>
        </w:rPr>
      </w:pPr>
      <w:r>
        <w:rPr>
          <w:sz w:val="20"/>
          <w:szCs w:val="20"/>
          <w:color w:val="auto"/>
        </w:rPr>
        <w:br w:type="column"/>
      </w:r>
    </w:p>
    <w:p>
      <w:pPr>
        <w:jc w:val="center"/>
        <w:ind w:right="1740"/>
        <w:spacing w:after="0"/>
        <w:rPr>
          <w:sz w:val="20"/>
          <w:szCs w:val="20"/>
          <w:color w:val="auto"/>
        </w:rPr>
      </w:pPr>
      <w:r>
        <w:rPr>
          <w:rFonts w:ascii="Arial" w:cs="Arial" w:eastAsia="Arial" w:hAnsi="Arial"/>
          <w:sz w:val="18"/>
          <w:szCs w:val="18"/>
          <w:color w:val="auto"/>
        </w:rPr>
        <w:t>Ÿ Obtain a duplicate 1099 tax form</w:t>
      </w:r>
    </w:p>
    <w:p>
      <w:pPr>
        <w:spacing w:after="0" w:line="131" w:lineRule="exact"/>
        <w:rPr>
          <w:sz w:val="20"/>
          <w:szCs w:val="20"/>
          <w:color w:val="auto"/>
        </w:rPr>
      </w:pPr>
    </w:p>
    <w:p>
      <w:pPr>
        <w:sectPr>
          <w:pgSz w:w="11900" w:h="16838" w:orient="portrait"/>
          <w:cols w:equalWidth="0" w:num="2">
            <w:col w:w="5820" w:space="720"/>
            <w:col w:w="4540"/>
          </w:cols>
          <w:pgMar w:left="240" w:top="419" w:right="579" w:bottom="1440" w:gutter="0" w:footer="0" w:header="0"/>
          <w:type w:val="continuous"/>
        </w:sectPr>
      </w:pPr>
    </w:p>
    <w:p>
      <w:pPr>
        <w:ind w:left="6540"/>
        <w:spacing w:after="0"/>
        <w:rPr>
          <w:sz w:val="20"/>
          <w:szCs w:val="20"/>
          <w:color w:val="auto"/>
        </w:rPr>
      </w:pPr>
      <w:r>
        <w:rPr>
          <w:rFonts w:ascii="Arial" w:cs="Arial" w:eastAsia="Arial" w:hAnsi="Arial"/>
          <w:sz w:val="18"/>
          <w:szCs w:val="18"/>
          <w:color w:val="auto"/>
        </w:rPr>
        <w:t>Ÿ Establish/change your PIN</w:t>
      </w:r>
    </w:p>
    <w:p>
      <w:pPr>
        <w:sectPr>
          <w:pgSz w:w="11900" w:h="16838" w:orient="portrait"/>
          <w:cols w:equalWidth="0" w:num="1">
            <w:col w:w="11080"/>
          </w:cols>
          <w:pgMar w:left="240" w:top="419" w:right="579" w:bottom="1440" w:gutter="0" w:footer="0" w:header="0"/>
          <w:type w:val="continuous"/>
        </w:sectPr>
      </w:pPr>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Visit us on the web at http://www.melloninvestor.com</w:t>
      </w: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For Technical Assistance Call 1-877-978-7778 between 9am-7pm</w:t>
      </w:r>
    </w:p>
    <w:p>
      <w:pPr>
        <w:spacing w:after="0" w:line="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194" w:lineRule="exact"/>
        <w:rPr>
          <w:sz w:val="20"/>
          <w:szCs w:val="20"/>
          <w:color w:val="auto"/>
        </w:rPr>
      </w:pPr>
    </w:p>
    <w:p>
      <w:pPr>
        <w:ind w:left="2220"/>
        <w:spacing w:after="0"/>
        <w:rPr>
          <w:sz w:val="20"/>
          <w:szCs w:val="20"/>
          <w:color w:val="auto"/>
        </w:rPr>
      </w:pPr>
      <w:r>
        <w:rPr>
          <w:rFonts w:ascii="Arial" w:cs="Arial" w:eastAsia="Arial" w:hAnsi="Arial"/>
          <w:sz w:val="17"/>
          <w:szCs w:val="17"/>
          <w:b w:val="1"/>
          <w:bCs w:val="1"/>
          <w:i w:val="1"/>
          <w:iCs w:val="1"/>
          <w:color w:val="auto"/>
        </w:rPr>
        <w:t>Investor ServiceDirect</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is a registered trademark of Mellon Investor Services LLC</w:t>
      </w:r>
    </w:p>
    <w:sectPr>
      <w:pgSz w:w="11900" w:h="16838" w:orient="portrait"/>
      <w:cols w:equalWidth="0" w:num="1">
        <w:col w:w="11080"/>
      </w:cols>
      <w:pgMar w:left="240" w:top="419"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o"/>
      <w:numFmt w:val="bullet"/>
      <w:start w:val="1"/>
    </w:lvl>
    <w:lvl w:ilvl="1">
      <w:lvlJc w:val="left"/>
      <w:lvlText w:val="%2)"/>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4"/>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Roman"/>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4"/>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2"/>
    </w:lvl>
  </w:abstractNum>
  <w:abstractNum w:abstractNumId="25">
    <w:nsid w:val="71F32454"/>
    <w:multiLevelType w:val="hybridMultilevel"/>
    <w:lvl w:ilvl="0">
      <w:lvlJc w:val="left"/>
      <w:lvlText w:val="(%1)"/>
      <w:numFmt w:val="decimal"/>
      <w:start w:val="1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2019-12-11T23:58:11Z</dcterms:created>
  <dcterms:modified xsi:type="dcterms:W3CDTF">2019-12-11T23:58:11Z</dcterms:modified>
</cp:coreProperties>
</file>